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D57" w:rsidRPr="000D35C9" w:rsidRDefault="000E7D57" w:rsidP="00F54ECB">
      <w:pPr>
        <w:widowControl/>
        <w:jc w:val="center"/>
        <w:rPr>
          <w:rFonts w:ascii="Times New Roman" w:hAnsi="Times New Roman"/>
          <w:b/>
        </w:rPr>
      </w:pPr>
      <w:r w:rsidRPr="000D35C9">
        <w:rPr>
          <w:rFonts w:ascii="Times New Roman" w:hAnsi="Times New Roman"/>
          <w:b/>
        </w:rPr>
        <w:t>Supporting Statement for</w:t>
      </w:r>
    </w:p>
    <w:p w:rsidR="000E7D57" w:rsidRPr="000D35C9" w:rsidRDefault="000E7D57" w:rsidP="00F54ECB">
      <w:pPr>
        <w:widowControl/>
        <w:jc w:val="center"/>
        <w:rPr>
          <w:rFonts w:ascii="Times New Roman" w:hAnsi="Times New Roman"/>
          <w:b/>
        </w:rPr>
      </w:pPr>
      <w:r w:rsidRPr="000D35C9">
        <w:rPr>
          <w:rFonts w:ascii="Times New Roman" w:hAnsi="Times New Roman"/>
          <w:b/>
        </w:rPr>
        <w:t xml:space="preserve">the </w:t>
      </w:r>
      <w:r w:rsidR="006956DF" w:rsidRPr="000D35C9">
        <w:rPr>
          <w:rFonts w:ascii="Times New Roman" w:hAnsi="Times New Roman"/>
          <w:b/>
        </w:rPr>
        <w:t xml:space="preserve">Consolidated </w:t>
      </w:r>
      <w:r w:rsidRPr="000D35C9">
        <w:rPr>
          <w:rFonts w:ascii="Times New Roman" w:hAnsi="Times New Roman"/>
          <w:b/>
        </w:rPr>
        <w:t>Reports of Condition and Income</w:t>
      </w:r>
    </w:p>
    <w:p w:rsidR="000E7D57" w:rsidRPr="000D35C9" w:rsidRDefault="000E7D57" w:rsidP="00F54ECB">
      <w:pPr>
        <w:widowControl/>
        <w:jc w:val="center"/>
        <w:rPr>
          <w:rFonts w:ascii="Times New Roman" w:hAnsi="Times New Roman"/>
        </w:rPr>
      </w:pPr>
      <w:r w:rsidRPr="000D35C9">
        <w:rPr>
          <w:rFonts w:ascii="Times New Roman" w:hAnsi="Times New Roman"/>
          <w:b/>
        </w:rPr>
        <w:t>(FFIEC 031 and 041; OMB No. 7100-0036)</w:t>
      </w:r>
    </w:p>
    <w:p w:rsidR="000E7D57" w:rsidRPr="000D35C9" w:rsidRDefault="000E7D57" w:rsidP="00F54ECB">
      <w:pPr>
        <w:widowControl/>
        <w:rPr>
          <w:rFonts w:ascii="Times New Roman" w:hAnsi="Times New Roman"/>
        </w:rPr>
      </w:pPr>
    </w:p>
    <w:p w:rsidR="000E7D57" w:rsidRPr="000D35C9" w:rsidRDefault="00E30374" w:rsidP="00F54ECB">
      <w:pPr>
        <w:widowControl/>
        <w:rPr>
          <w:rFonts w:ascii="Times New Roman" w:hAnsi="Times New Roman"/>
        </w:rPr>
      </w:pPr>
      <w:r w:rsidRPr="000D35C9">
        <w:rPr>
          <w:rFonts w:ascii="Times New Roman" w:hAnsi="Times New Roman"/>
          <w:b/>
        </w:rPr>
        <w:t>Summary</w:t>
      </w:r>
    </w:p>
    <w:p w:rsidR="000E7D57" w:rsidRPr="000D35C9" w:rsidRDefault="000E7D57" w:rsidP="00F54ECB">
      <w:pPr>
        <w:widowControl/>
        <w:rPr>
          <w:rFonts w:ascii="Times New Roman" w:hAnsi="Times New Roman"/>
        </w:rPr>
      </w:pPr>
    </w:p>
    <w:p w:rsidR="000E7D57" w:rsidRPr="000D35C9" w:rsidRDefault="000E7D57" w:rsidP="00F54ECB">
      <w:pPr>
        <w:pStyle w:val="BodyTextIndent3"/>
        <w:widowControl/>
        <w:jc w:val="both"/>
        <w:rPr>
          <w:rFonts w:ascii="Times New Roman" w:hAnsi="Times New Roman"/>
        </w:rPr>
      </w:pPr>
      <w:r w:rsidRPr="000D35C9">
        <w:rPr>
          <w:rFonts w:ascii="Times New Roman" w:hAnsi="Times New Roman"/>
        </w:rPr>
        <w:t>The Board of Governors of the Federal Reserve System (Board) requests approval from the Office of Management and Budget (OMB) to</w:t>
      </w:r>
      <w:r w:rsidR="00EC19D3">
        <w:rPr>
          <w:rFonts w:ascii="Times New Roman" w:hAnsi="Times New Roman"/>
        </w:rPr>
        <w:t xml:space="preserve"> </w:t>
      </w:r>
      <w:r w:rsidR="00591815">
        <w:rPr>
          <w:rFonts w:ascii="Times New Roman" w:hAnsi="Times New Roman"/>
        </w:rPr>
        <w:t>revise</w:t>
      </w:r>
      <w:r w:rsidRPr="000D35C9">
        <w:rPr>
          <w:rFonts w:ascii="Times New Roman" w:hAnsi="Times New Roman"/>
        </w:rPr>
        <w:t xml:space="preserve"> the Federal Financial Institutions Examination Council (FFIEC) Consolidated Reports of Condition and Income (Call Reports) (FFIEC 031</w:t>
      </w:r>
      <w:r w:rsidR="002F769E" w:rsidRPr="000D35C9">
        <w:rPr>
          <w:rFonts w:ascii="Times New Roman" w:hAnsi="Times New Roman"/>
        </w:rPr>
        <w:t xml:space="preserve"> </w:t>
      </w:r>
      <w:r w:rsidR="00992C88" w:rsidRPr="000D35C9">
        <w:rPr>
          <w:rFonts w:ascii="Times New Roman" w:hAnsi="Times New Roman"/>
        </w:rPr>
        <w:t>and 0</w:t>
      </w:r>
      <w:r w:rsidRPr="000D35C9">
        <w:rPr>
          <w:rFonts w:ascii="Times New Roman" w:hAnsi="Times New Roman"/>
        </w:rPr>
        <w:t>4</w:t>
      </w:r>
      <w:r w:rsidR="00992C88" w:rsidRPr="000D35C9">
        <w:rPr>
          <w:rFonts w:ascii="Times New Roman" w:hAnsi="Times New Roman"/>
        </w:rPr>
        <w:t>1</w:t>
      </w:r>
      <w:r w:rsidRPr="000D35C9">
        <w:rPr>
          <w:rFonts w:ascii="Times New Roman" w:hAnsi="Times New Roman"/>
        </w:rPr>
        <w:t xml:space="preserve">; OMB No. 7100-0036).  These </w:t>
      </w:r>
      <w:r w:rsidR="006504B4" w:rsidRPr="000D35C9">
        <w:rPr>
          <w:rFonts w:ascii="Times New Roman" w:hAnsi="Times New Roman"/>
        </w:rPr>
        <w:t xml:space="preserve">data </w:t>
      </w:r>
      <w:r w:rsidRPr="000D35C9">
        <w:rPr>
          <w:rFonts w:ascii="Times New Roman" w:hAnsi="Times New Roman"/>
        </w:rPr>
        <w:t>are required of state member banks and are filed on a quarterly basis.  The revisions to the Call Reports that are the subject of this request have been approved by the FFIEC.  The Federal Deposit Insurance Corporation (FDIC)</w:t>
      </w:r>
      <w:r w:rsidR="00564C5A">
        <w:rPr>
          <w:rFonts w:ascii="Times New Roman" w:hAnsi="Times New Roman"/>
        </w:rPr>
        <w:t xml:space="preserve">, </w:t>
      </w:r>
      <w:r w:rsidRPr="000D35C9">
        <w:rPr>
          <w:rFonts w:ascii="Times New Roman" w:hAnsi="Times New Roman"/>
        </w:rPr>
        <w:t>the Office of the Comptroller of the Currency (OCC)</w:t>
      </w:r>
      <w:r w:rsidR="00564C5A">
        <w:rPr>
          <w:rFonts w:ascii="Times New Roman" w:hAnsi="Times New Roman"/>
        </w:rPr>
        <w:t>, and the Office of Thrift Supervision (OTS)</w:t>
      </w:r>
      <w:r w:rsidR="00564C5A" w:rsidRPr="00564C5A">
        <w:rPr>
          <w:rStyle w:val="FootnoteReference"/>
          <w:rFonts w:ascii="Times New Roman" w:hAnsi="Times New Roman"/>
          <w:vertAlign w:val="superscript"/>
        </w:rPr>
        <w:footnoteReference w:id="1"/>
      </w:r>
      <w:r w:rsidRPr="000D35C9">
        <w:rPr>
          <w:rFonts w:ascii="Times New Roman" w:hAnsi="Times New Roman"/>
        </w:rPr>
        <w:t xml:space="preserve"> have also submitted a similar request for OMB review to request this information from banks under their supervision.</w:t>
      </w:r>
    </w:p>
    <w:p w:rsidR="000E7D57" w:rsidRPr="000D35C9" w:rsidRDefault="000E7D57" w:rsidP="00F54ECB">
      <w:pPr>
        <w:widowControl/>
        <w:rPr>
          <w:rFonts w:ascii="Times New Roman" w:hAnsi="Times New Roman"/>
        </w:rPr>
      </w:pPr>
    </w:p>
    <w:p w:rsidR="00F207CA" w:rsidRPr="000D35C9" w:rsidRDefault="000E7D57" w:rsidP="0073413A">
      <w:pPr>
        <w:widowControl/>
        <w:tabs>
          <w:tab w:val="left" w:pos="0"/>
        </w:tabs>
        <w:ind w:firstLine="720"/>
        <w:jc w:val="both"/>
        <w:rPr>
          <w:rFonts w:ascii="Times New Roman" w:hAnsi="Times New Roman"/>
        </w:rPr>
      </w:pPr>
      <w:r w:rsidRPr="000D35C9">
        <w:rPr>
          <w:rFonts w:ascii="Times New Roman" w:hAnsi="Times New Roman"/>
        </w:rPr>
        <w:t xml:space="preserve">The Federal Reserve requires information collected on the Call Reports to fulfill its statutory obligation to supervise state member banks.  State member banks are required to file both detailed schedules of assets, liabilities, and capital accounts in the form of a condition report and summary statement as well as detailed schedules of operating income and expense, sources and disposition of income, and changes in equity capital.  </w:t>
      </w:r>
    </w:p>
    <w:p w:rsidR="00F207CA" w:rsidRPr="000D35C9" w:rsidRDefault="00F207CA" w:rsidP="00F207CA">
      <w:pPr>
        <w:widowControl/>
        <w:tabs>
          <w:tab w:val="left" w:pos="0"/>
        </w:tabs>
        <w:ind w:firstLine="360"/>
        <w:jc w:val="both"/>
        <w:rPr>
          <w:rFonts w:ascii="Times New Roman" w:hAnsi="Times New Roman"/>
        </w:rPr>
      </w:pPr>
    </w:p>
    <w:p w:rsidR="00C7540B" w:rsidRPr="000D35C9" w:rsidRDefault="0025415A" w:rsidP="00A737A2">
      <w:pPr>
        <w:ind w:firstLine="720"/>
        <w:jc w:val="both"/>
        <w:rPr>
          <w:rFonts w:ascii="Times New Roman" w:hAnsi="Times New Roman"/>
        </w:rPr>
      </w:pPr>
      <w:r w:rsidRPr="006517C1">
        <w:t xml:space="preserve">The agencies are proposing to </w:t>
      </w:r>
      <w:r>
        <w:t xml:space="preserve">add two items to </w:t>
      </w:r>
      <w:r w:rsidRPr="006517C1">
        <w:t xml:space="preserve">the </w:t>
      </w:r>
      <w:r>
        <w:t xml:space="preserve">schedules in the </w:t>
      </w:r>
      <w:r w:rsidRPr="006517C1">
        <w:t>Call Report</w:t>
      </w:r>
      <w:r>
        <w:t xml:space="preserve"> for collecting data related to deposit insurance assessments and to revise the instructions for an existing item in these schedules effective December 31, 2010.  These changes respond to amendments made to the Federal Deposit Insurance Act (FDI Act) by Section 343 of the Dodd-Frank </w:t>
      </w:r>
      <w:r w:rsidRPr="00B50116">
        <w:t>Wall Street Reform and Consumer Protection Act</w:t>
      </w:r>
      <w:r w:rsidR="00922B6C">
        <w:t xml:space="preserve"> </w:t>
      </w:r>
      <w:r>
        <w:t xml:space="preserve">(Dodd-Frank Act) (Pub. L. 111-203, July 21, 2010) </w:t>
      </w:r>
      <w:r w:rsidRPr="00BC4E3C">
        <w:t xml:space="preserve">pertaining to the insurance of transaction accounts.  </w:t>
      </w:r>
      <w:r w:rsidR="000D5407" w:rsidRPr="000D35C9">
        <w:rPr>
          <w:rFonts w:ascii="Times New Roman" w:hAnsi="Times New Roman"/>
        </w:rPr>
        <w:t xml:space="preserve">The current annual burden for the Call Reports is estimated to be </w:t>
      </w:r>
      <w:r w:rsidR="00591815">
        <w:rPr>
          <w:rFonts w:ascii="Times New Roman" w:hAnsi="Times New Roman"/>
        </w:rPr>
        <w:t>185,155</w:t>
      </w:r>
      <w:r w:rsidR="000D5407" w:rsidRPr="000D35C9">
        <w:rPr>
          <w:rFonts w:ascii="Times New Roman" w:hAnsi="Times New Roman"/>
        </w:rPr>
        <w:t xml:space="preserve"> hours; the proposed revisions are estimated to increase the annual burden to </w:t>
      </w:r>
      <w:r w:rsidR="00591815">
        <w:rPr>
          <w:rFonts w:ascii="Times New Roman" w:hAnsi="Times New Roman"/>
        </w:rPr>
        <w:t>186,837</w:t>
      </w:r>
      <w:r w:rsidRPr="000D35C9">
        <w:rPr>
          <w:rFonts w:ascii="Times New Roman" w:hAnsi="Times New Roman"/>
        </w:rPr>
        <w:t xml:space="preserve"> </w:t>
      </w:r>
      <w:r w:rsidR="000D5407" w:rsidRPr="000D35C9">
        <w:rPr>
          <w:rFonts w:ascii="Times New Roman" w:hAnsi="Times New Roman"/>
        </w:rPr>
        <w:t xml:space="preserve">hours.  </w:t>
      </w:r>
    </w:p>
    <w:p w:rsidR="001E2954" w:rsidRPr="000D35C9" w:rsidRDefault="001E2954">
      <w:pPr>
        <w:pStyle w:val="Heading1"/>
        <w:rPr>
          <w:rFonts w:ascii="Times New Roman" w:hAnsi="Times New Roman"/>
        </w:rPr>
      </w:pPr>
    </w:p>
    <w:p w:rsidR="000E7D57" w:rsidRPr="000D35C9" w:rsidRDefault="000E7D57">
      <w:pPr>
        <w:pStyle w:val="Heading1"/>
        <w:rPr>
          <w:rFonts w:ascii="Times New Roman" w:hAnsi="Times New Roman"/>
        </w:rPr>
      </w:pPr>
      <w:r w:rsidRPr="000D35C9">
        <w:rPr>
          <w:rFonts w:ascii="Times New Roman" w:hAnsi="Times New Roman"/>
        </w:rPr>
        <w:t>Background</w:t>
      </w:r>
      <w:r w:rsidR="00F54ECB" w:rsidRPr="000D35C9">
        <w:rPr>
          <w:rFonts w:ascii="Times New Roman" w:hAnsi="Times New Roman"/>
        </w:rPr>
        <w:t xml:space="preserve"> and Justification</w:t>
      </w:r>
    </w:p>
    <w:p w:rsidR="000E7D57" w:rsidRPr="000D35C9" w:rsidRDefault="000E7D57">
      <w:pPr>
        <w:widowControl/>
        <w:tabs>
          <w:tab w:val="left" w:pos="360"/>
        </w:tabs>
        <w:rPr>
          <w:rFonts w:ascii="Times New Roman" w:hAnsi="Times New Roman"/>
        </w:rPr>
      </w:pPr>
    </w:p>
    <w:p w:rsidR="000E7D57" w:rsidRPr="000D35C9" w:rsidRDefault="000E7D57" w:rsidP="00804EB1">
      <w:pPr>
        <w:pStyle w:val="BodyTextIndent3"/>
        <w:widowControl/>
        <w:jc w:val="both"/>
        <w:rPr>
          <w:rFonts w:ascii="Times New Roman" w:hAnsi="Times New Roman"/>
        </w:rPr>
      </w:pPr>
      <w:r w:rsidRPr="000D35C9">
        <w:rPr>
          <w:rFonts w:ascii="Times New Roman" w:hAnsi="Times New Roman"/>
        </w:rPr>
        <w:t>Banks that are members of the Federal Reserve System are required by law to file reports of condition with the Federal Reserve System.  Section 9(6) of the Federal Reserve Act (12 U.S.C. 324) states:</w:t>
      </w:r>
    </w:p>
    <w:p w:rsidR="00804EB1" w:rsidRPr="000D35C9" w:rsidRDefault="00804EB1" w:rsidP="00804EB1">
      <w:pPr>
        <w:pStyle w:val="BodyTextIndent3"/>
        <w:widowControl/>
        <w:ind w:firstLine="0"/>
        <w:jc w:val="both"/>
        <w:rPr>
          <w:rFonts w:ascii="Times New Roman" w:hAnsi="Times New Roman"/>
        </w:rPr>
      </w:pPr>
    </w:p>
    <w:p w:rsidR="000E7D57" w:rsidRPr="000D35C9" w:rsidRDefault="000E7D57" w:rsidP="00804EB1">
      <w:pPr>
        <w:widowControl/>
        <w:ind w:left="360"/>
        <w:jc w:val="both"/>
        <w:rPr>
          <w:rFonts w:ascii="Times New Roman" w:hAnsi="Times New Roman"/>
        </w:rPr>
      </w:pPr>
      <w:r w:rsidRPr="000D35C9">
        <w:rPr>
          <w:rFonts w:ascii="Times New Roman" w:hAnsi="Times New Roman"/>
        </w:rPr>
        <w:t>... banks ... shall be required to make reports of condition and of the payment of dividends to the Federal Reserve bank of which they become a member.  Not less than three of such reports shall be made annually on call of the Federal Reserve bank on dates to be fixed by the Board of Governors of the Federal Reserve System.... Such reports of condition shall be in such form and shall contain such information as the Board of Governors of the Federal Reserve System may require and shall be published by the reporting banks in such manner and in accordance with such regulations as the said Board may prescribe.</w:t>
      </w:r>
    </w:p>
    <w:p w:rsidR="000E7D57" w:rsidRDefault="000E7D57">
      <w:pPr>
        <w:widowControl/>
        <w:tabs>
          <w:tab w:val="left" w:pos="360"/>
        </w:tabs>
        <w:rPr>
          <w:rFonts w:ascii="Times New Roman" w:hAnsi="Times New Roman"/>
        </w:rPr>
      </w:pPr>
    </w:p>
    <w:p w:rsidR="000E7D57" w:rsidRPr="000D35C9" w:rsidRDefault="000E7D57" w:rsidP="00804EB1">
      <w:pPr>
        <w:pStyle w:val="BodyTextIndent3"/>
        <w:widowControl/>
        <w:jc w:val="both"/>
        <w:rPr>
          <w:rFonts w:ascii="Times New Roman" w:hAnsi="Times New Roman"/>
        </w:rPr>
      </w:pPr>
      <w:r w:rsidRPr="000D35C9">
        <w:rPr>
          <w:rFonts w:ascii="Times New Roman" w:hAnsi="Times New Roman"/>
        </w:rPr>
        <w:lastRenderedPageBreak/>
        <w:t>In discharging this statutory responsibility, the Board of Governors, acting in concert with the other federal banking supervisory agencies since 1979 through the FFIEC, requires banks to submit on the quarterly Reports of Condition and Income such financial data as are needed by the Federal Reserve System to: (1) supervise and regulate banks through monitoring of their financial condition, ensuring the continued safety of the public</w:t>
      </w:r>
      <w:r w:rsidR="00E30374" w:rsidRPr="000D35C9">
        <w:rPr>
          <w:rFonts w:ascii="Times New Roman" w:hAnsi="Times New Roman"/>
        </w:rPr>
        <w:t>’</w:t>
      </w:r>
      <w:r w:rsidRPr="000D35C9">
        <w:rPr>
          <w:rFonts w:ascii="Times New Roman" w:hAnsi="Times New Roman"/>
        </w:rPr>
        <w:t>s monies and the overall soundness of the nation</w:t>
      </w:r>
      <w:r w:rsidR="00E30374" w:rsidRPr="000D35C9">
        <w:rPr>
          <w:rFonts w:ascii="Times New Roman" w:hAnsi="Times New Roman"/>
        </w:rPr>
        <w:t>’</w:t>
      </w:r>
      <w:r w:rsidRPr="000D35C9">
        <w:rPr>
          <w:rFonts w:ascii="Times New Roman" w:hAnsi="Times New Roman"/>
        </w:rPr>
        <w:t>s financial structure, and (2) contribute information needed for background for the proper discharge of the Board</w:t>
      </w:r>
      <w:r w:rsidR="00E30374" w:rsidRPr="000D35C9">
        <w:rPr>
          <w:rFonts w:ascii="Times New Roman" w:hAnsi="Times New Roman"/>
        </w:rPr>
        <w:t>’</w:t>
      </w:r>
      <w:r w:rsidRPr="000D35C9">
        <w:rPr>
          <w:rFonts w:ascii="Times New Roman" w:hAnsi="Times New Roman"/>
        </w:rPr>
        <w:t>s monetary policy responsibilities.  The use of the data is not limited to the federal government, but extends to state and local governments, the banking industry, securities analysts, and the academic community.</w:t>
      </w:r>
    </w:p>
    <w:p w:rsidR="000E7D57" w:rsidRPr="000D35C9" w:rsidRDefault="000E7D57" w:rsidP="0069439F">
      <w:pPr>
        <w:widowControl/>
        <w:tabs>
          <w:tab w:val="left" w:pos="360"/>
        </w:tabs>
        <w:rPr>
          <w:rFonts w:ascii="Times New Roman" w:hAnsi="Times New Roman"/>
          <w:bCs/>
        </w:rPr>
      </w:pPr>
    </w:p>
    <w:p w:rsidR="000E7D57" w:rsidRPr="000D35C9" w:rsidRDefault="000E7D57" w:rsidP="0069439F">
      <w:pPr>
        <w:widowControl/>
        <w:tabs>
          <w:tab w:val="left" w:pos="360"/>
        </w:tabs>
        <w:rPr>
          <w:rFonts w:ascii="Times New Roman" w:hAnsi="Times New Roman"/>
        </w:rPr>
      </w:pPr>
      <w:r w:rsidRPr="000D35C9">
        <w:rPr>
          <w:rFonts w:ascii="Times New Roman" w:hAnsi="Times New Roman"/>
          <w:b/>
          <w:bCs/>
        </w:rPr>
        <w:t>Description of Information Collection</w:t>
      </w:r>
    </w:p>
    <w:p w:rsidR="000E7D57" w:rsidRPr="000D35C9" w:rsidRDefault="000E7D57" w:rsidP="0069439F">
      <w:pPr>
        <w:pStyle w:val="FootnoteText"/>
        <w:widowControl/>
        <w:tabs>
          <w:tab w:val="left" w:pos="360"/>
        </w:tabs>
        <w:autoSpaceDE w:val="0"/>
        <w:autoSpaceDN w:val="0"/>
        <w:adjustRightInd w:val="0"/>
        <w:rPr>
          <w:rFonts w:ascii="Times New Roman" w:hAnsi="Times New Roman"/>
          <w:snapToGrid/>
          <w:szCs w:val="24"/>
        </w:rPr>
      </w:pPr>
    </w:p>
    <w:p w:rsidR="000E7D57" w:rsidRPr="000D35C9" w:rsidRDefault="000E7D57" w:rsidP="0069439F">
      <w:pPr>
        <w:pStyle w:val="BodyTextIndent3"/>
        <w:widowControl/>
        <w:jc w:val="both"/>
        <w:rPr>
          <w:rFonts w:ascii="Times New Roman" w:hAnsi="Times New Roman"/>
        </w:rPr>
      </w:pPr>
      <w:r w:rsidRPr="000D35C9">
        <w:rPr>
          <w:rFonts w:ascii="Times New Roman" w:hAnsi="Times New Roman"/>
        </w:rPr>
        <w:t>The Call Reports collect basic financial data from commercial banks in the form of a balance sheet, income statement, and supporting schedules.  The Report of Condition contains supporting schedules that provide detail on assets, liabilities, and capital accounts.  The Report of Income contains supporting schedules that provide detail on income and expenses.</w:t>
      </w:r>
    </w:p>
    <w:p w:rsidR="000E7D57" w:rsidRPr="000D35C9" w:rsidRDefault="000E7D57" w:rsidP="0069439F">
      <w:pPr>
        <w:widowControl/>
        <w:tabs>
          <w:tab w:val="left" w:pos="360"/>
        </w:tabs>
        <w:rPr>
          <w:rFonts w:ascii="Times New Roman" w:hAnsi="Times New Roman"/>
        </w:rPr>
      </w:pPr>
    </w:p>
    <w:p w:rsidR="000E7D57" w:rsidRPr="000D35C9" w:rsidRDefault="000E7D57" w:rsidP="0069439F">
      <w:pPr>
        <w:pStyle w:val="BodyTextIndent3"/>
        <w:widowControl/>
        <w:jc w:val="both"/>
        <w:rPr>
          <w:rFonts w:ascii="Times New Roman" w:hAnsi="Times New Roman"/>
        </w:rPr>
      </w:pPr>
      <w:r w:rsidRPr="000D35C9">
        <w:rPr>
          <w:rFonts w:ascii="Times New Roman" w:hAnsi="Times New Roman"/>
        </w:rPr>
        <w:t xml:space="preserve">Within the Call Report information collection system as a whole, there are two </w:t>
      </w:r>
      <w:r w:rsidR="00717B88" w:rsidRPr="000D35C9">
        <w:rPr>
          <w:rFonts w:ascii="Times New Roman" w:hAnsi="Times New Roman"/>
        </w:rPr>
        <w:t xml:space="preserve">reporting </w:t>
      </w:r>
      <w:r w:rsidRPr="000D35C9">
        <w:rPr>
          <w:rFonts w:ascii="Times New Roman" w:hAnsi="Times New Roman"/>
        </w:rPr>
        <w:t>forms that apply to different categories of banks:  (1) all banks that have domestic and foreign offices (FFIEC 031), and (2) banks with domestic offices only (FFIEC 041).  Prior to March 2001, there were four categories of banks and four reporting forms.   The FFIEC 031 was filed by banks with domestic and foreign offices and the FFIEC 032, 033, and 034 were filed by banks with domestic offices only and were filed according to the asset size of the bank.</w:t>
      </w:r>
    </w:p>
    <w:p w:rsidR="000E7D57" w:rsidRPr="000D35C9" w:rsidRDefault="000E7D57" w:rsidP="0069439F">
      <w:pPr>
        <w:widowControl/>
        <w:rPr>
          <w:rFonts w:ascii="Times New Roman" w:hAnsi="Times New Roman"/>
        </w:rPr>
      </w:pPr>
    </w:p>
    <w:p w:rsidR="000E7D57" w:rsidRPr="000D35C9" w:rsidRDefault="000E7D57" w:rsidP="0069439F">
      <w:pPr>
        <w:pStyle w:val="BodyTextIndent3"/>
        <w:widowControl/>
        <w:jc w:val="both"/>
        <w:rPr>
          <w:rFonts w:ascii="Times New Roman" w:hAnsi="Times New Roman"/>
        </w:rPr>
      </w:pPr>
      <w:r w:rsidRPr="000D35C9">
        <w:rPr>
          <w:rFonts w:ascii="Times New Roman" w:hAnsi="Times New Roman"/>
        </w:rPr>
        <w:t>There is no other series of report</w:t>
      </w:r>
      <w:r w:rsidR="00785DE4" w:rsidRPr="000D35C9">
        <w:rPr>
          <w:rFonts w:ascii="Times New Roman" w:hAnsi="Times New Roman"/>
        </w:rPr>
        <w:t xml:space="preserve">ing </w:t>
      </w:r>
      <w:r w:rsidR="008F37A8" w:rsidRPr="000D35C9">
        <w:rPr>
          <w:rFonts w:ascii="Times New Roman" w:hAnsi="Times New Roman"/>
        </w:rPr>
        <w:t>forms that collect</w:t>
      </w:r>
      <w:r w:rsidRPr="000D35C9">
        <w:rPr>
          <w:rFonts w:ascii="Times New Roman" w:hAnsi="Times New Roman"/>
        </w:rPr>
        <w:t xml:space="preserve"> from all commercial and savings banks the information gathered through the Reports of Condition and Income.  There are other information collection</w:t>
      </w:r>
      <w:r w:rsidR="00985E34">
        <w:rPr>
          <w:rFonts w:ascii="Times New Roman" w:hAnsi="Times New Roman"/>
        </w:rPr>
        <w:t>s</w:t>
      </w:r>
      <w:r w:rsidRPr="000D35C9">
        <w:rPr>
          <w:rFonts w:ascii="Times New Roman" w:hAnsi="Times New Roman"/>
        </w:rPr>
        <w:t xml:space="preserve"> that tend to duplicate certain parts of the Call Reports; however, the information they provide would be of limited value as a replacement for the </w:t>
      </w:r>
      <w:r w:rsidR="006956DF" w:rsidRPr="000D35C9">
        <w:rPr>
          <w:rFonts w:ascii="Times New Roman" w:hAnsi="Times New Roman"/>
        </w:rPr>
        <w:t>Call Reports</w:t>
      </w:r>
      <w:r w:rsidRPr="000D35C9">
        <w:rPr>
          <w:rFonts w:ascii="Times New Roman" w:hAnsi="Times New Roman"/>
        </w:rPr>
        <w:t xml:space="preserve">.  For example, the Federal Reserve collects various </w:t>
      </w:r>
      <w:r w:rsidR="006504B4" w:rsidRPr="000D35C9">
        <w:rPr>
          <w:rFonts w:ascii="Times New Roman" w:hAnsi="Times New Roman"/>
        </w:rPr>
        <w:t xml:space="preserve">data </w:t>
      </w:r>
      <w:r w:rsidRPr="000D35C9">
        <w:rPr>
          <w:rFonts w:ascii="Times New Roman" w:hAnsi="Times New Roman"/>
        </w:rPr>
        <w:t>in connection with its measurement of monetary aggregates, of bank credit, and of flow of funds.  Reporting banks supply the Federal Reserve with detailed information relating to such balance sheet accounts as balances due from depository institutions, loans, and deposit liabilities.  The Federal Reserve also collects financial data from bank holding companies on a regular basis.  Such data are presented for the holding company on a consolidated basis, including its banking and nonbanking subsidiaries, and o</w:t>
      </w:r>
      <w:r w:rsidR="00844FD2" w:rsidRPr="000D35C9">
        <w:rPr>
          <w:rFonts w:ascii="Times New Roman" w:hAnsi="Times New Roman"/>
        </w:rPr>
        <w:t>n a parent company only basis.</w:t>
      </w:r>
    </w:p>
    <w:p w:rsidR="000E7D57" w:rsidRPr="000D35C9" w:rsidRDefault="000E7D57" w:rsidP="0069439F">
      <w:pPr>
        <w:widowControl/>
        <w:rPr>
          <w:rFonts w:ascii="Times New Roman" w:hAnsi="Times New Roman"/>
        </w:rPr>
      </w:pPr>
    </w:p>
    <w:p w:rsidR="000E7D57" w:rsidRPr="000D35C9" w:rsidRDefault="000E7D57" w:rsidP="0069439F">
      <w:pPr>
        <w:pStyle w:val="BodyTextIndent3"/>
        <w:widowControl/>
        <w:jc w:val="both"/>
        <w:rPr>
          <w:rFonts w:ascii="Times New Roman" w:hAnsi="Times New Roman"/>
        </w:rPr>
      </w:pPr>
      <w:r w:rsidRPr="000D35C9">
        <w:rPr>
          <w:rFonts w:ascii="Times New Roman" w:hAnsi="Times New Roman"/>
        </w:rPr>
        <w:t xml:space="preserve">However, Federal Reserve </w:t>
      </w:r>
      <w:r w:rsidR="00785DE4" w:rsidRPr="000D35C9">
        <w:rPr>
          <w:rFonts w:ascii="Times New Roman" w:hAnsi="Times New Roman"/>
        </w:rPr>
        <w:t>reporting form</w:t>
      </w:r>
      <w:r w:rsidRPr="000D35C9">
        <w:rPr>
          <w:rFonts w:ascii="Times New Roman" w:hAnsi="Times New Roman"/>
        </w:rPr>
        <w:t xml:space="preserve">s from banks are frequently obtained on a sample basis rather than from all insured banks.  Moreover, these </w:t>
      </w:r>
      <w:r w:rsidR="00785DE4" w:rsidRPr="000D35C9">
        <w:rPr>
          <w:rFonts w:ascii="Times New Roman" w:hAnsi="Times New Roman"/>
        </w:rPr>
        <w:t>reporting form</w:t>
      </w:r>
      <w:r w:rsidRPr="000D35C9">
        <w:rPr>
          <w:rFonts w:ascii="Times New Roman" w:hAnsi="Times New Roman"/>
        </w:rPr>
        <w:t xml:space="preserve">s are often prepared as of dates other than the last business day of each quarter, which would seriously limit their comparability.  Institutions below a certain size are exempt entirely from some Federal Reserve reporting requirements.  Data collected from bank holding companies on a consolidated basis reflect an aggregate amount for all subsidiaries within the organization, including banking and nonbanking subsidiaries, so that the actual dollar amounts applicable to any bank subsidiary are not determinable from the holding company </w:t>
      </w:r>
      <w:r w:rsidR="00785DE4" w:rsidRPr="000D35C9">
        <w:rPr>
          <w:rFonts w:ascii="Times New Roman" w:hAnsi="Times New Roman"/>
        </w:rPr>
        <w:t>reporting form</w:t>
      </w:r>
      <w:r w:rsidRPr="000D35C9">
        <w:rPr>
          <w:rFonts w:ascii="Times New Roman" w:hAnsi="Times New Roman"/>
        </w:rPr>
        <w:t xml:space="preserve">s.  Hence, these </w:t>
      </w:r>
      <w:r w:rsidR="00785DE4" w:rsidRPr="000D35C9">
        <w:rPr>
          <w:rFonts w:ascii="Times New Roman" w:hAnsi="Times New Roman"/>
        </w:rPr>
        <w:t>reporting form</w:t>
      </w:r>
      <w:r w:rsidRPr="000D35C9">
        <w:rPr>
          <w:rFonts w:ascii="Times New Roman" w:hAnsi="Times New Roman"/>
        </w:rPr>
        <w:t xml:space="preserve">s could not be a viable replacement for even a significant portion of the Call Reports since the Federal Reserve, in its role as supervisor of insured state member banks, would be lacking the </w:t>
      </w:r>
      <w:r w:rsidRPr="000D35C9">
        <w:rPr>
          <w:rFonts w:ascii="Times New Roman" w:hAnsi="Times New Roman"/>
        </w:rPr>
        <w:lastRenderedPageBreak/>
        <w:t>data necessary to assess the financial condition of individual insured banks to determine whether there had been any deterioration in their condition.</w:t>
      </w:r>
    </w:p>
    <w:p w:rsidR="000E7D57" w:rsidRPr="000D35C9" w:rsidRDefault="000E7D57" w:rsidP="0069439F">
      <w:pPr>
        <w:widowControl/>
        <w:tabs>
          <w:tab w:val="left" w:pos="360"/>
        </w:tabs>
        <w:rPr>
          <w:rFonts w:ascii="Times New Roman" w:hAnsi="Times New Roman"/>
        </w:rPr>
      </w:pPr>
    </w:p>
    <w:p w:rsidR="00804EB1" w:rsidRPr="000D35C9" w:rsidRDefault="000E7D57" w:rsidP="0069439F">
      <w:pPr>
        <w:pStyle w:val="BodyTextIndent3"/>
        <w:widowControl/>
        <w:jc w:val="both"/>
        <w:rPr>
          <w:rFonts w:ascii="Times New Roman" w:hAnsi="Times New Roman"/>
        </w:rPr>
      </w:pPr>
      <w:r w:rsidRPr="000D35C9">
        <w:rPr>
          <w:rFonts w:ascii="Times New Roman" w:hAnsi="Times New Roman"/>
        </w:rPr>
        <w:t xml:space="preserve">Beginning March 1998, all banks were required to transmit their </w:t>
      </w:r>
      <w:r w:rsidR="006956DF" w:rsidRPr="000D35C9">
        <w:rPr>
          <w:rFonts w:ascii="Times New Roman" w:hAnsi="Times New Roman"/>
        </w:rPr>
        <w:t>Call Report</w:t>
      </w:r>
      <w:r w:rsidRPr="000D35C9">
        <w:rPr>
          <w:rFonts w:ascii="Times New Roman" w:hAnsi="Times New Roman"/>
        </w:rPr>
        <w:t xml:space="preserve"> data electronically.  Banks do not have to submit hard copy Call Reports to any federal bank supervisory agency unless sp</w:t>
      </w:r>
      <w:r w:rsidR="00804EB1" w:rsidRPr="000D35C9">
        <w:rPr>
          <w:rFonts w:ascii="Times New Roman" w:hAnsi="Times New Roman"/>
        </w:rPr>
        <w:t>ecifically requested to do so.</w:t>
      </w:r>
    </w:p>
    <w:p w:rsidR="00190AA3" w:rsidRPr="000D35C9" w:rsidRDefault="00190AA3" w:rsidP="0069439F">
      <w:pPr>
        <w:rPr>
          <w:rFonts w:ascii="Times New Roman" w:hAnsi="Times New Roman"/>
        </w:rPr>
      </w:pPr>
    </w:p>
    <w:p w:rsidR="000E7D57" w:rsidRPr="000D35C9" w:rsidRDefault="000E7D57" w:rsidP="0069439F">
      <w:pPr>
        <w:ind w:firstLine="720"/>
        <w:rPr>
          <w:rFonts w:ascii="Times New Roman" w:hAnsi="Times New Roman"/>
          <w:b/>
        </w:rPr>
      </w:pPr>
      <w:r w:rsidRPr="000D35C9">
        <w:rPr>
          <w:rFonts w:ascii="Times New Roman" w:hAnsi="Times New Roman"/>
          <w:b/>
        </w:rPr>
        <w:t>Proposed Revisions</w:t>
      </w:r>
    </w:p>
    <w:p w:rsidR="00414C5D" w:rsidRPr="000D35C9" w:rsidRDefault="00414C5D" w:rsidP="00414C5D">
      <w:pPr>
        <w:jc w:val="both"/>
        <w:rPr>
          <w:rFonts w:ascii="Times New Roman" w:hAnsi="Times New Roman"/>
          <w:b/>
        </w:rPr>
      </w:pPr>
    </w:p>
    <w:p w:rsidR="00235289" w:rsidRPr="00BC4E3C" w:rsidRDefault="00235289" w:rsidP="0023528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jc w:val="both"/>
        <w:rPr>
          <w:rFonts w:ascii="Times New Roman" w:hAnsi="Times New Roman"/>
          <w:sz w:val="24"/>
          <w:szCs w:val="24"/>
        </w:rPr>
      </w:pPr>
      <w:r>
        <w:rPr>
          <w:rFonts w:ascii="Times New Roman" w:hAnsi="Times New Roman"/>
          <w:sz w:val="24"/>
          <w:szCs w:val="24"/>
        </w:rPr>
        <w:tab/>
      </w:r>
      <w:r w:rsidRPr="00BC4E3C">
        <w:rPr>
          <w:rFonts w:ascii="Times New Roman" w:hAnsi="Times New Roman"/>
          <w:sz w:val="24"/>
          <w:szCs w:val="24"/>
        </w:rPr>
        <w:t>In October 2008, the FDIC Board of Directors adopted the Transaction Account Guarantee (TAG) program as one of two components of a Temporary Liquidity Guarantee Program (TLGP) following a determination of systemic risk by the Secretary of the Treasury (after consultation with the President) that was supported by recommendations from the FDIC and the Board.</w:t>
      </w:r>
      <w:r w:rsidRPr="00BC4E3C">
        <w:rPr>
          <w:rFonts w:ascii="Times New Roman" w:hAnsi="Times New Roman"/>
          <w:sz w:val="24"/>
          <w:szCs w:val="24"/>
          <w:vertAlign w:val="superscript"/>
        </w:rPr>
        <w:footnoteReference w:id="2"/>
      </w:r>
      <w:r w:rsidRPr="00BC4E3C">
        <w:rPr>
          <w:rFonts w:ascii="Times New Roman" w:hAnsi="Times New Roman"/>
          <w:sz w:val="24"/>
          <w:szCs w:val="24"/>
        </w:rPr>
        <w:t xml:space="preserve">  Under the TAG program the FDIC guarantees all funds held at participating insured depository institutions (beyond the maximum deposit insurance limit) in qualifying noninterest-bearing transaction accounts, which include certain interest-bearing NOW accounts.  </w:t>
      </w:r>
    </w:p>
    <w:p w:rsidR="00235289" w:rsidRDefault="00235289" w:rsidP="00235289">
      <w:pPr>
        <w:ind w:firstLine="720"/>
        <w:jc w:val="both"/>
      </w:pPr>
    </w:p>
    <w:p w:rsidR="00235289" w:rsidRPr="00AA566A" w:rsidRDefault="00235289" w:rsidP="00235289">
      <w:pPr>
        <w:ind w:firstLine="720"/>
        <w:jc w:val="both"/>
      </w:pPr>
      <w:r w:rsidRPr="00BC4E3C">
        <w:t>The TAG program originally was set to expire on December 31, 2009, but it was extended through June 30, 2010, with certain modifications to the program, and then extended for another six months through December 31, 2010, with the possibility of an additional 12-month extension, through</w:t>
      </w:r>
      <w:r w:rsidRPr="00AA566A">
        <w:t xml:space="preserve"> December 31, 2011.</w:t>
      </w:r>
      <w:r w:rsidRPr="00235289">
        <w:rPr>
          <w:rStyle w:val="FootnoteReference"/>
          <w:vertAlign w:val="superscript"/>
        </w:rPr>
        <w:footnoteReference w:id="3"/>
      </w:r>
      <w:r w:rsidRPr="00235289">
        <w:rPr>
          <w:vertAlign w:val="superscript"/>
        </w:rPr>
        <w:t xml:space="preserve"> </w:t>
      </w:r>
      <w:r>
        <w:t xml:space="preserve"> </w:t>
      </w:r>
    </w:p>
    <w:p w:rsidR="00235289" w:rsidRDefault="00235289" w:rsidP="00235289">
      <w:pPr>
        <w:jc w:val="both"/>
      </w:pPr>
      <w:r>
        <w:tab/>
      </w:r>
    </w:p>
    <w:p w:rsidR="00235289" w:rsidRDefault="00235289" w:rsidP="00235289">
      <w:pPr>
        <w:ind w:firstLine="720"/>
        <w:jc w:val="both"/>
      </w:pPr>
      <w:r>
        <w:t xml:space="preserve">Section 343 of the Dodd-Frank </w:t>
      </w:r>
      <w:r w:rsidRPr="00B50116">
        <w:t>Act</w:t>
      </w:r>
      <w:r>
        <w:t xml:space="preserve"> amends the FDI Act with respect to the insurance coverage of noninterest-bearing transaction accounts.  These amendments take effect December 31, 2010, and require the FDIC to “</w:t>
      </w:r>
      <w:r w:rsidRPr="00E45B01">
        <w:t>fully insure the net amount that</w:t>
      </w:r>
      <w:r>
        <w:t xml:space="preserve"> </w:t>
      </w:r>
      <w:r w:rsidRPr="00E45B01">
        <w:t>any depositor at an insured depository institution</w:t>
      </w:r>
      <w:r>
        <w:t xml:space="preserve"> </w:t>
      </w:r>
      <w:r w:rsidRPr="00E45B01">
        <w:t>mai</w:t>
      </w:r>
      <w:r>
        <w:t>ntains in a noninterest-bearing t</w:t>
      </w:r>
      <w:r w:rsidRPr="00E45B01">
        <w:t>ransaction</w:t>
      </w:r>
      <w:r>
        <w:t xml:space="preserve"> </w:t>
      </w:r>
      <w:r w:rsidRPr="00E45B01">
        <w:t>account</w:t>
      </w:r>
      <w:r>
        <w:t>,” thereby in effect replacing the FDIC’s TAG program.  Section 343 includes a definition of “noninterest-bearing transaction account” that differs from the definition of this term in the FDIC’s TAG program regulations.</w:t>
      </w:r>
      <w:r w:rsidRPr="00235289">
        <w:rPr>
          <w:rStyle w:val="FootnoteReference"/>
          <w:vertAlign w:val="superscript"/>
        </w:rPr>
        <w:footnoteReference w:id="4"/>
      </w:r>
      <w:r>
        <w:t xml:space="preserve">  In addition, the full insurance coverage of these accounts applies to all insured depository institutions, not just those institutions that elected to obtain insurance coverage for noninterest-bearing transaction accounts through the FDIC’s TAG program.  Under Section 343, the full insurance coverage of noninterest-bearing transaction accounts would be in effect through December 31, 2012.  </w:t>
      </w:r>
    </w:p>
    <w:p w:rsidR="00235289" w:rsidRDefault="00235289" w:rsidP="00235289">
      <w:pPr>
        <w:ind w:firstLine="720"/>
        <w:jc w:val="both"/>
      </w:pPr>
    </w:p>
    <w:p w:rsidR="00235289" w:rsidRDefault="00235289" w:rsidP="00235289">
      <w:pPr>
        <w:jc w:val="both"/>
      </w:pPr>
      <w:r>
        <w:lastRenderedPageBreak/>
        <w:tab/>
        <w:t>As a result of this statutory change in deposit insurance coverage for noninterest-bearing transaction accounts, the agencies are proposing to add two items to the schedules in the Call Report in which data are collected for deposit insurance ass</w:t>
      </w:r>
      <w:r w:rsidR="009D3FDE">
        <w:t>essment purposes (Schedule RC-O</w:t>
      </w:r>
      <w:r>
        <w:t xml:space="preserve">) effective December 31, 2010.  As of that report date, all insured depository institutions, including those institutions that had not elected to participate in the FDIC’s TAG program, would begin to report the quarter-end amount and number of noninterest-bearing transaction accounts (as defined in the Dodd-Frank Act, not as defined in the FDIC’s TAG program regulations) of more than $250,000.  These data are needed in order for the FDIC to estimate the quarter-end amount of </w:t>
      </w:r>
      <w:r w:rsidRPr="00DB53A0">
        <w:t xml:space="preserve">insured deposits </w:t>
      </w:r>
      <w:r>
        <w:t>for r</w:t>
      </w:r>
      <w:r w:rsidRPr="00DB53A0">
        <w:t xml:space="preserve">eserve ratio </w:t>
      </w:r>
      <w:r>
        <w:t>calculation purposes</w:t>
      </w:r>
      <w:r w:rsidRPr="00A737A2">
        <w:rPr>
          <w:rStyle w:val="FootnoteReference"/>
          <w:vertAlign w:val="superscript"/>
        </w:rPr>
        <w:footnoteReference w:id="5"/>
      </w:r>
      <w:r w:rsidRPr="00A737A2">
        <w:rPr>
          <w:vertAlign w:val="superscript"/>
        </w:rPr>
        <w:t xml:space="preserve"> </w:t>
      </w:r>
      <w:r>
        <w:t xml:space="preserve">and to determine the appropriate level of the Deposit Insurance Fund’s contingent loss reserve for anticipated failures of insured depository institutions.  Unless the full insurance coverage of noninterest-bearing transaction accounts under Section 343 of the Dodd-Frank Act is extended, the two proposed new items would be collected only through the December 31, 2012, report date. </w:t>
      </w:r>
    </w:p>
    <w:p w:rsidR="00235289" w:rsidRDefault="00235289" w:rsidP="00235289">
      <w:pPr>
        <w:jc w:val="both"/>
      </w:pPr>
    </w:p>
    <w:p w:rsidR="00235289" w:rsidRDefault="00235289" w:rsidP="00235289">
      <w:pPr>
        <w:jc w:val="both"/>
      </w:pPr>
      <w:r>
        <w:tab/>
        <w:t>Institutions participating in the FDIC’s TAG program should note that, for purposes of determining their TAG program assessments for the fourth calendar quarter of 2010 (which will be payable on March 30, 2011), they must complete the existing TAG program data items</w:t>
      </w:r>
      <w:r w:rsidR="009D3FDE">
        <w:t>,</w:t>
      </w:r>
      <w:r w:rsidR="00EC19D3">
        <w:t xml:space="preserve"> </w:t>
      </w:r>
      <w:r>
        <w:t xml:space="preserve">Schedule RC-O, </w:t>
      </w:r>
      <w:r w:rsidRPr="004A7C16">
        <w:t>Memorandum items 4.a and 4.b</w:t>
      </w:r>
      <w:r w:rsidR="009D3FDE">
        <w:t xml:space="preserve">, </w:t>
      </w:r>
      <w:r>
        <w:t>for the final time in their reports for December 31, 2010</w:t>
      </w:r>
      <w:r w:rsidRPr="004A7C16">
        <w:t>.</w:t>
      </w:r>
      <w:r>
        <w:t xml:space="preserve">  These items capture the average daily amount and average daily number for the quarter </w:t>
      </w:r>
      <w:r w:rsidRPr="006C6E23">
        <w:t xml:space="preserve">of </w:t>
      </w:r>
      <w:r>
        <w:t xml:space="preserve">qualifying </w:t>
      </w:r>
      <w:r w:rsidRPr="006C6E23">
        <w:t>noninterest-bearing transaction accounts of more than $250,000</w:t>
      </w:r>
      <w:r>
        <w:t xml:space="preserve"> as defined in the FDIC’s TAG program regulations.</w:t>
      </w:r>
    </w:p>
    <w:p w:rsidR="00235289" w:rsidRDefault="00235289" w:rsidP="00235289">
      <w:pPr>
        <w:jc w:val="both"/>
      </w:pPr>
    </w:p>
    <w:p w:rsidR="00235289" w:rsidRDefault="00235289" w:rsidP="00235289">
      <w:pPr>
        <w:ind w:firstLine="720"/>
        <w:jc w:val="both"/>
      </w:pPr>
      <w:r>
        <w:rPr>
          <w:rFonts w:ascii="TimesNewRomanPSMT" w:hAnsi="TimesNewRomanPSMT" w:cs="TimesNewRomanPSMT"/>
        </w:rPr>
        <w:t xml:space="preserve">As a result of the full insurance coverage for noninterest-bearing transaction accounts as defined in the Dodd-Frank Act effective December 31, 2010, the agencies are also proposing to revise the instructions for reporting estimated uninsured deposits in Schedule RC-O, Memorandum item 2.  These items are required to be completed by institutions with $1 billion or more in total assets.  At present, balances in TAG program qualifying noninterest-bearing transaction accounts of more than $250,000 are treated as uninsured deposits for purposes of reporting estimated uninsured deposits because the TAG program was instituted as a component of the TLGP, which resulted from a systemic risk determination.  Thus, TAG program insurance coverage and assessments are separate from the regular deposit insurance program administered by the FDIC.  Under the Dodd-Frank Act, the extension of full insurance coverage to noninterest-bearing transaction accounts at all insured depository institutions falls within the FDIC’s regular deposit insurance program.  Therefore, in response to this statutory change in insurance coverage, the instructions for reporting estimated uninsured deposits in Call Report Schedule RC-O, Memorandum item 2, would be revised to indicate that balances of more than $250,000 in noninterest-bearing transaction accounts (as defined in the Dodd-Frank Act) should be treated as insured, rather than uninsured, deposits.  </w:t>
      </w:r>
      <w:r>
        <w:t xml:space="preserve">Unless the full insurance coverage of noninterest-bearing transaction accounts under Section 343 of the Dodd-Frank Act is extended, this instructional revision would be in effect only through the December 31, 2012, report date. </w:t>
      </w:r>
    </w:p>
    <w:p w:rsidR="00FB0DA8" w:rsidRPr="000D35C9" w:rsidRDefault="00FB0DA8" w:rsidP="00FB0DA8">
      <w:pPr>
        <w:pStyle w:val="BodyText"/>
        <w:widowControl/>
        <w:spacing w:line="240" w:lineRule="auto"/>
        <w:rPr>
          <w:rFonts w:ascii="Times New Roman" w:hAnsi="Times New Roman"/>
          <w:szCs w:val="24"/>
        </w:rPr>
      </w:pPr>
    </w:p>
    <w:p w:rsidR="000E7D57" w:rsidRPr="000D35C9" w:rsidRDefault="000E7D57" w:rsidP="00EC19D3">
      <w:pPr>
        <w:widowControl/>
        <w:autoSpaceDE/>
        <w:autoSpaceDN/>
        <w:adjustRightInd/>
        <w:rPr>
          <w:rFonts w:ascii="Times New Roman" w:hAnsi="Times New Roman"/>
        </w:rPr>
      </w:pPr>
      <w:r w:rsidRPr="000D35C9">
        <w:rPr>
          <w:rFonts w:ascii="Times New Roman" w:hAnsi="Times New Roman"/>
          <w:b/>
          <w:bCs/>
        </w:rPr>
        <w:t>Time Schedule for Information Collection</w:t>
      </w:r>
    </w:p>
    <w:p w:rsidR="000E7D57" w:rsidRPr="000D35C9" w:rsidRDefault="000E7D57">
      <w:pPr>
        <w:widowControl/>
        <w:tabs>
          <w:tab w:val="left" w:pos="360"/>
        </w:tabs>
        <w:rPr>
          <w:rFonts w:ascii="Times New Roman" w:hAnsi="Times New Roman"/>
        </w:rPr>
      </w:pPr>
    </w:p>
    <w:p w:rsidR="000E7D57" w:rsidRPr="000D35C9" w:rsidRDefault="000E7D57" w:rsidP="00804EB1">
      <w:pPr>
        <w:pStyle w:val="BodyTextIndent3"/>
        <w:widowControl/>
        <w:jc w:val="both"/>
        <w:rPr>
          <w:rFonts w:ascii="Times New Roman" w:hAnsi="Times New Roman"/>
        </w:rPr>
      </w:pPr>
      <w:r w:rsidRPr="000D35C9">
        <w:rPr>
          <w:rFonts w:ascii="Times New Roman" w:hAnsi="Times New Roman"/>
        </w:rPr>
        <w:t xml:space="preserve">The Call Reports are collected quarterly as of the end of the last calendar day of March, June, September, and December.  Less frequent collection of Call Reports would reduce the </w:t>
      </w:r>
      <w:r w:rsidRPr="000D35C9">
        <w:rPr>
          <w:rFonts w:ascii="Times New Roman" w:hAnsi="Times New Roman"/>
        </w:rPr>
        <w:lastRenderedPageBreak/>
        <w:t>Federal Reserve</w:t>
      </w:r>
      <w:r w:rsidR="00E30374" w:rsidRPr="000D35C9">
        <w:rPr>
          <w:rFonts w:ascii="Times New Roman" w:hAnsi="Times New Roman"/>
        </w:rPr>
        <w:t>’</w:t>
      </w:r>
      <w:r w:rsidRPr="000D35C9">
        <w:rPr>
          <w:rFonts w:ascii="Times New Roman" w:hAnsi="Times New Roman"/>
        </w:rPr>
        <w:t xml:space="preserve">s ability to identify on a timely basis those banks that are experiencing adverse changes in their condition so that appropriate corrective measures can be implemented to restore their safety and soundness.  State member banks must submit the Call Reports to the appropriate Federal Reserve Bank within </w:t>
      </w:r>
      <w:r w:rsidR="00985E34">
        <w:rPr>
          <w:rFonts w:ascii="Times New Roman" w:hAnsi="Times New Roman"/>
        </w:rPr>
        <w:t>30</w:t>
      </w:r>
      <w:r w:rsidRPr="000D35C9">
        <w:rPr>
          <w:rFonts w:ascii="Times New Roman" w:hAnsi="Times New Roman"/>
        </w:rPr>
        <w:t xml:space="preserve"> calendar days following the as-of date; a </w:t>
      </w:r>
      <w:r w:rsidR="004C6593" w:rsidRPr="000D35C9">
        <w:rPr>
          <w:rFonts w:ascii="Times New Roman" w:hAnsi="Times New Roman"/>
        </w:rPr>
        <w:t>five</w:t>
      </w:r>
      <w:r w:rsidRPr="000D35C9">
        <w:rPr>
          <w:rFonts w:ascii="Times New Roman" w:hAnsi="Times New Roman"/>
        </w:rPr>
        <w:t xml:space="preserve">-day extension </w:t>
      </w:r>
      <w:r w:rsidR="00607487" w:rsidRPr="000D35C9">
        <w:rPr>
          <w:rFonts w:ascii="Times New Roman" w:hAnsi="Times New Roman"/>
        </w:rPr>
        <w:t>is</w:t>
      </w:r>
      <w:r w:rsidRPr="000D35C9">
        <w:rPr>
          <w:rFonts w:ascii="Times New Roman" w:hAnsi="Times New Roman"/>
        </w:rPr>
        <w:t xml:space="preserve"> given to banks with</w:t>
      </w:r>
      <w:r w:rsidR="00804EB1" w:rsidRPr="000D35C9">
        <w:rPr>
          <w:rFonts w:ascii="Times New Roman" w:hAnsi="Times New Roman"/>
        </w:rPr>
        <w:t xml:space="preserve"> more than one foreign office.</w:t>
      </w:r>
    </w:p>
    <w:p w:rsidR="000E7D57" w:rsidRPr="000D35C9" w:rsidRDefault="000E7D57">
      <w:pPr>
        <w:widowControl/>
        <w:tabs>
          <w:tab w:val="left" w:pos="360"/>
        </w:tabs>
        <w:rPr>
          <w:rFonts w:ascii="Times New Roman" w:hAnsi="Times New Roman"/>
        </w:rPr>
      </w:pPr>
    </w:p>
    <w:p w:rsidR="00591647" w:rsidRPr="000D35C9" w:rsidRDefault="00D04052" w:rsidP="00591647">
      <w:pPr>
        <w:widowControl/>
        <w:tabs>
          <w:tab w:val="left" w:pos="360"/>
        </w:tabs>
        <w:rPr>
          <w:rFonts w:ascii="Times New Roman" w:hAnsi="Times New Roman"/>
          <w:color w:val="000000"/>
        </w:rPr>
      </w:pPr>
      <w:r w:rsidRPr="000D35C9">
        <w:rPr>
          <w:rFonts w:ascii="Times New Roman" w:hAnsi="Times New Roman"/>
        </w:rPr>
        <w:tab/>
      </w:r>
      <w:r w:rsidRPr="000D35C9">
        <w:rPr>
          <w:rFonts w:ascii="Times New Roman" w:hAnsi="Times New Roman"/>
        </w:rPr>
        <w:tab/>
      </w:r>
      <w:r w:rsidR="000E7D57" w:rsidRPr="000D35C9">
        <w:rPr>
          <w:rFonts w:ascii="Times New Roman" w:hAnsi="Times New Roman"/>
        </w:rPr>
        <w:t xml:space="preserve">Aggregate data are published in the </w:t>
      </w:r>
      <w:r w:rsidR="000E7D57" w:rsidRPr="000D35C9">
        <w:rPr>
          <w:rFonts w:ascii="Times New Roman" w:hAnsi="Times New Roman"/>
          <w:i/>
          <w:iCs/>
        </w:rPr>
        <w:t>Federal Reserve Bulletin</w:t>
      </w:r>
      <w:r w:rsidR="000E7D57" w:rsidRPr="000D35C9">
        <w:rPr>
          <w:rFonts w:ascii="Times New Roman" w:hAnsi="Times New Roman"/>
        </w:rPr>
        <w:t xml:space="preserve"> and the </w:t>
      </w:r>
      <w:r w:rsidR="000E7D57" w:rsidRPr="000D35C9">
        <w:rPr>
          <w:rFonts w:ascii="Times New Roman" w:hAnsi="Times New Roman"/>
          <w:i/>
          <w:iCs/>
        </w:rPr>
        <w:t>Annual Statistical Digest</w:t>
      </w:r>
      <w:r w:rsidR="000E7D57" w:rsidRPr="000D35C9">
        <w:rPr>
          <w:rFonts w:ascii="Times New Roman" w:hAnsi="Times New Roman"/>
        </w:rPr>
        <w:t xml:space="preserve">.  Additionally, data are used in the </w:t>
      </w:r>
      <w:r w:rsidR="000E7D57" w:rsidRPr="000D35C9">
        <w:rPr>
          <w:rFonts w:ascii="Times New Roman" w:hAnsi="Times New Roman"/>
          <w:i/>
          <w:iCs/>
        </w:rPr>
        <w:t>Uniform Bank Performance Report (UBPR)</w:t>
      </w:r>
      <w:r w:rsidR="000E7D57" w:rsidRPr="000D35C9">
        <w:rPr>
          <w:rFonts w:ascii="Times New Roman" w:hAnsi="Times New Roman"/>
        </w:rPr>
        <w:t xml:space="preserve"> and the </w:t>
      </w:r>
      <w:r w:rsidR="000E7D57" w:rsidRPr="000D35C9">
        <w:rPr>
          <w:rFonts w:ascii="Times New Roman" w:hAnsi="Times New Roman"/>
          <w:i/>
          <w:iCs/>
        </w:rPr>
        <w:t>Annual Report of the FFIEC</w:t>
      </w:r>
      <w:r w:rsidR="000E7D57" w:rsidRPr="000D35C9">
        <w:rPr>
          <w:rFonts w:ascii="Times New Roman" w:hAnsi="Times New Roman"/>
        </w:rPr>
        <w:t xml:space="preserve">.  Individual respondent data, excluding confidential information, are available to the public from the National Technical Information Service in Springfield, Virginia, upon request approximately twelve weeks after the report date.  </w:t>
      </w:r>
      <w:r w:rsidR="00591647" w:rsidRPr="000D35C9">
        <w:rPr>
          <w:rFonts w:ascii="Times New Roman" w:hAnsi="Times New Roman"/>
          <w:color w:val="000000"/>
        </w:rPr>
        <w:t xml:space="preserve">Data are also available from the FFIEC Central Data Repository Public Data Distribution (CDR PDD) web site (https://cdr.ffiec.gov/public/). Data for the current quarter are made available, </w:t>
      </w:r>
      <w:r w:rsidR="0052281E" w:rsidRPr="000D35C9">
        <w:rPr>
          <w:rFonts w:ascii="Times New Roman" w:hAnsi="Times New Roman"/>
          <w:color w:val="000000"/>
        </w:rPr>
        <w:t>shortly after</w:t>
      </w:r>
      <w:r w:rsidR="00591647" w:rsidRPr="000D35C9">
        <w:rPr>
          <w:rFonts w:ascii="Times New Roman" w:hAnsi="Times New Roman"/>
          <w:color w:val="000000"/>
        </w:rPr>
        <w:t xml:space="preserve"> </w:t>
      </w:r>
      <w:r w:rsidR="0052281E" w:rsidRPr="000D35C9">
        <w:rPr>
          <w:rFonts w:ascii="Times New Roman" w:hAnsi="Times New Roman"/>
          <w:color w:val="000000"/>
        </w:rPr>
        <w:t xml:space="preserve">a bank’s </w:t>
      </w:r>
      <w:r w:rsidR="00591647" w:rsidRPr="000D35C9">
        <w:rPr>
          <w:rFonts w:ascii="Times New Roman" w:hAnsi="Times New Roman"/>
          <w:color w:val="000000"/>
        </w:rPr>
        <w:t>submi</w:t>
      </w:r>
      <w:r w:rsidR="0052281E" w:rsidRPr="000D35C9">
        <w:rPr>
          <w:rFonts w:ascii="Times New Roman" w:hAnsi="Times New Roman"/>
          <w:color w:val="000000"/>
        </w:rPr>
        <w:t xml:space="preserve">ssion, beginning </w:t>
      </w:r>
      <w:r w:rsidR="00837DF3" w:rsidRPr="000D35C9">
        <w:rPr>
          <w:rFonts w:ascii="Times New Roman" w:hAnsi="Times New Roman"/>
          <w:color w:val="000000"/>
        </w:rPr>
        <w:t>the first</w:t>
      </w:r>
      <w:r w:rsidR="00591647" w:rsidRPr="000D35C9">
        <w:rPr>
          <w:rFonts w:ascii="Times New Roman" w:hAnsi="Times New Roman"/>
          <w:color w:val="000000"/>
        </w:rPr>
        <w:t xml:space="preserve"> calendar day after the report date. Updated or revised data may replace data already posted at any time thereafter.</w:t>
      </w:r>
    </w:p>
    <w:p w:rsidR="005E3887" w:rsidRPr="000D35C9" w:rsidRDefault="005E3887">
      <w:pPr>
        <w:widowControl/>
        <w:tabs>
          <w:tab w:val="left" w:pos="360"/>
        </w:tabs>
        <w:rPr>
          <w:rFonts w:ascii="Times New Roman" w:hAnsi="Times New Roman"/>
          <w:b/>
          <w:bCs/>
        </w:rPr>
      </w:pPr>
    </w:p>
    <w:p w:rsidR="000E7D57" w:rsidRPr="000D35C9" w:rsidRDefault="000E7D57">
      <w:pPr>
        <w:widowControl/>
        <w:tabs>
          <w:tab w:val="left" w:pos="360"/>
        </w:tabs>
        <w:rPr>
          <w:rFonts w:ascii="Times New Roman" w:hAnsi="Times New Roman"/>
        </w:rPr>
      </w:pPr>
      <w:r w:rsidRPr="000D35C9">
        <w:rPr>
          <w:rFonts w:ascii="Times New Roman" w:hAnsi="Times New Roman"/>
          <w:b/>
          <w:bCs/>
        </w:rPr>
        <w:t>Legal Status</w:t>
      </w:r>
    </w:p>
    <w:p w:rsidR="000E7D57" w:rsidRPr="000D35C9" w:rsidRDefault="000E7D57">
      <w:pPr>
        <w:widowControl/>
        <w:tabs>
          <w:tab w:val="left" w:pos="360"/>
        </w:tabs>
        <w:rPr>
          <w:rFonts w:ascii="Times New Roman" w:hAnsi="Times New Roman"/>
        </w:rPr>
      </w:pPr>
    </w:p>
    <w:p w:rsidR="000E7D57" w:rsidRPr="000D35C9" w:rsidRDefault="000E7D57" w:rsidP="00804EB1">
      <w:pPr>
        <w:pStyle w:val="BodyTextIndent3"/>
        <w:widowControl/>
        <w:jc w:val="both"/>
        <w:rPr>
          <w:rFonts w:ascii="Times New Roman" w:hAnsi="Times New Roman"/>
        </w:rPr>
      </w:pPr>
      <w:r w:rsidRPr="000D35C9">
        <w:rPr>
          <w:rFonts w:ascii="Times New Roman" w:hAnsi="Times New Roman"/>
        </w:rPr>
        <w:t xml:space="preserve">The </w:t>
      </w:r>
      <w:r w:rsidR="00F54ECB" w:rsidRPr="000D35C9">
        <w:rPr>
          <w:rFonts w:ascii="Times New Roman" w:hAnsi="Times New Roman"/>
        </w:rPr>
        <w:t xml:space="preserve">Board’s </w:t>
      </w:r>
      <w:r w:rsidRPr="000D35C9">
        <w:rPr>
          <w:rFonts w:ascii="Times New Roman" w:hAnsi="Times New Roman"/>
        </w:rPr>
        <w:t xml:space="preserve">Legal Division has determined that Section 9 of the Federal Reserve Act [12 U.S.C. 324] authorizes the </w:t>
      </w:r>
      <w:r w:rsidR="00F54ECB" w:rsidRPr="000D35C9">
        <w:rPr>
          <w:rFonts w:ascii="Times New Roman" w:hAnsi="Times New Roman"/>
        </w:rPr>
        <w:t>Board</w:t>
      </w:r>
      <w:r w:rsidRPr="000D35C9">
        <w:rPr>
          <w:rFonts w:ascii="Times New Roman" w:hAnsi="Times New Roman"/>
        </w:rPr>
        <w:t xml:space="preserve"> to require these reports from all banks admitted to membership in the Federal Reserve System.  The Board</w:t>
      </w:r>
      <w:r w:rsidR="00E30374" w:rsidRPr="000D35C9">
        <w:rPr>
          <w:rFonts w:ascii="Times New Roman" w:hAnsi="Times New Roman"/>
        </w:rPr>
        <w:t>’</w:t>
      </w:r>
      <w:r w:rsidRPr="000D35C9">
        <w:rPr>
          <w:rFonts w:ascii="Times New Roman" w:hAnsi="Times New Roman"/>
        </w:rPr>
        <w:t xml:space="preserve">s Legal Division has </w:t>
      </w:r>
      <w:r w:rsidR="00837DF3" w:rsidRPr="000D35C9">
        <w:rPr>
          <w:rFonts w:ascii="Times New Roman" w:hAnsi="Times New Roman"/>
        </w:rPr>
        <w:t xml:space="preserve">determined that the individual respondent information contained in </w:t>
      </w:r>
      <w:r w:rsidR="0052281E" w:rsidRPr="000D35C9">
        <w:rPr>
          <w:rFonts w:ascii="Times New Roman" w:hAnsi="Times New Roman"/>
        </w:rPr>
        <w:t xml:space="preserve">Schedule RI-E, item 2.g, “FDIC deposit insurance assessments” are exempt from disclosure pursuant to the Freedom of Information Act [5 U.S.C. 552 (b)(4) and (8)] for periods beginning June 30, 2009.  The Board’s Legal Division </w:t>
      </w:r>
      <w:r w:rsidRPr="000D35C9">
        <w:rPr>
          <w:rFonts w:ascii="Times New Roman" w:hAnsi="Times New Roman"/>
        </w:rPr>
        <w:t>also determined that the individual respondent information contained in the trust schedule, RC-T are exempt from disclosure pursuant to the Freedom of Information Act [5 U.S.C. 552(b)(4) and (8)]</w:t>
      </w:r>
      <w:r w:rsidR="004208AA" w:rsidRPr="000D35C9">
        <w:rPr>
          <w:rFonts w:ascii="Times New Roman" w:hAnsi="Times New Roman"/>
        </w:rPr>
        <w:t xml:space="preserve"> for periods prior to March 31, 2009</w:t>
      </w:r>
      <w:r w:rsidRPr="000D35C9">
        <w:rPr>
          <w:rFonts w:ascii="Times New Roman" w:hAnsi="Times New Roman"/>
        </w:rPr>
        <w:t xml:space="preserve">.  Finally, Column A and Memorandum </w:t>
      </w:r>
      <w:r w:rsidR="0080082A" w:rsidRPr="000D35C9">
        <w:rPr>
          <w:rFonts w:ascii="Times New Roman" w:hAnsi="Times New Roman"/>
        </w:rPr>
        <w:t>item</w:t>
      </w:r>
      <w:r w:rsidRPr="000D35C9">
        <w:rPr>
          <w:rFonts w:ascii="Times New Roman" w:hAnsi="Times New Roman"/>
        </w:rPr>
        <w:t xml:space="preserve"> 1 to Schedule RC-N, </w:t>
      </w:r>
      <w:r w:rsidR="00E30374" w:rsidRPr="000D35C9">
        <w:rPr>
          <w:rFonts w:ascii="Times New Roman" w:hAnsi="Times New Roman"/>
        </w:rPr>
        <w:t>“</w:t>
      </w:r>
      <w:r w:rsidRPr="000D35C9">
        <w:rPr>
          <w:rFonts w:ascii="Times New Roman" w:hAnsi="Times New Roman"/>
        </w:rPr>
        <w:t>Past Due and Nonaccrual Loans, Leases, and Other Assets,</w:t>
      </w:r>
      <w:r w:rsidR="00E30374" w:rsidRPr="000D35C9">
        <w:rPr>
          <w:rFonts w:ascii="Times New Roman" w:hAnsi="Times New Roman"/>
        </w:rPr>
        <w:t>”</w:t>
      </w:r>
      <w:r w:rsidRPr="000D35C9">
        <w:rPr>
          <w:rFonts w:ascii="Times New Roman" w:hAnsi="Times New Roman"/>
        </w:rPr>
        <w:t xml:space="preserve"> are exempt from disclosure pursuant to the Freedom of Information Act [5 U.S.C. 552(b)(4) and (8)] for periods prior to March 31, 2001.</w:t>
      </w:r>
    </w:p>
    <w:p w:rsidR="00D43CA3" w:rsidRPr="000D35C9" w:rsidRDefault="00D43CA3">
      <w:pPr>
        <w:widowControl/>
        <w:tabs>
          <w:tab w:val="left" w:pos="360"/>
        </w:tabs>
        <w:rPr>
          <w:rFonts w:ascii="Times New Roman" w:hAnsi="Times New Roman"/>
          <w:b/>
          <w:bCs/>
        </w:rPr>
      </w:pPr>
    </w:p>
    <w:p w:rsidR="000E7D57" w:rsidRPr="000D35C9" w:rsidRDefault="000E7D57">
      <w:pPr>
        <w:widowControl/>
        <w:tabs>
          <w:tab w:val="left" w:pos="360"/>
        </w:tabs>
        <w:rPr>
          <w:rFonts w:ascii="Times New Roman" w:hAnsi="Times New Roman"/>
        </w:rPr>
      </w:pPr>
      <w:r w:rsidRPr="000D35C9">
        <w:rPr>
          <w:rFonts w:ascii="Times New Roman" w:hAnsi="Times New Roman"/>
          <w:b/>
          <w:bCs/>
        </w:rPr>
        <w:t>Consultation Outside the Agency</w:t>
      </w:r>
      <w:r w:rsidR="00B2384E" w:rsidRPr="000D35C9">
        <w:rPr>
          <w:rFonts w:ascii="Times New Roman" w:hAnsi="Times New Roman"/>
          <w:b/>
          <w:bCs/>
        </w:rPr>
        <w:t xml:space="preserve"> and Discussion of Public Comments</w:t>
      </w:r>
    </w:p>
    <w:p w:rsidR="000E7D57" w:rsidRPr="000D35C9" w:rsidRDefault="000E7D57">
      <w:pPr>
        <w:widowControl/>
        <w:tabs>
          <w:tab w:val="left" w:pos="360"/>
        </w:tabs>
        <w:rPr>
          <w:rFonts w:ascii="Times New Roman" w:hAnsi="Times New Roman"/>
        </w:rPr>
      </w:pPr>
    </w:p>
    <w:p w:rsidR="00564C5A" w:rsidRDefault="00BE060A" w:rsidP="00564C5A">
      <w:pPr>
        <w:ind w:firstLine="720"/>
        <w:jc w:val="both"/>
      </w:pPr>
      <w:r w:rsidRPr="000D35C9">
        <w:rPr>
          <w:rFonts w:ascii="Times New Roman" w:hAnsi="Times New Roman"/>
        </w:rPr>
        <w:t xml:space="preserve">On </w:t>
      </w:r>
      <w:r w:rsidR="00591815">
        <w:rPr>
          <w:rFonts w:ascii="Times New Roman" w:hAnsi="Times New Roman"/>
        </w:rPr>
        <w:t>September 3</w:t>
      </w:r>
      <w:r w:rsidRPr="000D35C9">
        <w:rPr>
          <w:rFonts w:ascii="Times New Roman" w:hAnsi="Times New Roman"/>
        </w:rPr>
        <w:t xml:space="preserve">, 2010, the agencies published a notice in the </w:t>
      </w:r>
      <w:r w:rsidRPr="000D35C9">
        <w:rPr>
          <w:rFonts w:ascii="Times New Roman" w:hAnsi="Times New Roman"/>
          <w:i/>
        </w:rPr>
        <w:t>Federal Register</w:t>
      </w:r>
      <w:r w:rsidRPr="000D35C9">
        <w:rPr>
          <w:rFonts w:ascii="Times New Roman" w:hAnsi="Times New Roman"/>
        </w:rPr>
        <w:t xml:space="preserve"> (75 FR </w:t>
      </w:r>
      <w:r w:rsidR="00591815">
        <w:rPr>
          <w:rFonts w:ascii="Times New Roman" w:hAnsi="Times New Roman"/>
        </w:rPr>
        <w:t>5422</w:t>
      </w:r>
      <w:r w:rsidR="00A737A2">
        <w:rPr>
          <w:rFonts w:ascii="Times New Roman" w:hAnsi="Times New Roman"/>
        </w:rPr>
        <w:t>7</w:t>
      </w:r>
      <w:r w:rsidRPr="000D35C9">
        <w:rPr>
          <w:rFonts w:ascii="Times New Roman" w:hAnsi="Times New Roman"/>
        </w:rPr>
        <w:t xml:space="preserve">) requesting public comment for 60 days on the extension for three years, with revision, of the Call Reports.  The comment period for this notice </w:t>
      </w:r>
      <w:r w:rsidR="00922B6C" w:rsidRPr="000D35C9">
        <w:rPr>
          <w:rFonts w:ascii="Times New Roman" w:hAnsi="Times New Roman"/>
        </w:rPr>
        <w:t>expire</w:t>
      </w:r>
      <w:r w:rsidR="00591815">
        <w:rPr>
          <w:rFonts w:ascii="Times New Roman" w:hAnsi="Times New Roman"/>
        </w:rPr>
        <w:t>d</w:t>
      </w:r>
      <w:r w:rsidR="00922B6C" w:rsidRPr="000D35C9">
        <w:rPr>
          <w:rFonts w:ascii="Times New Roman" w:hAnsi="Times New Roman"/>
        </w:rPr>
        <w:t xml:space="preserve"> </w:t>
      </w:r>
      <w:r w:rsidRPr="000D35C9">
        <w:rPr>
          <w:rFonts w:ascii="Times New Roman" w:hAnsi="Times New Roman"/>
        </w:rPr>
        <w:t xml:space="preserve">on </w:t>
      </w:r>
      <w:r w:rsidR="00591815">
        <w:rPr>
          <w:rFonts w:ascii="Times New Roman" w:hAnsi="Times New Roman"/>
        </w:rPr>
        <w:t>November</w:t>
      </w:r>
      <w:r w:rsidR="00591815" w:rsidRPr="000D35C9">
        <w:rPr>
          <w:rFonts w:ascii="Times New Roman" w:hAnsi="Times New Roman"/>
        </w:rPr>
        <w:t xml:space="preserve"> </w:t>
      </w:r>
      <w:r w:rsidR="00591815">
        <w:rPr>
          <w:rFonts w:ascii="Times New Roman" w:hAnsi="Times New Roman"/>
        </w:rPr>
        <w:t>2</w:t>
      </w:r>
      <w:r w:rsidRPr="000D35C9">
        <w:rPr>
          <w:rFonts w:ascii="Times New Roman" w:hAnsi="Times New Roman"/>
        </w:rPr>
        <w:t xml:space="preserve">, 2010.  </w:t>
      </w:r>
      <w:r w:rsidR="00564C5A">
        <w:rPr>
          <w:rFonts w:ascii="Times New Roman" w:hAnsi="Times New Roman"/>
        </w:rPr>
        <w:t xml:space="preserve">The agencies </w:t>
      </w:r>
      <w:r w:rsidR="00564C5A" w:rsidRPr="00A61C73">
        <w:rPr>
          <w:rFonts w:ascii="Times New Roman" w:hAnsi="Times New Roman"/>
        </w:rPr>
        <w:t xml:space="preserve">did not receive any comments.  </w:t>
      </w:r>
      <w:r w:rsidR="00564C5A" w:rsidRPr="002016E1">
        <w:t xml:space="preserve">On </w:t>
      </w:r>
      <w:r w:rsidR="00564C5A">
        <w:t xml:space="preserve">November </w:t>
      </w:r>
      <w:r w:rsidR="00875D74">
        <w:t>9</w:t>
      </w:r>
      <w:r w:rsidR="00564C5A">
        <w:t>, 2010</w:t>
      </w:r>
      <w:r w:rsidR="00564C5A" w:rsidRPr="002016E1">
        <w:t xml:space="preserve">, the </w:t>
      </w:r>
      <w:r w:rsidR="00564C5A">
        <w:t>agencies</w:t>
      </w:r>
      <w:r w:rsidR="00564C5A" w:rsidRPr="002016E1">
        <w:t xml:space="preserve"> published a final notice in the </w:t>
      </w:r>
      <w:r w:rsidR="00564C5A" w:rsidRPr="002016E1">
        <w:rPr>
          <w:i/>
        </w:rPr>
        <w:t>Federal Register</w:t>
      </w:r>
      <w:r w:rsidR="00564C5A" w:rsidRPr="002016E1">
        <w:t xml:space="preserve"> (7</w:t>
      </w:r>
      <w:r w:rsidR="00564C5A">
        <w:t>5</w:t>
      </w:r>
      <w:r w:rsidR="00564C5A" w:rsidRPr="002016E1">
        <w:t> FR </w:t>
      </w:r>
      <w:r w:rsidR="00875D74">
        <w:t>68856</w:t>
      </w:r>
      <w:r w:rsidR="00564C5A" w:rsidRPr="002016E1">
        <w:t>)</w:t>
      </w:r>
      <w:r w:rsidR="00564C5A">
        <w:t>, implementing the changes as proposed</w:t>
      </w:r>
      <w:r w:rsidR="00564C5A" w:rsidRPr="002016E1">
        <w:t>.</w:t>
      </w:r>
      <w:r w:rsidR="00564C5A">
        <w:t xml:space="preserve">   </w:t>
      </w:r>
    </w:p>
    <w:p w:rsidR="00BA5648" w:rsidRPr="000D35C9" w:rsidRDefault="00BA5648" w:rsidP="00536C01">
      <w:pPr>
        <w:ind w:firstLine="720"/>
        <w:jc w:val="both"/>
        <w:rPr>
          <w:rFonts w:ascii="Times New Roman" w:hAnsi="Times New Roman"/>
          <w:i/>
        </w:rPr>
      </w:pPr>
      <w:r w:rsidRPr="000D35C9">
        <w:rPr>
          <w:rFonts w:ascii="Times New Roman" w:hAnsi="Times New Roman"/>
        </w:rPr>
        <w:tab/>
      </w:r>
    </w:p>
    <w:p w:rsidR="000E7D57" w:rsidRPr="000D35C9" w:rsidRDefault="000E7D57" w:rsidP="00BA5648">
      <w:pPr>
        <w:pStyle w:val="BodyText2"/>
        <w:tabs>
          <w:tab w:val="left" w:pos="720"/>
          <w:tab w:val="left" w:pos="810"/>
        </w:tabs>
        <w:spacing w:line="240" w:lineRule="auto"/>
        <w:rPr>
          <w:i w:val="0"/>
          <w:szCs w:val="24"/>
        </w:rPr>
      </w:pPr>
      <w:r w:rsidRPr="000D35C9">
        <w:rPr>
          <w:i w:val="0"/>
          <w:szCs w:val="24"/>
        </w:rPr>
        <w:t>Estimate of Respondent Burden</w:t>
      </w:r>
    </w:p>
    <w:p w:rsidR="00BA5648" w:rsidRPr="000D35C9" w:rsidRDefault="00BA5648" w:rsidP="003E1198">
      <w:pPr>
        <w:pStyle w:val="BodyTextIndent3"/>
        <w:widowControl/>
        <w:jc w:val="both"/>
        <w:rPr>
          <w:rFonts w:ascii="Times New Roman" w:hAnsi="Times New Roman"/>
        </w:rPr>
      </w:pPr>
    </w:p>
    <w:p w:rsidR="00810E73" w:rsidRPr="000D35C9" w:rsidRDefault="000E7D57" w:rsidP="003E1198">
      <w:pPr>
        <w:pStyle w:val="BodyTextIndent3"/>
        <w:widowControl/>
        <w:jc w:val="both"/>
        <w:rPr>
          <w:rFonts w:ascii="Times New Roman" w:hAnsi="Times New Roman"/>
        </w:rPr>
      </w:pPr>
      <w:r w:rsidRPr="000D35C9">
        <w:rPr>
          <w:rFonts w:ascii="Times New Roman" w:hAnsi="Times New Roman"/>
        </w:rPr>
        <w:t xml:space="preserve">The Federal Reserve estimates that the proposed revisions would </w:t>
      </w:r>
      <w:r w:rsidR="001B77FC" w:rsidRPr="000D35C9">
        <w:rPr>
          <w:rFonts w:ascii="Times New Roman" w:hAnsi="Times New Roman"/>
        </w:rPr>
        <w:t>in</w:t>
      </w:r>
      <w:r w:rsidRPr="000D35C9">
        <w:rPr>
          <w:rFonts w:ascii="Times New Roman" w:hAnsi="Times New Roman"/>
        </w:rPr>
        <w:t xml:space="preserve">crease the estimated annual burden by </w:t>
      </w:r>
      <w:r w:rsidR="00922B6C">
        <w:rPr>
          <w:rFonts w:ascii="Times New Roman" w:hAnsi="Times New Roman"/>
        </w:rPr>
        <w:t>1,</w:t>
      </w:r>
      <w:r w:rsidR="00564C5A" w:rsidRPr="000D35C9">
        <w:rPr>
          <w:rFonts w:ascii="Times New Roman" w:hAnsi="Times New Roman"/>
        </w:rPr>
        <w:t>6</w:t>
      </w:r>
      <w:r w:rsidR="00564C5A">
        <w:rPr>
          <w:rFonts w:ascii="Times New Roman" w:hAnsi="Times New Roman"/>
        </w:rPr>
        <w:t>82</w:t>
      </w:r>
      <w:r w:rsidR="00564C5A" w:rsidRPr="000D35C9">
        <w:rPr>
          <w:rFonts w:ascii="Times New Roman" w:hAnsi="Times New Roman"/>
        </w:rPr>
        <w:t xml:space="preserve"> </w:t>
      </w:r>
      <w:r w:rsidRPr="000D35C9">
        <w:rPr>
          <w:rFonts w:ascii="Times New Roman" w:hAnsi="Times New Roman"/>
        </w:rPr>
        <w:t xml:space="preserve">hours.  </w:t>
      </w:r>
      <w:r w:rsidR="00DF4583" w:rsidRPr="000D35C9">
        <w:rPr>
          <w:rFonts w:ascii="Times New Roman" w:hAnsi="Times New Roman"/>
        </w:rPr>
        <w:t xml:space="preserve">This proposal would </w:t>
      </w:r>
      <w:r w:rsidR="007268F5">
        <w:rPr>
          <w:rFonts w:ascii="Times New Roman" w:hAnsi="Times New Roman"/>
        </w:rPr>
        <w:t xml:space="preserve">add two data items </w:t>
      </w:r>
      <w:r w:rsidR="00A737A2">
        <w:rPr>
          <w:rFonts w:ascii="Times New Roman" w:hAnsi="Times New Roman"/>
        </w:rPr>
        <w:t xml:space="preserve">for all institutions </w:t>
      </w:r>
      <w:r w:rsidR="007268F5">
        <w:rPr>
          <w:rFonts w:ascii="Times New Roman" w:hAnsi="Times New Roman"/>
        </w:rPr>
        <w:t xml:space="preserve">and </w:t>
      </w:r>
      <w:r w:rsidR="00C07930" w:rsidRPr="000D35C9">
        <w:rPr>
          <w:rFonts w:ascii="Times New Roman" w:hAnsi="Times New Roman"/>
        </w:rPr>
        <w:t xml:space="preserve">modify the instructions for </w:t>
      </w:r>
      <w:r w:rsidR="007268F5">
        <w:rPr>
          <w:rFonts w:ascii="Times New Roman" w:hAnsi="Times New Roman"/>
        </w:rPr>
        <w:t>one</w:t>
      </w:r>
      <w:r w:rsidR="00DF4583" w:rsidRPr="000D35C9">
        <w:rPr>
          <w:rFonts w:ascii="Times New Roman" w:hAnsi="Times New Roman"/>
        </w:rPr>
        <w:t xml:space="preserve"> </w:t>
      </w:r>
      <w:r w:rsidR="006504B4" w:rsidRPr="000D35C9">
        <w:rPr>
          <w:rFonts w:ascii="Times New Roman" w:hAnsi="Times New Roman"/>
        </w:rPr>
        <w:t>data item</w:t>
      </w:r>
      <w:r w:rsidR="007268F5">
        <w:rPr>
          <w:rFonts w:ascii="Times New Roman" w:hAnsi="Times New Roman"/>
        </w:rPr>
        <w:t xml:space="preserve"> for institutions</w:t>
      </w:r>
      <w:r w:rsidR="00A737A2">
        <w:rPr>
          <w:rFonts w:ascii="Times New Roman" w:hAnsi="Times New Roman"/>
        </w:rPr>
        <w:t xml:space="preserve"> with $1 billion or more in total assets</w:t>
      </w:r>
      <w:r w:rsidR="00C41BCD" w:rsidRPr="000D35C9">
        <w:rPr>
          <w:rFonts w:ascii="Times New Roman" w:hAnsi="Times New Roman"/>
        </w:rPr>
        <w:t>.</w:t>
      </w:r>
      <w:r w:rsidR="003E1198" w:rsidRPr="000D35C9">
        <w:rPr>
          <w:rFonts w:ascii="Times New Roman" w:hAnsi="Times New Roman"/>
        </w:rPr>
        <w:t xml:space="preserve">  </w:t>
      </w:r>
      <w:r w:rsidR="007268F5">
        <w:rPr>
          <w:rFonts w:ascii="Times New Roman" w:hAnsi="Times New Roman"/>
        </w:rPr>
        <w:t>T</w:t>
      </w:r>
      <w:r w:rsidR="00DF4583" w:rsidRPr="000D35C9">
        <w:rPr>
          <w:rFonts w:ascii="Times New Roman" w:hAnsi="Times New Roman"/>
        </w:rPr>
        <w:t>he proposa</w:t>
      </w:r>
      <w:r w:rsidR="00116C8A" w:rsidRPr="000D35C9">
        <w:rPr>
          <w:rFonts w:ascii="Times New Roman" w:hAnsi="Times New Roman"/>
        </w:rPr>
        <w:t>l as a whole would produce an average</w:t>
      </w:r>
      <w:r w:rsidR="00DF4583" w:rsidRPr="000D35C9">
        <w:rPr>
          <w:rFonts w:ascii="Times New Roman" w:hAnsi="Times New Roman"/>
        </w:rPr>
        <w:t xml:space="preserve"> </w:t>
      </w:r>
      <w:r w:rsidR="001B77FC" w:rsidRPr="000D35C9">
        <w:rPr>
          <w:rFonts w:ascii="Times New Roman" w:hAnsi="Times New Roman"/>
        </w:rPr>
        <w:t xml:space="preserve">increase </w:t>
      </w:r>
      <w:r w:rsidR="00DF4583" w:rsidRPr="000D35C9">
        <w:rPr>
          <w:rFonts w:ascii="Times New Roman" w:hAnsi="Times New Roman"/>
        </w:rPr>
        <w:t xml:space="preserve">in reporting burden of </w:t>
      </w:r>
      <w:r w:rsidR="00922B6C">
        <w:rPr>
          <w:rFonts w:ascii="Times New Roman" w:hAnsi="Times New Roman"/>
        </w:rPr>
        <w:t>30</w:t>
      </w:r>
      <w:r w:rsidR="00922B6C" w:rsidRPr="000D35C9">
        <w:rPr>
          <w:rFonts w:ascii="Times New Roman" w:hAnsi="Times New Roman"/>
        </w:rPr>
        <w:t xml:space="preserve"> </w:t>
      </w:r>
      <w:r w:rsidR="00C07930" w:rsidRPr="000D35C9">
        <w:rPr>
          <w:rFonts w:ascii="Times New Roman" w:hAnsi="Times New Roman"/>
        </w:rPr>
        <w:t>minutes</w:t>
      </w:r>
      <w:r w:rsidR="00DF4583" w:rsidRPr="000D35C9">
        <w:rPr>
          <w:rFonts w:ascii="Times New Roman" w:hAnsi="Times New Roman"/>
        </w:rPr>
        <w:t xml:space="preserve"> per response.  </w:t>
      </w:r>
      <w:r w:rsidRPr="000D35C9">
        <w:rPr>
          <w:rFonts w:ascii="Times New Roman" w:hAnsi="Times New Roman"/>
        </w:rPr>
        <w:t xml:space="preserve">The Federal Reserve estimates the total proposed annual reporting burden for state </w:t>
      </w:r>
      <w:r w:rsidRPr="000D35C9">
        <w:rPr>
          <w:rFonts w:ascii="Times New Roman" w:hAnsi="Times New Roman"/>
        </w:rPr>
        <w:lastRenderedPageBreak/>
        <w:t xml:space="preserve">member banks to be </w:t>
      </w:r>
      <w:r w:rsidR="00564C5A">
        <w:rPr>
          <w:rFonts w:ascii="Times New Roman" w:hAnsi="Times New Roman"/>
        </w:rPr>
        <w:t>186,837</w:t>
      </w:r>
      <w:r w:rsidR="00922B6C" w:rsidRPr="000D35C9">
        <w:rPr>
          <w:rFonts w:ascii="Times New Roman" w:hAnsi="Times New Roman"/>
        </w:rPr>
        <w:t xml:space="preserve"> </w:t>
      </w:r>
      <w:r w:rsidRPr="000D35C9">
        <w:rPr>
          <w:rFonts w:ascii="Times New Roman" w:hAnsi="Times New Roman"/>
        </w:rPr>
        <w:t>hours, as shown below</w:t>
      </w:r>
      <w:r w:rsidR="00972322" w:rsidRPr="000D35C9">
        <w:rPr>
          <w:rFonts w:ascii="Times New Roman" w:hAnsi="Times New Roman"/>
        </w:rPr>
        <w:t xml:space="preserve">.  This </w:t>
      </w:r>
      <w:r w:rsidR="000D5407" w:rsidRPr="000D35C9">
        <w:rPr>
          <w:rFonts w:ascii="Times New Roman" w:hAnsi="Times New Roman"/>
        </w:rPr>
        <w:t>reporting requirement</w:t>
      </w:r>
      <w:r w:rsidR="00972322" w:rsidRPr="000D35C9">
        <w:rPr>
          <w:rFonts w:ascii="Times New Roman" w:hAnsi="Times New Roman"/>
        </w:rPr>
        <w:t xml:space="preserve"> represents </w:t>
      </w:r>
      <w:r w:rsidR="007268F5">
        <w:rPr>
          <w:rFonts w:ascii="Times New Roman" w:hAnsi="Times New Roman"/>
        </w:rPr>
        <w:t>1.6</w:t>
      </w:r>
      <w:r w:rsidR="00E70831" w:rsidRPr="000D35C9">
        <w:rPr>
          <w:rFonts w:ascii="Times New Roman" w:hAnsi="Times New Roman"/>
        </w:rPr>
        <w:t xml:space="preserve"> </w:t>
      </w:r>
      <w:r w:rsidR="00972322" w:rsidRPr="000D35C9">
        <w:rPr>
          <w:rFonts w:ascii="Times New Roman" w:hAnsi="Times New Roman"/>
        </w:rPr>
        <w:t>percent of the total Federal Reserve paperwork burden.</w:t>
      </w:r>
    </w:p>
    <w:p w:rsidR="00A863C4" w:rsidRPr="000D35C9" w:rsidRDefault="00A863C4">
      <w:pPr>
        <w:widowControl/>
        <w:tabs>
          <w:tab w:val="left" w:pos="360"/>
        </w:tabs>
        <w:rPr>
          <w:rFonts w:ascii="Times New Roman" w:hAnsi="Times New Roman"/>
        </w:rPr>
      </w:pPr>
    </w:p>
    <w:tbl>
      <w:tblPr>
        <w:tblW w:w="0" w:type="auto"/>
        <w:tblInd w:w="120" w:type="dxa"/>
        <w:tblLayout w:type="fixed"/>
        <w:tblCellMar>
          <w:left w:w="120" w:type="dxa"/>
          <w:right w:w="120" w:type="dxa"/>
        </w:tblCellMar>
        <w:tblLook w:val="0000"/>
      </w:tblPr>
      <w:tblGrid>
        <w:gridCol w:w="2160"/>
        <w:gridCol w:w="1800"/>
        <w:gridCol w:w="1800"/>
        <w:gridCol w:w="1800"/>
        <w:gridCol w:w="1800"/>
      </w:tblGrid>
      <w:tr w:rsidR="000E7D57" w:rsidRPr="000D35C9">
        <w:tc>
          <w:tcPr>
            <w:tcW w:w="2160" w:type="dxa"/>
            <w:tcBorders>
              <w:top w:val="single" w:sz="8" w:space="0" w:color="000000"/>
              <w:bottom w:val="single" w:sz="8" w:space="0" w:color="000000"/>
            </w:tcBorders>
          </w:tcPr>
          <w:p w:rsidR="000E7D57" w:rsidRPr="000D35C9" w:rsidRDefault="000E7D57">
            <w:pPr>
              <w:widowControl/>
              <w:tabs>
                <w:tab w:val="left" w:pos="360"/>
              </w:tabs>
              <w:spacing w:after="58"/>
              <w:rPr>
                <w:rFonts w:ascii="Times New Roman" w:hAnsi="Times New Roman"/>
              </w:rPr>
            </w:pPr>
          </w:p>
        </w:tc>
        <w:tc>
          <w:tcPr>
            <w:tcW w:w="1800" w:type="dxa"/>
            <w:tcBorders>
              <w:top w:val="single" w:sz="8" w:space="0" w:color="000000"/>
              <w:bottom w:val="single" w:sz="8" w:space="0" w:color="000000"/>
            </w:tcBorders>
            <w:vAlign w:val="center"/>
          </w:tcPr>
          <w:p w:rsidR="00905999" w:rsidRPr="000D35C9" w:rsidRDefault="000E7D57" w:rsidP="00905999">
            <w:pPr>
              <w:widowControl/>
              <w:tabs>
                <w:tab w:val="left" w:pos="360"/>
              </w:tabs>
              <w:spacing w:after="58"/>
              <w:jc w:val="center"/>
              <w:rPr>
                <w:rFonts w:ascii="Times New Roman" w:hAnsi="Times New Roman"/>
                <w:i/>
                <w:iCs/>
              </w:rPr>
            </w:pPr>
            <w:r w:rsidRPr="000D35C9">
              <w:rPr>
                <w:rFonts w:ascii="Times New Roman" w:hAnsi="Times New Roman"/>
                <w:i/>
                <w:iCs/>
              </w:rPr>
              <w:t xml:space="preserve">Number </w:t>
            </w:r>
            <w:r w:rsidR="00905999" w:rsidRPr="000D35C9">
              <w:rPr>
                <w:rFonts w:ascii="Times New Roman" w:hAnsi="Times New Roman"/>
                <w:i/>
                <w:iCs/>
              </w:rPr>
              <w:t>of</w:t>
            </w:r>
          </w:p>
          <w:p w:rsidR="000E7D57" w:rsidRPr="000D35C9" w:rsidRDefault="006956DF" w:rsidP="00905999">
            <w:pPr>
              <w:widowControl/>
              <w:tabs>
                <w:tab w:val="left" w:pos="360"/>
              </w:tabs>
              <w:spacing w:after="58"/>
              <w:jc w:val="center"/>
              <w:rPr>
                <w:rFonts w:ascii="Times New Roman" w:hAnsi="Times New Roman"/>
                <w:i/>
                <w:iCs/>
              </w:rPr>
            </w:pPr>
            <w:r w:rsidRPr="000D35C9">
              <w:rPr>
                <w:rFonts w:ascii="Times New Roman" w:hAnsi="Times New Roman"/>
                <w:i/>
                <w:iCs/>
              </w:rPr>
              <w:t>respondents</w:t>
            </w:r>
            <w:r w:rsidR="00782777" w:rsidRPr="00A737A2">
              <w:rPr>
                <w:rStyle w:val="FootnoteReference"/>
                <w:rFonts w:ascii="Times New Roman" w:hAnsi="Times New Roman"/>
                <w:i/>
                <w:iCs/>
                <w:vertAlign w:val="superscript"/>
              </w:rPr>
              <w:footnoteReference w:id="6"/>
            </w:r>
          </w:p>
        </w:tc>
        <w:tc>
          <w:tcPr>
            <w:tcW w:w="1800" w:type="dxa"/>
            <w:tcBorders>
              <w:top w:val="single" w:sz="8" w:space="0" w:color="000000"/>
              <w:bottom w:val="single" w:sz="8" w:space="0" w:color="000000"/>
            </w:tcBorders>
            <w:vAlign w:val="center"/>
          </w:tcPr>
          <w:p w:rsidR="00905999" w:rsidRPr="000D35C9" w:rsidRDefault="00905999" w:rsidP="00905999">
            <w:pPr>
              <w:widowControl/>
              <w:tabs>
                <w:tab w:val="left" w:pos="360"/>
              </w:tabs>
              <w:spacing w:after="58"/>
              <w:jc w:val="center"/>
              <w:rPr>
                <w:rFonts w:ascii="Times New Roman" w:hAnsi="Times New Roman"/>
                <w:i/>
                <w:iCs/>
              </w:rPr>
            </w:pPr>
            <w:r w:rsidRPr="000D35C9">
              <w:rPr>
                <w:rFonts w:ascii="Times New Roman" w:hAnsi="Times New Roman"/>
                <w:i/>
                <w:iCs/>
              </w:rPr>
              <w:t>Annual</w:t>
            </w:r>
          </w:p>
          <w:p w:rsidR="000E7D57" w:rsidRPr="000D35C9" w:rsidRDefault="006956DF" w:rsidP="00905999">
            <w:pPr>
              <w:widowControl/>
              <w:tabs>
                <w:tab w:val="left" w:pos="360"/>
              </w:tabs>
              <w:spacing w:after="58"/>
              <w:jc w:val="center"/>
              <w:rPr>
                <w:rFonts w:ascii="Times New Roman" w:hAnsi="Times New Roman"/>
                <w:i/>
                <w:iCs/>
              </w:rPr>
            </w:pPr>
            <w:r w:rsidRPr="000D35C9">
              <w:rPr>
                <w:rFonts w:ascii="Times New Roman" w:hAnsi="Times New Roman"/>
                <w:i/>
                <w:iCs/>
              </w:rPr>
              <w:t>frequency</w:t>
            </w:r>
          </w:p>
        </w:tc>
        <w:tc>
          <w:tcPr>
            <w:tcW w:w="1800" w:type="dxa"/>
            <w:tcBorders>
              <w:top w:val="single" w:sz="8" w:space="0" w:color="000000"/>
              <w:bottom w:val="single" w:sz="8" w:space="0" w:color="000000"/>
            </w:tcBorders>
            <w:vAlign w:val="center"/>
          </w:tcPr>
          <w:p w:rsidR="00905999" w:rsidRPr="000D35C9" w:rsidRDefault="00905999" w:rsidP="00905999">
            <w:pPr>
              <w:widowControl/>
              <w:tabs>
                <w:tab w:val="left" w:pos="360"/>
              </w:tabs>
              <w:spacing w:after="58"/>
              <w:jc w:val="center"/>
              <w:rPr>
                <w:rFonts w:ascii="Times New Roman" w:hAnsi="Times New Roman"/>
                <w:i/>
                <w:iCs/>
              </w:rPr>
            </w:pPr>
            <w:r w:rsidRPr="000D35C9">
              <w:rPr>
                <w:rFonts w:ascii="Times New Roman" w:hAnsi="Times New Roman"/>
                <w:i/>
                <w:iCs/>
              </w:rPr>
              <w:t>Estimated</w:t>
            </w:r>
          </w:p>
          <w:p w:rsidR="00905999" w:rsidRPr="000D35C9" w:rsidRDefault="006956DF" w:rsidP="00905999">
            <w:pPr>
              <w:widowControl/>
              <w:tabs>
                <w:tab w:val="left" w:pos="360"/>
              </w:tabs>
              <w:spacing w:after="58"/>
              <w:jc w:val="center"/>
              <w:rPr>
                <w:rFonts w:ascii="Times New Roman" w:hAnsi="Times New Roman"/>
                <w:i/>
                <w:iCs/>
              </w:rPr>
            </w:pPr>
            <w:r w:rsidRPr="000D35C9">
              <w:rPr>
                <w:rFonts w:ascii="Times New Roman" w:hAnsi="Times New Roman"/>
                <w:i/>
                <w:iCs/>
              </w:rPr>
              <w:t>average hours</w:t>
            </w:r>
          </w:p>
          <w:p w:rsidR="000E7D57" w:rsidRPr="000D35C9" w:rsidRDefault="006956DF" w:rsidP="00905999">
            <w:pPr>
              <w:widowControl/>
              <w:tabs>
                <w:tab w:val="left" w:pos="360"/>
              </w:tabs>
              <w:spacing w:after="58"/>
              <w:jc w:val="center"/>
              <w:rPr>
                <w:rFonts w:ascii="Times New Roman" w:hAnsi="Times New Roman"/>
                <w:i/>
                <w:iCs/>
              </w:rPr>
            </w:pPr>
            <w:r w:rsidRPr="000D35C9">
              <w:rPr>
                <w:rFonts w:ascii="Times New Roman" w:hAnsi="Times New Roman"/>
                <w:i/>
                <w:iCs/>
              </w:rPr>
              <w:t>per response</w:t>
            </w:r>
          </w:p>
        </w:tc>
        <w:tc>
          <w:tcPr>
            <w:tcW w:w="1800" w:type="dxa"/>
            <w:tcBorders>
              <w:top w:val="single" w:sz="8" w:space="0" w:color="000000"/>
              <w:bottom w:val="single" w:sz="8" w:space="0" w:color="000000"/>
            </w:tcBorders>
            <w:vAlign w:val="center"/>
          </w:tcPr>
          <w:p w:rsidR="00905999" w:rsidRPr="000D35C9" w:rsidRDefault="00905999" w:rsidP="00905999">
            <w:pPr>
              <w:widowControl/>
              <w:tabs>
                <w:tab w:val="left" w:pos="360"/>
              </w:tabs>
              <w:spacing w:after="58"/>
              <w:jc w:val="center"/>
              <w:rPr>
                <w:rFonts w:ascii="Times New Roman" w:hAnsi="Times New Roman"/>
                <w:i/>
                <w:iCs/>
              </w:rPr>
            </w:pPr>
            <w:r w:rsidRPr="000D35C9">
              <w:rPr>
                <w:rFonts w:ascii="Times New Roman" w:hAnsi="Times New Roman"/>
                <w:i/>
                <w:iCs/>
              </w:rPr>
              <w:t>Estimated</w:t>
            </w:r>
          </w:p>
          <w:p w:rsidR="00905999" w:rsidRPr="000D35C9" w:rsidRDefault="006956DF" w:rsidP="00905999">
            <w:pPr>
              <w:widowControl/>
              <w:tabs>
                <w:tab w:val="left" w:pos="360"/>
              </w:tabs>
              <w:spacing w:after="58"/>
              <w:jc w:val="center"/>
              <w:rPr>
                <w:rFonts w:ascii="Times New Roman" w:hAnsi="Times New Roman"/>
                <w:i/>
                <w:iCs/>
              </w:rPr>
            </w:pPr>
            <w:r w:rsidRPr="000D35C9">
              <w:rPr>
                <w:rFonts w:ascii="Times New Roman" w:hAnsi="Times New Roman"/>
                <w:i/>
                <w:iCs/>
              </w:rPr>
              <w:t>annual burden</w:t>
            </w:r>
          </w:p>
          <w:p w:rsidR="000E7D57" w:rsidRPr="000D35C9" w:rsidRDefault="006956DF" w:rsidP="00905999">
            <w:pPr>
              <w:widowControl/>
              <w:tabs>
                <w:tab w:val="left" w:pos="360"/>
              </w:tabs>
              <w:spacing w:after="58"/>
              <w:jc w:val="center"/>
              <w:rPr>
                <w:rFonts w:ascii="Times New Roman" w:hAnsi="Times New Roman"/>
                <w:i/>
                <w:iCs/>
              </w:rPr>
            </w:pPr>
            <w:r w:rsidRPr="000D35C9">
              <w:rPr>
                <w:rFonts w:ascii="Times New Roman" w:hAnsi="Times New Roman"/>
                <w:i/>
                <w:iCs/>
              </w:rPr>
              <w:t>hours</w:t>
            </w:r>
          </w:p>
        </w:tc>
      </w:tr>
      <w:tr w:rsidR="00905999" w:rsidRPr="000D35C9">
        <w:trPr>
          <w:trHeight w:val="423"/>
        </w:trPr>
        <w:tc>
          <w:tcPr>
            <w:tcW w:w="2160" w:type="dxa"/>
            <w:tcBorders>
              <w:top w:val="single" w:sz="8" w:space="0" w:color="000000"/>
            </w:tcBorders>
            <w:vAlign w:val="center"/>
          </w:tcPr>
          <w:p w:rsidR="00905999" w:rsidRPr="000D35C9" w:rsidRDefault="00905999" w:rsidP="00972C3E">
            <w:pPr>
              <w:widowControl/>
              <w:tabs>
                <w:tab w:val="left" w:pos="360"/>
              </w:tabs>
              <w:spacing w:after="58"/>
              <w:rPr>
                <w:rFonts w:ascii="Times New Roman" w:hAnsi="Times New Roman"/>
                <w:b/>
              </w:rPr>
            </w:pPr>
            <w:r w:rsidRPr="000D35C9">
              <w:rPr>
                <w:rFonts w:ascii="Times New Roman" w:hAnsi="Times New Roman"/>
                <w:b/>
              </w:rPr>
              <w:t>Current</w:t>
            </w:r>
          </w:p>
        </w:tc>
        <w:tc>
          <w:tcPr>
            <w:tcW w:w="1800" w:type="dxa"/>
            <w:tcBorders>
              <w:top w:val="single" w:sz="8" w:space="0" w:color="000000"/>
            </w:tcBorders>
            <w:vAlign w:val="center"/>
          </w:tcPr>
          <w:p w:rsidR="00905999" w:rsidRPr="000D35C9" w:rsidRDefault="00591815" w:rsidP="00591815">
            <w:pPr>
              <w:widowControl/>
              <w:tabs>
                <w:tab w:val="left" w:pos="360"/>
              </w:tabs>
              <w:spacing w:after="58"/>
              <w:jc w:val="center"/>
              <w:rPr>
                <w:rFonts w:ascii="Times New Roman" w:hAnsi="Times New Roman"/>
              </w:rPr>
            </w:pPr>
            <w:r>
              <w:rPr>
                <w:rFonts w:ascii="Times New Roman" w:hAnsi="Times New Roman"/>
              </w:rPr>
              <w:t>841</w:t>
            </w:r>
          </w:p>
        </w:tc>
        <w:tc>
          <w:tcPr>
            <w:tcW w:w="1800" w:type="dxa"/>
            <w:tcBorders>
              <w:top w:val="single" w:sz="8" w:space="0" w:color="000000"/>
            </w:tcBorders>
            <w:vAlign w:val="center"/>
          </w:tcPr>
          <w:p w:rsidR="00905999" w:rsidRPr="000D35C9" w:rsidRDefault="00905999" w:rsidP="00972C3E">
            <w:pPr>
              <w:widowControl/>
              <w:tabs>
                <w:tab w:val="left" w:pos="360"/>
              </w:tabs>
              <w:spacing w:after="58"/>
              <w:jc w:val="center"/>
              <w:rPr>
                <w:rFonts w:ascii="Times New Roman" w:hAnsi="Times New Roman"/>
              </w:rPr>
            </w:pPr>
            <w:r w:rsidRPr="000D35C9">
              <w:rPr>
                <w:rFonts w:ascii="Times New Roman" w:hAnsi="Times New Roman"/>
              </w:rPr>
              <w:t>4</w:t>
            </w:r>
          </w:p>
        </w:tc>
        <w:tc>
          <w:tcPr>
            <w:tcW w:w="1800" w:type="dxa"/>
            <w:tcBorders>
              <w:top w:val="single" w:sz="8" w:space="0" w:color="000000"/>
            </w:tcBorders>
            <w:vAlign w:val="center"/>
          </w:tcPr>
          <w:p w:rsidR="00905999" w:rsidRPr="000D35C9" w:rsidRDefault="0025415A" w:rsidP="007D4892">
            <w:pPr>
              <w:widowControl/>
              <w:tabs>
                <w:tab w:val="left" w:pos="360"/>
              </w:tabs>
              <w:spacing w:after="58"/>
              <w:jc w:val="center"/>
              <w:rPr>
                <w:rFonts w:ascii="Times New Roman" w:hAnsi="Times New Roman"/>
              </w:rPr>
            </w:pPr>
            <w:r>
              <w:rPr>
                <w:rFonts w:ascii="Times New Roman" w:hAnsi="Times New Roman"/>
              </w:rPr>
              <w:t>55.04</w:t>
            </w:r>
          </w:p>
        </w:tc>
        <w:tc>
          <w:tcPr>
            <w:tcW w:w="1800" w:type="dxa"/>
            <w:tcBorders>
              <w:top w:val="single" w:sz="8" w:space="0" w:color="000000"/>
            </w:tcBorders>
            <w:vAlign w:val="center"/>
          </w:tcPr>
          <w:p w:rsidR="00905999" w:rsidRPr="000D35C9" w:rsidRDefault="00591815" w:rsidP="007D4892">
            <w:pPr>
              <w:widowControl/>
              <w:spacing w:after="58"/>
              <w:jc w:val="center"/>
              <w:rPr>
                <w:rFonts w:ascii="Times New Roman" w:hAnsi="Times New Roman"/>
              </w:rPr>
            </w:pPr>
            <w:r>
              <w:rPr>
                <w:rFonts w:ascii="Times New Roman" w:hAnsi="Times New Roman"/>
              </w:rPr>
              <w:t>185,155</w:t>
            </w:r>
          </w:p>
        </w:tc>
      </w:tr>
      <w:tr w:rsidR="00905999" w:rsidRPr="000D35C9">
        <w:tc>
          <w:tcPr>
            <w:tcW w:w="2160" w:type="dxa"/>
            <w:vAlign w:val="center"/>
          </w:tcPr>
          <w:p w:rsidR="00905999" w:rsidRPr="000D35C9" w:rsidRDefault="00905999" w:rsidP="00972C3E">
            <w:pPr>
              <w:widowControl/>
              <w:tabs>
                <w:tab w:val="left" w:pos="360"/>
              </w:tabs>
              <w:spacing w:after="58"/>
              <w:rPr>
                <w:rFonts w:ascii="Times New Roman" w:hAnsi="Times New Roman"/>
                <w:b/>
              </w:rPr>
            </w:pPr>
            <w:r w:rsidRPr="000D35C9">
              <w:rPr>
                <w:rFonts w:ascii="Times New Roman" w:hAnsi="Times New Roman"/>
                <w:b/>
              </w:rPr>
              <w:t>Proposed</w:t>
            </w:r>
          </w:p>
        </w:tc>
        <w:tc>
          <w:tcPr>
            <w:tcW w:w="1800" w:type="dxa"/>
            <w:vAlign w:val="center"/>
          </w:tcPr>
          <w:p w:rsidR="00905999" w:rsidRPr="000D35C9" w:rsidRDefault="00591815" w:rsidP="00591815">
            <w:pPr>
              <w:widowControl/>
              <w:tabs>
                <w:tab w:val="left" w:pos="360"/>
              </w:tabs>
              <w:spacing w:after="58"/>
              <w:jc w:val="center"/>
              <w:rPr>
                <w:rFonts w:ascii="Times New Roman" w:hAnsi="Times New Roman"/>
              </w:rPr>
            </w:pPr>
            <w:r w:rsidRPr="000D35C9">
              <w:rPr>
                <w:rFonts w:ascii="Times New Roman" w:hAnsi="Times New Roman"/>
              </w:rPr>
              <w:t>8</w:t>
            </w:r>
            <w:r>
              <w:rPr>
                <w:rFonts w:ascii="Times New Roman" w:hAnsi="Times New Roman"/>
              </w:rPr>
              <w:t>41</w:t>
            </w:r>
          </w:p>
        </w:tc>
        <w:tc>
          <w:tcPr>
            <w:tcW w:w="1800" w:type="dxa"/>
            <w:vAlign w:val="center"/>
          </w:tcPr>
          <w:p w:rsidR="00905999" w:rsidRPr="000D35C9" w:rsidRDefault="00905999" w:rsidP="00972C3E">
            <w:pPr>
              <w:widowControl/>
              <w:tabs>
                <w:tab w:val="left" w:pos="360"/>
              </w:tabs>
              <w:spacing w:after="58"/>
              <w:jc w:val="center"/>
              <w:rPr>
                <w:rFonts w:ascii="Times New Roman" w:hAnsi="Times New Roman"/>
              </w:rPr>
            </w:pPr>
            <w:r w:rsidRPr="000D35C9">
              <w:rPr>
                <w:rFonts w:ascii="Times New Roman" w:hAnsi="Times New Roman"/>
              </w:rPr>
              <w:t>4</w:t>
            </w:r>
          </w:p>
        </w:tc>
        <w:tc>
          <w:tcPr>
            <w:tcW w:w="1800" w:type="dxa"/>
            <w:vAlign w:val="center"/>
          </w:tcPr>
          <w:p w:rsidR="00905999" w:rsidRPr="000D35C9" w:rsidRDefault="00D90AFE" w:rsidP="0025415A">
            <w:pPr>
              <w:widowControl/>
              <w:tabs>
                <w:tab w:val="left" w:pos="360"/>
              </w:tabs>
              <w:spacing w:after="58"/>
              <w:jc w:val="center"/>
              <w:rPr>
                <w:rFonts w:ascii="Times New Roman" w:hAnsi="Times New Roman"/>
              </w:rPr>
            </w:pPr>
            <w:r w:rsidRPr="000D35C9">
              <w:rPr>
                <w:rFonts w:ascii="Times New Roman" w:hAnsi="Times New Roman"/>
              </w:rPr>
              <w:t>55.</w:t>
            </w:r>
            <w:r w:rsidR="0025415A">
              <w:rPr>
                <w:rFonts w:ascii="Times New Roman" w:hAnsi="Times New Roman"/>
              </w:rPr>
              <w:t>5</w:t>
            </w:r>
            <w:r w:rsidR="0025415A" w:rsidRPr="000D35C9">
              <w:rPr>
                <w:rFonts w:ascii="Times New Roman" w:hAnsi="Times New Roman"/>
              </w:rPr>
              <w:t>4</w:t>
            </w:r>
          </w:p>
        </w:tc>
        <w:tc>
          <w:tcPr>
            <w:tcW w:w="1800" w:type="dxa"/>
            <w:vAlign w:val="center"/>
          </w:tcPr>
          <w:p w:rsidR="00905999" w:rsidRPr="000D35C9" w:rsidRDefault="00591815" w:rsidP="0025415A">
            <w:pPr>
              <w:widowControl/>
              <w:spacing w:after="58"/>
              <w:jc w:val="center"/>
              <w:rPr>
                <w:rFonts w:ascii="Times New Roman" w:hAnsi="Times New Roman"/>
              </w:rPr>
            </w:pPr>
            <w:r>
              <w:rPr>
                <w:rFonts w:ascii="Times New Roman" w:hAnsi="Times New Roman"/>
              </w:rPr>
              <w:t>186,837</w:t>
            </w:r>
          </w:p>
        </w:tc>
      </w:tr>
      <w:tr w:rsidR="000E7D57" w:rsidRPr="000D35C9">
        <w:tc>
          <w:tcPr>
            <w:tcW w:w="2160" w:type="dxa"/>
            <w:tcBorders>
              <w:bottom w:val="single" w:sz="7" w:space="0" w:color="000000"/>
            </w:tcBorders>
            <w:vAlign w:val="center"/>
          </w:tcPr>
          <w:p w:rsidR="000E7D57" w:rsidRPr="000D35C9" w:rsidRDefault="00905999" w:rsidP="00972C3E">
            <w:pPr>
              <w:widowControl/>
              <w:tabs>
                <w:tab w:val="left" w:pos="360"/>
              </w:tabs>
              <w:spacing w:after="58"/>
              <w:rPr>
                <w:rFonts w:ascii="Times New Roman" w:hAnsi="Times New Roman"/>
                <w:i/>
                <w:iCs/>
              </w:rPr>
            </w:pPr>
            <w:r w:rsidRPr="000D35C9">
              <w:rPr>
                <w:rFonts w:ascii="Times New Roman" w:hAnsi="Times New Roman"/>
                <w:i/>
                <w:iCs/>
              </w:rPr>
              <w:t>C</w:t>
            </w:r>
            <w:r w:rsidR="000E7D57" w:rsidRPr="000D35C9">
              <w:rPr>
                <w:rFonts w:ascii="Times New Roman" w:hAnsi="Times New Roman"/>
                <w:i/>
                <w:iCs/>
              </w:rPr>
              <w:t>hange</w:t>
            </w:r>
          </w:p>
        </w:tc>
        <w:tc>
          <w:tcPr>
            <w:tcW w:w="1800" w:type="dxa"/>
            <w:tcBorders>
              <w:bottom w:val="single" w:sz="7" w:space="0" w:color="000000"/>
            </w:tcBorders>
          </w:tcPr>
          <w:p w:rsidR="000E7D57" w:rsidRPr="000D35C9" w:rsidRDefault="000E7D57" w:rsidP="0038298E">
            <w:pPr>
              <w:widowControl/>
              <w:tabs>
                <w:tab w:val="left" w:pos="360"/>
              </w:tabs>
              <w:spacing w:after="58"/>
              <w:jc w:val="center"/>
              <w:rPr>
                <w:rFonts w:ascii="Times New Roman" w:hAnsi="Times New Roman"/>
              </w:rPr>
            </w:pPr>
          </w:p>
        </w:tc>
        <w:tc>
          <w:tcPr>
            <w:tcW w:w="1800" w:type="dxa"/>
            <w:tcBorders>
              <w:bottom w:val="single" w:sz="7" w:space="0" w:color="000000"/>
            </w:tcBorders>
          </w:tcPr>
          <w:p w:rsidR="000E7D57" w:rsidRPr="000D35C9" w:rsidRDefault="000E7D57" w:rsidP="0038298E">
            <w:pPr>
              <w:widowControl/>
              <w:tabs>
                <w:tab w:val="left" w:pos="360"/>
              </w:tabs>
              <w:spacing w:after="58"/>
              <w:jc w:val="center"/>
              <w:rPr>
                <w:rFonts w:ascii="Times New Roman" w:hAnsi="Times New Roman"/>
              </w:rPr>
            </w:pPr>
          </w:p>
        </w:tc>
        <w:tc>
          <w:tcPr>
            <w:tcW w:w="1800" w:type="dxa"/>
            <w:tcBorders>
              <w:bottom w:val="single" w:sz="7" w:space="0" w:color="000000"/>
            </w:tcBorders>
          </w:tcPr>
          <w:p w:rsidR="000E7D57" w:rsidRPr="000D35C9" w:rsidRDefault="000E7D57" w:rsidP="0038298E">
            <w:pPr>
              <w:widowControl/>
              <w:tabs>
                <w:tab w:val="left" w:pos="360"/>
              </w:tabs>
              <w:spacing w:after="58"/>
              <w:jc w:val="center"/>
              <w:rPr>
                <w:rFonts w:ascii="Times New Roman" w:hAnsi="Times New Roman"/>
              </w:rPr>
            </w:pPr>
          </w:p>
        </w:tc>
        <w:tc>
          <w:tcPr>
            <w:tcW w:w="1800" w:type="dxa"/>
            <w:tcBorders>
              <w:bottom w:val="single" w:sz="7" w:space="0" w:color="000000"/>
            </w:tcBorders>
          </w:tcPr>
          <w:p w:rsidR="000E7D57" w:rsidRPr="000D35C9" w:rsidRDefault="00DF4583" w:rsidP="00EA0C8D">
            <w:pPr>
              <w:widowControl/>
              <w:tabs>
                <w:tab w:val="right" w:pos="600"/>
              </w:tabs>
              <w:spacing w:after="58"/>
              <w:jc w:val="center"/>
              <w:rPr>
                <w:rFonts w:ascii="Times New Roman" w:hAnsi="Times New Roman"/>
              </w:rPr>
            </w:pPr>
            <w:r w:rsidRPr="000D35C9">
              <w:rPr>
                <w:rFonts w:ascii="Times New Roman" w:hAnsi="Times New Roman"/>
              </w:rPr>
              <w:t xml:space="preserve">  </w:t>
            </w:r>
            <w:r w:rsidR="001B77FC" w:rsidRPr="000D35C9">
              <w:rPr>
                <w:rFonts w:ascii="Times New Roman" w:hAnsi="Times New Roman"/>
              </w:rPr>
              <w:t xml:space="preserve"> </w:t>
            </w:r>
            <w:r w:rsidR="0025415A">
              <w:rPr>
                <w:rFonts w:ascii="Times New Roman" w:hAnsi="Times New Roman"/>
              </w:rPr>
              <w:t>1,</w:t>
            </w:r>
            <w:r w:rsidR="00591815">
              <w:rPr>
                <w:rFonts w:ascii="Times New Roman" w:hAnsi="Times New Roman"/>
              </w:rPr>
              <w:t>682</w:t>
            </w:r>
          </w:p>
        </w:tc>
      </w:tr>
    </w:tbl>
    <w:p w:rsidR="00844FD2" w:rsidRPr="000D35C9" w:rsidRDefault="00844FD2" w:rsidP="00804EB1">
      <w:pPr>
        <w:widowControl/>
        <w:jc w:val="both"/>
        <w:rPr>
          <w:rFonts w:ascii="Times New Roman" w:hAnsi="Times New Roman"/>
        </w:rPr>
      </w:pPr>
    </w:p>
    <w:p w:rsidR="000E7D57" w:rsidRPr="000D35C9" w:rsidRDefault="00883923" w:rsidP="00844FD2">
      <w:pPr>
        <w:widowControl/>
        <w:ind w:firstLine="720"/>
        <w:jc w:val="both"/>
        <w:rPr>
          <w:rFonts w:ascii="Times New Roman" w:hAnsi="Times New Roman"/>
        </w:rPr>
      </w:pPr>
      <w:r w:rsidRPr="000D35C9">
        <w:rPr>
          <w:rFonts w:ascii="Times New Roman" w:hAnsi="Times New Roman"/>
        </w:rPr>
        <w:t>T</w:t>
      </w:r>
      <w:r w:rsidR="000E7D57" w:rsidRPr="000D35C9">
        <w:rPr>
          <w:rFonts w:ascii="Times New Roman" w:hAnsi="Times New Roman"/>
        </w:rPr>
        <w:t>he total cost to state member banks is estimated to be $</w:t>
      </w:r>
      <w:r w:rsidR="00116C8A" w:rsidRPr="000D35C9">
        <w:rPr>
          <w:rFonts w:ascii="Times New Roman" w:hAnsi="Times New Roman"/>
        </w:rPr>
        <w:t>7,</w:t>
      </w:r>
      <w:r w:rsidR="007268F5">
        <w:rPr>
          <w:rFonts w:ascii="Times New Roman" w:hAnsi="Times New Roman"/>
        </w:rPr>
        <w:t>809,787</w:t>
      </w:r>
      <w:r w:rsidR="00A60B66" w:rsidRPr="000D35C9">
        <w:rPr>
          <w:rFonts w:ascii="Times New Roman" w:hAnsi="Times New Roman"/>
        </w:rPr>
        <w:t xml:space="preserve"> </w:t>
      </w:r>
      <w:r w:rsidR="000E7D57" w:rsidRPr="000D35C9">
        <w:rPr>
          <w:rFonts w:ascii="Times New Roman" w:hAnsi="Times New Roman"/>
        </w:rPr>
        <w:t>annually.</w:t>
      </w:r>
      <w:r w:rsidR="005130D2" w:rsidRPr="000D35C9">
        <w:rPr>
          <w:rStyle w:val="FootnoteReference"/>
          <w:rFonts w:ascii="Times New Roman" w:hAnsi="Times New Roman"/>
          <w:vertAlign w:val="superscript"/>
        </w:rPr>
        <w:footnoteReference w:id="7"/>
      </w:r>
      <w:r w:rsidR="000E7D57" w:rsidRPr="000D35C9">
        <w:rPr>
          <w:rFonts w:ascii="Times New Roman" w:hAnsi="Times New Roman"/>
          <w:vertAlign w:val="superscript"/>
        </w:rPr>
        <w:t xml:space="preserve"> </w:t>
      </w:r>
      <w:r w:rsidR="000E7D57" w:rsidRPr="000D35C9">
        <w:rPr>
          <w:rFonts w:ascii="Times New Roman" w:hAnsi="Times New Roman"/>
        </w:rPr>
        <w:t xml:space="preserve"> This estimate represents costs associated with recurring salary and employee benefits, and expenses associated with software, data processing, and bank records that are not used internally for management purposes but are necessary to complete the Call Reports.</w:t>
      </w:r>
    </w:p>
    <w:p w:rsidR="00F55823" w:rsidRPr="000D35C9" w:rsidRDefault="00F55823" w:rsidP="00844FD2">
      <w:pPr>
        <w:widowControl/>
        <w:ind w:firstLine="720"/>
        <w:jc w:val="both"/>
        <w:rPr>
          <w:rFonts w:ascii="Times New Roman" w:hAnsi="Times New Roman"/>
        </w:rPr>
      </w:pPr>
    </w:p>
    <w:p w:rsidR="000E7D57" w:rsidRPr="000D35C9" w:rsidRDefault="000E7D57" w:rsidP="00804EB1">
      <w:pPr>
        <w:pStyle w:val="BodyTextIndent3"/>
        <w:widowControl/>
        <w:jc w:val="both"/>
        <w:rPr>
          <w:rFonts w:ascii="Times New Roman" w:hAnsi="Times New Roman"/>
        </w:rPr>
      </w:pPr>
      <w:r w:rsidRPr="000D35C9">
        <w:rPr>
          <w:rFonts w:ascii="Times New Roman" w:hAnsi="Times New Roman"/>
        </w:rPr>
        <w:t>With respect to the changes that are the subject of this submission, banks would incur a capital and start-up cost component, but the amount would vary from bank to bank depending upon its individual circumstances and the extent of its involvement, if any, with the particular type of activity or product about which information would begin to be collected.  An estimate of this cost component cann</w:t>
      </w:r>
      <w:r w:rsidR="00804EB1" w:rsidRPr="000D35C9">
        <w:rPr>
          <w:rFonts w:ascii="Times New Roman" w:hAnsi="Times New Roman"/>
        </w:rPr>
        <w:t>ot be determined at this time.</w:t>
      </w:r>
    </w:p>
    <w:p w:rsidR="003F1631" w:rsidRDefault="003F1631" w:rsidP="00782777">
      <w:pPr>
        <w:widowControl/>
        <w:autoSpaceDE/>
        <w:autoSpaceDN/>
        <w:adjustRightInd/>
        <w:rPr>
          <w:rFonts w:ascii="Times New Roman" w:hAnsi="Times New Roman"/>
          <w:b/>
          <w:bCs/>
        </w:rPr>
      </w:pPr>
    </w:p>
    <w:p w:rsidR="000E7D57" w:rsidRPr="000D35C9" w:rsidRDefault="000E7D57" w:rsidP="00782777">
      <w:pPr>
        <w:widowControl/>
        <w:autoSpaceDE/>
        <w:autoSpaceDN/>
        <w:adjustRightInd/>
        <w:rPr>
          <w:rFonts w:ascii="Times New Roman" w:hAnsi="Times New Roman"/>
        </w:rPr>
      </w:pPr>
      <w:r w:rsidRPr="000D35C9">
        <w:rPr>
          <w:rFonts w:ascii="Times New Roman" w:hAnsi="Times New Roman"/>
          <w:b/>
          <w:bCs/>
        </w:rPr>
        <w:t>Sensitive Questions</w:t>
      </w:r>
    </w:p>
    <w:p w:rsidR="000E7D57" w:rsidRPr="000D35C9" w:rsidRDefault="000E7D57">
      <w:pPr>
        <w:widowControl/>
        <w:tabs>
          <w:tab w:val="left" w:pos="360"/>
        </w:tabs>
        <w:rPr>
          <w:rFonts w:ascii="Times New Roman" w:hAnsi="Times New Roman"/>
        </w:rPr>
      </w:pPr>
    </w:p>
    <w:p w:rsidR="000E7D57" w:rsidRPr="000D35C9" w:rsidRDefault="000E7D57" w:rsidP="00804EB1">
      <w:pPr>
        <w:pStyle w:val="BodyTextIndent3"/>
        <w:widowControl/>
        <w:jc w:val="both"/>
        <w:rPr>
          <w:rFonts w:ascii="Times New Roman" w:hAnsi="Times New Roman"/>
        </w:rPr>
      </w:pPr>
      <w:r w:rsidRPr="000D35C9">
        <w:rPr>
          <w:rFonts w:ascii="Times New Roman" w:hAnsi="Times New Roman"/>
        </w:rPr>
        <w:t>This collection of information contains no questions of a sensitive nature, as defined by OMB guidelines.</w:t>
      </w:r>
    </w:p>
    <w:p w:rsidR="00DB1BC7" w:rsidRPr="000D35C9" w:rsidRDefault="00DB1BC7">
      <w:pPr>
        <w:widowControl/>
        <w:tabs>
          <w:tab w:val="left" w:pos="360"/>
        </w:tabs>
        <w:rPr>
          <w:rFonts w:ascii="Times New Roman" w:hAnsi="Times New Roman"/>
          <w:b/>
          <w:bCs/>
        </w:rPr>
      </w:pPr>
    </w:p>
    <w:p w:rsidR="000E7D57" w:rsidRPr="000D35C9" w:rsidRDefault="000E7D57">
      <w:pPr>
        <w:widowControl/>
        <w:tabs>
          <w:tab w:val="left" w:pos="360"/>
        </w:tabs>
        <w:rPr>
          <w:rFonts w:ascii="Times New Roman" w:hAnsi="Times New Roman"/>
        </w:rPr>
      </w:pPr>
      <w:r w:rsidRPr="000D35C9">
        <w:rPr>
          <w:rFonts w:ascii="Times New Roman" w:hAnsi="Times New Roman"/>
          <w:b/>
          <w:bCs/>
        </w:rPr>
        <w:t>Estimate of Cost to the Federal Reserve System</w:t>
      </w:r>
    </w:p>
    <w:p w:rsidR="000E7D57" w:rsidRPr="000D35C9" w:rsidRDefault="000E7D57">
      <w:pPr>
        <w:widowControl/>
        <w:tabs>
          <w:tab w:val="left" w:pos="360"/>
        </w:tabs>
        <w:rPr>
          <w:rFonts w:ascii="Times New Roman" w:hAnsi="Times New Roman"/>
        </w:rPr>
      </w:pPr>
    </w:p>
    <w:p w:rsidR="000E7D57" w:rsidRPr="000D35C9" w:rsidRDefault="00985E34" w:rsidP="004208AA">
      <w:pPr>
        <w:widowControl/>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ind w:firstLine="721"/>
        <w:jc w:val="both"/>
        <w:rPr>
          <w:rFonts w:ascii="Times New Roman" w:hAnsi="Times New Roman"/>
        </w:rPr>
      </w:pPr>
      <w:r>
        <w:rPr>
          <w:rFonts w:ascii="Times New Roman" w:hAnsi="Times New Roman"/>
        </w:rPr>
        <w:t>The c</w:t>
      </w:r>
      <w:r w:rsidR="00354091" w:rsidRPr="000D35C9">
        <w:rPr>
          <w:rFonts w:ascii="Times New Roman" w:hAnsi="Times New Roman"/>
        </w:rPr>
        <w:t xml:space="preserve">urrent cost to the Federal Reserve System for collecting and processing the Call Reports </w:t>
      </w:r>
      <w:r>
        <w:rPr>
          <w:rFonts w:ascii="Times New Roman" w:hAnsi="Times New Roman"/>
        </w:rPr>
        <w:t>is</w:t>
      </w:r>
      <w:r w:rsidR="00354091" w:rsidRPr="000D35C9">
        <w:rPr>
          <w:rFonts w:ascii="Times New Roman" w:hAnsi="Times New Roman"/>
        </w:rPr>
        <w:t xml:space="preserve"> estimated to be $1,589,906 per year.  This amount includes the routine annual costs of personnel, printing, and computer processing, as well as internal software development costs for maintaining and modifying existing operating systems used to edit and validate submitted data. </w:t>
      </w:r>
    </w:p>
    <w:sectPr w:rsidR="000E7D57" w:rsidRPr="000D35C9" w:rsidSect="00513BCD">
      <w:footerReference w:type="even" r:id="rId7"/>
      <w:footerReference w:type="default" r:id="rId8"/>
      <w:headerReference w:type="first" r:id="rId9"/>
      <w:endnotePr>
        <w:numFmt w:val="decimal"/>
      </w:endnotePr>
      <w:type w:val="continuous"/>
      <w:pgSz w:w="12240" w:h="15840" w:code="1"/>
      <w:pgMar w:top="1440" w:right="1440" w:bottom="1260" w:left="1440" w:header="720" w:footer="36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7A2" w:rsidRDefault="00A737A2">
      <w:r>
        <w:separator/>
      </w:r>
    </w:p>
  </w:endnote>
  <w:endnote w:type="continuationSeparator" w:id="0">
    <w:p w:rsidR="00A737A2" w:rsidRDefault="00A737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12pt">
    <w:panose1 w:val="00000000000000000000"/>
    <w:charset w:val="00"/>
    <w:family w:val="auto"/>
    <w:notTrueType/>
    <w:pitch w:val="variable"/>
    <w:sig w:usb0="00000003" w:usb1="00000000" w:usb2="00000000" w:usb3="00000000" w:csb0="00000001" w:csb1="00000000"/>
  </w:font>
  <w:font w:name="MACFA D+ Bembo">
    <w:altName w:val="Bembo"/>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7A2" w:rsidRPr="00E30374" w:rsidRDefault="0045585A" w:rsidP="00E30374">
    <w:pPr>
      <w:pStyle w:val="Footer"/>
      <w:jc w:val="center"/>
      <w:rPr>
        <w:rFonts w:ascii="Times New Roman" w:hAnsi="Times New Roman"/>
      </w:rPr>
    </w:pPr>
    <w:r w:rsidRPr="00E30374">
      <w:rPr>
        <w:rStyle w:val="PageNumber"/>
        <w:rFonts w:ascii="Times New Roman" w:hAnsi="Times New Roman"/>
      </w:rPr>
      <w:fldChar w:fldCharType="begin"/>
    </w:r>
    <w:r w:rsidR="00A737A2" w:rsidRPr="00E30374">
      <w:rPr>
        <w:rStyle w:val="PageNumber"/>
        <w:rFonts w:ascii="Times New Roman" w:hAnsi="Times New Roman"/>
      </w:rPr>
      <w:instrText xml:space="preserve"> PAGE </w:instrText>
    </w:r>
    <w:r w:rsidRPr="00E30374">
      <w:rPr>
        <w:rStyle w:val="PageNumber"/>
        <w:rFonts w:ascii="Times New Roman" w:hAnsi="Times New Roman"/>
      </w:rPr>
      <w:fldChar w:fldCharType="separate"/>
    </w:r>
    <w:r w:rsidR="00A737A2">
      <w:rPr>
        <w:rStyle w:val="PageNumber"/>
        <w:rFonts w:ascii="Times New Roman" w:hAnsi="Times New Roman"/>
        <w:noProof/>
      </w:rPr>
      <w:t>4</w:t>
    </w:r>
    <w:r w:rsidRPr="00E30374">
      <w:rPr>
        <w:rStyle w:val="PageNumber"/>
        <w:rFonts w:ascii="Times New Roman" w:hAns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7A2" w:rsidRPr="00E30374" w:rsidRDefault="0045585A" w:rsidP="00E30374">
    <w:pPr>
      <w:pStyle w:val="Footer"/>
      <w:jc w:val="center"/>
      <w:rPr>
        <w:rFonts w:ascii="Times New Roman" w:hAnsi="Times New Roman"/>
      </w:rPr>
    </w:pPr>
    <w:r w:rsidRPr="00E30374">
      <w:rPr>
        <w:rStyle w:val="PageNumber"/>
        <w:rFonts w:ascii="Times New Roman" w:hAnsi="Times New Roman"/>
      </w:rPr>
      <w:fldChar w:fldCharType="begin"/>
    </w:r>
    <w:r w:rsidR="00A737A2" w:rsidRPr="00E30374">
      <w:rPr>
        <w:rStyle w:val="PageNumber"/>
        <w:rFonts w:ascii="Times New Roman" w:hAnsi="Times New Roman"/>
      </w:rPr>
      <w:instrText xml:space="preserve"> PAGE </w:instrText>
    </w:r>
    <w:r w:rsidRPr="00E30374">
      <w:rPr>
        <w:rStyle w:val="PageNumber"/>
        <w:rFonts w:ascii="Times New Roman" w:hAnsi="Times New Roman"/>
      </w:rPr>
      <w:fldChar w:fldCharType="separate"/>
    </w:r>
    <w:r w:rsidR="00875D74">
      <w:rPr>
        <w:rStyle w:val="PageNumber"/>
        <w:rFonts w:ascii="Times New Roman" w:hAnsi="Times New Roman"/>
        <w:noProof/>
      </w:rPr>
      <w:t>6</w:t>
    </w:r>
    <w:r w:rsidRPr="00E30374">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7A2" w:rsidRDefault="00A737A2">
      <w:r>
        <w:separator/>
      </w:r>
    </w:p>
  </w:footnote>
  <w:footnote w:type="continuationSeparator" w:id="0">
    <w:p w:rsidR="00A737A2" w:rsidRDefault="00A737A2">
      <w:r>
        <w:continuationSeparator/>
      </w:r>
    </w:p>
  </w:footnote>
  <w:footnote w:id="1">
    <w:p w:rsidR="00A737A2" w:rsidRPr="00564C5A" w:rsidRDefault="00A737A2">
      <w:pPr>
        <w:pStyle w:val="FootnoteText"/>
        <w:rPr>
          <w:rFonts w:ascii="Times New Roman" w:hAnsi="Times New Roman"/>
          <w:sz w:val="20"/>
        </w:rPr>
      </w:pPr>
      <w:r w:rsidRPr="00564C5A">
        <w:rPr>
          <w:rStyle w:val="FootnoteReference"/>
          <w:rFonts w:ascii="Times New Roman" w:hAnsi="Times New Roman"/>
          <w:sz w:val="20"/>
          <w:vertAlign w:val="superscript"/>
        </w:rPr>
        <w:footnoteRef/>
      </w:r>
      <w:r w:rsidRPr="00564C5A">
        <w:rPr>
          <w:rFonts w:ascii="Times New Roman" w:hAnsi="Times New Roman"/>
          <w:sz w:val="20"/>
          <w:vertAlign w:val="superscript"/>
        </w:rPr>
        <w:t xml:space="preserve"> </w:t>
      </w:r>
      <w:r w:rsidRPr="00564C5A">
        <w:rPr>
          <w:rFonts w:ascii="Times New Roman" w:hAnsi="Times New Roman"/>
          <w:sz w:val="20"/>
        </w:rPr>
        <w:t>The OTS has submitted similar changes to their Thrift Financial Report (OMB No. 1550-0023).</w:t>
      </w:r>
    </w:p>
  </w:footnote>
  <w:footnote w:id="2">
    <w:p w:rsidR="00A737A2" w:rsidRPr="00235289" w:rsidRDefault="00A737A2" w:rsidP="00235289">
      <w:pPr>
        <w:pStyle w:val="FootnoteText"/>
        <w:rPr>
          <w:rFonts w:ascii="Times New Roman" w:hAnsi="Times New Roman"/>
          <w:sz w:val="20"/>
          <w:lang w:val="da-DK"/>
        </w:rPr>
      </w:pPr>
      <w:r w:rsidRPr="00235289">
        <w:rPr>
          <w:rStyle w:val="FootnoteReference"/>
          <w:rFonts w:ascii="Times New Roman" w:hAnsi="Times New Roman"/>
          <w:sz w:val="20"/>
          <w:vertAlign w:val="superscript"/>
        </w:rPr>
        <w:footnoteRef/>
      </w:r>
      <w:r w:rsidRPr="00235289">
        <w:rPr>
          <w:rFonts w:ascii="Times New Roman" w:hAnsi="Times New Roman"/>
          <w:sz w:val="20"/>
        </w:rPr>
        <w:t xml:space="preserve"> To administer the TLGP, the FDIC Board approved an interim rule on October 23, 2008, an amendment to the interim rule on November 4, 2008, and a final rule on November 21, 2008.  See 73 FR 64179, October 29, 2008; </w:t>
      </w:r>
      <w:r w:rsidRPr="00235289">
        <w:rPr>
          <w:rFonts w:ascii="Times New Roman" w:hAnsi="Times New Roman"/>
          <w:sz w:val="20"/>
          <w:lang w:val="da-DK"/>
        </w:rPr>
        <w:t>73 FR 66160, November 7, 2008; and 73 FR 72244, November 26, 2008, respectively.</w:t>
      </w:r>
    </w:p>
  </w:footnote>
  <w:footnote w:id="3">
    <w:p w:rsidR="00A737A2" w:rsidRPr="00235289" w:rsidRDefault="00A737A2" w:rsidP="00235289">
      <w:pPr>
        <w:pStyle w:val="FootnoteText"/>
        <w:rPr>
          <w:rFonts w:ascii="Times New Roman" w:hAnsi="Times New Roman"/>
          <w:sz w:val="20"/>
          <w:lang w:val="da-DK"/>
        </w:rPr>
      </w:pPr>
      <w:r w:rsidRPr="00235289">
        <w:rPr>
          <w:rStyle w:val="FootnoteReference"/>
          <w:rFonts w:ascii="Times New Roman" w:hAnsi="Times New Roman"/>
          <w:sz w:val="20"/>
          <w:vertAlign w:val="superscript"/>
        </w:rPr>
        <w:footnoteRef/>
      </w:r>
      <w:r w:rsidRPr="00235289">
        <w:rPr>
          <w:rFonts w:ascii="Times New Roman" w:hAnsi="Times New Roman"/>
          <w:sz w:val="20"/>
          <w:lang w:val="da-DK"/>
        </w:rPr>
        <w:t xml:space="preserve">  See 74 FR 45093, September 1, 2009; 75 FR 20257, April 19, 2010; and 75 FR 36506, June 28, 2010.</w:t>
      </w:r>
    </w:p>
  </w:footnote>
  <w:footnote w:id="4">
    <w:p w:rsidR="00A737A2" w:rsidRPr="00235289" w:rsidRDefault="00A737A2" w:rsidP="00235289">
      <w:pPr>
        <w:pStyle w:val="FootnoteText"/>
        <w:rPr>
          <w:rFonts w:ascii="Times New Roman" w:hAnsi="Times New Roman"/>
          <w:sz w:val="20"/>
        </w:rPr>
      </w:pPr>
      <w:r w:rsidRPr="00235289">
        <w:rPr>
          <w:rStyle w:val="FootnoteReference"/>
          <w:rFonts w:ascii="Times New Roman" w:hAnsi="Times New Roman"/>
          <w:sz w:val="20"/>
          <w:vertAlign w:val="superscript"/>
        </w:rPr>
        <w:footnoteRef/>
      </w:r>
      <w:r w:rsidRPr="00235289">
        <w:rPr>
          <w:rFonts w:ascii="Times New Roman" w:hAnsi="Times New Roman"/>
          <w:sz w:val="20"/>
          <w:vertAlign w:val="superscript"/>
        </w:rPr>
        <w:t xml:space="preserve">  </w:t>
      </w:r>
      <w:r w:rsidRPr="00235289">
        <w:rPr>
          <w:rFonts w:ascii="Times New Roman" w:hAnsi="Times New Roman"/>
          <w:sz w:val="20"/>
        </w:rPr>
        <w:t>As defined in Section 343, a “noninterest-bearing transaction account” is an account “(I) with respect to which interest is neither accrued nor paid; (II) on which the depositor or account holder is permitted to make withdrawals by negotiable or transferable instrument, payment orders of withdrawal, telephone or other electronic media transfers, or other similar items for the purpose of making payments or transfers to third parties or others; and (III) on which the insured depository institution does not reserve the right to require advance notice of an intended withdrawal.”  In contrast, under the FDIC’s TAG program, the term “noninterest-bearing transaction account” includes not</w:t>
      </w:r>
      <w:r>
        <w:t xml:space="preserve"> </w:t>
      </w:r>
      <w:r w:rsidRPr="00235289">
        <w:rPr>
          <w:rFonts w:ascii="Times New Roman" w:hAnsi="Times New Roman"/>
          <w:sz w:val="20"/>
        </w:rPr>
        <w:t>only those accounts within the scope of Section 343 but also accounts commonly known as Interest on Lawyers Trust Accounts (or functionally equivalent accounts) and n</w:t>
      </w:r>
      <w:r w:rsidRPr="00235289">
        <w:rPr>
          <w:rFonts w:ascii="Times New Roman" w:hAnsi="Times New Roman"/>
          <w:color w:val="000000"/>
          <w:sz w:val="20"/>
        </w:rPr>
        <w:t>egotiable order of withdrawal</w:t>
      </w:r>
      <w:r w:rsidRPr="00C00644">
        <w:rPr>
          <w:color w:val="000000"/>
        </w:rPr>
        <w:t xml:space="preserve"> </w:t>
      </w:r>
      <w:r w:rsidRPr="00235289">
        <w:rPr>
          <w:rFonts w:ascii="Times New Roman" w:hAnsi="Times New Roman"/>
          <w:color w:val="000000"/>
          <w:sz w:val="20"/>
        </w:rPr>
        <w:t>accounts</w:t>
      </w:r>
      <w:r w:rsidRPr="00C00644">
        <w:rPr>
          <w:color w:val="000000"/>
        </w:rPr>
        <w:t xml:space="preserve"> </w:t>
      </w:r>
      <w:r w:rsidRPr="00235289">
        <w:rPr>
          <w:rFonts w:ascii="Times New Roman" w:hAnsi="Times New Roman"/>
          <w:color w:val="000000"/>
          <w:sz w:val="20"/>
        </w:rPr>
        <w:t>with interest rates no higher than 0.25 percent for which the institution at which the account is held has committed to maintain the interest rate at or below 0.25 percent.</w:t>
      </w:r>
    </w:p>
  </w:footnote>
  <w:footnote w:id="5">
    <w:p w:rsidR="00A737A2" w:rsidRPr="00235289" w:rsidRDefault="00A737A2" w:rsidP="00235289">
      <w:pPr>
        <w:pStyle w:val="FootnoteText"/>
        <w:rPr>
          <w:rFonts w:ascii="Times New Roman" w:hAnsi="Times New Roman"/>
          <w:sz w:val="20"/>
        </w:rPr>
      </w:pPr>
      <w:r w:rsidRPr="00235289">
        <w:rPr>
          <w:rStyle w:val="FootnoteReference"/>
          <w:rFonts w:ascii="Times New Roman" w:hAnsi="Times New Roman"/>
          <w:sz w:val="20"/>
          <w:vertAlign w:val="superscript"/>
        </w:rPr>
        <w:footnoteRef/>
      </w:r>
      <w:r w:rsidRPr="00235289">
        <w:rPr>
          <w:rFonts w:ascii="Times New Roman" w:hAnsi="Times New Roman"/>
          <w:sz w:val="20"/>
          <w:vertAlign w:val="superscript"/>
        </w:rPr>
        <w:t xml:space="preserve"> </w:t>
      </w:r>
      <w:r w:rsidRPr="00235289">
        <w:rPr>
          <w:rFonts w:ascii="Times New Roman" w:hAnsi="Times New Roman"/>
          <w:sz w:val="20"/>
        </w:rPr>
        <w:t xml:space="preserve"> The Deposit Insurance Fund’s reserve ratio is the fund’s balance divided by estimated insured deposits.</w:t>
      </w:r>
    </w:p>
  </w:footnote>
  <w:footnote w:id="6">
    <w:p w:rsidR="00A737A2" w:rsidRPr="00782777" w:rsidRDefault="00A737A2" w:rsidP="00782777">
      <w:pPr>
        <w:pStyle w:val="FootnoteText"/>
        <w:jc w:val="both"/>
        <w:rPr>
          <w:rFonts w:ascii="Times New Roman" w:hAnsi="Times New Roman"/>
          <w:sz w:val="20"/>
        </w:rPr>
      </w:pPr>
      <w:r w:rsidRPr="00782777">
        <w:rPr>
          <w:rStyle w:val="FootnoteReference"/>
          <w:rFonts w:ascii="Times New Roman" w:hAnsi="Times New Roman"/>
          <w:sz w:val="20"/>
          <w:vertAlign w:val="superscript"/>
        </w:rPr>
        <w:footnoteRef/>
      </w:r>
      <w:r w:rsidRPr="00782777">
        <w:rPr>
          <w:rFonts w:ascii="Times New Roman" w:hAnsi="Times New Roman"/>
          <w:sz w:val="20"/>
        </w:rPr>
        <w:t xml:space="preserve"> Of these respondents, </w:t>
      </w:r>
      <w:r>
        <w:rPr>
          <w:rFonts w:ascii="Times New Roman" w:hAnsi="Times New Roman"/>
          <w:sz w:val="20"/>
        </w:rPr>
        <w:t>413</w:t>
      </w:r>
      <w:r w:rsidRPr="00782777">
        <w:rPr>
          <w:rFonts w:ascii="Times New Roman" w:hAnsi="Times New Roman"/>
          <w:sz w:val="20"/>
        </w:rPr>
        <w:t xml:space="preserve"> are small entities as defined by the Small Business Administration (i.e., entities with less than $175 million in total assets)</w:t>
      </w:r>
    </w:p>
    <w:p w:rsidR="00A737A2" w:rsidRDefault="0045585A" w:rsidP="00782777">
      <w:pPr>
        <w:pStyle w:val="FootnoteText"/>
        <w:jc w:val="both"/>
      </w:pPr>
      <w:hyperlink r:id="rId1" w:history="1">
        <w:r w:rsidR="00A737A2" w:rsidRPr="00782777">
          <w:rPr>
            <w:rStyle w:val="Hyperlink"/>
            <w:rFonts w:ascii="Times New Roman" w:hAnsi="Times New Roman"/>
            <w:sz w:val="20"/>
          </w:rPr>
          <w:t>www.sba.gov/contractingopportunities/officials/size/table/index.html</w:t>
        </w:r>
      </w:hyperlink>
      <w:r w:rsidR="00A737A2" w:rsidRPr="00782777">
        <w:rPr>
          <w:rFonts w:ascii="Times New Roman" w:hAnsi="Times New Roman"/>
          <w:sz w:val="20"/>
        </w:rPr>
        <w:t>.</w:t>
      </w:r>
    </w:p>
  </w:footnote>
  <w:footnote w:id="7">
    <w:p w:rsidR="00A737A2" w:rsidRPr="000D35C9" w:rsidRDefault="00A737A2" w:rsidP="002B09AA">
      <w:pPr>
        <w:spacing w:line="240" w:lineRule="atLeast"/>
        <w:ind w:right="1080"/>
        <w:rPr>
          <w:rFonts w:ascii="Times New Roman" w:hAnsi="Times New Roman"/>
          <w:color w:val="000000"/>
          <w:sz w:val="20"/>
          <w:szCs w:val="20"/>
        </w:rPr>
      </w:pPr>
      <w:r w:rsidRPr="000D35C9">
        <w:rPr>
          <w:rStyle w:val="FootnoteReference"/>
          <w:rFonts w:ascii="Times New Roman" w:hAnsi="Times New Roman"/>
          <w:sz w:val="20"/>
          <w:szCs w:val="20"/>
          <w:vertAlign w:val="superscript"/>
        </w:rPr>
        <w:footnoteRef/>
      </w:r>
      <w:r w:rsidRPr="000D35C9">
        <w:rPr>
          <w:rFonts w:ascii="Times New Roman" w:hAnsi="Times New Roman"/>
          <w:sz w:val="20"/>
          <w:szCs w:val="20"/>
        </w:rPr>
        <w:t xml:space="preserve"> </w:t>
      </w:r>
      <w:r w:rsidRPr="000D35C9">
        <w:rPr>
          <w:rFonts w:ascii="Times New Roman" w:hAnsi="Times New Roman"/>
          <w:color w:val="000000"/>
          <w:sz w:val="20"/>
          <w:szCs w:val="20"/>
        </w:rPr>
        <w:t xml:space="preserve"> Total cost to the public was estimated using the following formula: percent of staff time, multiplied by annual burden hours, multiplied by hourly rate (30% Office &amp; Administrative Support @ $16, 50% Financial Managers @ $48, 10% Legal Counsel @ $54, and 10% Chief Executives @ $76).  Hourly rate for each occupational group are the median hourly wages (rounded up) from the Bureau of Labor and Statistics (BLS), Occupational </w:t>
      </w:r>
      <w:r w:rsidRPr="000D35C9">
        <w:rPr>
          <w:rFonts w:ascii="Times New Roman" w:hAnsi="Times New Roman"/>
          <w:sz w:val="20"/>
          <w:szCs w:val="20"/>
        </w:rPr>
        <w:t xml:space="preserve">Employment and Wages 2008, </w:t>
      </w:r>
      <w:hyperlink r:id="rId2" w:history="1">
        <w:r w:rsidRPr="000D35C9">
          <w:rPr>
            <w:rStyle w:val="Hyperlink"/>
            <w:rFonts w:ascii="Times New Roman" w:hAnsi="Times New Roman"/>
            <w:color w:val="auto"/>
            <w:sz w:val="20"/>
            <w:szCs w:val="20"/>
          </w:rPr>
          <w:t>www.bls.gov/news.release/ocwage.nr0.htm</w:t>
        </w:r>
      </w:hyperlink>
      <w:r w:rsidRPr="000D35C9">
        <w:rPr>
          <w:rFonts w:ascii="Times New Roman" w:hAnsi="Times New Roman"/>
          <w:sz w:val="20"/>
          <w:szCs w:val="20"/>
        </w:rPr>
        <w:t xml:space="preserve"> .  Occupations are defined using the BLS Occupational Classification System,  </w:t>
      </w:r>
      <w:hyperlink r:id="rId3" w:history="1">
        <w:r w:rsidRPr="000D35C9">
          <w:rPr>
            <w:rStyle w:val="Hyperlink"/>
            <w:rFonts w:ascii="Times New Roman" w:hAnsi="Times New Roman"/>
            <w:color w:val="auto"/>
            <w:sz w:val="20"/>
            <w:szCs w:val="20"/>
          </w:rPr>
          <w:t>www.bls.gov/soc/</w:t>
        </w:r>
      </w:hyperlink>
      <w:r w:rsidRPr="000D35C9">
        <w:rPr>
          <w:rFonts w:ascii="Times New Roman" w:hAnsi="Times New Roman"/>
          <w:sz w:val="20"/>
          <w:szCs w:val="20"/>
        </w:rPr>
        <w:t xml:space="preserve"> .</w:t>
      </w:r>
    </w:p>
    <w:p w:rsidR="00A737A2" w:rsidRDefault="00A737A2">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7A2" w:rsidRPr="00C8009C" w:rsidRDefault="00A737A2" w:rsidP="00C8009C">
    <w:pPr>
      <w:pStyle w:val="Header"/>
      <w:jc w:val="right"/>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558EE"/>
    <w:multiLevelType w:val="hybridMultilevel"/>
    <w:tmpl w:val="F320AA14"/>
    <w:lvl w:ilvl="0" w:tplc="19C625D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085660"/>
    <w:multiLevelType w:val="hybridMultilevel"/>
    <w:tmpl w:val="B9BAC73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15E06C07"/>
    <w:multiLevelType w:val="hybridMultilevel"/>
    <w:tmpl w:val="2DDE0B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CA06350"/>
    <w:multiLevelType w:val="hybridMultilevel"/>
    <w:tmpl w:val="6142A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655ACB"/>
    <w:multiLevelType w:val="hybridMultilevel"/>
    <w:tmpl w:val="B8BA5A2A"/>
    <w:lvl w:ilvl="0" w:tplc="90D4911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4A071BF"/>
    <w:multiLevelType w:val="hybridMultilevel"/>
    <w:tmpl w:val="EF08CC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81873DD"/>
    <w:multiLevelType w:val="hybridMultilevel"/>
    <w:tmpl w:val="689202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8534C0D"/>
    <w:multiLevelType w:val="hybridMultilevel"/>
    <w:tmpl w:val="AB5EA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A085D8B"/>
    <w:multiLevelType w:val="hybridMultilevel"/>
    <w:tmpl w:val="ED20941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4D3F1CF0"/>
    <w:multiLevelType w:val="hybridMultilevel"/>
    <w:tmpl w:val="CCC67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433787C"/>
    <w:multiLevelType w:val="hybridMultilevel"/>
    <w:tmpl w:val="CE2ADA64"/>
    <w:lvl w:ilvl="0" w:tplc="2B1C44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1">
    <w:nsid w:val="5D6D734B"/>
    <w:multiLevelType w:val="singleLevel"/>
    <w:tmpl w:val="EFCCE67C"/>
    <w:lvl w:ilvl="0">
      <w:start w:val="1"/>
      <w:numFmt w:val="decimal"/>
      <w:pStyle w:val="Heading5"/>
      <w:lvlText w:val="%1"/>
      <w:lvlJc w:val="left"/>
      <w:pPr>
        <w:tabs>
          <w:tab w:val="num" w:pos="1440"/>
        </w:tabs>
        <w:ind w:left="1440" w:hanging="1080"/>
      </w:pPr>
      <w:rPr>
        <w:rFonts w:ascii="Arial" w:hAnsi="Arial" w:hint="default"/>
        <w:b/>
        <w:i w:val="0"/>
        <w:sz w:val="20"/>
      </w:rPr>
    </w:lvl>
  </w:abstractNum>
  <w:abstractNum w:abstractNumId="12">
    <w:nsid w:val="6BB42211"/>
    <w:multiLevelType w:val="hybridMultilevel"/>
    <w:tmpl w:val="47B4303A"/>
    <w:lvl w:ilvl="0" w:tplc="4CB638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nsid w:val="6E981FC3"/>
    <w:multiLevelType w:val="hybridMultilevel"/>
    <w:tmpl w:val="72E66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2992C69"/>
    <w:multiLevelType w:val="hybridMultilevel"/>
    <w:tmpl w:val="565A5038"/>
    <w:lvl w:ilvl="0" w:tplc="0056538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
  </w:num>
  <w:num w:numId="3">
    <w:abstractNumId w:val="6"/>
  </w:num>
  <w:num w:numId="4">
    <w:abstractNumId w:val="8"/>
  </w:num>
  <w:num w:numId="5">
    <w:abstractNumId w:val="10"/>
  </w:num>
  <w:num w:numId="6">
    <w:abstractNumId w:val="12"/>
  </w:num>
  <w:num w:numId="7">
    <w:abstractNumId w:val="0"/>
  </w:num>
  <w:num w:numId="8">
    <w:abstractNumId w:val="4"/>
  </w:num>
  <w:num w:numId="9">
    <w:abstractNumId w:val="9"/>
  </w:num>
  <w:num w:numId="10">
    <w:abstractNumId w:val="3"/>
  </w:num>
  <w:num w:numId="11">
    <w:abstractNumId w:val="7"/>
  </w:num>
  <w:num w:numId="12">
    <w:abstractNumId w:val="5"/>
  </w:num>
  <w:num w:numId="13">
    <w:abstractNumId w:val="1"/>
  </w:num>
  <w:num w:numId="14">
    <w:abstractNumId w:val="13"/>
  </w:num>
  <w:num w:numId="15">
    <w:abstractNumId w:val="1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5F2454"/>
    <w:rsid w:val="00005013"/>
    <w:rsid w:val="00007446"/>
    <w:rsid w:val="000074E7"/>
    <w:rsid w:val="000105B8"/>
    <w:rsid w:val="00052329"/>
    <w:rsid w:val="000671C4"/>
    <w:rsid w:val="0008523F"/>
    <w:rsid w:val="000915A5"/>
    <w:rsid w:val="00091E64"/>
    <w:rsid w:val="00095BE0"/>
    <w:rsid w:val="000A2224"/>
    <w:rsid w:val="000A49D8"/>
    <w:rsid w:val="000C6B98"/>
    <w:rsid w:val="000C748A"/>
    <w:rsid w:val="000D35C9"/>
    <w:rsid w:val="000D5407"/>
    <w:rsid w:val="000E7D57"/>
    <w:rsid w:val="000F753D"/>
    <w:rsid w:val="00116759"/>
    <w:rsid w:val="00116C8A"/>
    <w:rsid w:val="00121799"/>
    <w:rsid w:val="00124320"/>
    <w:rsid w:val="00133F74"/>
    <w:rsid w:val="00146AE4"/>
    <w:rsid w:val="00154ECF"/>
    <w:rsid w:val="001566B1"/>
    <w:rsid w:val="00156996"/>
    <w:rsid w:val="0015741C"/>
    <w:rsid w:val="001606EC"/>
    <w:rsid w:val="00162427"/>
    <w:rsid w:val="001701E1"/>
    <w:rsid w:val="00190AA3"/>
    <w:rsid w:val="001B77FC"/>
    <w:rsid w:val="001D32C4"/>
    <w:rsid w:val="001E2954"/>
    <w:rsid w:val="001E6FA6"/>
    <w:rsid w:val="00216084"/>
    <w:rsid w:val="00235289"/>
    <w:rsid w:val="0025415A"/>
    <w:rsid w:val="00267316"/>
    <w:rsid w:val="00271AAB"/>
    <w:rsid w:val="002802E6"/>
    <w:rsid w:val="002854E4"/>
    <w:rsid w:val="002B09AA"/>
    <w:rsid w:val="002B46B7"/>
    <w:rsid w:val="002B4F98"/>
    <w:rsid w:val="002C7A05"/>
    <w:rsid w:val="002D6951"/>
    <w:rsid w:val="002D6F1D"/>
    <w:rsid w:val="002E04D3"/>
    <w:rsid w:val="002F769E"/>
    <w:rsid w:val="00305816"/>
    <w:rsid w:val="00327178"/>
    <w:rsid w:val="00344444"/>
    <w:rsid w:val="00354091"/>
    <w:rsid w:val="003632CB"/>
    <w:rsid w:val="0036795B"/>
    <w:rsid w:val="00372A03"/>
    <w:rsid w:val="00375044"/>
    <w:rsid w:val="00381901"/>
    <w:rsid w:val="00381BAF"/>
    <w:rsid w:val="0038298E"/>
    <w:rsid w:val="00386650"/>
    <w:rsid w:val="00391648"/>
    <w:rsid w:val="00391E54"/>
    <w:rsid w:val="003C7568"/>
    <w:rsid w:val="003D6199"/>
    <w:rsid w:val="003E1198"/>
    <w:rsid w:val="003E1961"/>
    <w:rsid w:val="003F1631"/>
    <w:rsid w:val="003F24AA"/>
    <w:rsid w:val="00400B04"/>
    <w:rsid w:val="00404DA8"/>
    <w:rsid w:val="00413420"/>
    <w:rsid w:val="00414C5D"/>
    <w:rsid w:val="0041718F"/>
    <w:rsid w:val="004208AA"/>
    <w:rsid w:val="0045585A"/>
    <w:rsid w:val="00472307"/>
    <w:rsid w:val="00485E5D"/>
    <w:rsid w:val="00494299"/>
    <w:rsid w:val="00495AA5"/>
    <w:rsid w:val="004A0112"/>
    <w:rsid w:val="004A0E01"/>
    <w:rsid w:val="004A11C3"/>
    <w:rsid w:val="004C6593"/>
    <w:rsid w:val="004F1FE0"/>
    <w:rsid w:val="00506466"/>
    <w:rsid w:val="005130D2"/>
    <w:rsid w:val="00513BCD"/>
    <w:rsid w:val="0052281E"/>
    <w:rsid w:val="00536C01"/>
    <w:rsid w:val="00563B4C"/>
    <w:rsid w:val="00564C5A"/>
    <w:rsid w:val="00576790"/>
    <w:rsid w:val="00581F55"/>
    <w:rsid w:val="00591647"/>
    <w:rsid w:val="00591815"/>
    <w:rsid w:val="005B692C"/>
    <w:rsid w:val="005D0558"/>
    <w:rsid w:val="005D7707"/>
    <w:rsid w:val="005E3887"/>
    <w:rsid w:val="005F2454"/>
    <w:rsid w:val="005F3992"/>
    <w:rsid w:val="00607487"/>
    <w:rsid w:val="00620668"/>
    <w:rsid w:val="00621C95"/>
    <w:rsid w:val="00626F9C"/>
    <w:rsid w:val="00641F7D"/>
    <w:rsid w:val="006504B4"/>
    <w:rsid w:val="00657033"/>
    <w:rsid w:val="006821DE"/>
    <w:rsid w:val="0068396F"/>
    <w:rsid w:val="00683AAD"/>
    <w:rsid w:val="0069439F"/>
    <w:rsid w:val="006956DF"/>
    <w:rsid w:val="006C6A53"/>
    <w:rsid w:val="007009BE"/>
    <w:rsid w:val="00717B88"/>
    <w:rsid w:val="007253F9"/>
    <w:rsid w:val="00725568"/>
    <w:rsid w:val="007268F5"/>
    <w:rsid w:val="0073413A"/>
    <w:rsid w:val="007471F7"/>
    <w:rsid w:val="007543CB"/>
    <w:rsid w:val="00761031"/>
    <w:rsid w:val="00782777"/>
    <w:rsid w:val="00785DE4"/>
    <w:rsid w:val="007917B3"/>
    <w:rsid w:val="00797CC8"/>
    <w:rsid w:val="007A6A3E"/>
    <w:rsid w:val="007A7FEB"/>
    <w:rsid w:val="007C6980"/>
    <w:rsid w:val="007D4892"/>
    <w:rsid w:val="007D6C88"/>
    <w:rsid w:val="007D7F50"/>
    <w:rsid w:val="007F722A"/>
    <w:rsid w:val="0080082A"/>
    <w:rsid w:val="00804EB1"/>
    <w:rsid w:val="008057FA"/>
    <w:rsid w:val="00810E73"/>
    <w:rsid w:val="008272C2"/>
    <w:rsid w:val="00837DF3"/>
    <w:rsid w:val="00841092"/>
    <w:rsid w:val="00844FD2"/>
    <w:rsid w:val="008657C1"/>
    <w:rsid w:val="008748DE"/>
    <w:rsid w:val="00875D74"/>
    <w:rsid w:val="00883923"/>
    <w:rsid w:val="00885A53"/>
    <w:rsid w:val="008D3D60"/>
    <w:rsid w:val="008D41D2"/>
    <w:rsid w:val="008E4E40"/>
    <w:rsid w:val="008E7AEF"/>
    <w:rsid w:val="008F37A8"/>
    <w:rsid w:val="00905999"/>
    <w:rsid w:val="009173D5"/>
    <w:rsid w:val="00922B6C"/>
    <w:rsid w:val="00932960"/>
    <w:rsid w:val="00944E3C"/>
    <w:rsid w:val="00965005"/>
    <w:rsid w:val="00965718"/>
    <w:rsid w:val="00972322"/>
    <w:rsid w:val="00972C3E"/>
    <w:rsid w:val="00984353"/>
    <w:rsid w:val="00985E34"/>
    <w:rsid w:val="00992C88"/>
    <w:rsid w:val="009A2181"/>
    <w:rsid w:val="009A633C"/>
    <w:rsid w:val="009A64C5"/>
    <w:rsid w:val="009B16AD"/>
    <w:rsid w:val="009B3974"/>
    <w:rsid w:val="009B599D"/>
    <w:rsid w:val="009D3FDE"/>
    <w:rsid w:val="009D729C"/>
    <w:rsid w:val="009E4828"/>
    <w:rsid w:val="009E4B47"/>
    <w:rsid w:val="009F11BC"/>
    <w:rsid w:val="009F3291"/>
    <w:rsid w:val="009F7D24"/>
    <w:rsid w:val="00A14ABF"/>
    <w:rsid w:val="00A47075"/>
    <w:rsid w:val="00A51FE3"/>
    <w:rsid w:val="00A55F7E"/>
    <w:rsid w:val="00A60777"/>
    <w:rsid w:val="00A60B66"/>
    <w:rsid w:val="00A66054"/>
    <w:rsid w:val="00A737A2"/>
    <w:rsid w:val="00A80E3C"/>
    <w:rsid w:val="00A85D20"/>
    <w:rsid w:val="00A863C4"/>
    <w:rsid w:val="00A873FD"/>
    <w:rsid w:val="00AD33C0"/>
    <w:rsid w:val="00AD5797"/>
    <w:rsid w:val="00B2384E"/>
    <w:rsid w:val="00B37A9A"/>
    <w:rsid w:val="00B42EA7"/>
    <w:rsid w:val="00B4415B"/>
    <w:rsid w:val="00B478F2"/>
    <w:rsid w:val="00B5043C"/>
    <w:rsid w:val="00B600A1"/>
    <w:rsid w:val="00B713C1"/>
    <w:rsid w:val="00B75F9A"/>
    <w:rsid w:val="00B81626"/>
    <w:rsid w:val="00B87E5E"/>
    <w:rsid w:val="00B9295B"/>
    <w:rsid w:val="00BA1D50"/>
    <w:rsid w:val="00BA42F4"/>
    <w:rsid w:val="00BA5648"/>
    <w:rsid w:val="00BC7DDA"/>
    <w:rsid w:val="00BD2AB9"/>
    <w:rsid w:val="00BD2D1F"/>
    <w:rsid w:val="00BE060A"/>
    <w:rsid w:val="00BE180C"/>
    <w:rsid w:val="00BF6AC4"/>
    <w:rsid w:val="00C07930"/>
    <w:rsid w:val="00C13C84"/>
    <w:rsid w:val="00C14FEF"/>
    <w:rsid w:val="00C41BCD"/>
    <w:rsid w:val="00C57BDF"/>
    <w:rsid w:val="00C60E88"/>
    <w:rsid w:val="00C61541"/>
    <w:rsid w:val="00C72F1F"/>
    <w:rsid w:val="00C74BCE"/>
    <w:rsid w:val="00C7540B"/>
    <w:rsid w:val="00C8009C"/>
    <w:rsid w:val="00C8176E"/>
    <w:rsid w:val="00C81F4D"/>
    <w:rsid w:val="00C857EE"/>
    <w:rsid w:val="00C858CC"/>
    <w:rsid w:val="00C86940"/>
    <w:rsid w:val="00C870A5"/>
    <w:rsid w:val="00C912E5"/>
    <w:rsid w:val="00CA49D8"/>
    <w:rsid w:val="00CD0778"/>
    <w:rsid w:val="00CD1148"/>
    <w:rsid w:val="00CE56C9"/>
    <w:rsid w:val="00CE79FF"/>
    <w:rsid w:val="00CF278D"/>
    <w:rsid w:val="00CF2FCB"/>
    <w:rsid w:val="00CF69E2"/>
    <w:rsid w:val="00CF7C8F"/>
    <w:rsid w:val="00D04052"/>
    <w:rsid w:val="00D06CD0"/>
    <w:rsid w:val="00D11DB7"/>
    <w:rsid w:val="00D25F1F"/>
    <w:rsid w:val="00D3168A"/>
    <w:rsid w:val="00D329D5"/>
    <w:rsid w:val="00D354C3"/>
    <w:rsid w:val="00D367B4"/>
    <w:rsid w:val="00D420EA"/>
    <w:rsid w:val="00D43CA3"/>
    <w:rsid w:val="00D51AC3"/>
    <w:rsid w:val="00D533F6"/>
    <w:rsid w:val="00D90AFE"/>
    <w:rsid w:val="00D935DA"/>
    <w:rsid w:val="00D97648"/>
    <w:rsid w:val="00DA2EA2"/>
    <w:rsid w:val="00DB1BC7"/>
    <w:rsid w:val="00DD6CD2"/>
    <w:rsid w:val="00DE027E"/>
    <w:rsid w:val="00DE51C6"/>
    <w:rsid w:val="00DF4583"/>
    <w:rsid w:val="00DF527C"/>
    <w:rsid w:val="00E070A9"/>
    <w:rsid w:val="00E07713"/>
    <w:rsid w:val="00E14183"/>
    <w:rsid w:val="00E30374"/>
    <w:rsid w:val="00E462E5"/>
    <w:rsid w:val="00E52C44"/>
    <w:rsid w:val="00E70831"/>
    <w:rsid w:val="00E816D8"/>
    <w:rsid w:val="00E94147"/>
    <w:rsid w:val="00E97ABA"/>
    <w:rsid w:val="00EA0C8D"/>
    <w:rsid w:val="00EB2B27"/>
    <w:rsid w:val="00EC19D3"/>
    <w:rsid w:val="00EC4F34"/>
    <w:rsid w:val="00ED613D"/>
    <w:rsid w:val="00F01D1B"/>
    <w:rsid w:val="00F02674"/>
    <w:rsid w:val="00F027C5"/>
    <w:rsid w:val="00F207CA"/>
    <w:rsid w:val="00F37B53"/>
    <w:rsid w:val="00F54ECB"/>
    <w:rsid w:val="00F55823"/>
    <w:rsid w:val="00F66D29"/>
    <w:rsid w:val="00F67940"/>
    <w:rsid w:val="00F81FCB"/>
    <w:rsid w:val="00F90733"/>
    <w:rsid w:val="00FB0DA8"/>
    <w:rsid w:val="00FB0F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291"/>
    <w:pPr>
      <w:widowControl w:val="0"/>
      <w:autoSpaceDE w:val="0"/>
      <w:autoSpaceDN w:val="0"/>
      <w:adjustRightInd w:val="0"/>
    </w:pPr>
    <w:rPr>
      <w:rFonts w:ascii="Times" w:hAnsi="Times"/>
      <w:sz w:val="24"/>
      <w:szCs w:val="24"/>
    </w:rPr>
  </w:style>
  <w:style w:type="paragraph" w:styleId="Heading1">
    <w:name w:val="heading 1"/>
    <w:basedOn w:val="Normal"/>
    <w:next w:val="Normal"/>
    <w:qFormat/>
    <w:rsid w:val="009F3291"/>
    <w:pPr>
      <w:keepNext/>
      <w:widowControl/>
      <w:tabs>
        <w:tab w:val="left" w:pos="360"/>
      </w:tabs>
      <w:outlineLvl w:val="0"/>
    </w:pPr>
    <w:rPr>
      <w:b/>
      <w:bCs/>
    </w:rPr>
  </w:style>
  <w:style w:type="paragraph" w:styleId="Heading2">
    <w:name w:val="heading 2"/>
    <w:basedOn w:val="Normal"/>
    <w:next w:val="Normal"/>
    <w:qFormat/>
    <w:rsid w:val="009F3291"/>
    <w:pPr>
      <w:keepNext/>
      <w:widowControl/>
      <w:autoSpaceDE/>
      <w:autoSpaceDN/>
      <w:adjustRightInd/>
      <w:spacing w:line="480" w:lineRule="auto"/>
      <w:outlineLvl w:val="1"/>
    </w:pPr>
    <w:rPr>
      <w:rFonts w:ascii="Times New Roman" w:hAnsi="Times New Roman"/>
      <w:snapToGrid w:val="0"/>
      <w:szCs w:val="20"/>
      <w:u w:val="single"/>
    </w:rPr>
  </w:style>
  <w:style w:type="paragraph" w:styleId="Heading3">
    <w:name w:val="heading 3"/>
    <w:basedOn w:val="Normal"/>
    <w:next w:val="Normal"/>
    <w:qFormat/>
    <w:rsid w:val="009F3291"/>
    <w:pPr>
      <w:keepNext/>
      <w:widowControl/>
      <w:autoSpaceDE/>
      <w:autoSpaceDN/>
      <w:adjustRightInd/>
      <w:spacing w:before="240" w:after="60"/>
      <w:outlineLvl w:val="2"/>
    </w:pPr>
    <w:rPr>
      <w:rFonts w:ascii="Times New Roman" w:hAnsi="Times New Roman"/>
      <w:szCs w:val="20"/>
      <w:u w:val="single"/>
    </w:rPr>
  </w:style>
  <w:style w:type="paragraph" w:styleId="Heading4">
    <w:name w:val="heading 4"/>
    <w:basedOn w:val="Normal"/>
    <w:next w:val="Normal"/>
    <w:qFormat/>
    <w:rsid w:val="009F3291"/>
    <w:pPr>
      <w:keepNext/>
      <w:widowControl/>
      <w:tabs>
        <w:tab w:val="left" w:pos="360"/>
      </w:tabs>
      <w:jc w:val="center"/>
      <w:outlineLvl w:val="3"/>
    </w:pPr>
    <w:rPr>
      <w:b/>
      <w:bCs/>
    </w:rPr>
  </w:style>
  <w:style w:type="paragraph" w:styleId="Heading5">
    <w:name w:val="heading 5"/>
    <w:basedOn w:val="Normal"/>
    <w:next w:val="Normal"/>
    <w:qFormat/>
    <w:rsid w:val="009F3291"/>
    <w:pPr>
      <w:keepNext/>
      <w:widowControl/>
      <w:numPr>
        <w:numId w:val="1"/>
      </w:numPr>
      <w:autoSpaceDE/>
      <w:autoSpaceDN/>
      <w:adjustRightInd/>
      <w:spacing w:after="120"/>
      <w:outlineLvl w:val="4"/>
    </w:pPr>
    <w:rPr>
      <w:rFonts w:ascii="Arial" w:hAnsi="Arial"/>
      <w:b/>
      <w:snapToGrid w:val="0"/>
      <w:sz w:val="20"/>
      <w:szCs w:val="20"/>
    </w:rPr>
  </w:style>
  <w:style w:type="paragraph" w:styleId="Heading6">
    <w:name w:val="heading 6"/>
    <w:basedOn w:val="Normal"/>
    <w:next w:val="Normal"/>
    <w:qFormat/>
    <w:rsid w:val="00414C5D"/>
    <w:pPr>
      <w:keepNext/>
      <w:widowControl/>
      <w:autoSpaceDE/>
      <w:autoSpaceDN/>
      <w:adjustRightInd/>
      <w:outlineLvl w:val="5"/>
    </w:pPr>
    <w:rPr>
      <w:rFonts w:ascii="Times New Roman" w:hAnsi="Times New Roman"/>
      <w:b/>
      <w:szCs w:val="20"/>
    </w:rPr>
  </w:style>
  <w:style w:type="paragraph" w:styleId="Heading7">
    <w:name w:val="heading 7"/>
    <w:basedOn w:val="Normal"/>
    <w:next w:val="Normal"/>
    <w:qFormat/>
    <w:rsid w:val="00414C5D"/>
    <w:pPr>
      <w:keepNext/>
      <w:widowControl/>
      <w:autoSpaceDE/>
      <w:autoSpaceDN/>
      <w:adjustRightInd/>
      <w:ind w:left="-900"/>
      <w:outlineLvl w:val="6"/>
    </w:pPr>
    <w:rPr>
      <w:rFonts w:ascii="Times New Roman" w:hAnsi="Times New Roman"/>
      <w:b/>
      <w:szCs w:val="20"/>
    </w:rPr>
  </w:style>
  <w:style w:type="paragraph" w:styleId="Heading8">
    <w:name w:val="heading 8"/>
    <w:basedOn w:val="Normal"/>
    <w:next w:val="Normal"/>
    <w:qFormat/>
    <w:rsid w:val="00414C5D"/>
    <w:pPr>
      <w:keepNext/>
      <w:widowControl/>
      <w:autoSpaceDE/>
      <w:autoSpaceDN/>
      <w:adjustRightInd/>
      <w:jc w:val="center"/>
      <w:outlineLvl w:val="7"/>
    </w:pPr>
    <w:rPr>
      <w:rFonts w:ascii="Times New Roman" w:hAnsi="Times New Roman"/>
      <w:b/>
      <w:szCs w:val="20"/>
    </w:rPr>
  </w:style>
  <w:style w:type="paragraph" w:styleId="Heading9">
    <w:name w:val="heading 9"/>
    <w:basedOn w:val="Normal"/>
    <w:next w:val="Normal"/>
    <w:qFormat/>
    <w:rsid w:val="0069439F"/>
    <w:pPr>
      <w:keepNext/>
      <w:widowControl/>
      <w:spacing w:line="480" w:lineRule="auto"/>
      <w:outlineLvl w:val="8"/>
    </w:pPr>
    <w:rPr>
      <w:rFonts w:ascii="Times New Roman" w:hAnsi="Times New Roman"/>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F3291"/>
  </w:style>
  <w:style w:type="paragraph" w:customStyle="1" w:styleId="Style">
    <w:name w:val="Style"/>
    <w:basedOn w:val="Normal"/>
    <w:rsid w:val="009F3291"/>
    <w:pPr>
      <w:ind w:left="360" w:hanging="360"/>
    </w:pPr>
  </w:style>
  <w:style w:type="paragraph" w:styleId="FootnoteText">
    <w:name w:val="footnote text"/>
    <w:aliases w:val="ft"/>
    <w:basedOn w:val="Normal"/>
    <w:link w:val="FootnoteTextChar"/>
    <w:semiHidden/>
    <w:rsid w:val="009F3291"/>
    <w:pPr>
      <w:autoSpaceDE/>
      <w:autoSpaceDN/>
      <w:adjustRightInd/>
    </w:pPr>
    <w:rPr>
      <w:rFonts w:ascii="Courier" w:hAnsi="Courier"/>
      <w:snapToGrid w:val="0"/>
      <w:szCs w:val="20"/>
    </w:rPr>
  </w:style>
  <w:style w:type="paragraph" w:styleId="BodyTextIndent">
    <w:name w:val="Body Text Indent"/>
    <w:basedOn w:val="Normal"/>
    <w:rsid w:val="009F3291"/>
    <w:pPr>
      <w:widowControl/>
      <w:ind w:firstLine="504"/>
    </w:pPr>
    <w:rPr>
      <w:rFonts w:ascii="Times New Roman" w:hAnsi="Times New Roman"/>
    </w:rPr>
  </w:style>
  <w:style w:type="paragraph" w:styleId="BodyTextIndent2">
    <w:name w:val="Body Text Indent 2"/>
    <w:basedOn w:val="Normal"/>
    <w:rsid w:val="009F3291"/>
    <w:pPr>
      <w:widowControl/>
      <w:autoSpaceDE/>
      <w:autoSpaceDN/>
      <w:adjustRightInd/>
      <w:spacing w:line="480" w:lineRule="auto"/>
      <w:ind w:left="504"/>
    </w:pPr>
    <w:rPr>
      <w:rFonts w:ascii="Times New Roman" w:hAnsi="Times New Roman"/>
      <w:snapToGrid w:val="0"/>
      <w:szCs w:val="20"/>
    </w:rPr>
  </w:style>
  <w:style w:type="paragraph" w:styleId="BodyText2">
    <w:name w:val="Body Text 2"/>
    <w:basedOn w:val="Normal"/>
    <w:rsid w:val="009F3291"/>
    <w:pPr>
      <w:widowControl/>
      <w:autoSpaceDE/>
      <w:autoSpaceDN/>
      <w:adjustRightInd/>
      <w:spacing w:line="480" w:lineRule="auto"/>
    </w:pPr>
    <w:rPr>
      <w:rFonts w:ascii="Times New Roman" w:hAnsi="Times New Roman"/>
      <w:b/>
      <w:i/>
      <w:szCs w:val="20"/>
    </w:rPr>
  </w:style>
  <w:style w:type="paragraph" w:styleId="Title">
    <w:name w:val="Title"/>
    <w:basedOn w:val="Normal"/>
    <w:qFormat/>
    <w:rsid w:val="009F3291"/>
    <w:pPr>
      <w:widowControl/>
      <w:autoSpaceDE/>
      <w:autoSpaceDN/>
      <w:adjustRightInd/>
      <w:jc w:val="center"/>
    </w:pPr>
    <w:rPr>
      <w:rFonts w:ascii="Times New Roman" w:hAnsi="Times New Roman"/>
      <w:b/>
      <w:szCs w:val="20"/>
    </w:rPr>
  </w:style>
  <w:style w:type="paragraph" w:styleId="Header">
    <w:name w:val="header"/>
    <w:basedOn w:val="Normal"/>
    <w:rsid w:val="009F3291"/>
    <w:pPr>
      <w:tabs>
        <w:tab w:val="center" w:pos="4320"/>
        <w:tab w:val="right" w:pos="8640"/>
      </w:tabs>
      <w:autoSpaceDE/>
      <w:autoSpaceDN/>
      <w:adjustRightInd/>
    </w:pPr>
    <w:rPr>
      <w:rFonts w:ascii="Courier" w:hAnsi="Courier"/>
      <w:snapToGrid w:val="0"/>
      <w:szCs w:val="20"/>
    </w:rPr>
  </w:style>
  <w:style w:type="paragraph" w:styleId="TOC6">
    <w:name w:val="toc 6"/>
    <w:basedOn w:val="Normal"/>
    <w:next w:val="Normal"/>
    <w:autoRedefine/>
    <w:semiHidden/>
    <w:rsid w:val="009F3291"/>
    <w:pPr>
      <w:tabs>
        <w:tab w:val="right" w:pos="9360"/>
      </w:tabs>
      <w:suppressAutoHyphens/>
      <w:autoSpaceDE/>
      <w:autoSpaceDN/>
      <w:adjustRightInd/>
      <w:ind w:left="720" w:hanging="720"/>
    </w:pPr>
    <w:rPr>
      <w:rFonts w:ascii="Courier" w:hAnsi="Courier"/>
      <w:snapToGrid w:val="0"/>
      <w:szCs w:val="20"/>
    </w:rPr>
  </w:style>
  <w:style w:type="paragraph" w:styleId="BodyText">
    <w:name w:val="Body Text"/>
    <w:basedOn w:val="Normal"/>
    <w:rsid w:val="009F3291"/>
    <w:pPr>
      <w:tabs>
        <w:tab w:val="left" w:pos="-720"/>
        <w:tab w:val="left" w:pos="134"/>
        <w:tab w:val="left" w:pos="432"/>
        <w:tab w:val="left" w:pos="864"/>
        <w:tab w:val="left" w:pos="4320"/>
        <w:tab w:val="left" w:pos="5040"/>
        <w:tab w:val="left" w:pos="5760"/>
      </w:tabs>
      <w:suppressAutoHyphens/>
      <w:autoSpaceDE/>
      <w:autoSpaceDN/>
      <w:adjustRightInd/>
      <w:spacing w:line="480" w:lineRule="auto"/>
      <w:jc w:val="both"/>
    </w:pPr>
    <w:rPr>
      <w:rFonts w:ascii="CG Times (W1)" w:hAnsi="CG Times (W1)"/>
      <w:snapToGrid w:val="0"/>
      <w:spacing w:val="-2"/>
      <w:szCs w:val="20"/>
    </w:rPr>
  </w:style>
  <w:style w:type="paragraph" w:styleId="BodyTextIndent3">
    <w:name w:val="Body Text Indent 3"/>
    <w:basedOn w:val="Normal"/>
    <w:rsid w:val="009F3291"/>
    <w:pPr>
      <w:ind w:firstLine="720"/>
    </w:pPr>
  </w:style>
  <w:style w:type="paragraph" w:styleId="Subtitle">
    <w:name w:val="Subtitle"/>
    <w:basedOn w:val="Normal"/>
    <w:qFormat/>
    <w:rsid w:val="009F3291"/>
    <w:pPr>
      <w:widowControl/>
    </w:pPr>
    <w:rPr>
      <w:rFonts w:ascii="TimesNewRoman,Bold" w:hAnsi="TimesNewRoman,Bold"/>
      <w:b/>
      <w:bCs/>
    </w:rPr>
  </w:style>
  <w:style w:type="paragraph" w:styleId="Footer">
    <w:name w:val="footer"/>
    <w:basedOn w:val="Normal"/>
    <w:rsid w:val="009F3291"/>
    <w:pPr>
      <w:tabs>
        <w:tab w:val="center" w:pos="4320"/>
        <w:tab w:val="right" w:pos="8640"/>
      </w:tabs>
    </w:pPr>
  </w:style>
  <w:style w:type="paragraph" w:styleId="BalloonText">
    <w:name w:val="Balloon Text"/>
    <w:basedOn w:val="Normal"/>
    <w:semiHidden/>
    <w:rsid w:val="005F2454"/>
    <w:rPr>
      <w:rFonts w:ascii="Tahoma" w:hAnsi="Tahoma" w:cs="Tahoma"/>
      <w:sz w:val="16"/>
      <w:szCs w:val="16"/>
    </w:rPr>
  </w:style>
  <w:style w:type="character" w:styleId="PageNumber">
    <w:name w:val="page number"/>
    <w:basedOn w:val="DefaultParagraphFont"/>
    <w:rsid w:val="00E30374"/>
  </w:style>
  <w:style w:type="character" w:styleId="Hyperlink">
    <w:name w:val="Hyperlink"/>
    <w:basedOn w:val="DefaultParagraphFont"/>
    <w:rsid w:val="0069439F"/>
    <w:rPr>
      <w:color w:val="0000FF"/>
      <w:u w:val="single"/>
    </w:rPr>
  </w:style>
  <w:style w:type="paragraph" w:styleId="BlockText">
    <w:name w:val="Block Text"/>
    <w:basedOn w:val="Normal"/>
    <w:rsid w:val="0069439F"/>
    <w:pPr>
      <w:widowControl/>
      <w:ind w:left="720" w:right="720"/>
    </w:pPr>
    <w:rPr>
      <w:rFonts w:ascii="Times New Roman" w:hAnsi="Times New Roman"/>
      <w:color w:val="000000"/>
      <w:szCs w:val="20"/>
    </w:rPr>
  </w:style>
  <w:style w:type="paragraph" w:styleId="HTMLPreformatted">
    <w:name w:val="HTML Preformatted"/>
    <w:basedOn w:val="Normal"/>
    <w:rsid w:val="00D329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olor w:val="000000"/>
      <w:sz w:val="20"/>
      <w:szCs w:val="20"/>
    </w:rPr>
  </w:style>
  <w:style w:type="paragraph" w:styleId="NormalWeb">
    <w:name w:val="Normal (Web)"/>
    <w:basedOn w:val="Normal"/>
    <w:rsid w:val="00D329D5"/>
    <w:pPr>
      <w:widowControl/>
      <w:autoSpaceDE/>
      <w:autoSpaceDN/>
      <w:adjustRightInd/>
      <w:spacing w:before="100" w:beforeAutospacing="1" w:after="100" w:afterAutospacing="1"/>
    </w:pPr>
    <w:rPr>
      <w:rFonts w:ascii="Times New Roman" w:hAnsi="Times New Roman"/>
      <w:color w:val="000000"/>
    </w:rPr>
  </w:style>
  <w:style w:type="paragraph" w:customStyle="1" w:styleId="5RightPar">
    <w:name w:val="5Right Par"/>
    <w:rsid w:val="00965005"/>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2pt" w:hAnsi="Courier 12pt"/>
      <w:sz w:val="24"/>
      <w:szCs w:val="24"/>
    </w:rPr>
  </w:style>
  <w:style w:type="paragraph" w:customStyle="1" w:styleId="CM4">
    <w:name w:val="CM4"/>
    <w:basedOn w:val="Normal"/>
    <w:next w:val="Normal"/>
    <w:rsid w:val="00C7540B"/>
    <w:pPr>
      <w:widowControl/>
      <w:spacing w:line="280" w:lineRule="atLeast"/>
    </w:pPr>
    <w:rPr>
      <w:rFonts w:ascii="MACFA D+ Bembo" w:hAnsi="MACFA D+ Bembo"/>
    </w:rPr>
  </w:style>
  <w:style w:type="character" w:styleId="CommentReference">
    <w:name w:val="annotation reference"/>
    <w:basedOn w:val="DefaultParagraphFont"/>
    <w:semiHidden/>
    <w:rsid w:val="00885A53"/>
    <w:rPr>
      <w:sz w:val="16"/>
      <w:szCs w:val="16"/>
    </w:rPr>
  </w:style>
  <w:style w:type="paragraph" w:styleId="CommentText">
    <w:name w:val="annotation text"/>
    <w:basedOn w:val="Normal"/>
    <w:semiHidden/>
    <w:rsid w:val="00885A53"/>
    <w:rPr>
      <w:sz w:val="20"/>
      <w:szCs w:val="20"/>
    </w:rPr>
  </w:style>
  <w:style w:type="paragraph" w:styleId="CommentSubject">
    <w:name w:val="annotation subject"/>
    <w:basedOn w:val="CommentText"/>
    <w:next w:val="CommentText"/>
    <w:semiHidden/>
    <w:rsid w:val="00885A53"/>
    <w:rPr>
      <w:b/>
      <w:bCs/>
    </w:rPr>
  </w:style>
  <w:style w:type="character" w:styleId="FollowedHyperlink">
    <w:name w:val="FollowedHyperlink"/>
    <w:basedOn w:val="DefaultParagraphFont"/>
    <w:rsid w:val="00414C5D"/>
    <w:rPr>
      <w:color w:val="800080"/>
      <w:u w:val="single"/>
    </w:rPr>
  </w:style>
  <w:style w:type="paragraph" w:styleId="BodyText3">
    <w:name w:val="Body Text 3"/>
    <w:basedOn w:val="Normal"/>
    <w:rsid w:val="00414C5D"/>
    <w:pPr>
      <w:widowControl/>
      <w:autoSpaceDE/>
      <w:autoSpaceDN/>
      <w:adjustRightInd/>
    </w:pPr>
    <w:rPr>
      <w:rFonts w:ascii="Times New Roman" w:hAnsi="Times New Roman"/>
      <w:szCs w:val="20"/>
      <w:u w:val="single"/>
    </w:rPr>
  </w:style>
  <w:style w:type="paragraph" w:customStyle="1" w:styleId="Preformatted">
    <w:name w:val="Preformatted"/>
    <w:basedOn w:val="Normal"/>
    <w:rsid w:val="00414C5D"/>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pPr>
    <w:rPr>
      <w:rFonts w:ascii="Courier New" w:hAnsi="Courier New"/>
      <w:snapToGrid w:val="0"/>
      <w:sz w:val="20"/>
      <w:szCs w:val="20"/>
    </w:rPr>
  </w:style>
  <w:style w:type="paragraph" w:customStyle="1" w:styleId="Default">
    <w:name w:val="Default"/>
    <w:rsid w:val="00414C5D"/>
    <w:pPr>
      <w:widowControl w:val="0"/>
      <w:autoSpaceDE w:val="0"/>
      <w:autoSpaceDN w:val="0"/>
      <w:adjustRightInd w:val="0"/>
    </w:pPr>
    <w:rPr>
      <w:rFonts w:ascii="Arial" w:hAnsi="Arial" w:cs="Arial"/>
      <w:color w:val="000000"/>
      <w:sz w:val="24"/>
      <w:szCs w:val="24"/>
    </w:rPr>
  </w:style>
  <w:style w:type="character" w:styleId="Emphasis">
    <w:name w:val="Emphasis"/>
    <w:basedOn w:val="DefaultParagraphFont"/>
    <w:qFormat/>
    <w:rsid w:val="00414C5D"/>
    <w:rPr>
      <w:i/>
      <w:iCs/>
    </w:rPr>
  </w:style>
  <w:style w:type="paragraph" w:customStyle="1" w:styleId="CM120">
    <w:name w:val="CM120"/>
    <w:basedOn w:val="Default"/>
    <w:next w:val="Default"/>
    <w:rsid w:val="00414C5D"/>
    <w:pPr>
      <w:widowControl/>
      <w:spacing w:after="230"/>
    </w:pPr>
    <w:rPr>
      <w:rFonts w:ascii="Helvetica" w:hAnsi="Helvetica" w:cs="Times New Roman"/>
      <w:color w:val="auto"/>
    </w:rPr>
  </w:style>
  <w:style w:type="character" w:customStyle="1" w:styleId="text">
    <w:name w:val="text"/>
    <w:basedOn w:val="DefaultParagraphFont"/>
    <w:rsid w:val="00414C5D"/>
    <w:rPr>
      <w:rFonts w:ascii="Times Roman" w:hAnsi="Times Roman"/>
      <w:noProof w:val="0"/>
      <w:sz w:val="24"/>
      <w:lang w:val="en-US"/>
    </w:rPr>
  </w:style>
  <w:style w:type="paragraph" w:customStyle="1" w:styleId="body">
    <w:name w:val="body"/>
    <w:basedOn w:val="Normal"/>
    <w:rsid w:val="00414C5D"/>
    <w:pPr>
      <w:widowControl/>
      <w:autoSpaceDE/>
      <w:autoSpaceDN/>
      <w:adjustRightInd/>
      <w:spacing w:before="100" w:beforeAutospacing="1" w:after="100" w:afterAutospacing="1"/>
    </w:pPr>
    <w:rPr>
      <w:rFonts w:ascii="Times New Roman" w:hAnsi="Times New Roman"/>
    </w:rPr>
  </w:style>
  <w:style w:type="character" w:customStyle="1" w:styleId="TechInit">
    <w:name w:val="Tech Init"/>
    <w:basedOn w:val="DefaultParagraphFont"/>
    <w:rsid w:val="00414C5D"/>
    <w:rPr>
      <w:rFonts w:ascii="Helvetica" w:hAnsi="Helvetica"/>
      <w:noProof w:val="0"/>
      <w:sz w:val="24"/>
      <w:lang w:val="en-US"/>
    </w:rPr>
  </w:style>
  <w:style w:type="character" w:customStyle="1" w:styleId="FootnoteTextChar">
    <w:name w:val="Footnote Text Char"/>
    <w:aliases w:val="ft Char"/>
    <w:basedOn w:val="DefaultParagraphFont"/>
    <w:link w:val="FootnoteText"/>
    <w:semiHidden/>
    <w:rsid w:val="00782777"/>
    <w:rPr>
      <w:rFonts w:ascii="Courier" w:hAnsi="Courier"/>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soc/" TargetMode="External"/><Relationship Id="rId2" Type="http://schemas.openxmlformats.org/officeDocument/2006/relationships/hyperlink" Target="file:///\\drslx1\fr-misc\fr_documents\proposals\FFIEC\FFIEC031_FFIEC041\www.bls.gov\news.release\ocwage.nr0.htm" TargetMode="External"/><Relationship Id="rId1" Type="http://schemas.openxmlformats.org/officeDocument/2006/relationships/hyperlink" Target="file:///\\drslx1\fr-misc\fr_documents\proposals\Legal\FR%204025%20(Reg%20R)\www.sba.gov\contractingopportunities\officials\size\tabl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2647</Words>
  <Characters>14819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FRB</Company>
  <LinksUpToDate>false</LinksUpToDate>
  <CharactersWithSpaces>17432</CharactersWithSpaces>
  <SharedDoc>false</SharedDoc>
  <HLinks>
    <vt:vector size="12" baseType="variant">
      <vt:variant>
        <vt:i4>7143456</vt:i4>
      </vt:variant>
      <vt:variant>
        <vt:i4>3</vt:i4>
      </vt:variant>
      <vt:variant>
        <vt:i4>0</vt:i4>
      </vt:variant>
      <vt:variant>
        <vt:i4>5</vt:i4>
      </vt:variant>
      <vt:variant>
        <vt:lpwstr>http://www.financialstability.gov/latest/tg58-remarks.html</vt:lpwstr>
      </vt:variant>
      <vt:variant>
        <vt:lpwstr/>
      </vt:variant>
      <vt:variant>
        <vt:i4>917530</vt:i4>
      </vt:variant>
      <vt:variant>
        <vt:i4>0</vt:i4>
      </vt:variant>
      <vt:variant>
        <vt:i4>0</vt:i4>
      </vt:variant>
      <vt:variant>
        <vt:i4>5</vt:i4>
      </vt:variant>
      <vt:variant>
        <vt:lpwstr>http://www.financialstability.gov/roadtostability/smallbusinesscommunity.html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m1cmb00</dc:creator>
  <cp:keywords/>
  <dc:description/>
  <cp:lastModifiedBy>frbuser</cp:lastModifiedBy>
  <cp:revision>2</cp:revision>
  <cp:lastPrinted>2010-11-02T16:27:00Z</cp:lastPrinted>
  <dcterms:created xsi:type="dcterms:W3CDTF">2010-11-09T16:07:00Z</dcterms:created>
  <dcterms:modified xsi:type="dcterms:W3CDTF">2010-11-09T16:07:00Z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1578607144</vt:i4>
  </property>
  <property fmtid="{D5CDD505-2E9C-101B-9397-08002B2CF9AE}" pid="3" name="_NewReviewCycle">
    <vt:lpwstr/>
  </property>
  <property fmtid="{D5CDD505-2E9C-101B-9397-08002B2CF9AE}" pid="4" name="_EmailSubject">
    <vt:lpwstr>OMB supporting statement for the Call Report 2008 changes</vt:lpwstr>
  </property>
  <property fmtid="{D5CDD505-2E9C-101B-9397-08002B2CF9AE}" pid="5" name="_AuthorEmail">
    <vt:lpwstr>RStorch@FDIC.gov</vt:lpwstr>
  </property>
  <property fmtid="{D5CDD505-2E9C-101B-9397-08002B2CF9AE}" pid="6" name="_AuthorEmailDisplayName">
    <vt:lpwstr>Storch, Robert</vt:lpwstr>
  </property>
  <property fmtid="{D5CDD505-2E9C-101B-9397-08002B2CF9AE}" pid="7" name="_ReviewingToolsShownOnce">
    <vt:lpwstr/>
  </property>
</Properties>
</file>