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B7E" w:rsidRPr="00046A72" w:rsidRDefault="00067B7E" w:rsidP="00CD2A83">
      <w:pPr>
        <w:keepNext/>
        <w:jc w:val="center"/>
        <w:rPr>
          <w:rFonts w:ascii="Times New Roman" w:hAnsi="Times New Roman"/>
          <w:szCs w:val="24"/>
          <w:u w:val="single"/>
        </w:rPr>
      </w:pPr>
      <w:r w:rsidRPr="00046A72">
        <w:rPr>
          <w:rFonts w:ascii="Times New Roman" w:hAnsi="Times New Roman"/>
          <w:szCs w:val="24"/>
          <w:u w:val="single"/>
        </w:rPr>
        <w:t>Rule 15c3-3</w:t>
      </w:r>
    </w:p>
    <w:p w:rsidR="00067B7E" w:rsidRPr="00046A72" w:rsidRDefault="00067B7E" w:rsidP="00CD2A83">
      <w:pPr>
        <w:keepNext/>
        <w:jc w:val="center"/>
        <w:rPr>
          <w:rFonts w:ascii="Times New Roman" w:hAnsi="Times New Roman"/>
          <w:szCs w:val="24"/>
          <w:u w:val="single"/>
        </w:rPr>
      </w:pPr>
    </w:p>
    <w:p w:rsidR="00067B7E" w:rsidRPr="00046A72" w:rsidRDefault="00067B7E" w:rsidP="00CD2A83">
      <w:pPr>
        <w:keepNext/>
        <w:jc w:val="center"/>
        <w:rPr>
          <w:rFonts w:ascii="Times New Roman" w:hAnsi="Times New Roman"/>
          <w:szCs w:val="24"/>
        </w:rPr>
      </w:pPr>
      <w:r w:rsidRPr="00046A72">
        <w:rPr>
          <w:rFonts w:ascii="Times New Roman" w:hAnsi="Times New Roman"/>
          <w:szCs w:val="24"/>
          <w:u w:val="single"/>
        </w:rPr>
        <w:t>SUPPORTING STATEMENT</w:t>
      </w:r>
    </w:p>
    <w:p w:rsidR="00067B7E" w:rsidRPr="00046A72" w:rsidRDefault="00067B7E" w:rsidP="00CD2A83">
      <w:pPr>
        <w:keepNext/>
        <w:jc w:val="center"/>
        <w:rPr>
          <w:rFonts w:ascii="Times New Roman" w:hAnsi="Times New Roman"/>
          <w:szCs w:val="24"/>
        </w:rPr>
      </w:pPr>
    </w:p>
    <w:p w:rsidR="00067B7E" w:rsidRPr="00046A72" w:rsidRDefault="00067B7E" w:rsidP="00CD2A83">
      <w:pPr>
        <w:keepNext/>
        <w:spacing w:after="240"/>
        <w:rPr>
          <w:rFonts w:ascii="Times New Roman" w:hAnsi="Times New Roman"/>
          <w:szCs w:val="24"/>
        </w:rPr>
      </w:pPr>
      <w:r w:rsidRPr="00046A72">
        <w:rPr>
          <w:rFonts w:ascii="Times New Roman" w:hAnsi="Times New Roman"/>
          <w:szCs w:val="24"/>
        </w:rPr>
        <w:t>A.</w:t>
      </w:r>
      <w:r w:rsidRPr="00046A72">
        <w:rPr>
          <w:rFonts w:ascii="Times New Roman" w:hAnsi="Times New Roman"/>
          <w:szCs w:val="24"/>
        </w:rPr>
        <w:tab/>
      </w:r>
      <w:r w:rsidRPr="00046A72">
        <w:rPr>
          <w:rFonts w:ascii="Times New Roman" w:hAnsi="Times New Roman"/>
          <w:szCs w:val="24"/>
          <w:u w:val="single"/>
        </w:rPr>
        <w:t>Justification</w:t>
      </w:r>
    </w:p>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t>1.</w:t>
      </w:r>
      <w:r w:rsidRPr="00046A72">
        <w:rPr>
          <w:rFonts w:ascii="Times New Roman" w:hAnsi="Times New Roman"/>
          <w:szCs w:val="24"/>
        </w:rPr>
        <w:tab/>
      </w:r>
      <w:r w:rsidRPr="00046A72">
        <w:rPr>
          <w:rFonts w:ascii="Times New Roman" w:hAnsi="Times New Roman"/>
          <w:szCs w:val="24"/>
          <w:u w:val="single"/>
        </w:rPr>
        <w:t xml:space="preserve">Necessity </w:t>
      </w:r>
      <w:proofErr w:type="gramStart"/>
      <w:r w:rsidRPr="00046A72">
        <w:rPr>
          <w:rFonts w:ascii="Times New Roman" w:hAnsi="Times New Roman"/>
          <w:szCs w:val="24"/>
          <w:u w:val="single"/>
        </w:rPr>
        <w:t>For</w:t>
      </w:r>
      <w:proofErr w:type="gramEnd"/>
      <w:r w:rsidRPr="00046A72">
        <w:rPr>
          <w:rFonts w:ascii="Times New Roman" w:hAnsi="Times New Roman"/>
          <w:szCs w:val="24"/>
          <w:u w:val="single"/>
        </w:rPr>
        <w:t xml:space="preserve"> Information Collection</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During the “Paperwork Crisis” of 1967-1970, many brokers-dealers mishandled and misused customer funds and securities because they had inadequate and inefficient record keeping and segregation systems.  Furthermore, the “bear market” of 1969-1970 caused many firms that lacked sufficient capital to utilize, properly or otherwise, customer funds and securities to obtain financing for their continued operation.  In order to rectify these problems, the Securities and Exchange Commission (“Commission”) adopted Rule 15c3-3 (“Rule”) (17 CFR 240.15c3-3) (“Exhibit A”) to provide increased protection for the funds and securities of customers.  The Rule is an integral part of the Commission’s financial responsibility program for brokers-dealers.</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 xml:space="preserve">The Rule applies to all broker-dealers that hold securities or cash belonging to customers.  Under the Rule, these broker-dealers must obtain and maintain possession or control of all the fully-paid and excess margin securities of their customers.  In addition, they must make a periodic computation (“reserve computation”) to ascertain the amount of money they are holding that constitutes customer funds or funds obtained from the use of customer securities.  If this amount known as “customer credits” exceeds the amount </w:t>
      </w:r>
      <w:proofErr w:type="gramStart"/>
      <w:r w:rsidRPr="00046A72">
        <w:rPr>
          <w:rFonts w:ascii="Times New Roman" w:hAnsi="Times New Roman"/>
          <w:szCs w:val="24"/>
        </w:rPr>
        <w:t>of</w:t>
      </w:r>
      <w:proofErr w:type="gramEnd"/>
      <w:r w:rsidRPr="00046A72">
        <w:rPr>
          <w:rFonts w:ascii="Times New Roman" w:hAnsi="Times New Roman"/>
          <w:szCs w:val="24"/>
        </w:rPr>
        <w:t xml:space="preserve"> money customers owe the firm (</w:t>
      </w:r>
      <w:r w:rsidRPr="00046A72">
        <w:rPr>
          <w:rFonts w:ascii="Times New Roman" w:hAnsi="Times New Roman"/>
          <w:szCs w:val="24"/>
          <w:u w:val="single"/>
        </w:rPr>
        <w:t>i.e.</w:t>
      </w:r>
      <w:r w:rsidRPr="00046A72">
        <w:rPr>
          <w:rFonts w:ascii="Times New Roman" w:hAnsi="Times New Roman"/>
          <w:szCs w:val="24"/>
        </w:rPr>
        <w:t>, customer debits), the broker-dealer must deposit the excess in a special reserve bank account for the exclusive benefit of the firm’s customers (“Special Reserve Bank Account”).</w:t>
      </w:r>
      <w:r w:rsidR="0035269F" w:rsidRPr="00046A72">
        <w:rPr>
          <w:rStyle w:val="FootnoteReference"/>
          <w:rFonts w:ascii="Times New Roman" w:hAnsi="Times New Roman"/>
          <w:szCs w:val="24"/>
        </w:rPr>
        <w:footnoteReference w:id="1"/>
      </w:r>
      <w:r w:rsidRPr="00046A72">
        <w:rPr>
          <w:rFonts w:ascii="Times New Roman" w:hAnsi="Times New Roman"/>
          <w:szCs w:val="24"/>
        </w:rPr>
        <w:t xml:space="preserve">  In this way, the Rule protects customer assets by requiring firms to maintain possession or control of customer securities, and by permitting firms to use customer money only to the extent necessary to finance customer related business.</w:t>
      </w:r>
    </w:p>
    <w:p w:rsidR="00FE27D7" w:rsidRPr="00046A72" w:rsidRDefault="00FE27D7" w:rsidP="00FE27D7">
      <w:pPr>
        <w:spacing w:after="240"/>
        <w:ind w:firstLine="720"/>
        <w:rPr>
          <w:rFonts w:ascii="Times New Roman" w:hAnsi="Times New Roman"/>
          <w:szCs w:val="24"/>
        </w:rPr>
      </w:pPr>
      <w:r w:rsidRPr="00046A72">
        <w:rPr>
          <w:rFonts w:ascii="Times New Roman" w:hAnsi="Times New Roman"/>
          <w:szCs w:val="24"/>
        </w:rPr>
        <w:t>The Commission is statutorily authorized by Section 15(c</w:t>
      </w:r>
      <w:proofErr w:type="gramStart"/>
      <w:r w:rsidRPr="00046A72">
        <w:rPr>
          <w:rFonts w:ascii="Times New Roman" w:hAnsi="Times New Roman"/>
          <w:szCs w:val="24"/>
        </w:rPr>
        <w:t>)(</w:t>
      </w:r>
      <w:proofErr w:type="gramEnd"/>
      <w:r w:rsidRPr="00046A72">
        <w:rPr>
          <w:rFonts w:ascii="Times New Roman" w:hAnsi="Times New Roman"/>
          <w:szCs w:val="24"/>
        </w:rPr>
        <w:t>3) of the Securities Exchange Act of 1934 (“Act”) (15 U.S.C. 782(c)(3)) to adopt rules as necessary for the protection of investors and to provide safeguards with respect to the financial responsibility and related practices of brokers and dealers.  Further statutory authority is found in Sections 17(a) and 23(a) of the Act (15 U.S.C. 78q and 78w).</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The Rule requires broker-dealers to make the reserve computation on either a weekly or monthly basis.  It also requires them (1) to maintain a description of the procedures utilized to comply with the possession and control requirements of the Rule; (2) to maintain a written notification from the bank where the Special Reserve Bank Account is located that all assets in the account are for the exclusive benefit of the broker-</w:t>
      </w:r>
      <w:proofErr w:type="spellStart"/>
      <w:r w:rsidRPr="00046A72">
        <w:rPr>
          <w:rFonts w:ascii="Times New Roman" w:hAnsi="Times New Roman"/>
          <w:szCs w:val="24"/>
        </w:rPr>
        <w:t>dealer’s</w:t>
      </w:r>
      <w:proofErr w:type="spellEnd"/>
      <w:r w:rsidRPr="00046A72">
        <w:rPr>
          <w:rFonts w:ascii="Times New Roman" w:hAnsi="Times New Roman"/>
          <w:szCs w:val="24"/>
        </w:rPr>
        <w:t xml:space="preserve"> customers; and (3) to give telegraphic notice to the Commission, and the appropriate Self-Regulatory Organization (“SRO”) if they fail to make a required deposit into the Special Reserve Bank Account. </w:t>
      </w:r>
    </w:p>
    <w:p w:rsidR="0012773C" w:rsidRDefault="0012773C" w:rsidP="00CD2A83">
      <w:pPr>
        <w:spacing w:after="240"/>
        <w:ind w:firstLine="720"/>
        <w:rPr>
          <w:rFonts w:ascii="Times New Roman" w:hAnsi="Times New Roman"/>
          <w:szCs w:val="24"/>
        </w:rPr>
      </w:pPr>
      <w:r w:rsidRPr="00046A72">
        <w:rPr>
          <w:rFonts w:ascii="Times New Roman" w:hAnsi="Times New Roman"/>
          <w:szCs w:val="24"/>
        </w:rPr>
        <w:lastRenderedPageBreak/>
        <w:t xml:space="preserve">In addition, the Commission adopted changes to Rule 15c3-3 on September 9, 2002 to require that a broker-dealer that effects transactions in </w:t>
      </w:r>
      <w:r w:rsidR="003D3B23">
        <w:rPr>
          <w:rFonts w:ascii="Times New Roman" w:hAnsi="Times New Roman"/>
          <w:szCs w:val="24"/>
        </w:rPr>
        <w:t>security futures products or “</w:t>
      </w:r>
      <w:r w:rsidRPr="00046A72">
        <w:rPr>
          <w:rFonts w:ascii="Times New Roman" w:hAnsi="Times New Roman"/>
          <w:szCs w:val="24"/>
        </w:rPr>
        <w:t>SFPs</w:t>
      </w:r>
      <w:r w:rsidR="003D3B23">
        <w:rPr>
          <w:rFonts w:ascii="Times New Roman" w:hAnsi="Times New Roman"/>
          <w:szCs w:val="24"/>
        </w:rPr>
        <w:t>”</w:t>
      </w:r>
      <w:r w:rsidRPr="00046A72">
        <w:rPr>
          <w:rFonts w:ascii="Times New Roman" w:hAnsi="Times New Roman"/>
          <w:szCs w:val="24"/>
        </w:rPr>
        <w:t xml:space="preserve"> for customers also must (1) establish written policies and procedures for determining whether customer SFPs will be placed in a securities account or a futures account, and, if applicable, the process by which a customer may elect the type of account in which SFPs will be held, (2) provide each customer that plans to effect SFP transactions with a disclosure document containing certain information, (3) make a record of each change in account type, and (4) send each SFP customer notification of any change of account type.</w:t>
      </w:r>
      <w:r w:rsidRPr="00046A72">
        <w:rPr>
          <w:rStyle w:val="FootnoteReference"/>
          <w:rFonts w:ascii="Times New Roman" w:hAnsi="Times New Roman"/>
          <w:szCs w:val="24"/>
        </w:rPr>
        <w:footnoteReference w:id="2"/>
      </w:r>
      <w:r w:rsidRPr="00046A72">
        <w:rPr>
          <w:rFonts w:ascii="Times New Roman" w:hAnsi="Times New Roman"/>
          <w:szCs w:val="24"/>
        </w:rPr>
        <w:t xml:space="preserve"> </w:t>
      </w:r>
    </w:p>
    <w:p w:rsidR="00341F08" w:rsidRDefault="00341F08" w:rsidP="00D66CFA">
      <w:r>
        <w:tab/>
      </w:r>
      <w:r w:rsidR="00FE27D7">
        <w:t>Finally</w:t>
      </w:r>
      <w:r w:rsidR="00FE4DE8">
        <w:t>, i</w:t>
      </w:r>
      <w:r>
        <w:t>n March 2007, the Commission proposed for comment amendments</w:t>
      </w:r>
      <w:r>
        <w:rPr>
          <w:rStyle w:val="FootnoteReference"/>
        </w:rPr>
        <w:footnoteReference w:id="3"/>
      </w:r>
      <w:r>
        <w:t xml:space="preserve"> to its net capital, customer protection, books and records, and notification rules for broker-dealers under the Exchange Act.  </w:t>
      </w:r>
      <w:r w:rsidRPr="00EA290E">
        <w:rPr>
          <w:rFonts w:ascii="Times New Roman" w:hAnsi="Times New Roman"/>
          <w:szCs w:val="24"/>
        </w:rPr>
        <w:t>More specifically,</w:t>
      </w:r>
      <w:r>
        <w:rPr>
          <w:rFonts w:ascii="Times New Roman" w:hAnsi="Times New Roman"/>
          <w:szCs w:val="24"/>
        </w:rPr>
        <w:t xml:space="preserve"> the proposed amendments to Rule 15c3-3 would </w:t>
      </w:r>
      <w:r w:rsidRPr="004B22ED">
        <w:t>require a broker-dealer, u</w:t>
      </w:r>
      <w:r>
        <w:t xml:space="preserve">nder certain circumstances, to </w:t>
      </w:r>
      <w:r w:rsidRPr="004B22ED">
        <w:t>(1) obt</w:t>
      </w:r>
      <w:r>
        <w:t xml:space="preserve">ain written permission from broker-dealer (“PAB”) </w:t>
      </w:r>
      <w:r w:rsidRPr="004B22ED">
        <w:t>account holders to use their fully pa</w:t>
      </w:r>
      <w:r>
        <w:t>id and excess margin securities,</w:t>
      </w:r>
      <w:r w:rsidRPr="004B22ED">
        <w:rPr>
          <w:rStyle w:val="FootnoteReference"/>
        </w:rPr>
        <w:footnoteReference w:id="4"/>
      </w:r>
      <w:r w:rsidRPr="004B22ED">
        <w:t xml:space="preserve"> (3) pe</w:t>
      </w:r>
      <w:r>
        <w:t>rform a PAB reserve computation,</w:t>
      </w:r>
      <w:r w:rsidRPr="004B22ED">
        <w:rPr>
          <w:rStyle w:val="FootnoteReference"/>
        </w:rPr>
        <w:footnoteReference w:id="5"/>
      </w:r>
      <w:r w:rsidRPr="004B22ED">
        <w:t xml:space="preserve"> (4) obtain written notification from a bank holding its PAB Special Reserve Account that the bank has received notice </w:t>
      </w:r>
      <w:r>
        <w:t xml:space="preserve">that </w:t>
      </w:r>
      <w:r w:rsidRPr="004B22ED">
        <w:t>the assets in the account a</w:t>
      </w:r>
      <w:r>
        <w:t>re being held for the benefit of PAB account holders,</w:t>
      </w:r>
      <w:r w:rsidRPr="004B22ED">
        <w:rPr>
          <w:rStyle w:val="FootnoteReference"/>
        </w:rPr>
        <w:footnoteReference w:id="6"/>
      </w:r>
      <w:r w:rsidRPr="004B22ED">
        <w:t xml:space="preserve"> (5) enter into a written contract with a bank holding its PAB Special Reserve Accounts in which the bank agree</w:t>
      </w:r>
      <w:r>
        <w:t>s the assets in the account would</w:t>
      </w:r>
      <w:r w:rsidRPr="004B22ED">
        <w:t xml:space="preserve"> not be used as security for a lo</w:t>
      </w:r>
      <w:r>
        <w:t>an to the broker-dealer and would</w:t>
      </w:r>
      <w:r w:rsidRPr="004B22ED">
        <w:t xml:space="preserve"> not be subject to a right, charge, security interest, lien, or claim o</w:t>
      </w:r>
      <w:r>
        <w:t>f any kind in favor of the bank,</w:t>
      </w:r>
      <w:r w:rsidRPr="004B22ED">
        <w:rPr>
          <w:rStyle w:val="FootnoteReference"/>
        </w:rPr>
        <w:footnoteReference w:id="7"/>
      </w:r>
      <w:r w:rsidRPr="004B22ED">
        <w:t xml:space="preserve"> </w:t>
      </w:r>
      <w:r>
        <w:t xml:space="preserve">and </w:t>
      </w:r>
      <w:r w:rsidRPr="004B22ED">
        <w:t xml:space="preserve">(6) obtain the affirmative consent of a customer before changing the terms under which the customer’s free </w:t>
      </w:r>
      <w:r>
        <w:t>credit balances are invested.</w:t>
      </w:r>
      <w:r w:rsidRPr="004B22ED">
        <w:rPr>
          <w:rStyle w:val="FootnoteReference"/>
        </w:rPr>
        <w:footnoteReference w:id="8"/>
      </w:r>
      <w:r w:rsidRPr="004B22ED">
        <w:t xml:space="preserve"> </w:t>
      </w:r>
      <w:r w:rsidR="00D66CFA">
        <w:t xml:space="preserve"> As a result of these proposed amendments in the 2007 proposing release, the one-time and annual hour burdens, as well as the total annualized cost burden would increase for Rule 15c3-3.  </w:t>
      </w:r>
      <w:r>
        <w:t>This supporting statement describes the impact of these proposed amendments on the currently approved inventory for this collection of information, as well as provides revised burden estimates as a result of the proposed amendments to Rule 15c3-3 discussed in the 2007 proposing release.</w:t>
      </w:r>
      <w:r>
        <w:rPr>
          <w:rStyle w:val="FootnoteReference"/>
        </w:rPr>
        <w:footnoteReference w:id="9"/>
      </w:r>
    </w:p>
    <w:p w:rsidR="00D66CFA" w:rsidRPr="00046A72" w:rsidRDefault="00D66CFA" w:rsidP="00D66CFA">
      <w:pPr>
        <w:rPr>
          <w:rFonts w:ascii="Times New Roman" w:hAnsi="Times New Roman"/>
          <w:szCs w:val="24"/>
        </w:rPr>
      </w:pPr>
    </w:p>
    <w:p w:rsidR="00067B7E" w:rsidRPr="00046A72" w:rsidRDefault="00067B7E" w:rsidP="00CD2A83">
      <w:pPr>
        <w:keepNext/>
        <w:spacing w:after="240"/>
        <w:ind w:left="1440" w:hanging="720"/>
        <w:rPr>
          <w:rFonts w:ascii="Times New Roman" w:hAnsi="Times New Roman"/>
          <w:szCs w:val="24"/>
        </w:rPr>
      </w:pPr>
      <w:r w:rsidRPr="00046A72">
        <w:rPr>
          <w:rFonts w:ascii="Times New Roman" w:hAnsi="Times New Roman"/>
          <w:szCs w:val="24"/>
        </w:rPr>
        <w:t>2.</w:t>
      </w:r>
      <w:r w:rsidRPr="00046A72">
        <w:rPr>
          <w:rFonts w:ascii="Times New Roman" w:hAnsi="Times New Roman"/>
          <w:szCs w:val="24"/>
        </w:rPr>
        <w:tab/>
      </w:r>
      <w:r w:rsidRPr="00046A72">
        <w:rPr>
          <w:rFonts w:ascii="Times New Roman" w:hAnsi="Times New Roman"/>
          <w:szCs w:val="24"/>
          <w:u w:val="single"/>
        </w:rPr>
        <w:t>Purpose of, and Consequences of Not Requiring, the Information Collection</w:t>
      </w:r>
    </w:p>
    <w:p w:rsidR="00A20D2B" w:rsidRPr="00046A72" w:rsidRDefault="00067B7E" w:rsidP="00915F68">
      <w:pPr>
        <w:pStyle w:val="BodyTextIndent"/>
      </w:pPr>
      <w:r w:rsidRPr="00046A72">
        <w:t xml:space="preserve">The Rule is an integral part of the Commission’s financial responsibility program for broker-dealers.  Its purpose is to protect the rights of customers to promptly obtain their property from a broker-dealer.  The reserve and notice requirements in the Rule facilitate the process by which the Commission and the various SROs monitor how broker-dealers are fulfilling their custodial responsibilities to investors.  </w:t>
      </w:r>
      <w:r w:rsidR="0012773C" w:rsidRPr="00046A72">
        <w:t xml:space="preserve">With the exception of the telegraphic notice requirement, governmental agencies do not regularly </w:t>
      </w:r>
      <w:r w:rsidR="0012773C" w:rsidRPr="00046A72">
        <w:lastRenderedPageBreak/>
        <w:t>receive any of the information described above.  Instead, the information is stored by the broker-dealer and made available to the various securities regulatory authorities as required to facilitate ex</w:t>
      </w:r>
      <w:r w:rsidR="00CE3EA2">
        <w:t xml:space="preserve">aminations and investigations.  </w:t>
      </w:r>
      <w:r w:rsidR="0012773C" w:rsidRPr="00046A72">
        <w:t>If broker-dealers were not required to create and maintain this information, the Commission’s ability to fulfill its statutory directive to protect investors would be diminished</w:t>
      </w:r>
      <w:r w:rsidRPr="00046A72">
        <w:t>.</w:t>
      </w:r>
    </w:p>
    <w:p w:rsidR="00745A5D" w:rsidRDefault="00A20D2B" w:rsidP="00341F08">
      <w:pPr>
        <w:pStyle w:val="BodyTextIndent"/>
      </w:pPr>
      <w:r w:rsidRPr="00046A72">
        <w:t>Rule 15c3-3 also requires that a broker-dealer provide each customer that wishes to engage in SFP activities with a disclosure document and notification of any c</w:t>
      </w:r>
      <w:r w:rsidR="00CE3EA2">
        <w:t xml:space="preserve">hange of account type.  </w:t>
      </w:r>
      <w:r w:rsidRPr="00046A72">
        <w:t xml:space="preserve">Without these disclosures and notifications, customers may be uncertain or confused, if </w:t>
      </w:r>
      <w:proofErr w:type="gramStart"/>
      <w:r w:rsidRPr="00046A72">
        <w:t>a</w:t>
      </w:r>
      <w:r w:rsidR="00CE3EA2">
        <w:t xml:space="preserve"> </w:t>
      </w:r>
      <w:r w:rsidRPr="00046A72">
        <w:t>liquidation</w:t>
      </w:r>
      <w:proofErr w:type="gramEnd"/>
      <w:r w:rsidRPr="00046A72">
        <w:t xml:space="preserve"> were to occur, as to which regulatory scheme is applicable to their account.</w:t>
      </w:r>
    </w:p>
    <w:p w:rsidR="00067B7E" w:rsidRPr="00046A72" w:rsidRDefault="00067B7E" w:rsidP="00CD2A83">
      <w:pPr>
        <w:keepNext/>
        <w:spacing w:after="240"/>
        <w:ind w:left="1440" w:hanging="720"/>
        <w:rPr>
          <w:rFonts w:ascii="Times New Roman" w:hAnsi="Times New Roman"/>
          <w:szCs w:val="24"/>
        </w:rPr>
      </w:pPr>
      <w:r w:rsidRPr="00046A72">
        <w:rPr>
          <w:rFonts w:ascii="Times New Roman" w:hAnsi="Times New Roman"/>
          <w:szCs w:val="24"/>
        </w:rPr>
        <w:t>3.</w:t>
      </w:r>
      <w:r w:rsidRPr="00046A72">
        <w:rPr>
          <w:rFonts w:ascii="Times New Roman" w:hAnsi="Times New Roman"/>
          <w:szCs w:val="24"/>
        </w:rPr>
        <w:tab/>
      </w:r>
      <w:r w:rsidRPr="00046A72">
        <w:rPr>
          <w:rFonts w:ascii="Times New Roman" w:hAnsi="Times New Roman"/>
          <w:szCs w:val="24"/>
          <w:u w:val="single"/>
        </w:rPr>
        <w:t>Role of Improved Information Technology and Obstacles to Reducing Burden</w:t>
      </w:r>
    </w:p>
    <w:p w:rsidR="00F31E73" w:rsidRPr="00046A72" w:rsidRDefault="00F31E73" w:rsidP="009C552C">
      <w:pPr>
        <w:spacing w:after="240"/>
        <w:ind w:firstLine="720"/>
        <w:rPr>
          <w:rFonts w:ascii="Times New Roman" w:hAnsi="Times New Roman"/>
          <w:szCs w:val="24"/>
        </w:rPr>
      </w:pPr>
      <w:r w:rsidRPr="00046A72">
        <w:rPr>
          <w:rFonts w:ascii="Times New Roman" w:hAnsi="Times New Roman"/>
          <w:szCs w:val="24"/>
        </w:rPr>
        <w:t xml:space="preserve">Nothing in Rule 15c3-3 would prevent a broker-dealer from using computers or other mechanical devices to generate, obtain, disclose or maintain the records and information </w:t>
      </w:r>
      <w:r w:rsidR="00EC4575" w:rsidRPr="00046A72">
        <w:rPr>
          <w:rFonts w:ascii="Times New Roman" w:hAnsi="Times New Roman"/>
          <w:szCs w:val="24"/>
        </w:rPr>
        <w:t>required under these Rules, and m</w:t>
      </w:r>
      <w:r w:rsidR="009C552C" w:rsidRPr="00046A72">
        <w:rPr>
          <w:rFonts w:ascii="Times New Roman" w:hAnsi="Times New Roman"/>
          <w:szCs w:val="24"/>
        </w:rPr>
        <w:t>ost</w:t>
      </w:r>
      <w:r w:rsidR="00EC4575" w:rsidRPr="00046A72">
        <w:rPr>
          <w:rFonts w:ascii="Times New Roman" w:hAnsi="Times New Roman"/>
          <w:szCs w:val="24"/>
        </w:rPr>
        <w:t xml:space="preserve"> firms subject to Rule</w:t>
      </w:r>
      <w:r w:rsidR="009C552C" w:rsidRPr="00046A72">
        <w:rPr>
          <w:rFonts w:ascii="Times New Roman" w:hAnsi="Times New Roman"/>
          <w:szCs w:val="24"/>
        </w:rPr>
        <w:t xml:space="preserve"> 15c3-3</w:t>
      </w:r>
      <w:r w:rsidR="00EC4575" w:rsidRPr="00046A72">
        <w:rPr>
          <w:rFonts w:ascii="Times New Roman" w:hAnsi="Times New Roman"/>
          <w:szCs w:val="24"/>
        </w:rPr>
        <w:t xml:space="preserve"> presently utilize automated</w:t>
      </w:r>
      <w:r w:rsidR="009C552C" w:rsidRPr="00046A72">
        <w:rPr>
          <w:rFonts w:ascii="Times New Roman" w:hAnsi="Times New Roman"/>
          <w:szCs w:val="24"/>
        </w:rPr>
        <w:t xml:space="preserve"> systems to comply with it.  The Commission is not aware of any technical or legal obstacle to reducing the burden through the use of improved information technology.</w:t>
      </w:r>
    </w:p>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t>4.</w:t>
      </w:r>
      <w:r w:rsidRPr="00046A72">
        <w:rPr>
          <w:rFonts w:ascii="Times New Roman" w:hAnsi="Times New Roman"/>
          <w:szCs w:val="24"/>
        </w:rPr>
        <w:tab/>
      </w:r>
      <w:r w:rsidRPr="00046A72">
        <w:rPr>
          <w:rFonts w:ascii="Times New Roman" w:hAnsi="Times New Roman"/>
          <w:szCs w:val="24"/>
          <w:u w:val="single"/>
        </w:rPr>
        <w:t>Efforts to Identify Duplication</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 xml:space="preserve">Not applicable.  </w:t>
      </w:r>
    </w:p>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t>5.</w:t>
      </w:r>
      <w:r w:rsidRPr="00046A72">
        <w:rPr>
          <w:rFonts w:ascii="Times New Roman" w:hAnsi="Times New Roman"/>
          <w:szCs w:val="24"/>
        </w:rPr>
        <w:tab/>
      </w:r>
      <w:r w:rsidRPr="00046A72">
        <w:rPr>
          <w:rFonts w:ascii="Times New Roman" w:hAnsi="Times New Roman"/>
          <w:szCs w:val="24"/>
          <w:u w:val="single"/>
        </w:rPr>
        <w:t xml:space="preserve">Effects </w:t>
      </w:r>
      <w:proofErr w:type="gramStart"/>
      <w:r w:rsidRPr="00046A72">
        <w:rPr>
          <w:rFonts w:ascii="Times New Roman" w:hAnsi="Times New Roman"/>
          <w:szCs w:val="24"/>
          <w:u w:val="single"/>
        </w:rPr>
        <w:t>On</w:t>
      </w:r>
      <w:proofErr w:type="gramEnd"/>
      <w:r w:rsidRPr="00046A72">
        <w:rPr>
          <w:rFonts w:ascii="Times New Roman" w:hAnsi="Times New Roman"/>
          <w:szCs w:val="24"/>
          <w:u w:val="single"/>
        </w:rPr>
        <w:t xml:space="preserve"> Small Entities</w:t>
      </w:r>
    </w:p>
    <w:p w:rsidR="00067B7E" w:rsidRPr="00046A72" w:rsidRDefault="009C552C" w:rsidP="009C552C">
      <w:pPr>
        <w:spacing w:after="240"/>
        <w:ind w:firstLine="720"/>
        <w:rPr>
          <w:rFonts w:ascii="Times New Roman" w:hAnsi="Times New Roman"/>
          <w:szCs w:val="24"/>
        </w:rPr>
      </w:pPr>
      <w:r w:rsidRPr="00046A72">
        <w:rPr>
          <w:rFonts w:ascii="Times New Roman" w:hAnsi="Times New Roman"/>
          <w:szCs w:val="24"/>
        </w:rPr>
        <w:t>Most</w:t>
      </w:r>
      <w:r w:rsidR="00067B7E" w:rsidRPr="00046A72">
        <w:rPr>
          <w:rFonts w:ascii="Times New Roman" w:hAnsi="Times New Roman"/>
          <w:szCs w:val="24"/>
        </w:rPr>
        <w:t xml:space="preserve"> small broker-dealers are exempt from the </w:t>
      </w:r>
      <w:r w:rsidRPr="00046A72">
        <w:rPr>
          <w:rFonts w:ascii="Times New Roman" w:hAnsi="Times New Roman"/>
          <w:szCs w:val="24"/>
        </w:rPr>
        <w:t>requirements of Rule 15c3-3 pursuant to paragraph 15c3-3(k)</w:t>
      </w:r>
      <w:r w:rsidR="00067B7E" w:rsidRPr="00046A72">
        <w:rPr>
          <w:rFonts w:ascii="Times New Roman" w:hAnsi="Times New Roman"/>
          <w:szCs w:val="24"/>
        </w:rPr>
        <w:t>.  In addition, those small broker-dealers that are not exempt from the Rule can make the required computation monthly so long as they have aggregate indebtedness not exceeding 800 percent of net capital and carry aggregate customer funds not exceeding $1,000,000.</w:t>
      </w:r>
    </w:p>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t>6.</w:t>
      </w:r>
      <w:r w:rsidRPr="00046A72">
        <w:rPr>
          <w:rFonts w:ascii="Times New Roman" w:hAnsi="Times New Roman"/>
          <w:szCs w:val="24"/>
        </w:rPr>
        <w:tab/>
      </w:r>
      <w:r w:rsidRPr="00046A72">
        <w:rPr>
          <w:rFonts w:ascii="Times New Roman" w:hAnsi="Times New Roman"/>
          <w:szCs w:val="24"/>
          <w:u w:val="single"/>
        </w:rPr>
        <w:t>Consequences of Less Frequent Collection</w:t>
      </w:r>
    </w:p>
    <w:p w:rsidR="00067B7E" w:rsidRPr="00046A72" w:rsidRDefault="00067B7E" w:rsidP="009C552C">
      <w:pPr>
        <w:spacing w:after="240"/>
        <w:ind w:firstLine="720"/>
        <w:rPr>
          <w:rFonts w:ascii="Times New Roman" w:hAnsi="Times New Roman"/>
          <w:szCs w:val="24"/>
        </w:rPr>
      </w:pPr>
      <w:r w:rsidRPr="00046A72">
        <w:rPr>
          <w:rFonts w:ascii="Times New Roman" w:hAnsi="Times New Roman"/>
          <w:szCs w:val="24"/>
        </w:rPr>
        <w:t xml:space="preserve">If the required </w:t>
      </w:r>
      <w:r w:rsidR="009C552C" w:rsidRPr="00046A72">
        <w:rPr>
          <w:rFonts w:ascii="Times New Roman" w:hAnsi="Times New Roman"/>
          <w:szCs w:val="24"/>
        </w:rPr>
        <w:t xml:space="preserve">information were not collected or were collected less frequently, </w:t>
      </w:r>
      <w:r w:rsidRPr="00046A72">
        <w:rPr>
          <w:rFonts w:ascii="Times New Roman" w:hAnsi="Times New Roman"/>
          <w:szCs w:val="24"/>
        </w:rPr>
        <w:t xml:space="preserve">the </w:t>
      </w:r>
      <w:r w:rsidR="009C552C" w:rsidRPr="00046A72">
        <w:rPr>
          <w:rFonts w:ascii="Times New Roman" w:hAnsi="Times New Roman"/>
          <w:szCs w:val="24"/>
        </w:rPr>
        <w:t xml:space="preserve">level of </w:t>
      </w:r>
      <w:r w:rsidRPr="00046A72">
        <w:rPr>
          <w:rFonts w:ascii="Times New Roman" w:hAnsi="Times New Roman"/>
          <w:szCs w:val="24"/>
        </w:rPr>
        <w:t xml:space="preserve">protection afforded to the public </w:t>
      </w:r>
      <w:r w:rsidR="009C552C" w:rsidRPr="00046A72">
        <w:rPr>
          <w:rFonts w:ascii="Times New Roman" w:hAnsi="Times New Roman"/>
          <w:szCs w:val="24"/>
        </w:rPr>
        <w:t xml:space="preserve">by Rule 15c3-3 </w:t>
      </w:r>
      <w:r w:rsidRPr="00046A72">
        <w:rPr>
          <w:rFonts w:ascii="Times New Roman" w:hAnsi="Times New Roman"/>
          <w:szCs w:val="24"/>
        </w:rPr>
        <w:t xml:space="preserve">would be </w:t>
      </w:r>
      <w:r w:rsidR="009C552C" w:rsidRPr="00046A72">
        <w:rPr>
          <w:rFonts w:ascii="Times New Roman" w:hAnsi="Times New Roman"/>
          <w:szCs w:val="24"/>
        </w:rPr>
        <w:t>reduced</w:t>
      </w:r>
      <w:r w:rsidRPr="00046A72">
        <w:rPr>
          <w:rFonts w:ascii="Times New Roman" w:hAnsi="Times New Roman"/>
          <w:szCs w:val="24"/>
        </w:rPr>
        <w:t>.</w:t>
      </w:r>
    </w:p>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t>7.</w:t>
      </w:r>
      <w:r w:rsidRPr="00046A72">
        <w:rPr>
          <w:rFonts w:ascii="Times New Roman" w:hAnsi="Times New Roman"/>
          <w:szCs w:val="24"/>
        </w:rPr>
        <w:tab/>
      </w:r>
      <w:r w:rsidRPr="00046A72">
        <w:rPr>
          <w:rFonts w:ascii="Times New Roman" w:hAnsi="Times New Roman"/>
          <w:szCs w:val="24"/>
          <w:u w:val="single"/>
        </w:rPr>
        <w:t>Inconsistencies with Guidelines In 5 CFR 1320.5(d</w:t>
      </w:r>
      <w:proofErr w:type="gramStart"/>
      <w:r w:rsidRPr="00046A72">
        <w:rPr>
          <w:rFonts w:ascii="Times New Roman" w:hAnsi="Times New Roman"/>
          <w:szCs w:val="24"/>
          <w:u w:val="single"/>
        </w:rPr>
        <w:t>)(</w:t>
      </w:r>
      <w:proofErr w:type="gramEnd"/>
      <w:r w:rsidRPr="00046A72">
        <w:rPr>
          <w:rFonts w:ascii="Times New Roman" w:hAnsi="Times New Roman"/>
          <w:szCs w:val="24"/>
          <w:u w:val="single"/>
        </w:rPr>
        <w:t>2)</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The collection is in a manner consistent with the guidelines set forth in 5 CFR 1320.5(d</w:t>
      </w:r>
      <w:proofErr w:type="gramStart"/>
      <w:r w:rsidRPr="00046A72">
        <w:rPr>
          <w:rFonts w:ascii="Times New Roman" w:hAnsi="Times New Roman"/>
          <w:szCs w:val="24"/>
        </w:rPr>
        <w:t>)(</w:t>
      </w:r>
      <w:proofErr w:type="gramEnd"/>
      <w:r w:rsidRPr="00046A72">
        <w:rPr>
          <w:rFonts w:ascii="Times New Roman" w:hAnsi="Times New Roman"/>
          <w:szCs w:val="24"/>
        </w:rPr>
        <w:t>2).</w:t>
      </w:r>
    </w:p>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t>8.</w:t>
      </w:r>
      <w:r w:rsidRPr="00046A72">
        <w:rPr>
          <w:rFonts w:ascii="Times New Roman" w:hAnsi="Times New Roman"/>
          <w:szCs w:val="24"/>
        </w:rPr>
        <w:tab/>
      </w:r>
      <w:r w:rsidRPr="00046A72">
        <w:rPr>
          <w:rFonts w:ascii="Times New Roman" w:hAnsi="Times New Roman"/>
          <w:szCs w:val="24"/>
          <w:u w:val="single"/>
        </w:rPr>
        <w:t xml:space="preserve">Consultations </w:t>
      </w:r>
      <w:proofErr w:type="gramStart"/>
      <w:r w:rsidRPr="00046A72">
        <w:rPr>
          <w:rFonts w:ascii="Times New Roman" w:hAnsi="Times New Roman"/>
          <w:szCs w:val="24"/>
          <w:u w:val="single"/>
        </w:rPr>
        <w:t>Outside</w:t>
      </w:r>
      <w:proofErr w:type="gramEnd"/>
      <w:r w:rsidRPr="00046A72">
        <w:rPr>
          <w:rFonts w:ascii="Times New Roman" w:hAnsi="Times New Roman"/>
          <w:szCs w:val="24"/>
          <w:u w:val="single"/>
        </w:rPr>
        <w:t xml:space="preserve"> the Agency</w:t>
      </w:r>
    </w:p>
    <w:p w:rsidR="00D6160F" w:rsidRDefault="00D6160F" w:rsidP="00D6160F">
      <w:r>
        <w:tab/>
        <w:t xml:space="preserve">All Commission rule proposals are published in the </w:t>
      </w:r>
      <w:r>
        <w:rPr>
          <w:i/>
        </w:rPr>
        <w:t>Federal Register</w:t>
      </w:r>
      <w:r>
        <w:t xml:space="preserve"> for public comment.  The comment period for the 2007 proposing release that discusses the </w:t>
      </w:r>
      <w:r>
        <w:lastRenderedPageBreak/>
        <w:t>proposed amendments to Rule 15c3-1 was 60 days.</w:t>
      </w:r>
      <w:r>
        <w:rPr>
          <w:rStyle w:val="FootnoteReference"/>
        </w:rPr>
        <w:footnoteReference w:id="10"/>
      </w:r>
      <w:r>
        <w:t xml:space="preserve">  This comment period afforded the public an opportunity to respond to the proposal.  No PRA comments were received in response to this request.</w:t>
      </w:r>
    </w:p>
    <w:p w:rsidR="00D6160F" w:rsidRDefault="00D6160F" w:rsidP="00D6160F"/>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t>9.</w:t>
      </w:r>
      <w:r w:rsidRPr="00046A72">
        <w:rPr>
          <w:rFonts w:ascii="Times New Roman" w:hAnsi="Times New Roman"/>
          <w:szCs w:val="24"/>
        </w:rPr>
        <w:tab/>
      </w:r>
      <w:r w:rsidRPr="00046A72">
        <w:rPr>
          <w:rFonts w:ascii="Times New Roman" w:hAnsi="Times New Roman"/>
          <w:szCs w:val="24"/>
          <w:u w:val="single"/>
        </w:rPr>
        <w:t>Payments or Gifts to Respondents</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Not applicable.</w:t>
      </w:r>
    </w:p>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t>10.</w:t>
      </w:r>
      <w:r w:rsidRPr="00046A72">
        <w:rPr>
          <w:rFonts w:ascii="Times New Roman" w:hAnsi="Times New Roman"/>
          <w:szCs w:val="24"/>
        </w:rPr>
        <w:tab/>
      </w:r>
      <w:r w:rsidRPr="00046A72">
        <w:rPr>
          <w:rFonts w:ascii="Times New Roman" w:hAnsi="Times New Roman"/>
          <w:szCs w:val="24"/>
          <w:u w:val="single"/>
        </w:rPr>
        <w:t>Assurance of Confidentiality</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The information collected under this Rule is kept confidential to the extent permitted by the Freedom of Information Act and any other applicable law.</w:t>
      </w:r>
    </w:p>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t>11.</w:t>
      </w:r>
      <w:r w:rsidRPr="00046A72">
        <w:rPr>
          <w:rFonts w:ascii="Times New Roman" w:hAnsi="Times New Roman"/>
          <w:szCs w:val="24"/>
        </w:rPr>
        <w:tab/>
      </w:r>
      <w:r w:rsidRPr="00046A72">
        <w:rPr>
          <w:rFonts w:ascii="Times New Roman" w:hAnsi="Times New Roman"/>
          <w:szCs w:val="24"/>
          <w:u w:val="single"/>
        </w:rPr>
        <w:t>Sensitive Questions</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Questions of a sensitive nature are not asked.</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12.</w:t>
      </w:r>
      <w:r w:rsidRPr="00046A72">
        <w:rPr>
          <w:rFonts w:ascii="Times New Roman" w:hAnsi="Times New Roman"/>
          <w:szCs w:val="24"/>
        </w:rPr>
        <w:tab/>
      </w:r>
      <w:r w:rsidRPr="00046A72">
        <w:rPr>
          <w:rFonts w:ascii="Times New Roman" w:hAnsi="Times New Roman"/>
          <w:szCs w:val="24"/>
          <w:u w:val="single"/>
        </w:rPr>
        <w:t>Estimate of Respondent Reporting Burden</w:t>
      </w:r>
    </w:p>
    <w:p w:rsidR="0071269A" w:rsidRPr="00D6160F" w:rsidRDefault="0071269A" w:rsidP="00FC2D78">
      <w:pPr>
        <w:pStyle w:val="Heading2"/>
        <w:ind w:hanging="900"/>
      </w:pPr>
      <w:r w:rsidRPr="00D6160F">
        <w:t xml:space="preserve">Summary of Reporting Burden </w:t>
      </w:r>
      <w:proofErr w:type="gramStart"/>
      <w:r w:rsidRPr="00D6160F">
        <w:t>Under</w:t>
      </w:r>
      <w:proofErr w:type="gramEnd"/>
      <w:r w:rsidRPr="00D6160F">
        <w:t xml:space="preserve"> Rule 15c3-3</w:t>
      </w:r>
    </w:p>
    <w:p w:rsidR="0071269A" w:rsidRDefault="0071269A" w:rsidP="0071269A">
      <w:pPr>
        <w:ind w:firstLine="720"/>
        <w:rPr>
          <w:rFonts w:ascii="Times New Roman" w:hAnsi="Times New Roman"/>
          <w:szCs w:val="24"/>
        </w:rPr>
      </w:pPr>
    </w:p>
    <w:p w:rsidR="00067B7E" w:rsidRPr="00046A72" w:rsidRDefault="00E06C40" w:rsidP="008F2F84">
      <w:pPr>
        <w:spacing w:after="240"/>
        <w:ind w:firstLine="720"/>
        <w:rPr>
          <w:rFonts w:ascii="Times New Roman" w:hAnsi="Times New Roman"/>
          <w:szCs w:val="24"/>
        </w:rPr>
      </w:pPr>
      <w:r>
        <w:rPr>
          <w:rFonts w:ascii="Times New Roman" w:hAnsi="Times New Roman"/>
          <w:szCs w:val="24"/>
        </w:rPr>
        <w:t>As of December 31, 2006, t</w:t>
      </w:r>
      <w:r w:rsidR="00067B7E" w:rsidRPr="00046A72">
        <w:rPr>
          <w:rFonts w:ascii="Times New Roman" w:hAnsi="Times New Roman"/>
          <w:szCs w:val="24"/>
        </w:rPr>
        <w:t xml:space="preserve">here </w:t>
      </w:r>
      <w:r>
        <w:rPr>
          <w:rFonts w:ascii="Times New Roman" w:hAnsi="Times New Roman"/>
          <w:szCs w:val="24"/>
        </w:rPr>
        <w:t>wer</w:t>
      </w:r>
      <w:r w:rsidR="00067B7E" w:rsidRPr="00046A72">
        <w:rPr>
          <w:rFonts w:ascii="Times New Roman" w:hAnsi="Times New Roman"/>
          <w:szCs w:val="24"/>
        </w:rPr>
        <w:t xml:space="preserve">e approximately </w:t>
      </w:r>
      <w:r>
        <w:rPr>
          <w:rFonts w:ascii="Times New Roman" w:hAnsi="Times New Roman"/>
          <w:szCs w:val="24"/>
        </w:rPr>
        <w:t>3</w:t>
      </w:r>
      <w:r w:rsidR="008B5ADA">
        <w:rPr>
          <w:rFonts w:ascii="Times New Roman" w:hAnsi="Times New Roman"/>
          <w:szCs w:val="24"/>
        </w:rPr>
        <w:t>4</w:t>
      </w:r>
      <w:r>
        <w:rPr>
          <w:rFonts w:ascii="Times New Roman" w:hAnsi="Times New Roman"/>
          <w:szCs w:val="24"/>
        </w:rPr>
        <w:t>4</w:t>
      </w:r>
      <w:r w:rsidR="00067B7E" w:rsidRPr="00E06C40">
        <w:rPr>
          <w:rFonts w:ascii="Times New Roman" w:hAnsi="Times New Roman"/>
          <w:szCs w:val="24"/>
        </w:rPr>
        <w:t xml:space="preserve"> broker-dealers </w:t>
      </w:r>
      <w:r w:rsidR="00253271" w:rsidRPr="00E06C40">
        <w:rPr>
          <w:rFonts w:ascii="Times New Roman" w:hAnsi="Times New Roman"/>
          <w:szCs w:val="24"/>
        </w:rPr>
        <w:t xml:space="preserve">fully </w:t>
      </w:r>
      <w:r w:rsidR="00067B7E" w:rsidRPr="00E06C40">
        <w:rPr>
          <w:rFonts w:ascii="Times New Roman" w:hAnsi="Times New Roman"/>
          <w:szCs w:val="24"/>
        </w:rPr>
        <w:t>subject to the Rule</w:t>
      </w:r>
      <w:r w:rsidR="00253271" w:rsidRPr="00E06C40">
        <w:rPr>
          <w:rFonts w:ascii="Times New Roman" w:hAnsi="Times New Roman"/>
          <w:szCs w:val="24"/>
        </w:rPr>
        <w:t xml:space="preserve"> (i.e., broker-dealers that </w:t>
      </w:r>
      <w:proofErr w:type="spellStart"/>
      <w:r w:rsidR="00253271" w:rsidRPr="00E06C40">
        <w:rPr>
          <w:rFonts w:ascii="Times New Roman" w:hAnsi="Times New Roman"/>
          <w:szCs w:val="24"/>
        </w:rPr>
        <w:t>can not</w:t>
      </w:r>
      <w:proofErr w:type="spellEnd"/>
      <w:r w:rsidR="00253271" w:rsidRPr="00E06C40">
        <w:rPr>
          <w:rFonts w:ascii="Times New Roman" w:hAnsi="Times New Roman"/>
          <w:szCs w:val="24"/>
        </w:rPr>
        <w:t xml:space="preserve"> claim any of</w:t>
      </w:r>
      <w:r w:rsidR="00253271">
        <w:rPr>
          <w:rFonts w:ascii="Times New Roman" w:hAnsi="Times New Roman"/>
          <w:szCs w:val="24"/>
        </w:rPr>
        <w:t xml:space="preserve"> the exemptions enumerated at paragraph (k))</w:t>
      </w:r>
      <w:r w:rsidR="00067B7E" w:rsidRPr="00046A72">
        <w:rPr>
          <w:rFonts w:ascii="Times New Roman" w:hAnsi="Times New Roman"/>
          <w:szCs w:val="24"/>
        </w:rPr>
        <w:t xml:space="preserve">, of which approximately </w:t>
      </w:r>
      <w:r>
        <w:rPr>
          <w:rFonts w:ascii="Times New Roman" w:hAnsi="Times New Roman"/>
          <w:szCs w:val="24"/>
        </w:rPr>
        <w:t xml:space="preserve">9 make daily, </w:t>
      </w:r>
      <w:r w:rsidR="008B5ADA">
        <w:rPr>
          <w:rFonts w:ascii="Times New Roman" w:hAnsi="Times New Roman"/>
          <w:szCs w:val="24"/>
        </w:rPr>
        <w:t>245</w:t>
      </w:r>
      <w:r w:rsidR="00067B7E" w:rsidRPr="00E06C40">
        <w:rPr>
          <w:rFonts w:ascii="Times New Roman" w:hAnsi="Times New Roman"/>
          <w:szCs w:val="24"/>
        </w:rPr>
        <w:t xml:space="preserve"> make weekly, and </w:t>
      </w:r>
      <w:r w:rsidRPr="00E06C40">
        <w:rPr>
          <w:rFonts w:ascii="Times New Roman" w:hAnsi="Times New Roman"/>
          <w:szCs w:val="24"/>
        </w:rPr>
        <w:t>90</w:t>
      </w:r>
      <w:r w:rsidR="00067B7E" w:rsidRPr="00E06C40">
        <w:rPr>
          <w:rFonts w:ascii="Times New Roman" w:hAnsi="Times New Roman"/>
          <w:szCs w:val="24"/>
        </w:rPr>
        <w:t xml:space="preserve"> make monthly, reserve computations.</w:t>
      </w:r>
      <w:r w:rsidR="008B5ADA">
        <w:rPr>
          <w:rStyle w:val="FootnoteReference"/>
          <w:rFonts w:ascii="Times New Roman" w:hAnsi="Times New Roman"/>
          <w:szCs w:val="24"/>
        </w:rPr>
        <w:footnoteReference w:id="11"/>
      </w:r>
      <w:r w:rsidR="00067B7E" w:rsidRPr="00E06C40">
        <w:rPr>
          <w:rFonts w:ascii="Times New Roman" w:hAnsi="Times New Roman"/>
          <w:szCs w:val="24"/>
        </w:rPr>
        <w:t xml:space="preserve">  </w:t>
      </w:r>
      <w:r w:rsidR="007E6AF8" w:rsidRPr="00E06C40">
        <w:rPr>
          <w:rFonts w:ascii="Times New Roman" w:hAnsi="Times New Roman"/>
          <w:color w:val="000000"/>
          <w:szCs w:val="24"/>
        </w:rPr>
        <w:t>The rule requires that each</w:t>
      </w:r>
      <w:r w:rsidR="007E6AF8" w:rsidRPr="00046A72">
        <w:rPr>
          <w:rFonts w:ascii="Times New Roman" w:hAnsi="Times New Roman"/>
          <w:color w:val="000000"/>
          <w:szCs w:val="24"/>
        </w:rPr>
        <w:t xml:space="preserve"> broker-dealer make a record of each such computation</w:t>
      </w:r>
      <w:r w:rsidR="00072FCA" w:rsidRPr="00046A72">
        <w:rPr>
          <w:rFonts w:ascii="Times New Roman" w:hAnsi="Times New Roman"/>
          <w:color w:val="000000"/>
          <w:szCs w:val="24"/>
        </w:rPr>
        <w:t>.</w:t>
      </w:r>
      <w:r w:rsidR="007E6AF8" w:rsidRPr="00046A72">
        <w:rPr>
          <w:rStyle w:val="FootnoteReference"/>
          <w:rFonts w:ascii="Times New Roman" w:hAnsi="Times New Roman"/>
          <w:color w:val="000000"/>
          <w:szCs w:val="24"/>
        </w:rPr>
        <w:footnoteReference w:id="12"/>
      </w:r>
      <w:r w:rsidR="007E6AF8" w:rsidRPr="00046A72">
        <w:rPr>
          <w:rFonts w:ascii="Times New Roman" w:hAnsi="Times New Roman"/>
          <w:color w:val="000000"/>
          <w:szCs w:val="24"/>
        </w:rPr>
        <w:t xml:space="preserve">  </w:t>
      </w:r>
      <w:r w:rsidR="00067B7E" w:rsidRPr="00046A72">
        <w:rPr>
          <w:rFonts w:ascii="Times New Roman" w:hAnsi="Times New Roman"/>
          <w:szCs w:val="24"/>
        </w:rPr>
        <w:t xml:space="preserve">The variation in size and complexity between these firms makes it very difficult to develop a meaningful figure for the amount of time required to </w:t>
      </w:r>
      <w:r w:rsidR="005C0ABA" w:rsidRPr="00046A72">
        <w:rPr>
          <w:rFonts w:ascii="Times New Roman" w:hAnsi="Times New Roman"/>
          <w:szCs w:val="24"/>
        </w:rPr>
        <w:t>make a record of each</w:t>
      </w:r>
      <w:r w:rsidR="00067B7E" w:rsidRPr="00046A72">
        <w:rPr>
          <w:rFonts w:ascii="Times New Roman" w:hAnsi="Times New Roman"/>
          <w:szCs w:val="24"/>
        </w:rPr>
        <w:t xml:space="preserve"> reserve computation.  Based on experience in the area, Commission staff estimates that it takes between one and five hours, and that the average time spent across all the firms is 2.5 hours. Accordingly, Commission staff estimates that the resulting burden totals 45,960 hours annually (</w:t>
      </w:r>
      <w:r w:rsidR="008B5ADA">
        <w:rPr>
          <w:rFonts w:ascii="Times New Roman" w:hAnsi="Times New Roman"/>
          <w:szCs w:val="24"/>
        </w:rPr>
        <w:t xml:space="preserve">(2.5 hours x 240 computations x 9 respondents that calculate daily) + </w:t>
      </w:r>
      <w:r w:rsidR="00067B7E" w:rsidRPr="00046A72">
        <w:rPr>
          <w:rFonts w:ascii="Times New Roman" w:hAnsi="Times New Roman"/>
          <w:szCs w:val="24"/>
        </w:rPr>
        <w:t xml:space="preserve">(2.5 hours x 52 </w:t>
      </w:r>
      <w:r w:rsidR="008B5ADA">
        <w:rPr>
          <w:rFonts w:ascii="Times New Roman" w:hAnsi="Times New Roman"/>
          <w:szCs w:val="24"/>
        </w:rPr>
        <w:t>compu</w:t>
      </w:r>
      <w:r w:rsidR="008F2F84">
        <w:rPr>
          <w:rFonts w:ascii="Times New Roman" w:hAnsi="Times New Roman"/>
          <w:szCs w:val="24"/>
        </w:rPr>
        <w:t>t</w:t>
      </w:r>
      <w:r w:rsidR="008B5ADA">
        <w:rPr>
          <w:rFonts w:ascii="Times New Roman" w:hAnsi="Times New Roman"/>
          <w:szCs w:val="24"/>
        </w:rPr>
        <w:t>ations</w:t>
      </w:r>
      <w:r w:rsidR="00067B7E" w:rsidRPr="00046A72">
        <w:rPr>
          <w:rFonts w:ascii="Times New Roman" w:hAnsi="Times New Roman"/>
          <w:szCs w:val="24"/>
        </w:rPr>
        <w:t xml:space="preserve"> x </w:t>
      </w:r>
      <w:r w:rsidR="008B5ADA">
        <w:rPr>
          <w:rFonts w:ascii="Times New Roman" w:hAnsi="Times New Roman"/>
          <w:szCs w:val="24"/>
        </w:rPr>
        <w:t>245</w:t>
      </w:r>
      <w:r w:rsidR="00067B7E" w:rsidRPr="00046A72">
        <w:rPr>
          <w:rFonts w:ascii="Times New Roman" w:hAnsi="Times New Roman"/>
          <w:szCs w:val="24"/>
        </w:rPr>
        <w:t xml:space="preserve"> respondents</w:t>
      </w:r>
      <w:r w:rsidR="008B5ADA">
        <w:rPr>
          <w:rFonts w:ascii="Times New Roman" w:hAnsi="Times New Roman"/>
          <w:szCs w:val="24"/>
        </w:rPr>
        <w:t xml:space="preserve"> that calculate weekly</w:t>
      </w:r>
      <w:r w:rsidR="00067B7E" w:rsidRPr="00046A72">
        <w:rPr>
          <w:rFonts w:ascii="Times New Roman" w:hAnsi="Times New Roman"/>
          <w:szCs w:val="24"/>
        </w:rPr>
        <w:t xml:space="preserve">) + (2.5 hours x 12 </w:t>
      </w:r>
      <w:r w:rsidR="008B5ADA">
        <w:rPr>
          <w:rFonts w:ascii="Times New Roman" w:hAnsi="Times New Roman"/>
          <w:szCs w:val="24"/>
        </w:rPr>
        <w:t>computations</w:t>
      </w:r>
      <w:r w:rsidR="00067B7E" w:rsidRPr="00046A72">
        <w:rPr>
          <w:rFonts w:ascii="Times New Roman" w:hAnsi="Times New Roman"/>
          <w:szCs w:val="24"/>
        </w:rPr>
        <w:t xml:space="preserve"> x </w:t>
      </w:r>
      <w:r w:rsidR="008B5ADA">
        <w:rPr>
          <w:rFonts w:ascii="Times New Roman" w:hAnsi="Times New Roman"/>
          <w:szCs w:val="24"/>
        </w:rPr>
        <w:t>90</w:t>
      </w:r>
      <w:r w:rsidR="00067B7E" w:rsidRPr="00046A72">
        <w:rPr>
          <w:rFonts w:ascii="Times New Roman" w:hAnsi="Times New Roman"/>
          <w:szCs w:val="24"/>
        </w:rPr>
        <w:t xml:space="preserve"> respondents</w:t>
      </w:r>
      <w:r w:rsidR="008B5ADA">
        <w:rPr>
          <w:rFonts w:ascii="Times New Roman" w:hAnsi="Times New Roman"/>
          <w:szCs w:val="24"/>
        </w:rPr>
        <w:t xml:space="preserve"> that calculate monthly</w:t>
      </w:r>
      <w:r w:rsidR="00067B7E" w:rsidRPr="00046A72">
        <w:rPr>
          <w:rFonts w:ascii="Times New Roman" w:hAnsi="Times New Roman"/>
          <w:szCs w:val="24"/>
        </w:rPr>
        <w:t>)).</w:t>
      </w:r>
    </w:p>
    <w:p w:rsidR="005C0ABA" w:rsidRPr="00046A72" w:rsidRDefault="005C0ABA" w:rsidP="000122EB">
      <w:pPr>
        <w:spacing w:after="240"/>
        <w:ind w:firstLine="720"/>
        <w:rPr>
          <w:rFonts w:ascii="Times New Roman" w:hAnsi="Times New Roman"/>
          <w:color w:val="000000"/>
          <w:szCs w:val="24"/>
        </w:rPr>
      </w:pPr>
      <w:r w:rsidRPr="00046A72">
        <w:rPr>
          <w:rFonts w:ascii="Times New Roman" w:hAnsi="Times New Roman"/>
          <w:color w:val="000000"/>
          <w:szCs w:val="24"/>
        </w:rPr>
        <w:t xml:space="preserve">A broker-dealer required to maintain the Special Reserve Bank Account prescribed by Rule 15c3-3 must obtain and retain a written notification from each bank in which it has a Special Reserve Bank Account to evidence bank’s acknowledgement that assets deposited in the </w:t>
      </w:r>
      <w:r w:rsidR="00D02990" w:rsidRPr="00046A72">
        <w:rPr>
          <w:rFonts w:ascii="Times New Roman" w:hAnsi="Times New Roman"/>
          <w:color w:val="000000"/>
          <w:szCs w:val="24"/>
        </w:rPr>
        <w:t>A</w:t>
      </w:r>
      <w:r w:rsidRPr="00046A72">
        <w:rPr>
          <w:rFonts w:ascii="Times New Roman" w:hAnsi="Times New Roman"/>
          <w:color w:val="000000"/>
          <w:szCs w:val="24"/>
        </w:rPr>
        <w:t>ccount are being held by the bank for the exclusive benefit of the broker-</w:t>
      </w:r>
      <w:proofErr w:type="spellStart"/>
      <w:r w:rsidRPr="00046A72">
        <w:rPr>
          <w:rFonts w:ascii="Times New Roman" w:hAnsi="Times New Roman"/>
          <w:color w:val="000000"/>
          <w:szCs w:val="24"/>
        </w:rPr>
        <w:t>dealer’s</w:t>
      </w:r>
      <w:proofErr w:type="spellEnd"/>
      <w:r w:rsidRPr="00046A72">
        <w:rPr>
          <w:rFonts w:ascii="Times New Roman" w:hAnsi="Times New Roman"/>
          <w:color w:val="000000"/>
          <w:szCs w:val="24"/>
        </w:rPr>
        <w:t xml:space="preserve"> customers.</w:t>
      </w:r>
      <w:r w:rsidRPr="00046A72">
        <w:rPr>
          <w:rStyle w:val="FootnoteReference"/>
          <w:rFonts w:ascii="Times New Roman" w:hAnsi="Times New Roman"/>
          <w:color w:val="000000"/>
          <w:szCs w:val="24"/>
        </w:rPr>
        <w:footnoteReference w:id="13"/>
      </w:r>
      <w:r w:rsidRPr="00046A72">
        <w:rPr>
          <w:rFonts w:ascii="Times New Roman" w:hAnsi="Times New Roman"/>
          <w:color w:val="000000"/>
          <w:szCs w:val="24"/>
        </w:rPr>
        <w:t xml:space="preserve">  </w:t>
      </w:r>
      <w:r w:rsidR="00305AE2" w:rsidRPr="00046A72">
        <w:rPr>
          <w:rFonts w:ascii="Times New Roman" w:hAnsi="Times New Roman"/>
          <w:color w:val="000000"/>
          <w:szCs w:val="24"/>
        </w:rPr>
        <w:t xml:space="preserve">As stated previously, </w:t>
      </w:r>
      <w:r w:rsidR="008B5ADA">
        <w:rPr>
          <w:rFonts w:ascii="Times New Roman" w:hAnsi="Times New Roman"/>
          <w:color w:val="000000"/>
          <w:szCs w:val="24"/>
        </w:rPr>
        <w:t>344</w:t>
      </w:r>
      <w:r w:rsidR="00305AE2" w:rsidRPr="00046A72">
        <w:rPr>
          <w:rFonts w:ascii="Times New Roman" w:hAnsi="Times New Roman"/>
          <w:color w:val="000000"/>
          <w:szCs w:val="24"/>
        </w:rPr>
        <w:t xml:space="preserve"> broker-dealers are presently fully-subject to Rule 15c3-3.  In addition, </w:t>
      </w:r>
      <w:r w:rsidR="008B5ADA">
        <w:rPr>
          <w:rFonts w:ascii="Times New Roman" w:hAnsi="Times New Roman"/>
          <w:color w:val="000000"/>
          <w:szCs w:val="24"/>
        </w:rPr>
        <w:t>140</w:t>
      </w:r>
      <w:r w:rsidR="00305AE2" w:rsidRPr="00046A72">
        <w:rPr>
          <w:rFonts w:ascii="Times New Roman" w:hAnsi="Times New Roman"/>
          <w:color w:val="000000"/>
          <w:szCs w:val="24"/>
        </w:rPr>
        <w:t xml:space="preserve"> broker-dealers operate in accordance with the exemption provided in paragraph (k</w:t>
      </w:r>
      <w:proofErr w:type="gramStart"/>
      <w:r w:rsidR="00305AE2" w:rsidRPr="00046A72">
        <w:rPr>
          <w:rFonts w:ascii="Times New Roman" w:hAnsi="Times New Roman"/>
          <w:color w:val="000000"/>
          <w:szCs w:val="24"/>
        </w:rPr>
        <w:t>)(</w:t>
      </w:r>
      <w:proofErr w:type="gramEnd"/>
      <w:r w:rsidR="00305AE2" w:rsidRPr="00046A72">
        <w:rPr>
          <w:rFonts w:ascii="Times New Roman" w:hAnsi="Times New Roman"/>
          <w:color w:val="000000"/>
          <w:szCs w:val="24"/>
        </w:rPr>
        <w:t xml:space="preserve">2)(i) which also requires that a broker-dealer </w:t>
      </w:r>
      <w:r w:rsidR="00305AE2" w:rsidRPr="00046A72">
        <w:rPr>
          <w:rFonts w:ascii="Times New Roman" w:hAnsi="Times New Roman"/>
          <w:color w:val="000000"/>
          <w:szCs w:val="24"/>
        </w:rPr>
        <w:lastRenderedPageBreak/>
        <w:t xml:space="preserve">maintain a Special Reserve Bank Account.  Broker-dealers </w:t>
      </w:r>
      <w:r w:rsidR="00D02990" w:rsidRPr="00046A72">
        <w:rPr>
          <w:rFonts w:ascii="Times New Roman" w:hAnsi="Times New Roman"/>
          <w:color w:val="000000"/>
          <w:szCs w:val="24"/>
        </w:rPr>
        <w:t xml:space="preserve">generally </w:t>
      </w:r>
      <w:r w:rsidR="00305AE2" w:rsidRPr="00046A72">
        <w:rPr>
          <w:rFonts w:ascii="Times New Roman" w:hAnsi="Times New Roman"/>
          <w:color w:val="000000"/>
          <w:szCs w:val="24"/>
        </w:rPr>
        <w:t xml:space="preserve">maintain </w:t>
      </w:r>
      <w:r w:rsidR="00D02990" w:rsidRPr="00046A72">
        <w:rPr>
          <w:rFonts w:ascii="Times New Roman" w:hAnsi="Times New Roman"/>
          <w:color w:val="000000"/>
          <w:szCs w:val="24"/>
        </w:rPr>
        <w:t>lon</w:t>
      </w:r>
      <w:r w:rsidR="00305AE2" w:rsidRPr="00046A72">
        <w:rPr>
          <w:rFonts w:ascii="Times New Roman" w:hAnsi="Times New Roman"/>
          <w:color w:val="000000"/>
          <w:szCs w:val="24"/>
        </w:rPr>
        <w:t>gstanding relationships with banks where they hold their Special Reserve Bank Accounts</w:t>
      </w:r>
      <w:r w:rsidR="00D02990" w:rsidRPr="00046A72">
        <w:rPr>
          <w:rFonts w:ascii="Times New Roman" w:hAnsi="Times New Roman"/>
          <w:color w:val="000000"/>
          <w:szCs w:val="24"/>
        </w:rPr>
        <w:t xml:space="preserve"> and thus do not need to obtain these letters often.  The staff estimates that of the total broker-dealers that must comply with this rule, only </w:t>
      </w:r>
      <w:r w:rsidR="000122EB">
        <w:rPr>
          <w:rFonts w:ascii="Times New Roman" w:hAnsi="Times New Roman"/>
          <w:color w:val="000000"/>
          <w:szCs w:val="24"/>
        </w:rPr>
        <w:t>25%, or 121 ((344 + 140) x .25)</w:t>
      </w:r>
      <w:r w:rsidR="00D02990" w:rsidRPr="00046A72">
        <w:rPr>
          <w:rFonts w:ascii="Times New Roman" w:hAnsi="Times New Roman"/>
          <w:color w:val="000000"/>
          <w:szCs w:val="24"/>
        </w:rPr>
        <w:t xml:space="preserve"> must obtain 1 new letter each year (either because the broker-dealer changed the type of business it does and became subject to either paragraph (e</w:t>
      </w:r>
      <w:proofErr w:type="gramStart"/>
      <w:r w:rsidR="00D02990" w:rsidRPr="00046A72">
        <w:rPr>
          <w:rFonts w:ascii="Times New Roman" w:hAnsi="Times New Roman"/>
          <w:color w:val="000000"/>
          <w:szCs w:val="24"/>
        </w:rPr>
        <w:t>)(</w:t>
      </w:r>
      <w:proofErr w:type="gramEnd"/>
      <w:r w:rsidR="00D02990" w:rsidRPr="00046A72">
        <w:rPr>
          <w:rFonts w:ascii="Times New Roman" w:hAnsi="Times New Roman"/>
          <w:color w:val="000000"/>
          <w:szCs w:val="24"/>
        </w:rPr>
        <w:t xml:space="preserve">3) or (k)(2)(i) or simply because the broker-dealer established a new Special Reserve Bank Account).  The staff estimates that </w:t>
      </w:r>
      <w:r w:rsidR="00D02990" w:rsidRPr="00046A72">
        <w:rPr>
          <w:rFonts w:ascii="Times New Roman" w:hAnsi="Times New Roman"/>
          <w:szCs w:val="24"/>
        </w:rPr>
        <w:t xml:space="preserve">it </w:t>
      </w:r>
      <w:r w:rsidR="000122EB">
        <w:rPr>
          <w:rFonts w:ascii="Times New Roman" w:hAnsi="Times New Roman"/>
          <w:szCs w:val="24"/>
        </w:rPr>
        <w:t xml:space="preserve">would </w:t>
      </w:r>
      <w:r w:rsidR="00D02990" w:rsidRPr="00046A72">
        <w:rPr>
          <w:rFonts w:ascii="Times New Roman" w:hAnsi="Times New Roman"/>
          <w:szCs w:val="24"/>
        </w:rPr>
        <w:t xml:space="preserve">take a broker-dealer approximately </w:t>
      </w:r>
      <w:r w:rsidR="000122EB">
        <w:rPr>
          <w:rFonts w:ascii="Times New Roman" w:hAnsi="Times New Roman"/>
          <w:szCs w:val="24"/>
        </w:rPr>
        <w:t>1 hour</w:t>
      </w:r>
      <w:r w:rsidR="00D02990" w:rsidRPr="00046A72">
        <w:rPr>
          <w:rFonts w:ascii="Times New Roman" w:hAnsi="Times New Roman"/>
          <w:szCs w:val="24"/>
        </w:rPr>
        <w:t xml:space="preserve"> to obtain this written notification from a bank regarding a Special Reserve Bank Account.</w:t>
      </w:r>
      <w:r w:rsidR="000122EB">
        <w:rPr>
          <w:rStyle w:val="FootnoteReference"/>
          <w:rFonts w:ascii="Times New Roman" w:hAnsi="Times New Roman"/>
          <w:szCs w:val="24"/>
        </w:rPr>
        <w:footnoteReference w:id="14"/>
      </w:r>
      <w:r w:rsidR="00D02990" w:rsidRPr="00046A72">
        <w:rPr>
          <w:rFonts w:ascii="Times New Roman" w:hAnsi="Times New Roman"/>
          <w:szCs w:val="24"/>
        </w:rPr>
        <w:t xml:space="preserve">  Therefore, Commission staff estimates that broker-dealers will spend approximately </w:t>
      </w:r>
      <w:r w:rsidR="000122EB">
        <w:rPr>
          <w:rFonts w:ascii="Times New Roman" w:hAnsi="Times New Roman"/>
          <w:szCs w:val="24"/>
        </w:rPr>
        <w:t>121</w:t>
      </w:r>
      <w:r w:rsidR="00D02990" w:rsidRPr="00046A72">
        <w:rPr>
          <w:rFonts w:ascii="Times New Roman" w:hAnsi="Times New Roman"/>
          <w:szCs w:val="24"/>
        </w:rPr>
        <w:t xml:space="preserve"> hours each year to obtain these written notifications.</w:t>
      </w:r>
    </w:p>
    <w:p w:rsidR="00067B7E" w:rsidRPr="00046A72" w:rsidRDefault="0035269F" w:rsidP="00211841">
      <w:pPr>
        <w:spacing w:after="240"/>
        <w:ind w:firstLine="720"/>
        <w:rPr>
          <w:rFonts w:ascii="Times New Roman" w:hAnsi="Times New Roman"/>
          <w:szCs w:val="24"/>
        </w:rPr>
      </w:pPr>
      <w:r w:rsidRPr="00046A72">
        <w:rPr>
          <w:rFonts w:ascii="Times New Roman" w:hAnsi="Times New Roman"/>
          <w:szCs w:val="24"/>
        </w:rPr>
        <w:t xml:space="preserve">In addition, </w:t>
      </w:r>
      <w:r w:rsidRPr="00046A72">
        <w:rPr>
          <w:rFonts w:ascii="Times New Roman" w:hAnsi="Times New Roman"/>
          <w:color w:val="000000"/>
          <w:szCs w:val="24"/>
        </w:rPr>
        <w:t>a</w:t>
      </w:r>
      <w:r w:rsidRPr="00046A72">
        <w:rPr>
          <w:rFonts w:ascii="Times New Roman" w:hAnsi="Times New Roman"/>
          <w:b/>
          <w:bCs/>
          <w:color w:val="000000"/>
          <w:szCs w:val="24"/>
        </w:rPr>
        <w:t xml:space="preserve"> </w:t>
      </w:r>
      <w:r w:rsidRPr="00046A72">
        <w:rPr>
          <w:rFonts w:ascii="Times New Roman" w:hAnsi="Times New Roman"/>
          <w:color w:val="000000"/>
          <w:szCs w:val="24"/>
        </w:rPr>
        <w:t>broker-dealer must immediately notify the Commission and its designated examining authority if it fails to make a required deposit to its Special Reserve Bank Account.</w:t>
      </w:r>
      <w:r w:rsidRPr="00046A72">
        <w:rPr>
          <w:rStyle w:val="FootnoteReference"/>
          <w:rFonts w:ascii="Times New Roman" w:hAnsi="Times New Roman"/>
          <w:color w:val="000000"/>
          <w:szCs w:val="24"/>
        </w:rPr>
        <w:footnoteReference w:id="15"/>
      </w:r>
      <w:r w:rsidRPr="00046A72">
        <w:rPr>
          <w:rFonts w:ascii="Times New Roman" w:hAnsi="Times New Roman"/>
          <w:color w:val="000000"/>
          <w:szCs w:val="24"/>
        </w:rPr>
        <w:t xml:space="preserve">  </w:t>
      </w:r>
      <w:r w:rsidR="00067B7E" w:rsidRPr="00046A72">
        <w:rPr>
          <w:rFonts w:ascii="Times New Roman" w:hAnsi="Times New Roman"/>
          <w:szCs w:val="24"/>
        </w:rPr>
        <w:t xml:space="preserve">Commission staff estimates that </w:t>
      </w:r>
      <w:r w:rsidR="00067B7E" w:rsidRPr="008B5ADA">
        <w:rPr>
          <w:rFonts w:ascii="Times New Roman" w:hAnsi="Times New Roman"/>
          <w:szCs w:val="24"/>
        </w:rPr>
        <w:t xml:space="preserve">broker-dealers file approximately </w:t>
      </w:r>
      <w:r w:rsidR="008B5ADA" w:rsidRPr="008B5ADA">
        <w:rPr>
          <w:rFonts w:ascii="Times New Roman" w:hAnsi="Times New Roman"/>
          <w:szCs w:val="24"/>
        </w:rPr>
        <w:t>6</w:t>
      </w:r>
      <w:r w:rsidR="00C53C73">
        <w:rPr>
          <w:rFonts w:ascii="Times New Roman" w:hAnsi="Times New Roman"/>
          <w:szCs w:val="24"/>
        </w:rPr>
        <w:t>5</w:t>
      </w:r>
      <w:r w:rsidR="00067B7E" w:rsidRPr="008B5ADA">
        <w:rPr>
          <w:rFonts w:ascii="Times New Roman" w:hAnsi="Times New Roman"/>
          <w:szCs w:val="24"/>
        </w:rPr>
        <w:t xml:space="preserve"> </w:t>
      </w:r>
      <w:r w:rsidRPr="008B5ADA">
        <w:rPr>
          <w:rFonts w:ascii="Times New Roman" w:hAnsi="Times New Roman"/>
          <w:szCs w:val="24"/>
        </w:rPr>
        <w:t xml:space="preserve">such </w:t>
      </w:r>
      <w:r w:rsidR="00067B7E" w:rsidRPr="008B5ADA">
        <w:rPr>
          <w:rFonts w:ascii="Times New Roman" w:hAnsi="Times New Roman"/>
          <w:szCs w:val="24"/>
        </w:rPr>
        <w:t>notices per year.</w:t>
      </w:r>
      <w:r w:rsidR="00C53C73">
        <w:rPr>
          <w:rStyle w:val="FootnoteReference"/>
          <w:rFonts w:ascii="Times New Roman" w:hAnsi="Times New Roman"/>
          <w:szCs w:val="24"/>
        </w:rPr>
        <w:footnoteReference w:id="16"/>
      </w:r>
      <w:r w:rsidR="00067B7E" w:rsidRPr="008B5ADA">
        <w:rPr>
          <w:rFonts w:ascii="Times New Roman" w:hAnsi="Times New Roman"/>
          <w:szCs w:val="24"/>
        </w:rPr>
        <w:t xml:space="preserve">  Based on staff experienc</w:t>
      </w:r>
      <w:r w:rsidR="00067B7E" w:rsidRPr="00046A72">
        <w:rPr>
          <w:rFonts w:ascii="Times New Roman" w:hAnsi="Times New Roman"/>
          <w:szCs w:val="24"/>
        </w:rPr>
        <w:t xml:space="preserve">e with the industry, it would take a broker-dealer approximately 30 minutes to file the notice required under the Rule.  Therefore, Commission staff estimates that broker-dealers </w:t>
      </w:r>
      <w:r w:rsidR="00C53C73">
        <w:rPr>
          <w:rFonts w:ascii="Times New Roman" w:hAnsi="Times New Roman"/>
          <w:szCs w:val="24"/>
        </w:rPr>
        <w:t xml:space="preserve">would </w:t>
      </w:r>
      <w:r w:rsidR="00067B7E" w:rsidRPr="00046A72">
        <w:rPr>
          <w:rFonts w:ascii="Times New Roman" w:hAnsi="Times New Roman"/>
          <w:szCs w:val="24"/>
        </w:rPr>
        <w:t xml:space="preserve">spend </w:t>
      </w:r>
      <w:r w:rsidR="00C53C73">
        <w:rPr>
          <w:rFonts w:ascii="Times New Roman" w:hAnsi="Times New Roman"/>
          <w:szCs w:val="24"/>
        </w:rPr>
        <w:t xml:space="preserve">a total of </w:t>
      </w:r>
      <w:r w:rsidR="00067B7E" w:rsidRPr="00046A72">
        <w:rPr>
          <w:rFonts w:ascii="Times New Roman" w:hAnsi="Times New Roman"/>
          <w:szCs w:val="24"/>
        </w:rPr>
        <w:t xml:space="preserve">approximately </w:t>
      </w:r>
      <w:r w:rsidR="00C53C73">
        <w:rPr>
          <w:rFonts w:ascii="Times New Roman" w:hAnsi="Times New Roman"/>
          <w:szCs w:val="24"/>
        </w:rPr>
        <w:t>33</w:t>
      </w:r>
      <w:r w:rsidR="00067B7E" w:rsidRPr="00046A72">
        <w:rPr>
          <w:rFonts w:ascii="Times New Roman" w:hAnsi="Times New Roman"/>
          <w:szCs w:val="24"/>
        </w:rPr>
        <w:t xml:space="preserve"> hours each year to comply with the notice requirement of Rule</w:t>
      </w:r>
      <w:r w:rsidR="000122EB">
        <w:rPr>
          <w:rFonts w:ascii="Times New Roman" w:hAnsi="Times New Roman"/>
          <w:szCs w:val="24"/>
        </w:rPr>
        <w:t xml:space="preserve"> 15c3-3</w:t>
      </w:r>
      <w:r w:rsidR="00067B7E" w:rsidRPr="00046A72">
        <w:rPr>
          <w:rFonts w:ascii="Times New Roman" w:hAnsi="Times New Roman"/>
          <w:szCs w:val="24"/>
        </w:rPr>
        <w:t>.</w:t>
      </w:r>
    </w:p>
    <w:p w:rsidR="00100B20" w:rsidRPr="00046A72" w:rsidRDefault="00100B20" w:rsidP="009204B3">
      <w:pPr>
        <w:spacing w:after="240"/>
        <w:ind w:firstLine="720"/>
        <w:rPr>
          <w:rFonts w:ascii="Times New Roman" w:hAnsi="Times New Roman"/>
          <w:szCs w:val="24"/>
        </w:rPr>
      </w:pPr>
      <w:r w:rsidRPr="00046A72">
        <w:rPr>
          <w:rFonts w:ascii="Times New Roman" w:hAnsi="Times New Roman"/>
          <w:szCs w:val="24"/>
        </w:rPr>
        <w:t>In addition, a broker-dealer that effects transactions in SFPs for customers</w:t>
      </w:r>
      <w:r w:rsidRPr="00046A72">
        <w:rPr>
          <w:rStyle w:val="FootnoteReference"/>
          <w:rFonts w:ascii="Times New Roman" w:hAnsi="Times New Roman"/>
          <w:szCs w:val="24"/>
        </w:rPr>
        <w:footnoteReference w:id="17"/>
      </w:r>
      <w:r w:rsidRPr="00046A72">
        <w:rPr>
          <w:rFonts w:ascii="Times New Roman" w:hAnsi="Times New Roman"/>
          <w:szCs w:val="24"/>
        </w:rPr>
        <w:t xml:space="preserve"> also will have paperwork burdens associated with the requirement in paragraph (o) of Rule 15c3-3 to make a record of each change in account type</w:t>
      </w:r>
      <w:r w:rsidR="004B2B94" w:rsidRPr="00046A72">
        <w:rPr>
          <w:rFonts w:ascii="Times New Roman" w:hAnsi="Times New Roman"/>
          <w:szCs w:val="24"/>
        </w:rPr>
        <w:t>.</w:t>
      </w:r>
      <w:r w:rsidR="00D451FA" w:rsidRPr="00046A72">
        <w:rPr>
          <w:rStyle w:val="FootnoteReference"/>
          <w:rFonts w:ascii="Times New Roman" w:hAnsi="Times New Roman"/>
          <w:szCs w:val="24"/>
        </w:rPr>
        <w:footnoteReference w:id="18"/>
      </w:r>
      <w:r w:rsidR="00D02990" w:rsidRPr="00046A72">
        <w:rPr>
          <w:rFonts w:ascii="Times New Roman" w:hAnsi="Times New Roman"/>
          <w:szCs w:val="24"/>
        </w:rPr>
        <w:t xml:space="preserve">  </w:t>
      </w:r>
      <w:r w:rsidR="004B2B94" w:rsidRPr="00046A72">
        <w:rPr>
          <w:rFonts w:ascii="Times New Roman" w:hAnsi="Times New Roman"/>
          <w:szCs w:val="24"/>
        </w:rPr>
        <w:t>More specifically, a broker-dealer that changes the type of account in which a customer’s SFPs are held must create a record of each change in account type that includes the name of the customer, the account number, the date the b</w:t>
      </w:r>
      <w:r w:rsidR="004B2B94" w:rsidRPr="00C53C73">
        <w:rPr>
          <w:rFonts w:ascii="Times New Roman" w:hAnsi="Times New Roman"/>
          <w:szCs w:val="24"/>
        </w:rPr>
        <w:t>roker-dealer received the customer’s request to change the account type, and the date the change in account type took place.  As of December 31, 200</w:t>
      </w:r>
      <w:r w:rsidR="00C53C73" w:rsidRPr="00C53C73">
        <w:rPr>
          <w:rFonts w:ascii="Times New Roman" w:hAnsi="Times New Roman"/>
          <w:szCs w:val="24"/>
        </w:rPr>
        <w:t>6</w:t>
      </w:r>
      <w:r w:rsidR="004B2B94" w:rsidRPr="00C53C73">
        <w:rPr>
          <w:rFonts w:ascii="Times New Roman" w:hAnsi="Times New Roman"/>
          <w:szCs w:val="24"/>
        </w:rPr>
        <w:t xml:space="preserve">, broker-dealers </w:t>
      </w:r>
      <w:r w:rsidR="009204B3">
        <w:rPr>
          <w:rFonts w:ascii="Times New Roman" w:hAnsi="Times New Roman"/>
          <w:szCs w:val="24"/>
        </w:rPr>
        <w:t xml:space="preserve">that were also registered as FCMs </w:t>
      </w:r>
      <w:r w:rsidR="004B2B94" w:rsidRPr="00C53C73">
        <w:rPr>
          <w:rFonts w:ascii="Times New Roman" w:hAnsi="Times New Roman"/>
          <w:szCs w:val="24"/>
        </w:rPr>
        <w:t xml:space="preserve">reported that they maintained </w:t>
      </w:r>
      <w:r w:rsidR="009204B3" w:rsidRPr="009204B3">
        <w:rPr>
          <w:rFonts w:ascii="Times New Roman" w:hAnsi="Times New Roman"/>
          <w:szCs w:val="24"/>
        </w:rPr>
        <w:t xml:space="preserve">38,815,092 </w:t>
      </w:r>
      <w:r w:rsidR="004B2B94" w:rsidRPr="00C53C73">
        <w:rPr>
          <w:rFonts w:ascii="Times New Roman" w:hAnsi="Times New Roman"/>
          <w:szCs w:val="24"/>
        </w:rPr>
        <w:t>customer accounts.</w:t>
      </w:r>
      <w:bookmarkStart w:id="0" w:name="_Ref525894470"/>
      <w:r w:rsidR="004B2B94" w:rsidRPr="00C53C73">
        <w:rPr>
          <w:rStyle w:val="FootnoteReference"/>
          <w:rFonts w:ascii="Times New Roman" w:hAnsi="Times New Roman"/>
          <w:szCs w:val="24"/>
        </w:rPr>
        <w:footnoteReference w:id="19"/>
      </w:r>
      <w:bookmarkEnd w:id="0"/>
      <w:r w:rsidR="004B2B94" w:rsidRPr="00C53C73">
        <w:rPr>
          <w:rFonts w:ascii="Times New Roman" w:hAnsi="Times New Roman"/>
          <w:szCs w:val="24"/>
        </w:rPr>
        <w:t xml:space="preserve">  The staff estimates that 8% of these customers may engage in SFP transactions</w:t>
      </w:r>
      <w:r w:rsidR="004B2B94" w:rsidRPr="00C53C73">
        <w:rPr>
          <w:rStyle w:val="FootnoteReference"/>
          <w:rFonts w:ascii="Times New Roman" w:hAnsi="Times New Roman"/>
          <w:szCs w:val="24"/>
        </w:rPr>
        <w:footnoteReference w:id="20"/>
      </w:r>
      <w:r w:rsidR="004B2B94" w:rsidRPr="00C53C73">
        <w:rPr>
          <w:rFonts w:ascii="Times New Roman" w:hAnsi="Times New Roman"/>
          <w:szCs w:val="24"/>
        </w:rPr>
        <w:t xml:space="preserve"> (</w:t>
      </w:r>
      <w:r w:rsidR="009204B3" w:rsidRPr="009204B3">
        <w:rPr>
          <w:rFonts w:ascii="Times New Roman" w:hAnsi="Times New Roman"/>
          <w:szCs w:val="24"/>
        </w:rPr>
        <w:t>38,815,092</w:t>
      </w:r>
      <w:r w:rsidR="004B2B94" w:rsidRPr="00C53C73">
        <w:rPr>
          <w:rFonts w:ascii="Times New Roman" w:hAnsi="Times New Roman"/>
          <w:szCs w:val="24"/>
        </w:rPr>
        <w:t xml:space="preserve"> accounts x 8% = </w:t>
      </w:r>
      <w:r w:rsidR="009204B3" w:rsidRPr="009204B3">
        <w:rPr>
          <w:rFonts w:ascii="Times New Roman" w:hAnsi="Times New Roman"/>
          <w:szCs w:val="24"/>
        </w:rPr>
        <w:t>3</w:t>
      </w:r>
      <w:r w:rsidR="009204B3">
        <w:rPr>
          <w:rFonts w:ascii="Times New Roman" w:hAnsi="Times New Roman"/>
          <w:szCs w:val="24"/>
        </w:rPr>
        <w:t>,</w:t>
      </w:r>
      <w:r w:rsidR="009204B3" w:rsidRPr="009204B3">
        <w:rPr>
          <w:rFonts w:ascii="Times New Roman" w:hAnsi="Times New Roman"/>
          <w:szCs w:val="24"/>
        </w:rPr>
        <w:t>105</w:t>
      </w:r>
      <w:r w:rsidR="009204B3">
        <w:rPr>
          <w:rFonts w:ascii="Times New Roman" w:hAnsi="Times New Roman"/>
          <w:szCs w:val="24"/>
        </w:rPr>
        <w:t>,</w:t>
      </w:r>
      <w:r w:rsidR="009204B3" w:rsidRPr="009204B3">
        <w:rPr>
          <w:rFonts w:ascii="Times New Roman" w:hAnsi="Times New Roman"/>
          <w:szCs w:val="24"/>
        </w:rPr>
        <w:t>207</w:t>
      </w:r>
      <w:r w:rsidR="004B2B94" w:rsidRPr="00C53C73">
        <w:rPr>
          <w:rFonts w:ascii="Times New Roman" w:hAnsi="Times New Roman"/>
          <w:szCs w:val="24"/>
        </w:rPr>
        <w:t>).  Further, the staff estimates that 20% per year may change account type.</w:t>
      </w:r>
      <w:r w:rsidR="004B2B94" w:rsidRPr="00C53C73">
        <w:rPr>
          <w:rStyle w:val="FootnoteReference"/>
          <w:rFonts w:ascii="Times New Roman" w:hAnsi="Times New Roman"/>
          <w:szCs w:val="24"/>
        </w:rPr>
        <w:footnoteReference w:id="21"/>
      </w:r>
      <w:r w:rsidR="004B2B94" w:rsidRPr="00C53C73">
        <w:rPr>
          <w:rFonts w:ascii="Times New Roman" w:hAnsi="Times New Roman"/>
          <w:szCs w:val="24"/>
        </w:rPr>
        <w:t xml:space="preserve">  Thus, broker-dealers may be required to create this record for </w:t>
      </w:r>
      <w:r w:rsidR="00046A72" w:rsidRPr="00C53C73">
        <w:rPr>
          <w:rFonts w:ascii="Times New Roman" w:hAnsi="Times New Roman"/>
          <w:szCs w:val="24"/>
        </w:rPr>
        <w:t xml:space="preserve">up to </w:t>
      </w:r>
      <w:r w:rsidR="009204B3" w:rsidRPr="009204B3">
        <w:rPr>
          <w:rFonts w:ascii="Times New Roman" w:hAnsi="Times New Roman"/>
          <w:szCs w:val="24"/>
        </w:rPr>
        <w:t>621</w:t>
      </w:r>
      <w:r w:rsidR="009204B3">
        <w:rPr>
          <w:rFonts w:ascii="Times New Roman" w:hAnsi="Times New Roman"/>
          <w:szCs w:val="24"/>
        </w:rPr>
        <w:t>,</w:t>
      </w:r>
      <w:r w:rsidR="009204B3" w:rsidRPr="009204B3">
        <w:rPr>
          <w:rFonts w:ascii="Times New Roman" w:hAnsi="Times New Roman"/>
          <w:szCs w:val="24"/>
        </w:rPr>
        <w:t>041</w:t>
      </w:r>
      <w:r w:rsidR="00E746E7">
        <w:rPr>
          <w:rFonts w:ascii="Times New Roman" w:hAnsi="Times New Roman"/>
          <w:szCs w:val="24"/>
        </w:rPr>
        <w:t xml:space="preserve"> accounts (</w:t>
      </w:r>
      <w:r w:rsidR="009204B3" w:rsidRPr="009204B3">
        <w:rPr>
          <w:rFonts w:ascii="Times New Roman" w:hAnsi="Times New Roman"/>
          <w:szCs w:val="24"/>
        </w:rPr>
        <w:t>3</w:t>
      </w:r>
      <w:r w:rsidR="009204B3">
        <w:rPr>
          <w:rFonts w:ascii="Times New Roman" w:hAnsi="Times New Roman"/>
          <w:szCs w:val="24"/>
        </w:rPr>
        <w:t>,</w:t>
      </w:r>
      <w:r w:rsidR="009204B3" w:rsidRPr="009204B3">
        <w:rPr>
          <w:rFonts w:ascii="Times New Roman" w:hAnsi="Times New Roman"/>
          <w:szCs w:val="24"/>
        </w:rPr>
        <w:t>105</w:t>
      </w:r>
      <w:r w:rsidR="009204B3">
        <w:rPr>
          <w:rFonts w:ascii="Times New Roman" w:hAnsi="Times New Roman"/>
          <w:szCs w:val="24"/>
        </w:rPr>
        <w:t>,</w:t>
      </w:r>
      <w:r w:rsidR="009204B3" w:rsidRPr="009204B3">
        <w:rPr>
          <w:rFonts w:ascii="Times New Roman" w:hAnsi="Times New Roman"/>
          <w:szCs w:val="24"/>
        </w:rPr>
        <w:t>207</w:t>
      </w:r>
      <w:r w:rsidR="004B2B94" w:rsidRPr="00C53C73">
        <w:rPr>
          <w:rFonts w:ascii="Times New Roman" w:hAnsi="Times New Roman"/>
          <w:szCs w:val="24"/>
        </w:rPr>
        <w:t xml:space="preserve"> accounts x 20%).  </w:t>
      </w:r>
      <w:r w:rsidR="004B2B94" w:rsidRPr="00C53C73">
        <w:rPr>
          <w:rFonts w:ascii="Times New Roman" w:hAnsi="Times New Roman"/>
          <w:szCs w:val="24"/>
        </w:rPr>
        <w:lastRenderedPageBreak/>
        <w:t>The staff believes that it will take approximately 3 minutes to create each record.</w:t>
      </w:r>
      <w:r w:rsidR="004B2B94" w:rsidRPr="00C53C73">
        <w:rPr>
          <w:rStyle w:val="FootnoteReference"/>
          <w:rFonts w:ascii="Times New Roman" w:hAnsi="Times New Roman"/>
          <w:szCs w:val="24"/>
        </w:rPr>
        <w:footnoteReference w:id="22"/>
      </w:r>
      <w:r w:rsidR="004B2B94" w:rsidRPr="00C53C73">
        <w:rPr>
          <w:rFonts w:ascii="Times New Roman" w:hAnsi="Times New Roman"/>
          <w:szCs w:val="24"/>
        </w:rPr>
        <w:t xml:space="preserve">  Thus, the total annual burden associated with creating a record of change of account type will be </w:t>
      </w:r>
      <w:r w:rsidR="009204B3">
        <w:rPr>
          <w:rFonts w:ascii="Times New Roman" w:hAnsi="Times New Roman"/>
          <w:szCs w:val="24"/>
        </w:rPr>
        <w:t>31</w:t>
      </w:r>
      <w:r w:rsidR="00C53C73" w:rsidRPr="00C53C73">
        <w:rPr>
          <w:rFonts w:ascii="Times New Roman" w:hAnsi="Times New Roman"/>
          <w:szCs w:val="24"/>
        </w:rPr>
        <w:t>,</w:t>
      </w:r>
      <w:r w:rsidR="009204B3">
        <w:rPr>
          <w:rFonts w:ascii="Times New Roman" w:hAnsi="Times New Roman"/>
          <w:szCs w:val="24"/>
        </w:rPr>
        <w:t>0</w:t>
      </w:r>
      <w:r w:rsidR="00C53C73" w:rsidRPr="00C53C73">
        <w:rPr>
          <w:rFonts w:ascii="Times New Roman" w:hAnsi="Times New Roman"/>
          <w:szCs w:val="24"/>
        </w:rPr>
        <w:t>52</w:t>
      </w:r>
      <w:r w:rsidR="004B2B94" w:rsidRPr="00C53C73">
        <w:rPr>
          <w:rFonts w:ascii="Times New Roman" w:hAnsi="Times New Roman"/>
          <w:szCs w:val="24"/>
        </w:rPr>
        <w:t xml:space="preserve"> hours (</w:t>
      </w:r>
      <w:r w:rsidR="009204B3" w:rsidRPr="009204B3">
        <w:rPr>
          <w:rFonts w:ascii="Times New Roman" w:hAnsi="Times New Roman"/>
          <w:szCs w:val="24"/>
        </w:rPr>
        <w:t>621</w:t>
      </w:r>
      <w:r w:rsidR="009204B3">
        <w:rPr>
          <w:rFonts w:ascii="Times New Roman" w:hAnsi="Times New Roman"/>
          <w:szCs w:val="24"/>
        </w:rPr>
        <w:t>,</w:t>
      </w:r>
      <w:r w:rsidR="009204B3" w:rsidRPr="009204B3">
        <w:rPr>
          <w:rFonts w:ascii="Times New Roman" w:hAnsi="Times New Roman"/>
          <w:szCs w:val="24"/>
        </w:rPr>
        <w:t>041</w:t>
      </w:r>
      <w:r w:rsidR="004B2B94" w:rsidRPr="00C53C73">
        <w:rPr>
          <w:rFonts w:ascii="Times New Roman" w:hAnsi="Times New Roman"/>
          <w:szCs w:val="24"/>
        </w:rPr>
        <w:t xml:space="preserve"> accounts x (3min/60min</w:t>
      </w:r>
      <w:r w:rsidR="009204B3">
        <w:rPr>
          <w:rFonts w:ascii="Times New Roman" w:hAnsi="Times New Roman"/>
          <w:szCs w:val="24"/>
        </w:rPr>
        <w:t>)</w:t>
      </w:r>
      <w:r w:rsidR="004B2B94" w:rsidRPr="00C53C73">
        <w:rPr>
          <w:rFonts w:ascii="Times New Roman" w:hAnsi="Times New Roman"/>
          <w:szCs w:val="24"/>
        </w:rPr>
        <w:t>).</w:t>
      </w:r>
    </w:p>
    <w:p w:rsidR="000122EB" w:rsidRDefault="000122EB" w:rsidP="009204B3">
      <w:pPr>
        <w:spacing w:after="240"/>
        <w:ind w:firstLine="720"/>
        <w:rPr>
          <w:rFonts w:ascii="Times New Roman" w:hAnsi="Times New Roman"/>
          <w:szCs w:val="24"/>
        </w:rPr>
      </w:pPr>
      <w:r>
        <w:rPr>
          <w:rFonts w:ascii="Times New Roman" w:hAnsi="Times New Roman"/>
          <w:szCs w:val="24"/>
        </w:rPr>
        <w:t xml:space="preserve">Consequently, the staff estimates that the total annual burden hours associated with </w:t>
      </w:r>
      <w:r w:rsidR="0071269A">
        <w:rPr>
          <w:rFonts w:ascii="Times New Roman" w:hAnsi="Times New Roman"/>
          <w:szCs w:val="24"/>
        </w:rPr>
        <w:t xml:space="preserve">current </w:t>
      </w:r>
      <w:r>
        <w:rPr>
          <w:rFonts w:ascii="Times New Roman" w:hAnsi="Times New Roman"/>
          <w:szCs w:val="24"/>
        </w:rPr>
        <w:t xml:space="preserve">Rule 15c3-3 would be approximately </w:t>
      </w:r>
      <w:r w:rsidR="009204B3">
        <w:rPr>
          <w:rFonts w:ascii="Times New Roman" w:hAnsi="Times New Roman"/>
          <w:szCs w:val="24"/>
        </w:rPr>
        <w:t>77</w:t>
      </w:r>
      <w:r>
        <w:rPr>
          <w:rFonts w:ascii="Times New Roman" w:hAnsi="Times New Roman"/>
          <w:szCs w:val="24"/>
        </w:rPr>
        <w:t>,</w:t>
      </w:r>
      <w:r w:rsidR="009204B3">
        <w:rPr>
          <w:rFonts w:ascii="Times New Roman" w:hAnsi="Times New Roman"/>
          <w:szCs w:val="24"/>
        </w:rPr>
        <w:t>1</w:t>
      </w:r>
      <w:r w:rsidRPr="000122EB">
        <w:rPr>
          <w:rFonts w:ascii="Times New Roman" w:hAnsi="Times New Roman"/>
          <w:szCs w:val="24"/>
        </w:rPr>
        <w:t>66</w:t>
      </w:r>
      <w:r>
        <w:rPr>
          <w:rFonts w:ascii="Times New Roman" w:hAnsi="Times New Roman"/>
          <w:szCs w:val="24"/>
        </w:rPr>
        <w:t xml:space="preserve"> hours (</w:t>
      </w:r>
      <w:r w:rsidRPr="00046A72">
        <w:rPr>
          <w:rFonts w:ascii="Times New Roman" w:hAnsi="Times New Roman"/>
          <w:szCs w:val="24"/>
        </w:rPr>
        <w:t>45,960 hours</w:t>
      </w:r>
      <w:r>
        <w:rPr>
          <w:rFonts w:ascii="Times New Roman" w:hAnsi="Times New Roman"/>
          <w:szCs w:val="24"/>
        </w:rPr>
        <w:t xml:space="preserve"> + 121</w:t>
      </w:r>
      <w:r w:rsidRPr="00046A72">
        <w:rPr>
          <w:rFonts w:ascii="Times New Roman" w:hAnsi="Times New Roman"/>
          <w:szCs w:val="24"/>
        </w:rPr>
        <w:t xml:space="preserve"> hours</w:t>
      </w:r>
      <w:r>
        <w:rPr>
          <w:rFonts w:ascii="Times New Roman" w:hAnsi="Times New Roman"/>
          <w:szCs w:val="24"/>
        </w:rPr>
        <w:t xml:space="preserve"> + 33 hours + </w:t>
      </w:r>
      <w:r w:rsidR="009204B3">
        <w:rPr>
          <w:rFonts w:ascii="Times New Roman" w:hAnsi="Times New Roman"/>
          <w:szCs w:val="24"/>
        </w:rPr>
        <w:t>31</w:t>
      </w:r>
      <w:r w:rsidR="009204B3" w:rsidRPr="00C53C73">
        <w:rPr>
          <w:rFonts w:ascii="Times New Roman" w:hAnsi="Times New Roman"/>
          <w:szCs w:val="24"/>
        </w:rPr>
        <w:t>,</w:t>
      </w:r>
      <w:r w:rsidR="009204B3">
        <w:rPr>
          <w:rFonts w:ascii="Times New Roman" w:hAnsi="Times New Roman"/>
          <w:szCs w:val="24"/>
        </w:rPr>
        <w:t>0</w:t>
      </w:r>
      <w:r w:rsidR="009204B3" w:rsidRPr="00C53C73">
        <w:rPr>
          <w:rFonts w:ascii="Times New Roman" w:hAnsi="Times New Roman"/>
          <w:szCs w:val="24"/>
        </w:rPr>
        <w:t>52</w:t>
      </w:r>
      <w:r w:rsidRPr="00C53C73">
        <w:rPr>
          <w:rFonts w:ascii="Times New Roman" w:hAnsi="Times New Roman"/>
          <w:szCs w:val="24"/>
        </w:rPr>
        <w:t xml:space="preserve"> hours</w:t>
      </w:r>
      <w:r>
        <w:rPr>
          <w:rFonts w:ascii="Times New Roman" w:hAnsi="Times New Roman"/>
          <w:szCs w:val="24"/>
        </w:rPr>
        <w:t>).</w:t>
      </w:r>
    </w:p>
    <w:p w:rsidR="0071269A" w:rsidRDefault="0071269A" w:rsidP="0071269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Cs/>
          <w:u w:val="single"/>
        </w:rPr>
      </w:pPr>
      <w:r w:rsidRPr="00D6160F">
        <w:rPr>
          <w:iCs/>
        </w:rPr>
        <w:t>B.</w:t>
      </w:r>
      <w:r w:rsidRPr="00D6160F">
        <w:rPr>
          <w:i/>
          <w:iCs/>
        </w:rPr>
        <w:tab/>
      </w:r>
      <w:r w:rsidRPr="00D6160F">
        <w:rPr>
          <w:rFonts w:ascii="Times New Roman" w:hAnsi="Times New Roman"/>
          <w:bCs/>
          <w:u w:val="single"/>
        </w:rPr>
        <w:t xml:space="preserve">Summary of Reporting Burden Under 2007 Proposed Amendments </w:t>
      </w:r>
      <w:proofErr w:type="gramStart"/>
      <w:r w:rsidRPr="00D6160F">
        <w:rPr>
          <w:rFonts w:ascii="Times New Roman" w:hAnsi="Times New Roman"/>
          <w:bCs/>
          <w:u w:val="single"/>
        </w:rPr>
        <w:t xml:space="preserve">to </w:t>
      </w:r>
      <w:r>
        <w:rPr>
          <w:rFonts w:ascii="Times New Roman" w:hAnsi="Times New Roman"/>
          <w:bCs/>
          <w:u w:val="single"/>
        </w:rPr>
        <w:t xml:space="preserve"> </w:t>
      </w:r>
      <w:r w:rsidRPr="00D6160F">
        <w:rPr>
          <w:rFonts w:ascii="Times New Roman" w:hAnsi="Times New Roman"/>
          <w:bCs/>
          <w:u w:val="single"/>
        </w:rPr>
        <w:t>Rule</w:t>
      </w:r>
      <w:proofErr w:type="gramEnd"/>
      <w:r w:rsidRPr="00D6160F">
        <w:rPr>
          <w:rFonts w:ascii="Times New Roman" w:hAnsi="Times New Roman"/>
          <w:bCs/>
          <w:u w:val="single"/>
        </w:rPr>
        <w:t xml:space="preserve"> 15c3-3</w:t>
      </w:r>
      <w:r w:rsidRPr="00D6160F">
        <w:rPr>
          <w:rStyle w:val="FootnoteReference"/>
          <w:rFonts w:ascii="Times New Roman" w:hAnsi="Times New Roman"/>
          <w:bCs/>
        </w:rPr>
        <w:footnoteReference w:id="23"/>
      </w:r>
    </w:p>
    <w:p w:rsidR="0071269A" w:rsidRPr="00D6160F" w:rsidRDefault="0071269A" w:rsidP="007126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71269A" w:rsidRPr="00D6160F" w:rsidRDefault="0071269A" w:rsidP="00CE3EA2">
      <w:pPr>
        <w:pStyle w:val="NormalWeb"/>
        <w:numPr>
          <w:ilvl w:val="0"/>
          <w:numId w:val="3"/>
        </w:numPr>
        <w:spacing w:before="0" w:beforeAutospacing="0" w:after="0" w:afterAutospacing="0"/>
        <w:rPr>
          <w:rFonts w:ascii="Times New Roman" w:hAnsi="Times New Roman" w:cs="Times New Roman"/>
          <w:bCs/>
        </w:rPr>
      </w:pPr>
      <w:r w:rsidRPr="00D6160F">
        <w:rPr>
          <w:rFonts w:ascii="Times New Roman" w:hAnsi="Times New Roman" w:cs="Times New Roman"/>
          <w:bCs/>
        </w:rPr>
        <w:t>PAB Customer Reserve Account Recordkeeping Requirements</w:t>
      </w:r>
    </w:p>
    <w:p w:rsidR="0071269A" w:rsidRPr="004B22ED" w:rsidRDefault="0071269A" w:rsidP="0071269A">
      <w:pPr>
        <w:pStyle w:val="NormalWeb"/>
        <w:spacing w:before="0" w:beforeAutospacing="0" w:after="0" w:afterAutospacing="0"/>
        <w:ind w:left="720"/>
        <w:rPr>
          <w:rFonts w:ascii="Times New Roman" w:hAnsi="Times New Roman" w:cs="Times New Roman"/>
          <w:b/>
          <w:bCs/>
        </w:rPr>
      </w:pPr>
    </w:p>
    <w:p w:rsidR="0071269A" w:rsidRDefault="0071269A" w:rsidP="0071269A">
      <w:pPr>
        <w:ind w:firstLine="720"/>
      </w:pPr>
      <w:r>
        <w:t>Under the 2007 proposing release, t</w:t>
      </w:r>
      <w:r w:rsidRPr="004B22ED">
        <w:t xml:space="preserve">his proposed amendment </w:t>
      </w:r>
      <w:r>
        <w:t xml:space="preserve">to Rule 15c3-3 would require a broker-dealer to perform a PAB reserve computation and obtain certain agreements and notices related to </w:t>
      </w:r>
      <w:r w:rsidRPr="004B22ED">
        <w:rPr>
          <w:rFonts w:ascii="Times New Roman" w:hAnsi="Times New Roman"/>
        </w:rPr>
        <w:t xml:space="preserve">proprietary account of another broker-dealer </w:t>
      </w:r>
      <w:r>
        <w:rPr>
          <w:rFonts w:ascii="Times New Roman" w:hAnsi="Times New Roman"/>
        </w:rPr>
        <w:t>(referred to as “</w:t>
      </w:r>
      <w:r>
        <w:t xml:space="preserve">PAB accounts”) and, therefore, </w:t>
      </w:r>
      <w:r w:rsidRPr="004B22ED">
        <w:t xml:space="preserve">would impose recordkeeping burdens on a broker-dealer to the extent it: (1) has to perform a PAB computation; (2) chooses to use PAB securities and, therefore, needs to obtain agreements from PAB accountholders; and (3) opens a PAB reserve account at a new bank.  The customer agreement requirement would be a one-time burden.  It is standard for a broker-dealer to enter into a written agreement with an accountholder concerning the terms and conditions under which the account would be maintained.  Therefore, requiring a written agreement would not result in additional burden.  Rather, additional burdens would arise from the need to amend existing agreements and the standard agreement template that would be used for future customers.   </w:t>
      </w:r>
    </w:p>
    <w:p w:rsidR="0071269A" w:rsidRDefault="0071269A" w:rsidP="0071269A">
      <w:pPr>
        <w:ind w:firstLine="720"/>
      </w:pPr>
    </w:p>
    <w:p w:rsidR="0071269A" w:rsidRDefault="0071269A" w:rsidP="0071269A">
      <w:pPr>
        <w:ind w:firstLine="720"/>
      </w:pPr>
      <w:r w:rsidRPr="00640710">
        <w:t xml:space="preserve">Based on FOCUS Report filings, </w:t>
      </w:r>
      <w:r>
        <w:t>the Commission</w:t>
      </w:r>
      <w:r w:rsidRPr="00640710">
        <w:t xml:space="preserve"> estimate</w:t>
      </w:r>
      <w:r>
        <w:t>s</w:t>
      </w:r>
      <w:r w:rsidRPr="00640710">
        <w:t xml:space="preserve"> that there are approximately 2,533 existing PAB customers and</w:t>
      </w:r>
      <w:r>
        <w:t>, therefore, broker-dealers would</w:t>
      </w:r>
      <w:r w:rsidRPr="00640710">
        <w:t xml:space="preserve"> have to amend approximately 2,533 existing PAB agreements.  </w:t>
      </w:r>
      <w:proofErr w:type="gramStart"/>
      <w:r>
        <w:t>The Commission</w:t>
      </w:r>
      <w:r w:rsidRPr="00640710">
        <w:t xml:space="preserve"> </w:t>
      </w:r>
      <w:r>
        <w:t>further estimates that, on average, a firm</w:t>
      </w:r>
      <w:r w:rsidRPr="00640710">
        <w:t xml:space="preserve"> </w:t>
      </w:r>
      <w:r>
        <w:t>would spend approximately 10 hours of employee resources amending each agreement.</w:t>
      </w:r>
      <w:proofErr w:type="gramEnd"/>
      <w:r>
        <w:t xml:space="preserve">  The Commission also</w:t>
      </w:r>
      <w:r w:rsidRPr="00640710">
        <w:t xml:space="preserve"> estima</w:t>
      </w:r>
      <w:r>
        <w:t>tes, based on FOCUS Report</w:t>
      </w:r>
      <w:r w:rsidRPr="00640710">
        <w:t xml:space="preserve">s, that approximately 75 broker-dealers carry PAB accounts and, therefore, these 75 firms </w:t>
      </w:r>
      <w:r>
        <w:t>would</w:t>
      </w:r>
      <w:r w:rsidRPr="00640710">
        <w:t xml:space="preserve"> have to amend their standard PAB agreem</w:t>
      </w:r>
      <w:r>
        <w:t xml:space="preserve">ent template.  The Commission estimates a firm would spend, on average, approximately 20 hours of employee resources on this task.  </w:t>
      </w:r>
      <w:r w:rsidRPr="00640710">
        <w:t xml:space="preserve">Therefore, </w:t>
      </w:r>
      <w:r>
        <w:t>the Commission</w:t>
      </w:r>
      <w:r w:rsidRPr="00640710">
        <w:t xml:space="preserve"> estimate</w:t>
      </w:r>
      <w:r>
        <w:t>s</w:t>
      </w:r>
      <w:r w:rsidRPr="00640710">
        <w:t xml:space="preserve"> the total one-time burden </w:t>
      </w:r>
      <w:r>
        <w:t xml:space="preserve">to the industry </w:t>
      </w:r>
      <w:r w:rsidRPr="00640710">
        <w:t xml:space="preserve">from these requirements </w:t>
      </w:r>
      <w:r>
        <w:t>would</w:t>
      </w:r>
      <w:r w:rsidRPr="00640710">
        <w:t xml:space="preserve"> </w:t>
      </w:r>
      <w:r>
        <w:t xml:space="preserve">be approximately 26,830 </w:t>
      </w:r>
      <w:r w:rsidRPr="00640710">
        <w:t>total hours</w:t>
      </w:r>
      <w:r w:rsidRPr="004B22ED">
        <w:t>.</w:t>
      </w:r>
      <w:r w:rsidRPr="004B22ED">
        <w:rPr>
          <w:rStyle w:val="FootnoteReference"/>
        </w:rPr>
        <w:footnoteReference w:id="24"/>
      </w:r>
      <w:r w:rsidRPr="004B22ED">
        <w:t xml:space="preserve"> </w:t>
      </w:r>
    </w:p>
    <w:p w:rsidR="0071269A" w:rsidRPr="00FE365E" w:rsidRDefault="0071269A" w:rsidP="0071269A">
      <w:pPr>
        <w:ind w:firstLine="720"/>
      </w:pPr>
    </w:p>
    <w:p w:rsidR="0071269A" w:rsidRDefault="0071269A" w:rsidP="0071269A">
      <w:pPr>
        <w:ind w:firstLine="720"/>
      </w:pPr>
      <w:r>
        <w:t>Under the 2007 proposing release, t</w:t>
      </w:r>
      <w:r w:rsidRPr="004B22ED">
        <w:t xml:space="preserve">he proposed requirements to perform a PAB computation and obtain agreements and notices from banks holding PAB accounts would result in annual burdens based on the number of broker-dealers that hold PAB accounts and the number of times per year these broker-dealers open new PAB bank accounts.  </w:t>
      </w:r>
      <w:r>
        <w:lastRenderedPageBreak/>
        <w:t>Currently, t</w:t>
      </w:r>
      <w:r w:rsidRPr="004B22ED">
        <w:t>o obtain the relief provided in the PAIB Letter,</w:t>
      </w:r>
      <w:r>
        <w:rPr>
          <w:rStyle w:val="FootnoteReference"/>
        </w:rPr>
        <w:footnoteReference w:id="25"/>
      </w:r>
      <w:r w:rsidRPr="004B22ED">
        <w:t xml:space="preserve"> broker-dealers are required to obtain the agreements and notices from the banks.  </w:t>
      </w:r>
      <w:r>
        <w:t>The Commission</w:t>
      </w:r>
      <w:r w:rsidRPr="004B22ED">
        <w:t xml:space="preserve"> understand</w:t>
      </w:r>
      <w:r>
        <w:t>s</w:t>
      </w:r>
      <w:r w:rsidRPr="004B22ED">
        <w:t xml:space="preserve"> that broker-dealers </w:t>
      </w:r>
      <w:r>
        <w:t xml:space="preserve">generally </w:t>
      </w:r>
      <w:r w:rsidRPr="004B22ED">
        <w:t>already obtain these agreements</w:t>
      </w:r>
      <w:r>
        <w:t xml:space="preserve"> and notices</w:t>
      </w:r>
      <w:r w:rsidRPr="004B22ED">
        <w:t xml:space="preserve">.  Therefore, </w:t>
      </w:r>
      <w:r>
        <w:t xml:space="preserve">the Commission estimates </w:t>
      </w:r>
      <w:r w:rsidRPr="004B22ED">
        <w:t xml:space="preserve">there would be no </w:t>
      </w:r>
      <w:r>
        <w:t xml:space="preserve">additional </w:t>
      </w:r>
      <w:r w:rsidRPr="004B22ED">
        <w:t xml:space="preserve">burden imposed by this requirement.  </w:t>
      </w:r>
    </w:p>
    <w:p w:rsidR="0071269A" w:rsidRDefault="0071269A" w:rsidP="0071269A">
      <w:pPr>
        <w:ind w:firstLine="720"/>
      </w:pPr>
    </w:p>
    <w:p w:rsidR="0071269A" w:rsidRDefault="0071269A" w:rsidP="0071269A">
      <w:pPr>
        <w:ind w:firstLine="720"/>
      </w:pPr>
      <w:r>
        <w:t>The proposed amendment requiring a PAB computation would produce a one-time burden.  Based on FOCUS Report filings, the Commission estimates that approximately 75 broker-dealers would perform a PAB computation.  These firms already perform a reserve computation for domestic broker-dealer customers under the PAIB letter.  Nonetheless, the Commission estimates these firms would spend, on average, approximately 30 hours of employee resources per firm updating their systems to implement changes that would be necessitated by our proposed amendment. Therefore, the Commission estimates that the total one-time burden to the industry arising from this proposed requirement would be approximately 2,250 hours.</w:t>
      </w:r>
      <w:r>
        <w:rPr>
          <w:rStyle w:val="FootnoteReference"/>
        </w:rPr>
        <w:footnoteReference w:id="26"/>
      </w:r>
      <w:r>
        <w:t xml:space="preserve">  </w:t>
      </w:r>
    </w:p>
    <w:p w:rsidR="0071269A" w:rsidRDefault="0071269A" w:rsidP="0071269A">
      <w:pPr>
        <w:ind w:firstLine="720"/>
      </w:pPr>
    </w:p>
    <w:p w:rsidR="0071269A" w:rsidRDefault="0071269A" w:rsidP="0071269A">
      <w:pPr>
        <w:ind w:firstLine="720"/>
      </w:pPr>
      <w:r>
        <w:t xml:space="preserve">The proposed amendment requiring a PAB computation also would produce an annual burden.  </w:t>
      </w:r>
      <w:r w:rsidRPr="00640710">
        <w:t xml:space="preserve">Based on FOCUS Report filings, </w:t>
      </w:r>
      <w:r>
        <w:t>the Commission</w:t>
      </w:r>
      <w:r w:rsidRPr="00640710">
        <w:t xml:space="preserve"> estimate</w:t>
      </w:r>
      <w:r>
        <w:t>s</w:t>
      </w:r>
      <w:r w:rsidRPr="00640710">
        <w:t xml:space="preserve"> that approximately 71 broker-dealers w</w:t>
      </w:r>
      <w:r>
        <w:t>ould</w:t>
      </w:r>
      <w:r w:rsidRPr="00640710">
        <w:t xml:space="preserve"> perform the PAB com</w:t>
      </w:r>
      <w:r>
        <w:t>putation on a weekly basis and four broker-dealers would</w:t>
      </w:r>
      <w:r w:rsidRPr="00640710">
        <w:t xml:space="preserve"> perform it on a monthly basis.  </w:t>
      </w:r>
      <w:r>
        <w:t xml:space="preserve">The Commission further estimates that a broker-dealer would spend, on average, </w:t>
      </w:r>
      <w:r w:rsidRPr="00640710">
        <w:t xml:space="preserve">approximately 2.5 </w:t>
      </w:r>
      <w:r>
        <w:t xml:space="preserve">additional </w:t>
      </w:r>
      <w:r w:rsidRPr="00640710">
        <w:t xml:space="preserve">hours to complete the </w:t>
      </w:r>
      <w:r>
        <w:t xml:space="preserve">Rule 15c3-3 reserve </w:t>
      </w:r>
      <w:r w:rsidRPr="00640710">
        <w:t>computation</w:t>
      </w:r>
      <w:r>
        <w:t xml:space="preserve"> as a result of the proposed amendment</w:t>
      </w:r>
      <w:r w:rsidRPr="00640710">
        <w:t xml:space="preserve">.  Therefore, </w:t>
      </w:r>
      <w:r>
        <w:t>the Commission</w:t>
      </w:r>
      <w:r w:rsidRPr="00640710">
        <w:t xml:space="preserve"> estimate</w:t>
      </w:r>
      <w:r>
        <w:t>s</w:t>
      </w:r>
      <w:r w:rsidRPr="00640710">
        <w:t xml:space="preserve"> that the total annual</w:t>
      </w:r>
      <w:r>
        <w:t xml:space="preserve"> burden to the industry from this proposed requirement would</w:t>
      </w:r>
      <w:r w:rsidRPr="00640710">
        <w:t xml:space="preserve"> be</w:t>
      </w:r>
      <w:r>
        <w:t xml:space="preserve"> approximately 9,350 </w:t>
      </w:r>
      <w:r w:rsidRPr="00640710">
        <w:t>hours</w:t>
      </w:r>
      <w:r w:rsidRPr="004B22ED">
        <w:t>.</w:t>
      </w:r>
      <w:r w:rsidRPr="004B22ED">
        <w:rPr>
          <w:rStyle w:val="FootnoteReference"/>
        </w:rPr>
        <w:footnoteReference w:id="27"/>
      </w:r>
      <w:r>
        <w:t xml:space="preserve">  </w:t>
      </w:r>
    </w:p>
    <w:p w:rsidR="0071269A" w:rsidRPr="004B22ED" w:rsidRDefault="0071269A" w:rsidP="0071269A">
      <w:pPr>
        <w:ind w:firstLine="720"/>
      </w:pPr>
    </w:p>
    <w:p w:rsidR="0071269A" w:rsidRPr="00D6160F" w:rsidRDefault="00A6484F" w:rsidP="00A6484F">
      <w:pPr>
        <w:tabs>
          <w:tab w:val="left" w:pos="720"/>
          <w:tab w:val="left" w:pos="2160"/>
          <w:tab w:val="left" w:pos="2880"/>
          <w:tab w:val="left" w:pos="3600"/>
          <w:tab w:val="left" w:pos="4320"/>
          <w:tab w:val="right" w:pos="9360"/>
        </w:tabs>
        <w:ind w:left="720"/>
        <w:rPr>
          <w:rFonts w:ascii="Times New Roman" w:hAnsi="Times New Roman"/>
          <w:b/>
          <w:bCs/>
        </w:rPr>
      </w:pPr>
      <w:r>
        <w:rPr>
          <w:rFonts w:ascii="Times New Roman" w:hAnsi="Times New Roman"/>
          <w:bCs/>
        </w:rPr>
        <w:tab/>
        <w:t>ii.</w:t>
      </w:r>
      <w:r>
        <w:rPr>
          <w:rFonts w:ascii="Times New Roman" w:hAnsi="Times New Roman"/>
          <w:bCs/>
        </w:rPr>
        <w:tab/>
      </w:r>
      <w:r w:rsidR="0071269A" w:rsidRPr="00D6160F">
        <w:rPr>
          <w:rFonts w:ascii="Times New Roman" w:hAnsi="Times New Roman"/>
          <w:bCs/>
        </w:rPr>
        <w:t>Affirmative Consent</w:t>
      </w:r>
      <w:r w:rsidR="0071269A" w:rsidRPr="00D6160F">
        <w:rPr>
          <w:rFonts w:ascii="Times New Roman" w:hAnsi="Times New Roman"/>
          <w:bCs/>
        </w:rPr>
        <w:tab/>
      </w:r>
    </w:p>
    <w:p w:rsidR="0071269A" w:rsidRPr="00D6160F" w:rsidRDefault="0071269A" w:rsidP="0071269A">
      <w:pPr>
        <w:tabs>
          <w:tab w:val="left" w:pos="720"/>
          <w:tab w:val="left" w:pos="1440"/>
          <w:tab w:val="left" w:pos="2160"/>
          <w:tab w:val="left" w:pos="2880"/>
          <w:tab w:val="left" w:pos="3600"/>
          <w:tab w:val="left" w:pos="4320"/>
          <w:tab w:val="right" w:pos="9360"/>
        </w:tabs>
        <w:ind w:left="720"/>
        <w:rPr>
          <w:rFonts w:ascii="Times New Roman" w:hAnsi="Times New Roman"/>
        </w:rPr>
      </w:pPr>
      <w:r w:rsidRPr="00D6160F">
        <w:rPr>
          <w:rFonts w:ascii="Times New Roman" w:hAnsi="Times New Roman"/>
          <w:b/>
          <w:bCs/>
        </w:rPr>
        <w:tab/>
      </w:r>
    </w:p>
    <w:p w:rsidR="0071269A" w:rsidRDefault="0071269A" w:rsidP="0071269A">
      <w:r w:rsidRPr="004B22ED">
        <w:tab/>
      </w:r>
      <w:r>
        <w:t>Under the 2007 proposing release, t</w:t>
      </w:r>
      <w:r w:rsidRPr="004B22ED">
        <w:t xml:space="preserve">his proposed amendment to Rule 15c3-3 would require a broker-dealer to obtain the affirmative consent of a </w:t>
      </w:r>
      <w:r>
        <w:t xml:space="preserve">new </w:t>
      </w:r>
      <w:r w:rsidRPr="004B22ED">
        <w:t>customer before changing the terms under which the customer’s f</w:t>
      </w:r>
      <w:r>
        <w:t>ree credit balances are treated and provide notice to existing customers prior to changing how their free credit balances are treated</w:t>
      </w:r>
      <w:r w:rsidRPr="004B22ED">
        <w:t xml:space="preserve">.  </w:t>
      </w:r>
      <w:r>
        <w:t>The broker-dealer also would be required to make certain disclosures.</w:t>
      </w:r>
    </w:p>
    <w:p w:rsidR="0071269A" w:rsidRPr="00523EE6" w:rsidRDefault="0071269A" w:rsidP="0071269A"/>
    <w:p w:rsidR="0071269A" w:rsidRDefault="0071269A" w:rsidP="0071269A">
      <w:r>
        <w:tab/>
        <w:t>This proposed requirement would result in one-time and annual burdens to the broker-dealer industry.  The Commission notes, however, that t</w:t>
      </w:r>
      <w:r w:rsidRPr="004B22ED">
        <w:t>he requirement only would apply to a firm that carries customer free credit balances</w:t>
      </w:r>
      <w:r>
        <w:t xml:space="preserve"> and opts to have the ability to change how its customers’ free credit balances are treated.</w:t>
      </w:r>
    </w:p>
    <w:p w:rsidR="0071269A" w:rsidRDefault="0071269A" w:rsidP="0071269A"/>
    <w:p w:rsidR="0071269A" w:rsidRDefault="0071269A" w:rsidP="0071269A">
      <w:pPr>
        <w:autoSpaceDE w:val="0"/>
        <w:autoSpaceDN w:val="0"/>
        <w:adjustRightInd w:val="0"/>
        <w:ind w:firstLine="720"/>
      </w:pPr>
      <w:r>
        <w:t xml:space="preserve">Based on staff experience, the Commission estimates that 50 broker-dealers would choose to provide existing and new customers with the disclosures and notices required under the proposed amendment in order to have the ability to change how their </w:t>
      </w:r>
      <w:r>
        <w:lastRenderedPageBreak/>
        <w:t>customers’ free credit balances are treated.  The Commission further estimates these firms would spend, on average, approximately 200 hours of employee resources per firm updating their systems (including processes for generating customer account statements) to incorporate changes that would be necessitated by the proposed amendment. Therefore, the Commission estimates that the total one-time burden to the industry arising from this proposed requirement would be approximately 10,000 hours.</w:t>
      </w:r>
      <w:r>
        <w:rPr>
          <w:rStyle w:val="FootnoteReference"/>
        </w:rPr>
        <w:footnoteReference w:id="28"/>
      </w:r>
      <w:r>
        <w:t xml:space="preserve">  </w:t>
      </w:r>
    </w:p>
    <w:p w:rsidR="0071269A" w:rsidRDefault="0071269A" w:rsidP="0071269A">
      <w:pPr>
        <w:autoSpaceDE w:val="0"/>
        <w:autoSpaceDN w:val="0"/>
        <w:adjustRightInd w:val="0"/>
        <w:ind w:firstLine="720"/>
      </w:pPr>
    </w:p>
    <w:p w:rsidR="0071269A" w:rsidRDefault="0071269A" w:rsidP="0071269A">
      <w:r>
        <w:tab/>
        <w:t>As for annual burden, the Commission estimates these proposed requirements</w:t>
      </w:r>
      <w:r w:rsidRPr="00640710">
        <w:t xml:space="preserve"> would impact 5% of the total </w:t>
      </w:r>
      <w:r>
        <w:t xml:space="preserve">broker-dealer </w:t>
      </w:r>
      <w:r w:rsidRPr="00640710">
        <w:t>cust</w:t>
      </w:r>
      <w:r>
        <w:t xml:space="preserve">omer accounts </w:t>
      </w:r>
      <w:r w:rsidRPr="00640710">
        <w:t xml:space="preserve">per year.  Based on FOCUS Report filings, </w:t>
      </w:r>
      <w:r>
        <w:t>the Commission</w:t>
      </w:r>
      <w:r w:rsidRPr="00640710">
        <w:t xml:space="preserve"> estimate</w:t>
      </w:r>
      <w:r>
        <w:t>s</w:t>
      </w:r>
      <w:r w:rsidRPr="00640710">
        <w:t xml:space="preserve"> there are approximately 109,300,000 customer accounts and,</w:t>
      </w:r>
      <w:r>
        <w:t xml:space="preserve"> consequently, 5% of the accounts (</w:t>
      </w:r>
      <w:r w:rsidRPr="00640710">
        <w:t>5,465,000 accounts per year</w:t>
      </w:r>
      <w:r>
        <w:t>)</w:t>
      </w:r>
      <w:r w:rsidRPr="00640710">
        <w:t xml:space="preserve"> would be impact</w:t>
      </w:r>
      <w:r>
        <w:t>ed.  The Commission further estimates that a broker-dealer would spend, on average,</w:t>
      </w:r>
      <w:r w:rsidRPr="00640710">
        <w:t xml:space="preserve"> </w:t>
      </w:r>
      <w:r>
        <w:t xml:space="preserve">four minutes of employee resources </w:t>
      </w:r>
      <w:r w:rsidRPr="00640710">
        <w:t>t</w:t>
      </w:r>
      <w:r>
        <w:t>o process an affirmative consent for new customers and a disclosure for existing customers</w:t>
      </w:r>
      <w:r w:rsidRPr="00640710">
        <w:t xml:space="preserve">.  Therefore, </w:t>
      </w:r>
      <w:r>
        <w:t>the Commission</w:t>
      </w:r>
      <w:r w:rsidRPr="00640710">
        <w:t xml:space="preserve"> estimate</w:t>
      </w:r>
      <w:r>
        <w:t>s</w:t>
      </w:r>
      <w:r w:rsidRPr="00640710">
        <w:t xml:space="preserve"> that the annual burden </w:t>
      </w:r>
      <w:r>
        <w:t xml:space="preserve">to the industry </w:t>
      </w:r>
      <w:r w:rsidRPr="00640710">
        <w:t xml:space="preserve">arising </w:t>
      </w:r>
      <w:r>
        <w:t xml:space="preserve">from the requirement would be approximately </w:t>
      </w:r>
      <w:r w:rsidRPr="004B22ED">
        <w:t>364,333 hours.</w:t>
      </w:r>
      <w:r w:rsidRPr="004B22ED">
        <w:rPr>
          <w:rStyle w:val="FootnoteReference"/>
        </w:rPr>
        <w:footnoteReference w:id="29"/>
      </w:r>
      <w:r w:rsidRPr="004B22ED">
        <w:t xml:space="preserve"> </w:t>
      </w:r>
    </w:p>
    <w:p w:rsidR="00915F68" w:rsidRDefault="00915F68" w:rsidP="0071269A"/>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t>13.</w:t>
      </w:r>
      <w:r w:rsidRPr="00046A72">
        <w:rPr>
          <w:rFonts w:ascii="Times New Roman" w:hAnsi="Times New Roman"/>
          <w:szCs w:val="24"/>
        </w:rPr>
        <w:tab/>
      </w:r>
      <w:r w:rsidRPr="00046A72">
        <w:rPr>
          <w:rFonts w:ascii="Times New Roman" w:hAnsi="Times New Roman"/>
          <w:szCs w:val="24"/>
          <w:u w:val="single"/>
        </w:rPr>
        <w:t>Estimate of Total Annualized Cost Burden</w:t>
      </w:r>
    </w:p>
    <w:p w:rsidR="00D6160F" w:rsidRPr="0027141D" w:rsidRDefault="0027141D" w:rsidP="00D6160F">
      <w:pPr>
        <w:ind w:firstLine="720"/>
        <w:rPr>
          <w:rFonts w:ascii="Times New Roman" w:hAnsi="Times New Roman"/>
          <w:szCs w:val="24"/>
          <w:u w:val="single"/>
        </w:rPr>
      </w:pPr>
      <w:r>
        <w:rPr>
          <w:rFonts w:ascii="Times New Roman" w:hAnsi="Times New Roman"/>
          <w:szCs w:val="24"/>
        </w:rPr>
        <w:t>A.</w:t>
      </w:r>
      <w:r>
        <w:rPr>
          <w:rFonts w:ascii="Times New Roman" w:hAnsi="Times New Roman"/>
          <w:szCs w:val="24"/>
        </w:rPr>
        <w:tab/>
      </w:r>
      <w:r w:rsidRPr="0027141D">
        <w:rPr>
          <w:rFonts w:ascii="Times New Roman" w:hAnsi="Times New Roman"/>
          <w:szCs w:val="24"/>
          <w:u w:val="single"/>
        </w:rPr>
        <w:t>Estimate of Total Annualized Cost Burden under Rule 15c3-3</w:t>
      </w:r>
    </w:p>
    <w:p w:rsidR="0027141D" w:rsidRDefault="0027141D" w:rsidP="00D6160F">
      <w:pPr>
        <w:ind w:firstLine="720"/>
        <w:rPr>
          <w:rFonts w:ascii="Times New Roman" w:hAnsi="Times New Roman"/>
          <w:szCs w:val="24"/>
        </w:rPr>
      </w:pPr>
    </w:p>
    <w:p w:rsidR="00D6160F" w:rsidRDefault="004B2B94" w:rsidP="00D6160F">
      <w:pPr>
        <w:ind w:firstLine="720"/>
        <w:rPr>
          <w:rFonts w:ascii="Times New Roman" w:hAnsi="Times New Roman"/>
          <w:szCs w:val="24"/>
        </w:rPr>
      </w:pPr>
      <w:r w:rsidRPr="00046A72">
        <w:rPr>
          <w:rFonts w:ascii="Times New Roman" w:hAnsi="Times New Roman"/>
          <w:szCs w:val="24"/>
        </w:rPr>
        <w:t>In addition, a broker-dealer that effects transactions in SFPs for customers</w:t>
      </w:r>
      <w:r w:rsidRPr="00046A72">
        <w:rPr>
          <w:rStyle w:val="FootnoteReference"/>
          <w:rFonts w:ascii="Times New Roman" w:hAnsi="Times New Roman"/>
          <w:szCs w:val="24"/>
        </w:rPr>
        <w:footnoteReference w:id="30"/>
      </w:r>
      <w:r w:rsidRPr="00046A72">
        <w:rPr>
          <w:rFonts w:ascii="Times New Roman" w:hAnsi="Times New Roman"/>
          <w:szCs w:val="24"/>
        </w:rPr>
        <w:t xml:space="preserve"> also will have </w:t>
      </w:r>
      <w:r w:rsidR="00253271">
        <w:rPr>
          <w:rFonts w:ascii="Times New Roman" w:hAnsi="Times New Roman"/>
          <w:szCs w:val="24"/>
        </w:rPr>
        <w:t>an annualized cost burden</w:t>
      </w:r>
      <w:r w:rsidRPr="00046A72">
        <w:rPr>
          <w:rFonts w:ascii="Times New Roman" w:hAnsi="Times New Roman"/>
          <w:szCs w:val="24"/>
        </w:rPr>
        <w:t xml:space="preserve"> associated with the requirements in paragraph (o) of </w:t>
      </w:r>
      <w:r w:rsidR="0027141D">
        <w:rPr>
          <w:rFonts w:ascii="Times New Roman" w:hAnsi="Times New Roman"/>
          <w:szCs w:val="24"/>
        </w:rPr>
        <w:t xml:space="preserve">current </w:t>
      </w:r>
      <w:r w:rsidRPr="00046A72">
        <w:rPr>
          <w:rFonts w:ascii="Times New Roman" w:hAnsi="Times New Roman"/>
          <w:szCs w:val="24"/>
        </w:rPr>
        <w:t>Rule 15c3-3 to (1) provide each customer that plans to effect SFP transactions with a disclosure document containing certain information,</w:t>
      </w:r>
      <w:r w:rsidRPr="00046A72">
        <w:rPr>
          <w:rStyle w:val="FootnoteReference"/>
          <w:rFonts w:ascii="Times New Roman" w:hAnsi="Times New Roman"/>
          <w:szCs w:val="24"/>
        </w:rPr>
        <w:footnoteReference w:id="31"/>
      </w:r>
      <w:r w:rsidRPr="00046A72">
        <w:rPr>
          <w:rFonts w:ascii="Times New Roman" w:hAnsi="Times New Roman"/>
          <w:szCs w:val="24"/>
        </w:rPr>
        <w:t xml:space="preserve"> and (2) send each SFP customer notification of any change of account type.</w:t>
      </w:r>
      <w:r w:rsidRPr="00046A72">
        <w:rPr>
          <w:rStyle w:val="FootnoteReference"/>
          <w:rFonts w:ascii="Times New Roman" w:hAnsi="Times New Roman"/>
          <w:szCs w:val="24"/>
        </w:rPr>
        <w:footnoteReference w:id="32"/>
      </w:r>
    </w:p>
    <w:p w:rsidR="004B2B94" w:rsidRPr="00046A72" w:rsidRDefault="004B2B94" w:rsidP="00D6160F">
      <w:pPr>
        <w:ind w:firstLine="720"/>
        <w:rPr>
          <w:rFonts w:ascii="Times New Roman" w:hAnsi="Times New Roman"/>
          <w:szCs w:val="24"/>
        </w:rPr>
      </w:pPr>
      <w:r w:rsidRPr="00046A72">
        <w:rPr>
          <w:rFonts w:ascii="Times New Roman" w:hAnsi="Times New Roman"/>
          <w:szCs w:val="24"/>
        </w:rPr>
        <w:t xml:space="preserve">  </w:t>
      </w:r>
    </w:p>
    <w:p w:rsidR="004B2B94" w:rsidRPr="00046A72" w:rsidRDefault="00253271" w:rsidP="00E746E7">
      <w:pPr>
        <w:pStyle w:val="Footer"/>
        <w:tabs>
          <w:tab w:val="clear" w:pos="4320"/>
          <w:tab w:val="clear" w:pos="8640"/>
        </w:tabs>
        <w:spacing w:after="240"/>
        <w:ind w:firstLine="720"/>
        <w:rPr>
          <w:rFonts w:ascii="Times New Roman" w:hAnsi="Times New Roman"/>
          <w:szCs w:val="24"/>
        </w:rPr>
      </w:pPr>
      <w:r>
        <w:rPr>
          <w:rFonts w:ascii="Times New Roman" w:hAnsi="Times New Roman"/>
          <w:szCs w:val="24"/>
        </w:rPr>
        <w:t xml:space="preserve">Pursuant to </w:t>
      </w:r>
      <w:r w:rsidR="004B2B94" w:rsidRPr="00046A72">
        <w:rPr>
          <w:rFonts w:ascii="Times New Roman" w:hAnsi="Times New Roman"/>
          <w:szCs w:val="24"/>
        </w:rPr>
        <w:t>Rule 15c3-3(o</w:t>
      </w:r>
      <w:proofErr w:type="gramStart"/>
      <w:r w:rsidR="004B2B94" w:rsidRPr="00046A72">
        <w:rPr>
          <w:rFonts w:ascii="Times New Roman" w:hAnsi="Times New Roman"/>
          <w:szCs w:val="24"/>
        </w:rPr>
        <w:t>)(</w:t>
      </w:r>
      <w:proofErr w:type="gramEnd"/>
      <w:r w:rsidR="004B2B94" w:rsidRPr="00046A72">
        <w:rPr>
          <w:rFonts w:ascii="Times New Roman" w:hAnsi="Times New Roman"/>
          <w:szCs w:val="24"/>
        </w:rPr>
        <w:t>2)(i)</w:t>
      </w:r>
      <w:r>
        <w:rPr>
          <w:rFonts w:ascii="Times New Roman" w:hAnsi="Times New Roman"/>
          <w:szCs w:val="24"/>
        </w:rPr>
        <w:t>,</w:t>
      </w:r>
      <w:r w:rsidR="004B2B94" w:rsidRPr="00046A72">
        <w:rPr>
          <w:rFonts w:ascii="Times New Roman" w:hAnsi="Times New Roman"/>
          <w:szCs w:val="24"/>
        </w:rPr>
        <w:t xml:space="preserve"> a broker-dealer that effects transactions in SFPs for customers must provide each customer that engages in SFP transactions with a disclosure document containing certain information.  The costs of printing and sending the disclosure document to customers will be based on the number of customer accounts that will be opened by customers to effect transactions in SFPs.  As stated previously, the staff estimates that </w:t>
      </w:r>
      <w:r w:rsidR="00DD4629">
        <w:rPr>
          <w:rFonts w:ascii="Times New Roman" w:hAnsi="Times New Roman"/>
          <w:szCs w:val="24"/>
        </w:rPr>
        <w:t xml:space="preserve">8% of the accounts held by broker-dealers that are also registered as FCMs, or </w:t>
      </w:r>
      <w:r w:rsidR="00DD4629" w:rsidRPr="009204B3">
        <w:rPr>
          <w:rFonts w:ascii="Times New Roman" w:hAnsi="Times New Roman"/>
          <w:szCs w:val="24"/>
        </w:rPr>
        <w:t>3</w:t>
      </w:r>
      <w:r w:rsidR="00DD4629">
        <w:rPr>
          <w:rFonts w:ascii="Times New Roman" w:hAnsi="Times New Roman"/>
          <w:szCs w:val="24"/>
        </w:rPr>
        <w:t>,</w:t>
      </w:r>
      <w:r w:rsidR="00DD4629" w:rsidRPr="009204B3">
        <w:rPr>
          <w:rFonts w:ascii="Times New Roman" w:hAnsi="Times New Roman"/>
          <w:szCs w:val="24"/>
        </w:rPr>
        <w:t>105</w:t>
      </w:r>
      <w:r w:rsidR="00DD4629">
        <w:rPr>
          <w:rFonts w:ascii="Times New Roman" w:hAnsi="Times New Roman"/>
          <w:szCs w:val="24"/>
        </w:rPr>
        <w:t>,</w:t>
      </w:r>
      <w:r w:rsidR="00DD4629" w:rsidRPr="009204B3">
        <w:rPr>
          <w:rFonts w:ascii="Times New Roman" w:hAnsi="Times New Roman"/>
          <w:szCs w:val="24"/>
        </w:rPr>
        <w:t>207</w:t>
      </w:r>
      <w:r w:rsidR="004B2B94" w:rsidRPr="00046A72">
        <w:rPr>
          <w:rFonts w:ascii="Times New Roman" w:hAnsi="Times New Roman"/>
          <w:szCs w:val="24"/>
        </w:rPr>
        <w:t xml:space="preserve"> accounts</w:t>
      </w:r>
      <w:r w:rsidR="00DD4629">
        <w:rPr>
          <w:rFonts w:ascii="Times New Roman" w:hAnsi="Times New Roman"/>
          <w:szCs w:val="24"/>
        </w:rPr>
        <w:t>,</w:t>
      </w:r>
      <w:r w:rsidR="004B2B94" w:rsidRPr="00046A72">
        <w:rPr>
          <w:rFonts w:ascii="Times New Roman" w:hAnsi="Times New Roman"/>
          <w:szCs w:val="24"/>
        </w:rPr>
        <w:t xml:space="preserve"> may engage in SFP transactions.</w:t>
      </w:r>
      <w:r w:rsidR="004B2B94" w:rsidRPr="00046A72">
        <w:rPr>
          <w:rStyle w:val="FootnoteReference"/>
          <w:rFonts w:ascii="Times New Roman" w:hAnsi="Times New Roman"/>
          <w:szCs w:val="24"/>
        </w:rPr>
        <w:footnoteReference w:id="33"/>
      </w:r>
      <w:r w:rsidR="004B2B94" w:rsidRPr="00046A72">
        <w:rPr>
          <w:rFonts w:ascii="Times New Roman" w:hAnsi="Times New Roman"/>
          <w:szCs w:val="24"/>
        </w:rPr>
        <w:t xml:space="preserve">  The staff estimates that the cost of printing and sending each disclosure document will be approximately $.1</w:t>
      </w:r>
      <w:r w:rsidR="00E746E7">
        <w:rPr>
          <w:rFonts w:ascii="Times New Roman" w:hAnsi="Times New Roman"/>
          <w:szCs w:val="24"/>
        </w:rPr>
        <w:t>2</w:t>
      </w:r>
      <w:r w:rsidR="004B2B94" w:rsidRPr="00046A72">
        <w:rPr>
          <w:rFonts w:ascii="Times New Roman" w:hAnsi="Times New Roman"/>
          <w:szCs w:val="24"/>
        </w:rPr>
        <w:t xml:space="preserve"> per document sent</w:t>
      </w:r>
      <w:bookmarkStart w:id="1" w:name="_Ref523828812"/>
      <w:r w:rsidR="004B2B94" w:rsidRPr="00046A72">
        <w:rPr>
          <w:rFonts w:ascii="Times New Roman" w:hAnsi="Times New Roman"/>
          <w:szCs w:val="24"/>
        </w:rPr>
        <w:t>.</w:t>
      </w:r>
      <w:r w:rsidR="004B2B94" w:rsidRPr="00046A72">
        <w:rPr>
          <w:rStyle w:val="FootnoteReference"/>
          <w:rFonts w:ascii="Times New Roman" w:hAnsi="Times New Roman"/>
          <w:szCs w:val="24"/>
        </w:rPr>
        <w:footnoteReference w:id="34"/>
      </w:r>
      <w:bookmarkEnd w:id="1"/>
      <w:r w:rsidR="004B2B94" w:rsidRPr="00046A72">
        <w:rPr>
          <w:rFonts w:ascii="Times New Roman" w:hAnsi="Times New Roman"/>
          <w:szCs w:val="24"/>
        </w:rPr>
        <w:t xml:space="preserve">  Thus, the staff estimates that the cost of printing and sending the </w:t>
      </w:r>
      <w:r w:rsidR="004B2B94" w:rsidRPr="00046A72">
        <w:rPr>
          <w:rFonts w:ascii="Times New Roman" w:hAnsi="Times New Roman"/>
          <w:szCs w:val="24"/>
        </w:rPr>
        <w:lastRenderedPageBreak/>
        <w:t>disclosure document required pursuant to paragraph 15c3-3(o</w:t>
      </w:r>
      <w:proofErr w:type="gramStart"/>
      <w:r w:rsidR="004B2B94" w:rsidRPr="00046A72">
        <w:rPr>
          <w:rFonts w:ascii="Times New Roman" w:hAnsi="Times New Roman"/>
          <w:szCs w:val="24"/>
        </w:rPr>
        <w:t>)(</w:t>
      </w:r>
      <w:proofErr w:type="gramEnd"/>
      <w:r w:rsidR="004B2B94" w:rsidRPr="00046A72">
        <w:rPr>
          <w:rFonts w:ascii="Times New Roman" w:hAnsi="Times New Roman"/>
          <w:szCs w:val="24"/>
        </w:rPr>
        <w:t>2)(i) will be approximately $</w:t>
      </w:r>
      <w:r w:rsidR="00E746E7">
        <w:rPr>
          <w:rFonts w:ascii="Times New Roman" w:hAnsi="Times New Roman"/>
          <w:szCs w:val="24"/>
        </w:rPr>
        <w:t>372,625</w:t>
      </w:r>
      <w:r w:rsidR="004B2B94" w:rsidRPr="00046A72">
        <w:rPr>
          <w:rFonts w:ascii="Times New Roman" w:hAnsi="Times New Roman"/>
          <w:szCs w:val="24"/>
        </w:rPr>
        <w:t xml:space="preserve"> (</w:t>
      </w:r>
      <w:r w:rsidR="00E746E7" w:rsidRPr="009204B3">
        <w:rPr>
          <w:rFonts w:ascii="Times New Roman" w:hAnsi="Times New Roman"/>
          <w:szCs w:val="24"/>
        </w:rPr>
        <w:t>3</w:t>
      </w:r>
      <w:r w:rsidR="00E746E7">
        <w:rPr>
          <w:rFonts w:ascii="Times New Roman" w:hAnsi="Times New Roman"/>
          <w:szCs w:val="24"/>
        </w:rPr>
        <w:t>,</w:t>
      </w:r>
      <w:r w:rsidR="00E746E7" w:rsidRPr="009204B3">
        <w:rPr>
          <w:rFonts w:ascii="Times New Roman" w:hAnsi="Times New Roman"/>
          <w:szCs w:val="24"/>
        </w:rPr>
        <w:t>105</w:t>
      </w:r>
      <w:r w:rsidR="00E746E7">
        <w:rPr>
          <w:rFonts w:ascii="Times New Roman" w:hAnsi="Times New Roman"/>
          <w:szCs w:val="24"/>
        </w:rPr>
        <w:t>,</w:t>
      </w:r>
      <w:r w:rsidR="00E746E7" w:rsidRPr="009204B3">
        <w:rPr>
          <w:rFonts w:ascii="Times New Roman" w:hAnsi="Times New Roman"/>
          <w:szCs w:val="24"/>
        </w:rPr>
        <w:t>207</w:t>
      </w:r>
      <w:r w:rsidR="00E746E7">
        <w:rPr>
          <w:rFonts w:ascii="Times New Roman" w:hAnsi="Times New Roman"/>
          <w:szCs w:val="24"/>
        </w:rPr>
        <w:t xml:space="preserve"> accounts x $.12</w:t>
      </w:r>
      <w:r w:rsidR="004B2B94" w:rsidRPr="00046A72">
        <w:rPr>
          <w:rFonts w:ascii="Times New Roman" w:hAnsi="Times New Roman"/>
          <w:szCs w:val="24"/>
        </w:rPr>
        <w:t>).</w:t>
      </w:r>
    </w:p>
    <w:p w:rsidR="004B2B94" w:rsidRDefault="004B2B94" w:rsidP="001F3555">
      <w:pPr>
        <w:pStyle w:val="Footer"/>
        <w:tabs>
          <w:tab w:val="clear" w:pos="4320"/>
          <w:tab w:val="clear" w:pos="8640"/>
        </w:tabs>
        <w:spacing w:after="240"/>
        <w:ind w:firstLine="720"/>
        <w:rPr>
          <w:rFonts w:ascii="Times New Roman" w:hAnsi="Times New Roman"/>
          <w:szCs w:val="24"/>
        </w:rPr>
      </w:pPr>
      <w:r w:rsidRPr="00046A72">
        <w:rPr>
          <w:rFonts w:ascii="Times New Roman" w:hAnsi="Times New Roman"/>
          <w:szCs w:val="24"/>
        </w:rPr>
        <w:t xml:space="preserve">Pursuant to </w:t>
      </w:r>
      <w:r w:rsidR="00253271">
        <w:rPr>
          <w:rFonts w:ascii="Times New Roman" w:hAnsi="Times New Roman"/>
          <w:szCs w:val="24"/>
        </w:rPr>
        <w:t>Rule 15c3-3</w:t>
      </w:r>
      <w:r w:rsidRPr="00046A72">
        <w:rPr>
          <w:rFonts w:ascii="Times New Roman" w:hAnsi="Times New Roman"/>
          <w:szCs w:val="24"/>
        </w:rPr>
        <w:t xml:space="preserve">(o)(3)(ii), a broker-dealer that changes the type of account in which a customer’s SFPs are held must promptly notify the customer in writing of the date that change became effective.  The staff estimates that </w:t>
      </w:r>
      <w:r w:rsidR="00E746E7" w:rsidRPr="009204B3">
        <w:rPr>
          <w:rFonts w:ascii="Times New Roman" w:hAnsi="Times New Roman"/>
          <w:szCs w:val="24"/>
        </w:rPr>
        <w:t>621</w:t>
      </w:r>
      <w:r w:rsidR="00E746E7">
        <w:rPr>
          <w:rFonts w:ascii="Times New Roman" w:hAnsi="Times New Roman"/>
          <w:szCs w:val="24"/>
        </w:rPr>
        <w:t>,</w:t>
      </w:r>
      <w:r w:rsidR="00E746E7" w:rsidRPr="009204B3">
        <w:rPr>
          <w:rFonts w:ascii="Times New Roman" w:hAnsi="Times New Roman"/>
          <w:szCs w:val="24"/>
        </w:rPr>
        <w:t>041</w:t>
      </w:r>
      <w:r w:rsidR="00E746E7" w:rsidRPr="00C53C73">
        <w:rPr>
          <w:rFonts w:ascii="Times New Roman" w:hAnsi="Times New Roman"/>
          <w:szCs w:val="24"/>
        </w:rPr>
        <w:t xml:space="preserve"> accounts (</w:t>
      </w:r>
      <w:r w:rsidR="00E746E7" w:rsidRPr="009204B3">
        <w:rPr>
          <w:rFonts w:ascii="Times New Roman" w:hAnsi="Times New Roman"/>
          <w:szCs w:val="24"/>
        </w:rPr>
        <w:t>3</w:t>
      </w:r>
      <w:r w:rsidR="00E746E7">
        <w:rPr>
          <w:rFonts w:ascii="Times New Roman" w:hAnsi="Times New Roman"/>
          <w:szCs w:val="24"/>
        </w:rPr>
        <w:t>,</w:t>
      </w:r>
      <w:r w:rsidR="00E746E7" w:rsidRPr="009204B3">
        <w:rPr>
          <w:rFonts w:ascii="Times New Roman" w:hAnsi="Times New Roman"/>
          <w:szCs w:val="24"/>
        </w:rPr>
        <w:t>105</w:t>
      </w:r>
      <w:r w:rsidR="00E746E7">
        <w:rPr>
          <w:rFonts w:ascii="Times New Roman" w:hAnsi="Times New Roman"/>
          <w:szCs w:val="24"/>
        </w:rPr>
        <w:t>,</w:t>
      </w:r>
      <w:r w:rsidR="00E746E7" w:rsidRPr="009204B3">
        <w:rPr>
          <w:rFonts w:ascii="Times New Roman" w:hAnsi="Times New Roman"/>
          <w:szCs w:val="24"/>
        </w:rPr>
        <w:t>207</w:t>
      </w:r>
      <w:r w:rsidR="00E746E7" w:rsidRPr="00C53C73">
        <w:rPr>
          <w:rFonts w:ascii="Times New Roman" w:hAnsi="Times New Roman"/>
          <w:szCs w:val="24"/>
        </w:rPr>
        <w:t xml:space="preserve"> accounts x 20%)</w:t>
      </w:r>
      <w:r w:rsidRPr="00046A72">
        <w:rPr>
          <w:rFonts w:ascii="Times New Roman" w:hAnsi="Times New Roman"/>
          <w:szCs w:val="24"/>
        </w:rPr>
        <w:t xml:space="preserve"> may change account type</w:t>
      </w:r>
      <w:r w:rsidR="00E746E7" w:rsidRPr="00E746E7">
        <w:rPr>
          <w:rFonts w:ascii="Times New Roman" w:hAnsi="Times New Roman"/>
          <w:szCs w:val="24"/>
        </w:rPr>
        <w:t xml:space="preserve"> </w:t>
      </w:r>
      <w:r w:rsidR="00E746E7" w:rsidRPr="00046A72">
        <w:rPr>
          <w:rFonts w:ascii="Times New Roman" w:hAnsi="Times New Roman"/>
          <w:szCs w:val="24"/>
        </w:rPr>
        <w:t>per year</w:t>
      </w:r>
      <w:r w:rsidRPr="00046A72">
        <w:rPr>
          <w:rFonts w:ascii="Times New Roman" w:hAnsi="Times New Roman"/>
          <w:szCs w:val="24"/>
        </w:rPr>
        <w:t>,</w:t>
      </w:r>
      <w:r w:rsidRPr="00046A72">
        <w:rPr>
          <w:rStyle w:val="FootnoteReference"/>
          <w:rFonts w:ascii="Times New Roman" w:hAnsi="Times New Roman"/>
          <w:szCs w:val="24"/>
        </w:rPr>
        <w:footnoteReference w:id="35"/>
      </w:r>
      <w:r w:rsidRPr="00046A72">
        <w:rPr>
          <w:rFonts w:ascii="Times New Roman" w:hAnsi="Times New Roman"/>
          <w:szCs w:val="24"/>
        </w:rPr>
        <w:t xml:space="preserve"> thus broker-dealers would be required to send this notification to </w:t>
      </w:r>
      <w:r w:rsidR="00E746E7" w:rsidRPr="009204B3">
        <w:rPr>
          <w:rFonts w:ascii="Times New Roman" w:hAnsi="Times New Roman"/>
          <w:szCs w:val="24"/>
        </w:rPr>
        <w:t>621</w:t>
      </w:r>
      <w:r w:rsidR="00E746E7">
        <w:rPr>
          <w:rFonts w:ascii="Times New Roman" w:hAnsi="Times New Roman"/>
          <w:szCs w:val="24"/>
        </w:rPr>
        <w:t>,</w:t>
      </w:r>
      <w:r w:rsidR="00E746E7" w:rsidRPr="009204B3">
        <w:rPr>
          <w:rFonts w:ascii="Times New Roman" w:hAnsi="Times New Roman"/>
          <w:szCs w:val="24"/>
        </w:rPr>
        <w:t>041</w:t>
      </w:r>
      <w:r w:rsidRPr="00046A72">
        <w:rPr>
          <w:rFonts w:ascii="Times New Roman" w:hAnsi="Times New Roman"/>
          <w:szCs w:val="24"/>
        </w:rPr>
        <w:t xml:space="preserve"> customers.  The staff believes that firms will use the least cost method to comply with these requirements, and will probably include this notification with other mailings sent to the customer.  The staff estimates that the cost of printing and posting each notification will be approximately $.1</w:t>
      </w:r>
      <w:r w:rsidR="001F3555">
        <w:rPr>
          <w:rFonts w:ascii="Times New Roman" w:hAnsi="Times New Roman"/>
          <w:szCs w:val="24"/>
        </w:rPr>
        <w:t>2</w:t>
      </w:r>
      <w:r w:rsidRPr="00046A72">
        <w:rPr>
          <w:rFonts w:ascii="Times New Roman" w:hAnsi="Times New Roman"/>
          <w:szCs w:val="24"/>
        </w:rPr>
        <w:t xml:space="preserve"> per document sent</w:t>
      </w:r>
      <w:r w:rsidRPr="00046A72">
        <w:rPr>
          <w:rStyle w:val="FootnoteReference"/>
          <w:rFonts w:ascii="Times New Roman" w:hAnsi="Times New Roman"/>
          <w:szCs w:val="24"/>
        </w:rPr>
        <w:footnoteReference w:id="36"/>
      </w:r>
      <w:r w:rsidRPr="00046A72">
        <w:rPr>
          <w:rFonts w:ascii="Times New Roman" w:hAnsi="Times New Roman"/>
          <w:szCs w:val="24"/>
        </w:rPr>
        <w:t xml:space="preserve"> (again, the rule is flexible enough that a broker-dealer may send this notification with other customer mailings, such as confirmations or customer account statements).  Therefore, the staff estimates that the cost of sending this notification to customers will be about $</w:t>
      </w:r>
      <w:r w:rsidR="001F3555">
        <w:rPr>
          <w:rFonts w:ascii="Times New Roman" w:hAnsi="Times New Roman"/>
          <w:szCs w:val="24"/>
        </w:rPr>
        <w:t>74,525</w:t>
      </w:r>
      <w:r w:rsidRPr="00046A72">
        <w:rPr>
          <w:rFonts w:ascii="Times New Roman" w:hAnsi="Times New Roman"/>
          <w:szCs w:val="24"/>
        </w:rPr>
        <w:t xml:space="preserve"> (</w:t>
      </w:r>
      <w:r w:rsidR="001F3555" w:rsidRPr="009204B3">
        <w:rPr>
          <w:rFonts w:ascii="Times New Roman" w:hAnsi="Times New Roman"/>
          <w:szCs w:val="24"/>
        </w:rPr>
        <w:t>621</w:t>
      </w:r>
      <w:r w:rsidR="001F3555">
        <w:rPr>
          <w:rFonts w:ascii="Times New Roman" w:hAnsi="Times New Roman"/>
          <w:szCs w:val="24"/>
        </w:rPr>
        <w:t>,</w:t>
      </w:r>
      <w:r w:rsidR="001F3555" w:rsidRPr="009204B3">
        <w:rPr>
          <w:rFonts w:ascii="Times New Roman" w:hAnsi="Times New Roman"/>
          <w:szCs w:val="24"/>
        </w:rPr>
        <w:t>041</w:t>
      </w:r>
      <w:r w:rsidRPr="00046A72">
        <w:rPr>
          <w:rFonts w:ascii="Times New Roman" w:hAnsi="Times New Roman"/>
          <w:szCs w:val="24"/>
        </w:rPr>
        <w:t xml:space="preserve"> accounts x $.1</w:t>
      </w:r>
      <w:r w:rsidR="001F3555">
        <w:rPr>
          <w:rFonts w:ascii="Times New Roman" w:hAnsi="Times New Roman"/>
          <w:szCs w:val="24"/>
        </w:rPr>
        <w:t>2</w:t>
      </w:r>
      <w:r w:rsidRPr="00046A72">
        <w:rPr>
          <w:rFonts w:ascii="Times New Roman" w:hAnsi="Times New Roman"/>
          <w:szCs w:val="24"/>
        </w:rPr>
        <w:t>).</w:t>
      </w:r>
    </w:p>
    <w:p w:rsidR="0027141D" w:rsidRDefault="0027141D" w:rsidP="0089598E">
      <w:pPr>
        <w:pStyle w:val="Heading2"/>
        <w:ind w:left="720" w:firstLine="0"/>
      </w:pPr>
      <w:r>
        <w:t xml:space="preserve">Estimate of Total Annualized Cost Burden under 2007 Proposed </w:t>
      </w:r>
      <w:r w:rsidR="0089598E" w:rsidRPr="0089598E">
        <w:rPr>
          <w:u w:val="none"/>
        </w:rPr>
        <w:tab/>
      </w:r>
      <w:r w:rsidRPr="0027141D">
        <w:t>Amendments to Rule 15c3-3</w:t>
      </w:r>
    </w:p>
    <w:p w:rsidR="0027141D" w:rsidRDefault="0027141D" w:rsidP="0027141D"/>
    <w:p w:rsidR="0027141D" w:rsidRDefault="0027141D" w:rsidP="0027141D">
      <w:pPr>
        <w:rPr>
          <w:iCs/>
        </w:rPr>
      </w:pPr>
      <w:r>
        <w:tab/>
        <w:t xml:space="preserve">Under the 2007 proposing release, the proposed amendments to Rule 15c3-3 would apply to broker-dealer who choose to provide existing and new customers with the disclosures and notices required under the proposed amendment in order to have the ability to change how their customers’ free credit balances are treated.  The Commission estimates that these firms would consult with outside counsel in making these systems changes, particularly with respect to the language in the disclosures and notices.  </w:t>
      </w:r>
      <w:r>
        <w:rPr>
          <w:iCs/>
        </w:rPr>
        <w:t>The Commission estimates that, an outside counsel would spend, on average, approximately 50 hours assisting a broker-dealer in updating its systems for a one-time aggregate burden to the industry of 2,500 hours.</w:t>
      </w:r>
      <w:r>
        <w:rPr>
          <w:rStyle w:val="FootnoteReference"/>
          <w:iCs/>
        </w:rPr>
        <w:footnoteReference w:id="37"/>
      </w:r>
      <w:r>
        <w:rPr>
          <w:iCs/>
        </w:rPr>
        <w:t xml:space="preserve">  The Commission further estimates that this work would be split between a partner and associate, with an associate performing a majority of the work.  Therefore, the Commission estimates that the average hourly cost for an outside counsel would be approximately $400 per hour.  For these reasons, the Commission estimates that the average one-time cost to a broker-dealer would be approximately $20,000</w:t>
      </w:r>
      <w:r>
        <w:rPr>
          <w:rStyle w:val="FootnoteReference"/>
          <w:iCs/>
        </w:rPr>
        <w:footnoteReference w:id="38"/>
      </w:r>
      <w:r>
        <w:rPr>
          <w:iCs/>
        </w:rPr>
        <w:t xml:space="preserve"> and the one-time cost to the industry would be approximately $1,000,000.</w:t>
      </w:r>
      <w:r>
        <w:rPr>
          <w:rStyle w:val="FootnoteReference"/>
          <w:iCs/>
        </w:rPr>
        <w:footnoteReference w:id="39"/>
      </w:r>
    </w:p>
    <w:p w:rsidR="00915F68" w:rsidRDefault="00915F68" w:rsidP="0027141D">
      <w:pPr>
        <w:rPr>
          <w:iCs/>
        </w:rPr>
      </w:pPr>
    </w:p>
    <w:p w:rsidR="00915F68" w:rsidRDefault="00915F68" w:rsidP="0027141D">
      <w:pPr>
        <w:rPr>
          <w:iCs/>
        </w:rPr>
      </w:pPr>
      <w:r>
        <w:rPr>
          <w:iCs/>
        </w:rPr>
        <w:lastRenderedPageBreak/>
        <w:tab/>
        <w:t>For purposes of the 83-I, the Commission is annualizing this cost over the three year approval period ($1,000,000/3) to reflect an annualized cost of $333,333.</w:t>
      </w:r>
    </w:p>
    <w:p w:rsidR="0027141D" w:rsidRPr="0027141D" w:rsidRDefault="0027141D" w:rsidP="0027141D"/>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t>14.</w:t>
      </w:r>
      <w:r w:rsidRPr="00046A72">
        <w:rPr>
          <w:rFonts w:ascii="Times New Roman" w:hAnsi="Times New Roman"/>
          <w:szCs w:val="24"/>
        </w:rPr>
        <w:tab/>
      </w:r>
      <w:r w:rsidRPr="00046A72">
        <w:rPr>
          <w:rFonts w:ascii="Times New Roman" w:hAnsi="Times New Roman"/>
          <w:szCs w:val="24"/>
          <w:u w:val="single"/>
        </w:rPr>
        <w:t>Estimate of Cost to Federal Government</w:t>
      </w:r>
    </w:p>
    <w:p w:rsidR="001332EE" w:rsidRDefault="001332EE" w:rsidP="00E06C40">
      <w:pPr>
        <w:pStyle w:val="BodyText"/>
        <w:ind w:firstLine="720"/>
      </w:pPr>
      <w:r>
        <w:rPr>
          <w:rFonts w:ascii="Times New Roman" w:hAnsi="Times New Roman"/>
          <w:szCs w:val="24"/>
        </w:rPr>
        <w:t xml:space="preserve">The government would experience no additional costs relating to the records broker-dealers must create pursuant to 15c3-3, but are not required to file with the Commission.  </w:t>
      </w:r>
      <w:r w:rsidR="00E06C40">
        <w:rPr>
          <w:rFonts w:ascii="Times New Roman" w:hAnsi="Times New Roman"/>
          <w:szCs w:val="24"/>
        </w:rPr>
        <w:t>However, t</w:t>
      </w:r>
      <w:r w:rsidRPr="00CB5CA4">
        <w:rPr>
          <w:rFonts w:ascii="Times New Roman" w:hAnsi="Times New Roman"/>
          <w:szCs w:val="24"/>
        </w:rPr>
        <w:t xml:space="preserve">he government would experience </w:t>
      </w:r>
      <w:r>
        <w:rPr>
          <w:rFonts w:ascii="Times New Roman" w:hAnsi="Times New Roman"/>
          <w:szCs w:val="24"/>
        </w:rPr>
        <w:t>some</w:t>
      </w:r>
      <w:r w:rsidRPr="00CB5CA4">
        <w:rPr>
          <w:rFonts w:ascii="Times New Roman" w:hAnsi="Times New Roman"/>
          <w:szCs w:val="24"/>
        </w:rPr>
        <w:t xml:space="preserve"> costs </w:t>
      </w:r>
      <w:r>
        <w:rPr>
          <w:rFonts w:ascii="Times New Roman" w:hAnsi="Times New Roman"/>
          <w:szCs w:val="24"/>
        </w:rPr>
        <w:t xml:space="preserve">associated with </w:t>
      </w:r>
      <w:r>
        <w:t>reviewing the notices</w:t>
      </w:r>
      <w:r>
        <w:rPr>
          <w:rFonts w:ascii="Times New Roman" w:hAnsi="Times New Roman"/>
          <w:szCs w:val="24"/>
        </w:rPr>
        <w:t xml:space="preserve"> broker-dealers are required to file pursuant to Rule 15c3-3.  </w:t>
      </w:r>
      <w:r>
        <w:t>The staff estimates that reviewing these filings requires, on average, approximately fifteen minutes of Regulation Specialist staff time per filing at approximately $70 an hour (based on an annual salary of $84,000, adding average fringe benefits of 26% and average overhead of 25%, and dividing by 1,800 hours in a year).  Consequently, the staff estimates that, the additional cost to the Federal Government associated with reviewing approximately 60 such notices per year would be $</w:t>
      </w:r>
      <w:r w:rsidR="00E06C40">
        <w:t>1,050</w:t>
      </w:r>
      <w:r>
        <w:t xml:space="preserve"> (15 hours x $70).  </w:t>
      </w:r>
    </w:p>
    <w:p w:rsidR="001332EE" w:rsidRDefault="001332EE" w:rsidP="001332EE">
      <w:pPr>
        <w:pStyle w:val="BodyText"/>
      </w:pPr>
    </w:p>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t>15.</w:t>
      </w:r>
      <w:r w:rsidRPr="00046A72">
        <w:rPr>
          <w:rFonts w:ascii="Times New Roman" w:hAnsi="Times New Roman"/>
          <w:szCs w:val="24"/>
        </w:rPr>
        <w:tab/>
      </w:r>
      <w:r w:rsidRPr="00046A72">
        <w:rPr>
          <w:rFonts w:ascii="Times New Roman" w:hAnsi="Times New Roman"/>
          <w:szCs w:val="24"/>
          <w:u w:val="single"/>
        </w:rPr>
        <w:t>Explanation of Changes in Burden</w:t>
      </w:r>
    </w:p>
    <w:p w:rsidR="0089598E" w:rsidRDefault="00D6160F" w:rsidP="00D6160F">
      <w:r>
        <w:tab/>
        <w:t>The changes in the reporting burden are a result of the proposed amendments to Rule 15c3-3 as discussed in the 2007 proposing release</w:t>
      </w:r>
      <w:r w:rsidR="003E7F34">
        <w:t xml:space="preserve"> (</w:t>
      </w:r>
      <w:r w:rsidR="00CC6B4E">
        <w:t>di</w:t>
      </w:r>
      <w:r w:rsidR="003E7F34">
        <w:t>s</w:t>
      </w:r>
      <w:r w:rsidR="00CC6B4E">
        <w:t>cussed in detail in Sections 12B and 13.B</w:t>
      </w:r>
      <w:r>
        <w:t>.</w:t>
      </w:r>
      <w:r w:rsidR="00CC6B4E">
        <w:t xml:space="preserve"> above</w:t>
      </w:r>
      <w:r w:rsidR="003E7F34">
        <w:t>)</w:t>
      </w:r>
      <w:r w:rsidR="00CC6B4E">
        <w:t>.</w:t>
      </w:r>
      <w:r w:rsidRPr="00BD5E3B">
        <w:rPr>
          <w:rStyle w:val="FootnoteReference"/>
          <w:rFonts w:ascii="Times New Roman" w:hAnsi="Times New Roman"/>
        </w:rPr>
        <w:footnoteReference w:id="40"/>
      </w:r>
      <w:r w:rsidR="00CC6B4E">
        <w:t xml:space="preserve">  </w:t>
      </w:r>
      <w:r w:rsidR="005F35AC">
        <w:t>Under the 2007 proposing release, t</w:t>
      </w:r>
      <w:r w:rsidR="005F35AC" w:rsidRPr="004B22ED">
        <w:t>h</w:t>
      </w:r>
      <w:r w:rsidR="005F35AC">
        <w:t>e</w:t>
      </w:r>
      <w:r w:rsidR="005F35AC" w:rsidRPr="004B22ED">
        <w:t xml:space="preserve"> proposed amendment</w:t>
      </w:r>
      <w:r w:rsidR="005F35AC">
        <w:t>s</w:t>
      </w:r>
      <w:r w:rsidR="005F35AC" w:rsidRPr="004B22ED">
        <w:t xml:space="preserve"> </w:t>
      </w:r>
      <w:r w:rsidR="005F35AC">
        <w:t xml:space="preserve">to Rule 15c3-3 would require a broker-dealer to perform a PAB reserve computation and obtain certain agreements and notices related to </w:t>
      </w:r>
      <w:r w:rsidR="005F35AC" w:rsidRPr="004B22ED">
        <w:rPr>
          <w:rFonts w:ascii="Times New Roman" w:hAnsi="Times New Roman"/>
        </w:rPr>
        <w:t xml:space="preserve">proprietary account of another broker-dealer </w:t>
      </w:r>
      <w:r w:rsidR="005F35AC">
        <w:rPr>
          <w:rFonts w:ascii="Times New Roman" w:hAnsi="Times New Roman"/>
        </w:rPr>
        <w:t>(referred to as “</w:t>
      </w:r>
      <w:r w:rsidR="005F35AC">
        <w:t xml:space="preserve">PAB accounts”) and, therefore, </w:t>
      </w:r>
      <w:r w:rsidR="005F35AC" w:rsidRPr="004B22ED">
        <w:t>would impose recordkeeping burdens on a broker-dealer to the extent it: (1) has to perform a PAB computation; (2) chooses to use PAB securities and, therefore, needs to obtain agreements from PAB accountholders; and (3) opens a PAB reserve account at a</w:t>
      </w:r>
      <w:r w:rsidR="003E7F34">
        <w:t xml:space="preserve"> new bank.  </w:t>
      </w:r>
      <w:r w:rsidR="005F35AC">
        <w:t xml:space="preserve">These proposed amendments to Rule 15c3-3 would add 29,080 </w:t>
      </w:r>
      <w:r w:rsidR="003E7F34">
        <w:t xml:space="preserve">(26,830 + 2,250) </w:t>
      </w:r>
      <w:r w:rsidR="005F35AC">
        <w:t xml:space="preserve">one-time </w:t>
      </w:r>
      <w:r w:rsidR="003E7F34">
        <w:t xml:space="preserve">burden </w:t>
      </w:r>
      <w:r w:rsidR="005F35AC">
        <w:t>hours to th</w:t>
      </w:r>
      <w:r w:rsidR="003B2B23">
        <w:t>is</w:t>
      </w:r>
      <w:r w:rsidR="005F35AC">
        <w:t xml:space="preserve"> collection of information</w:t>
      </w:r>
      <w:r w:rsidR="003E7F34">
        <w:t>, as well as</w:t>
      </w:r>
      <w:r w:rsidR="005F35AC">
        <w:t xml:space="preserve"> increase the annual hour burden by 9,350 hours.  </w:t>
      </w:r>
    </w:p>
    <w:p w:rsidR="005F35AC" w:rsidRDefault="005F35AC" w:rsidP="00D6160F"/>
    <w:p w:rsidR="00506306" w:rsidRDefault="005F35AC" w:rsidP="00D6160F">
      <w:r>
        <w:tab/>
      </w:r>
      <w:r w:rsidR="00D66CFA">
        <w:t xml:space="preserve">In addition, the amendment to Rule 15c3-3 to add new paragraph (j) would apply to broker-dealers who choose to provide existing and new customers with the </w:t>
      </w:r>
      <w:r w:rsidR="003E7F34">
        <w:t xml:space="preserve">required </w:t>
      </w:r>
      <w:r w:rsidR="00D66CFA">
        <w:t xml:space="preserve">disclosures in order to have the ability to change how their customers’ free credit balances are treated.  This amendment would add 10,000 one-time </w:t>
      </w:r>
      <w:r w:rsidR="003E7F34">
        <w:t xml:space="preserve">burden </w:t>
      </w:r>
      <w:r w:rsidR="00D66CFA">
        <w:t>hours</w:t>
      </w:r>
      <w:r w:rsidR="003E7F34">
        <w:t>, as well as</w:t>
      </w:r>
      <w:r w:rsidR="00D66CFA">
        <w:t xml:space="preserve"> 364,333 annual hours to this collection of information.  Finally, the amendment to paragraph (j) to Rule 15c3-3 </w:t>
      </w:r>
      <w:r w:rsidR="003E7F34">
        <w:t xml:space="preserve">relating to customers’ free credit balances </w:t>
      </w:r>
      <w:r w:rsidR="00D66CFA">
        <w:t xml:space="preserve">also would result in an increase </w:t>
      </w:r>
      <w:r w:rsidR="003E7F34">
        <w:t>to</w:t>
      </w:r>
      <w:r w:rsidR="00D66CFA">
        <w:t xml:space="preserve"> the total annualized cost burden of $333,333 per year.</w:t>
      </w:r>
    </w:p>
    <w:p w:rsidR="003E7F34" w:rsidRDefault="003E7F34" w:rsidP="00D6160F">
      <w:pPr>
        <w:rPr>
          <w:rFonts w:ascii="Times New Roman" w:hAnsi="Times New Roman"/>
          <w:szCs w:val="24"/>
        </w:rPr>
      </w:pPr>
    </w:p>
    <w:p w:rsidR="00067B7E" w:rsidRPr="00046A72" w:rsidRDefault="00067B7E" w:rsidP="0093183B">
      <w:pPr>
        <w:spacing w:after="240"/>
        <w:ind w:firstLine="720"/>
        <w:rPr>
          <w:rFonts w:ascii="Times New Roman" w:hAnsi="Times New Roman"/>
          <w:szCs w:val="24"/>
        </w:rPr>
      </w:pPr>
      <w:r w:rsidRPr="00046A72">
        <w:rPr>
          <w:rFonts w:ascii="Times New Roman" w:hAnsi="Times New Roman"/>
          <w:szCs w:val="24"/>
        </w:rPr>
        <w:t>16.</w:t>
      </w:r>
      <w:r w:rsidRPr="00046A72">
        <w:rPr>
          <w:rFonts w:ascii="Times New Roman" w:hAnsi="Times New Roman"/>
          <w:szCs w:val="24"/>
        </w:rPr>
        <w:tab/>
      </w:r>
      <w:r w:rsidRPr="00046A72">
        <w:rPr>
          <w:rFonts w:ascii="Times New Roman" w:hAnsi="Times New Roman"/>
          <w:szCs w:val="24"/>
          <w:u w:val="single"/>
        </w:rPr>
        <w:t>Information Collection Planned for Statistical Purposes</w:t>
      </w:r>
    </w:p>
    <w:p w:rsidR="00067B7E" w:rsidRPr="00046A72" w:rsidRDefault="00067B7E" w:rsidP="008872CA">
      <w:pPr>
        <w:spacing w:after="240"/>
        <w:ind w:firstLine="720"/>
        <w:rPr>
          <w:rFonts w:ascii="Times New Roman" w:hAnsi="Times New Roman"/>
          <w:szCs w:val="24"/>
        </w:rPr>
      </w:pPr>
      <w:r w:rsidRPr="00046A72">
        <w:rPr>
          <w:rFonts w:ascii="Times New Roman" w:hAnsi="Times New Roman"/>
          <w:szCs w:val="24"/>
        </w:rPr>
        <w:t xml:space="preserve">This provision is not applicable because compliance with the Rule will not require the employment of statistical methods.  </w:t>
      </w:r>
    </w:p>
    <w:p w:rsidR="00067B7E" w:rsidRPr="00046A72" w:rsidRDefault="00067B7E" w:rsidP="00CD2A83">
      <w:pPr>
        <w:keepNext/>
        <w:spacing w:after="240"/>
        <w:ind w:firstLine="720"/>
        <w:rPr>
          <w:rFonts w:ascii="Times New Roman" w:hAnsi="Times New Roman"/>
          <w:szCs w:val="24"/>
        </w:rPr>
      </w:pPr>
      <w:r w:rsidRPr="00046A72">
        <w:rPr>
          <w:rFonts w:ascii="Times New Roman" w:hAnsi="Times New Roman"/>
          <w:szCs w:val="24"/>
        </w:rPr>
        <w:lastRenderedPageBreak/>
        <w:t>17.</w:t>
      </w:r>
      <w:r w:rsidRPr="00046A72">
        <w:rPr>
          <w:rFonts w:ascii="Times New Roman" w:hAnsi="Times New Roman"/>
          <w:szCs w:val="24"/>
        </w:rPr>
        <w:tab/>
      </w:r>
      <w:r w:rsidRPr="00046A72">
        <w:rPr>
          <w:rFonts w:ascii="Times New Roman" w:hAnsi="Times New Roman"/>
          <w:szCs w:val="24"/>
          <w:u w:val="single"/>
        </w:rPr>
        <w:t>Explanation as to Why Expiration Date Will Not Be Displayed</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Not applicable.</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18.</w:t>
      </w:r>
      <w:r w:rsidRPr="00046A72">
        <w:rPr>
          <w:rFonts w:ascii="Times New Roman" w:hAnsi="Times New Roman"/>
          <w:szCs w:val="24"/>
        </w:rPr>
        <w:tab/>
      </w:r>
      <w:r w:rsidRPr="00046A72">
        <w:rPr>
          <w:rFonts w:ascii="Times New Roman" w:hAnsi="Times New Roman"/>
          <w:szCs w:val="24"/>
          <w:u w:val="single"/>
        </w:rPr>
        <w:t>Exceptions to Certificate</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Not applicable.</w:t>
      </w:r>
    </w:p>
    <w:p w:rsidR="00067B7E" w:rsidRPr="00046A72" w:rsidRDefault="00067B7E" w:rsidP="00CD2A83">
      <w:pPr>
        <w:keepNext/>
        <w:spacing w:after="240"/>
        <w:rPr>
          <w:rFonts w:ascii="Times New Roman" w:hAnsi="Times New Roman"/>
          <w:szCs w:val="24"/>
        </w:rPr>
      </w:pPr>
      <w:r w:rsidRPr="00046A72">
        <w:rPr>
          <w:rFonts w:ascii="Times New Roman" w:hAnsi="Times New Roman"/>
          <w:szCs w:val="24"/>
        </w:rPr>
        <w:t>B.</w:t>
      </w:r>
      <w:r w:rsidRPr="00046A72">
        <w:rPr>
          <w:rFonts w:ascii="Times New Roman" w:hAnsi="Times New Roman"/>
          <w:szCs w:val="24"/>
        </w:rPr>
        <w:tab/>
      </w:r>
      <w:r w:rsidRPr="00046A72">
        <w:rPr>
          <w:rFonts w:ascii="Times New Roman" w:hAnsi="Times New Roman"/>
          <w:szCs w:val="24"/>
          <w:u w:val="single"/>
        </w:rPr>
        <w:t>Collection of Information Employing Statistical Methods</w:t>
      </w:r>
    </w:p>
    <w:p w:rsidR="00067B7E" w:rsidRPr="00046A72" w:rsidRDefault="00067B7E" w:rsidP="00CD2A83">
      <w:pPr>
        <w:spacing w:after="240"/>
        <w:ind w:firstLine="720"/>
        <w:rPr>
          <w:rFonts w:ascii="Times New Roman" w:hAnsi="Times New Roman"/>
          <w:szCs w:val="24"/>
        </w:rPr>
      </w:pPr>
      <w:r w:rsidRPr="00046A72">
        <w:rPr>
          <w:rFonts w:ascii="Times New Roman" w:hAnsi="Times New Roman"/>
          <w:szCs w:val="24"/>
        </w:rPr>
        <w:t>Not applicable.</w:t>
      </w:r>
    </w:p>
    <w:sectPr w:rsidR="00067B7E" w:rsidRPr="00046A72" w:rsidSect="000536C0">
      <w:footerReference w:type="default" r:id="rId11"/>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5AC" w:rsidRDefault="005F35AC">
      <w:r>
        <w:separator/>
      </w:r>
    </w:p>
  </w:endnote>
  <w:endnote w:type="continuationSeparator" w:id="0">
    <w:p w:rsidR="005F35AC" w:rsidRDefault="005F35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AC" w:rsidRDefault="005F35AC">
    <w:pPr>
      <w:pStyle w:val="Footer"/>
      <w:jc w:val="center"/>
    </w:pPr>
    <w:r>
      <w:rPr>
        <w:rStyle w:val="PageNumber"/>
      </w:rPr>
      <w:fldChar w:fldCharType="begin"/>
    </w:r>
    <w:r>
      <w:rPr>
        <w:rStyle w:val="PageNumber"/>
      </w:rPr>
      <w:instrText xml:space="preserve"> PAGE </w:instrText>
    </w:r>
    <w:r>
      <w:rPr>
        <w:rStyle w:val="PageNumber"/>
      </w:rPr>
      <w:fldChar w:fldCharType="separate"/>
    </w:r>
    <w:r w:rsidR="003B2B23">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5AC" w:rsidRDefault="005F35AC">
      <w:r>
        <w:separator/>
      </w:r>
    </w:p>
  </w:footnote>
  <w:footnote w:type="continuationSeparator" w:id="0">
    <w:p w:rsidR="005F35AC" w:rsidRDefault="005F35AC">
      <w:r>
        <w:continuationSeparator/>
      </w:r>
    </w:p>
  </w:footnote>
  <w:footnote w:id="1">
    <w:p w:rsidR="005F35AC" w:rsidRPr="00FE27D7" w:rsidRDefault="005F35AC" w:rsidP="0035269F">
      <w:pPr>
        <w:pStyle w:val="FootnoteText"/>
        <w:ind w:left="720" w:hanging="720"/>
        <w:rPr>
          <w:rFonts w:ascii="Times New Roman" w:hAnsi="Times New Roman"/>
        </w:rPr>
      </w:pPr>
      <w:r w:rsidRPr="00FE27D7">
        <w:rPr>
          <w:rStyle w:val="FootnoteReference"/>
          <w:rFonts w:ascii="Times New Roman" w:hAnsi="Times New Roman"/>
        </w:rPr>
        <w:footnoteRef/>
      </w:r>
      <w:r w:rsidRPr="00FE27D7">
        <w:rPr>
          <w:rFonts w:ascii="Times New Roman" w:hAnsi="Times New Roman"/>
        </w:rPr>
        <w:t xml:space="preserve"> </w:t>
      </w:r>
      <w:r w:rsidRPr="00FE27D7">
        <w:rPr>
          <w:rFonts w:ascii="Times New Roman" w:hAnsi="Times New Roman"/>
        </w:rPr>
        <w:tab/>
        <w:t>For purposes of this PRA, the term Special Reserve Bank Account includes accounts set up in accordance with both paragraph (e)(1) and paragraph (k)(2)(i).</w:t>
      </w:r>
    </w:p>
  </w:footnote>
  <w:footnote w:id="2">
    <w:p w:rsidR="005F35AC" w:rsidRPr="00915F68" w:rsidRDefault="005F35AC" w:rsidP="00915F68">
      <w:pPr>
        <w:autoSpaceDE w:val="0"/>
        <w:autoSpaceDN w:val="0"/>
        <w:adjustRightInd w:val="0"/>
        <w:ind w:left="720" w:hanging="720"/>
        <w:rPr>
          <w:rFonts w:ascii="Times New Roman" w:hAnsi="Times New Roman"/>
          <w:sz w:val="20"/>
        </w:rPr>
      </w:pPr>
      <w:r w:rsidRPr="00915F68">
        <w:rPr>
          <w:rStyle w:val="FootnoteReference"/>
          <w:rFonts w:ascii="Times New Roman" w:hAnsi="Times New Roman"/>
          <w:sz w:val="20"/>
        </w:rPr>
        <w:footnoteRef/>
      </w:r>
      <w:r w:rsidRPr="00915F68">
        <w:rPr>
          <w:rFonts w:ascii="Times New Roman" w:hAnsi="Times New Roman"/>
          <w:sz w:val="20"/>
        </w:rPr>
        <w:t xml:space="preserve"> </w:t>
      </w:r>
      <w:r w:rsidRPr="00915F68">
        <w:rPr>
          <w:rFonts w:ascii="Times New Roman" w:hAnsi="Times New Roman"/>
          <w:sz w:val="20"/>
        </w:rPr>
        <w:tab/>
        <w:t xml:space="preserve">Exchange Act Release No. </w:t>
      </w:r>
      <w:r w:rsidRPr="00915F68">
        <w:rPr>
          <w:rFonts w:ascii="Times New Roman" w:hAnsi="Times New Roman"/>
          <w:bCs/>
          <w:sz w:val="20"/>
        </w:rPr>
        <w:t xml:space="preserve">46473 (Sep. 9, 2002), </w:t>
      </w:r>
      <w:r w:rsidRPr="00915F68">
        <w:rPr>
          <w:rFonts w:ascii="Times New Roman" w:hAnsi="Times New Roman"/>
          <w:sz w:val="20"/>
        </w:rPr>
        <w:t>67</w:t>
      </w:r>
      <w:r w:rsidRPr="00915F68">
        <w:rPr>
          <w:rFonts w:ascii="Times New Roman" w:hAnsi="Times New Roman"/>
          <w:bCs/>
          <w:sz w:val="20"/>
        </w:rPr>
        <w:t xml:space="preserve"> FR 58284 (</w:t>
      </w:r>
      <w:r w:rsidRPr="00915F68">
        <w:rPr>
          <w:rFonts w:ascii="Times New Roman" w:hAnsi="Times New Roman"/>
          <w:sz w:val="20"/>
        </w:rPr>
        <w:t>Sep. 13, 2002).</w:t>
      </w:r>
    </w:p>
  </w:footnote>
  <w:footnote w:id="3">
    <w:p w:rsidR="005F35AC" w:rsidRPr="00915F68" w:rsidRDefault="005F35AC" w:rsidP="00915F68">
      <w:pPr>
        <w:pStyle w:val="FootnoteText"/>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 xml:space="preserve">Exchange Act Release No. 55341 (Feb. 23, 2007), 72 FR 69412 (Mar. 19, 2007).   </w:t>
      </w:r>
    </w:p>
  </w:footnote>
  <w:footnote w:id="4">
    <w:p w:rsidR="005F35AC" w:rsidRPr="00915F68" w:rsidRDefault="005F35AC" w:rsidP="00915F68">
      <w:pPr>
        <w:pStyle w:val="FootnoteText"/>
        <w:jc w:val="both"/>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Proposed amendment adding paragraph (b</w:t>
      </w:r>
      <w:proofErr w:type="gramStart"/>
      <w:r w:rsidRPr="00915F68">
        <w:rPr>
          <w:rFonts w:ascii="Times New Roman" w:hAnsi="Times New Roman"/>
        </w:rPr>
        <w:t>)(</w:t>
      </w:r>
      <w:proofErr w:type="gramEnd"/>
      <w:r w:rsidRPr="00915F68">
        <w:rPr>
          <w:rFonts w:ascii="Times New Roman" w:hAnsi="Times New Roman"/>
        </w:rPr>
        <w:t>5) to Rule 15c3-3.</w:t>
      </w:r>
    </w:p>
  </w:footnote>
  <w:footnote w:id="5">
    <w:p w:rsidR="005F35AC" w:rsidRPr="00915F68" w:rsidRDefault="005F35AC" w:rsidP="00915F68">
      <w:pPr>
        <w:pStyle w:val="FootnoteText"/>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Proposed amendment revising paragraph (e</w:t>
      </w:r>
      <w:proofErr w:type="gramStart"/>
      <w:r w:rsidRPr="00915F68">
        <w:rPr>
          <w:rFonts w:ascii="Times New Roman" w:hAnsi="Times New Roman"/>
        </w:rPr>
        <w:t>)(</w:t>
      </w:r>
      <w:proofErr w:type="gramEnd"/>
      <w:r w:rsidRPr="00915F68">
        <w:rPr>
          <w:rFonts w:ascii="Times New Roman" w:hAnsi="Times New Roman"/>
        </w:rPr>
        <w:t>1) of Rule 15c3-3.</w:t>
      </w:r>
      <w:r w:rsidRPr="00915F68">
        <w:rPr>
          <w:rFonts w:ascii="Times New Roman" w:hAnsi="Times New Roman"/>
        </w:rPr>
        <w:tab/>
      </w:r>
    </w:p>
  </w:footnote>
  <w:footnote w:id="6">
    <w:p w:rsidR="005F35AC" w:rsidRPr="00915F68" w:rsidRDefault="005F35AC" w:rsidP="00915F68">
      <w:pPr>
        <w:pStyle w:val="FootnoteText"/>
        <w:jc w:val="both"/>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r>
      <w:proofErr w:type="gramStart"/>
      <w:r w:rsidRPr="00915F68">
        <w:rPr>
          <w:rFonts w:ascii="Times New Roman" w:hAnsi="Times New Roman"/>
        </w:rPr>
        <w:t>Proposed amendment revising paragraph (f) of Rule 15c3-3.</w:t>
      </w:r>
      <w:proofErr w:type="gramEnd"/>
    </w:p>
  </w:footnote>
  <w:footnote w:id="7">
    <w:p w:rsidR="005F35AC" w:rsidRPr="00915F68" w:rsidRDefault="005F35AC" w:rsidP="00915F68">
      <w:pPr>
        <w:pStyle w:val="FootnoteText"/>
        <w:jc w:val="both"/>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r>
      <w:smartTag w:uri="urn:schemas-microsoft-com:office:smarttags" w:element="State">
        <w:smartTag w:uri="urn:schemas-microsoft-com:office:smarttags" w:element="place">
          <w:r w:rsidRPr="00915F68">
            <w:rPr>
              <w:rFonts w:ascii="Times New Roman" w:hAnsi="Times New Roman"/>
              <w:iCs/>
              <w:u w:val="single"/>
            </w:rPr>
            <w:t>Id</w:t>
          </w:r>
          <w:r w:rsidRPr="00915F68">
            <w:rPr>
              <w:rFonts w:ascii="Times New Roman" w:hAnsi="Times New Roman"/>
            </w:rPr>
            <w:t>.</w:t>
          </w:r>
        </w:smartTag>
      </w:smartTag>
    </w:p>
  </w:footnote>
  <w:footnote w:id="8">
    <w:p w:rsidR="005F35AC" w:rsidRPr="00915F68" w:rsidRDefault="005F35AC" w:rsidP="00915F68">
      <w:pPr>
        <w:pStyle w:val="FootnoteText"/>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r>
      <w:proofErr w:type="gramStart"/>
      <w:r w:rsidRPr="00915F68">
        <w:rPr>
          <w:rFonts w:ascii="Times New Roman" w:hAnsi="Times New Roman"/>
        </w:rPr>
        <w:t>Proposed amendment adding paragraph (j) to Rule 15c3-3.</w:t>
      </w:r>
      <w:proofErr w:type="gramEnd"/>
    </w:p>
  </w:footnote>
  <w:footnote w:id="9">
    <w:p w:rsidR="005F35AC" w:rsidRPr="00915F68" w:rsidRDefault="005F35AC" w:rsidP="00915F68">
      <w:pPr>
        <w:pStyle w:val="FootnoteText"/>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r>
      <w:r w:rsidRPr="00915F68">
        <w:rPr>
          <w:rFonts w:ascii="Times New Roman" w:hAnsi="Times New Roman"/>
          <w:i/>
        </w:rPr>
        <w:t>See supra</w:t>
      </w:r>
      <w:r w:rsidRPr="00915F68">
        <w:rPr>
          <w:rFonts w:ascii="Times New Roman" w:hAnsi="Times New Roman"/>
        </w:rPr>
        <w:t xml:space="preserve"> note 3. </w:t>
      </w:r>
    </w:p>
  </w:footnote>
  <w:footnote w:id="10">
    <w:p w:rsidR="005F35AC" w:rsidRPr="00CE3EA2" w:rsidRDefault="005F35AC" w:rsidP="00D6160F">
      <w:pPr>
        <w:pStyle w:val="FootnoteText"/>
        <w:rPr>
          <w:rFonts w:ascii="Times New Roman" w:hAnsi="Times New Roman"/>
        </w:rPr>
      </w:pPr>
      <w:r w:rsidRPr="00CE3EA2">
        <w:rPr>
          <w:rStyle w:val="FootnoteReference"/>
          <w:rFonts w:ascii="Times New Roman" w:hAnsi="Times New Roman"/>
        </w:rPr>
        <w:footnoteRef/>
      </w:r>
      <w:r w:rsidRPr="00CE3EA2">
        <w:rPr>
          <w:rFonts w:ascii="Times New Roman" w:hAnsi="Times New Roman"/>
        </w:rPr>
        <w:t xml:space="preserve"> </w:t>
      </w:r>
      <w:r w:rsidRPr="00CE3EA2">
        <w:rPr>
          <w:rFonts w:ascii="Times New Roman" w:hAnsi="Times New Roman"/>
        </w:rPr>
        <w:tab/>
        <w:t>Exchange Act Release No. 55341 (Feb. 23, 2007), 72 FR 12862 (Mar. 19, 2007).</w:t>
      </w:r>
    </w:p>
  </w:footnote>
  <w:footnote w:id="11">
    <w:p w:rsidR="005F35AC" w:rsidRPr="00CE3EA2" w:rsidRDefault="005F35AC" w:rsidP="008B5ADA">
      <w:pPr>
        <w:pStyle w:val="FootnoteText"/>
        <w:ind w:left="720" w:hanging="720"/>
        <w:rPr>
          <w:rFonts w:ascii="Times New Roman" w:hAnsi="Times New Roman"/>
        </w:rPr>
      </w:pPr>
      <w:r w:rsidRPr="00CE3EA2">
        <w:rPr>
          <w:rStyle w:val="FootnoteReference"/>
          <w:rFonts w:ascii="Times New Roman" w:hAnsi="Times New Roman"/>
        </w:rPr>
        <w:footnoteRef/>
      </w:r>
      <w:r w:rsidRPr="00CE3EA2">
        <w:rPr>
          <w:rFonts w:ascii="Times New Roman" w:hAnsi="Times New Roman"/>
        </w:rPr>
        <w:t xml:space="preserve"> </w:t>
      </w:r>
      <w:r w:rsidRPr="00CE3EA2">
        <w:rPr>
          <w:rFonts w:ascii="Times New Roman" w:hAnsi="Times New Roman"/>
        </w:rPr>
        <w:tab/>
        <w:t xml:space="preserve">Per December 31, 2006 FOCUS II reports filed with the Commission by broker-dealers in compliance with Rule 17a-5 </w:t>
      </w:r>
      <w:proofErr w:type="gramStart"/>
      <w:r w:rsidRPr="00CE3EA2">
        <w:rPr>
          <w:rFonts w:ascii="Times New Roman" w:hAnsi="Times New Roman"/>
        </w:rPr>
        <w:t>(17 CFR 240.17a-5)</w:t>
      </w:r>
      <w:proofErr w:type="gramEnd"/>
      <w:r w:rsidRPr="00CE3EA2">
        <w:rPr>
          <w:rFonts w:ascii="Times New Roman" w:hAnsi="Times New Roman"/>
        </w:rPr>
        <w:t>.</w:t>
      </w:r>
    </w:p>
  </w:footnote>
  <w:footnote w:id="12">
    <w:p w:rsidR="005F35AC" w:rsidRPr="00CE3EA2" w:rsidRDefault="005F35AC">
      <w:pPr>
        <w:pStyle w:val="FootnoteText"/>
        <w:rPr>
          <w:rFonts w:ascii="Times New Roman" w:hAnsi="Times New Roman"/>
        </w:rPr>
      </w:pPr>
      <w:r w:rsidRPr="00CE3EA2">
        <w:rPr>
          <w:rStyle w:val="FootnoteReference"/>
          <w:rFonts w:ascii="Times New Roman" w:hAnsi="Times New Roman"/>
        </w:rPr>
        <w:footnoteRef/>
      </w:r>
      <w:r w:rsidRPr="00CE3EA2">
        <w:rPr>
          <w:rFonts w:ascii="Times New Roman" w:hAnsi="Times New Roman"/>
        </w:rPr>
        <w:t xml:space="preserve"> </w:t>
      </w:r>
      <w:r w:rsidRPr="00CE3EA2">
        <w:rPr>
          <w:rFonts w:ascii="Times New Roman" w:hAnsi="Times New Roman"/>
        </w:rPr>
        <w:tab/>
        <w:t>17 CFR 240.15c3-3(e</w:t>
      </w:r>
      <w:proofErr w:type="gramStart"/>
      <w:r w:rsidRPr="00CE3EA2">
        <w:rPr>
          <w:rFonts w:ascii="Times New Roman" w:hAnsi="Times New Roman"/>
        </w:rPr>
        <w:t>)(</w:t>
      </w:r>
      <w:proofErr w:type="gramEnd"/>
      <w:r w:rsidRPr="00CE3EA2">
        <w:rPr>
          <w:rFonts w:ascii="Times New Roman" w:hAnsi="Times New Roman"/>
        </w:rPr>
        <w:t>3).</w:t>
      </w:r>
    </w:p>
  </w:footnote>
  <w:footnote w:id="13">
    <w:p w:rsidR="005F35AC" w:rsidRPr="00915F68" w:rsidRDefault="005F35AC" w:rsidP="00915F68">
      <w:pPr>
        <w:pStyle w:val="FootnoteText"/>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r>
      <w:proofErr w:type="gramStart"/>
      <w:r w:rsidRPr="00915F68">
        <w:rPr>
          <w:rFonts w:ascii="Times New Roman" w:hAnsi="Times New Roman"/>
        </w:rPr>
        <w:t>17 CFR 240.15c3-3(f).</w:t>
      </w:r>
      <w:proofErr w:type="gramEnd"/>
    </w:p>
  </w:footnote>
  <w:footnote w:id="14">
    <w:p w:rsidR="005F35AC" w:rsidRPr="00915F68" w:rsidRDefault="005F35AC" w:rsidP="00915F68">
      <w:pPr>
        <w:pStyle w:val="FootnoteText"/>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The language in these letters is largely standardized.</w:t>
      </w:r>
    </w:p>
  </w:footnote>
  <w:footnote w:id="15">
    <w:p w:rsidR="005F35AC" w:rsidRPr="00915F68" w:rsidRDefault="005F35AC" w:rsidP="00915F68">
      <w:pPr>
        <w:pStyle w:val="FootnoteText"/>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r>
      <w:proofErr w:type="gramStart"/>
      <w:r w:rsidRPr="00915F68">
        <w:rPr>
          <w:rFonts w:ascii="Times New Roman" w:hAnsi="Times New Roman"/>
        </w:rPr>
        <w:t>17 CFR 15c3-3(i).</w:t>
      </w:r>
      <w:proofErr w:type="gramEnd"/>
    </w:p>
  </w:footnote>
  <w:footnote w:id="16">
    <w:p w:rsidR="005F35AC" w:rsidRPr="00915F68" w:rsidRDefault="005F35AC" w:rsidP="00915F68">
      <w:pPr>
        <w:pStyle w:val="FootnoteText"/>
        <w:ind w:left="720" w:hanging="720"/>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 xml:space="preserve">From October 1, 2006 to August 27, 2007, broker-dealers had filed 60 such notices with the Commission.  This amounts to approximately 5.45 notices per month.  (5.45 x 12 months) </w:t>
      </w:r>
      <w:proofErr w:type="gramStart"/>
      <w:r w:rsidRPr="00915F68">
        <w:rPr>
          <w:rFonts w:ascii="Times New Roman" w:hAnsi="Times New Roman"/>
        </w:rPr>
        <w:t>= 65.4, or approximately 65 notices per year.</w:t>
      </w:r>
      <w:proofErr w:type="gramEnd"/>
    </w:p>
  </w:footnote>
  <w:footnote w:id="17">
    <w:p w:rsidR="005F35AC" w:rsidRPr="00915F68" w:rsidRDefault="005F35AC" w:rsidP="00915F68">
      <w:pPr>
        <w:pStyle w:val="FootnoteText"/>
        <w:ind w:left="720" w:hanging="720"/>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Broker-dealers that do not engage in an SFP business with or for customers are not affected by this section of Rule 15c3-3.  Broker-dealers that engage in an SFP business must also register with the CFTC as a futures commission merchant (“FCM”).  As of January 31, 2007 there were 64 broker-dealers that were also registered as FCMs.</w:t>
      </w:r>
    </w:p>
  </w:footnote>
  <w:footnote w:id="18">
    <w:p w:rsidR="005F35AC" w:rsidRPr="00915F68" w:rsidRDefault="005F35AC" w:rsidP="00915F68">
      <w:pPr>
        <w:pStyle w:val="FootnoteText"/>
        <w:rPr>
          <w:rFonts w:ascii="Times New Roman" w:hAnsi="Times New Roman"/>
          <w:lang w:val="it-IT"/>
        </w:rPr>
      </w:pPr>
      <w:r w:rsidRPr="00915F68">
        <w:rPr>
          <w:rStyle w:val="FootnoteReference"/>
          <w:rFonts w:ascii="Times New Roman" w:hAnsi="Times New Roman"/>
        </w:rPr>
        <w:footnoteRef/>
      </w:r>
      <w:r w:rsidRPr="00915F68">
        <w:rPr>
          <w:rFonts w:ascii="Times New Roman" w:hAnsi="Times New Roman"/>
          <w:lang w:val="it-IT"/>
        </w:rPr>
        <w:t xml:space="preserve"> </w:t>
      </w:r>
      <w:r w:rsidRPr="00915F68">
        <w:rPr>
          <w:rFonts w:ascii="Times New Roman" w:hAnsi="Times New Roman"/>
          <w:lang w:val="it-IT"/>
        </w:rPr>
        <w:tab/>
      </w:r>
      <w:r w:rsidRPr="00915F68">
        <w:rPr>
          <w:rFonts w:ascii="Times New Roman" w:hAnsi="Times New Roman"/>
          <w:lang w:val="it-IT"/>
        </w:rPr>
        <w:t>17 CFR 240.15c3-3(o)(3)(i).</w:t>
      </w:r>
    </w:p>
  </w:footnote>
  <w:footnote w:id="19">
    <w:p w:rsidR="005F35AC" w:rsidRPr="00915F68" w:rsidRDefault="005F35AC" w:rsidP="00915F68">
      <w:pPr>
        <w:pStyle w:val="FootnoteText"/>
        <w:ind w:left="720" w:hanging="720"/>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 xml:space="preserve">Per December 31, 2006, FOCUS Schedule 1 </w:t>
      </w:r>
      <w:proofErr w:type="gramStart"/>
      <w:r w:rsidRPr="00915F68">
        <w:rPr>
          <w:rFonts w:ascii="Times New Roman" w:hAnsi="Times New Roman"/>
        </w:rPr>
        <w:t>filings</w:t>
      </w:r>
      <w:proofErr w:type="gramEnd"/>
      <w:r w:rsidRPr="00915F68">
        <w:rPr>
          <w:rFonts w:ascii="Times New Roman" w:hAnsi="Times New Roman"/>
        </w:rPr>
        <w:t>.</w:t>
      </w:r>
    </w:p>
  </w:footnote>
  <w:footnote w:id="20">
    <w:p w:rsidR="005F35AC" w:rsidRPr="00CE3EA2" w:rsidRDefault="005F35AC" w:rsidP="00915F68">
      <w:pPr>
        <w:pStyle w:val="FootnoteText"/>
        <w:ind w:left="720" w:hanging="720"/>
        <w:rPr>
          <w:rFonts w:ascii="Times New Roman" w:hAnsi="Times New Roman"/>
        </w:rPr>
      </w:pPr>
      <w:r w:rsidRPr="00A6484F">
        <w:rPr>
          <w:rStyle w:val="FootnoteReference"/>
          <w:rFonts w:ascii="Times New Roman" w:hAnsi="Times New Roman"/>
        </w:rPr>
        <w:footnoteRef/>
      </w:r>
      <w:r w:rsidRPr="008B5ADA">
        <w:rPr>
          <w:rFonts w:ascii="Times New Roman" w:hAnsi="Times New Roman"/>
          <w:sz w:val="24"/>
          <w:szCs w:val="24"/>
        </w:rPr>
        <w:t xml:space="preserve"> </w:t>
      </w:r>
      <w:r w:rsidRPr="008B5ADA">
        <w:rPr>
          <w:rFonts w:ascii="Times New Roman" w:hAnsi="Times New Roman"/>
          <w:sz w:val="24"/>
          <w:szCs w:val="24"/>
        </w:rPr>
        <w:tab/>
      </w:r>
      <w:r w:rsidRPr="00CE3EA2">
        <w:rPr>
          <w:rFonts w:ascii="Times New Roman" w:hAnsi="Times New Roman"/>
        </w:rPr>
        <w:t xml:space="preserve">The staff derived its estimate from the number of active options accounts and conversations with industry representatives. </w:t>
      </w:r>
    </w:p>
  </w:footnote>
  <w:footnote w:id="21">
    <w:p w:rsidR="005F35AC" w:rsidRPr="00CE3EA2" w:rsidRDefault="005F35AC" w:rsidP="00915F68">
      <w:pPr>
        <w:pStyle w:val="FootnoteText"/>
        <w:ind w:left="720" w:hanging="720"/>
        <w:rPr>
          <w:rFonts w:ascii="Times New Roman" w:hAnsi="Times New Roman"/>
        </w:rPr>
      </w:pPr>
      <w:r w:rsidRPr="00CE3EA2">
        <w:rPr>
          <w:rStyle w:val="FootnoteReference"/>
          <w:rFonts w:ascii="Times New Roman" w:hAnsi="Times New Roman"/>
        </w:rPr>
        <w:footnoteRef/>
      </w:r>
      <w:r w:rsidRPr="00CE3EA2">
        <w:rPr>
          <w:rFonts w:ascii="Times New Roman" w:hAnsi="Times New Roman"/>
        </w:rPr>
        <w:t xml:space="preserve"> </w:t>
      </w:r>
      <w:r w:rsidRPr="00CE3EA2">
        <w:rPr>
          <w:rFonts w:ascii="Times New Roman" w:hAnsi="Times New Roman"/>
        </w:rPr>
        <w:tab/>
        <w:t xml:space="preserve">Broker-dealers that engage in an SFP business may choose not to allow customers to change account type because it may be costly to facilitate such conversions.  In addition, once a customer has researched the issue and made a choice as to account type, it may be unlikely for the customer to change his or her account type. </w:t>
      </w:r>
    </w:p>
  </w:footnote>
  <w:footnote w:id="22">
    <w:p w:rsidR="005F35AC" w:rsidRPr="00CE3EA2" w:rsidRDefault="005F35AC" w:rsidP="00915F68">
      <w:pPr>
        <w:pStyle w:val="FootnoteText"/>
        <w:ind w:left="720" w:hanging="720"/>
        <w:rPr>
          <w:rFonts w:ascii="Times New Roman" w:hAnsi="Times New Roman"/>
        </w:rPr>
      </w:pPr>
      <w:r w:rsidRPr="00CE3EA2">
        <w:rPr>
          <w:rStyle w:val="FootnoteReference"/>
          <w:rFonts w:ascii="Times New Roman" w:hAnsi="Times New Roman"/>
        </w:rPr>
        <w:footnoteRef/>
      </w:r>
      <w:r w:rsidRPr="00CE3EA2">
        <w:rPr>
          <w:rFonts w:ascii="Times New Roman" w:hAnsi="Times New Roman"/>
        </w:rPr>
        <w:t xml:space="preserve"> </w:t>
      </w:r>
      <w:r w:rsidRPr="00CE3EA2">
        <w:rPr>
          <w:rFonts w:ascii="Times New Roman" w:hAnsi="Times New Roman"/>
        </w:rPr>
        <w:tab/>
        <w:t xml:space="preserve">In fact, the staff believes that most firms will have this process automated.  To the extent that no person need be involved in the generation of this record, the burden will be very minimal. </w:t>
      </w:r>
    </w:p>
  </w:footnote>
  <w:footnote w:id="23">
    <w:p w:rsidR="005F35AC" w:rsidRPr="00D70CB4" w:rsidRDefault="005F35AC" w:rsidP="00915F68">
      <w:pPr>
        <w:pStyle w:val="FootnoteText"/>
        <w:rPr>
          <w:rFonts w:ascii="Times New Roman" w:hAnsi="Times New Roman"/>
        </w:rPr>
      </w:pPr>
      <w:r w:rsidRPr="00D70CB4">
        <w:rPr>
          <w:rStyle w:val="FootnoteReference"/>
          <w:rFonts w:ascii="Times New Roman" w:hAnsi="Times New Roman"/>
        </w:rPr>
        <w:footnoteRef/>
      </w:r>
      <w:r w:rsidRPr="00D70CB4">
        <w:rPr>
          <w:rFonts w:ascii="Times New Roman" w:hAnsi="Times New Roman"/>
          <w:i/>
        </w:rPr>
        <w:t xml:space="preserve"> </w:t>
      </w:r>
      <w:r w:rsidRPr="00D70CB4">
        <w:rPr>
          <w:rFonts w:ascii="Times New Roman" w:hAnsi="Times New Roman"/>
          <w:i/>
        </w:rPr>
        <w:tab/>
        <w:t>See supra</w:t>
      </w:r>
      <w:r w:rsidRPr="00D70CB4">
        <w:rPr>
          <w:rFonts w:ascii="Times New Roman" w:hAnsi="Times New Roman"/>
        </w:rPr>
        <w:t xml:space="preserve"> note </w:t>
      </w:r>
      <w:r>
        <w:rPr>
          <w:rFonts w:ascii="Times New Roman" w:hAnsi="Times New Roman"/>
        </w:rPr>
        <w:t>3</w:t>
      </w:r>
      <w:r w:rsidRPr="00D70CB4">
        <w:rPr>
          <w:rFonts w:ascii="Times New Roman" w:hAnsi="Times New Roman"/>
        </w:rPr>
        <w:t xml:space="preserve">. </w:t>
      </w:r>
    </w:p>
  </w:footnote>
  <w:footnote w:id="24">
    <w:p w:rsidR="005F35AC" w:rsidRPr="00640710" w:rsidRDefault="005F35AC" w:rsidP="0071269A">
      <w:pPr>
        <w:pStyle w:val="FootnoteText"/>
        <w:ind w:left="720" w:hanging="720"/>
      </w:pPr>
      <w:r w:rsidRPr="00640710">
        <w:rPr>
          <w:rStyle w:val="FootnoteReference"/>
        </w:rPr>
        <w:footnoteRef/>
      </w:r>
      <w:r w:rsidRPr="00640710">
        <w:t xml:space="preserve"> </w:t>
      </w:r>
      <w:r w:rsidRPr="00640710">
        <w:tab/>
      </w:r>
      <w:r>
        <w:t xml:space="preserve">(2,533 </w:t>
      </w:r>
      <w:r w:rsidRPr="00640710">
        <w:t>P</w:t>
      </w:r>
      <w:r>
        <w:t>AB customers x 10 hours per customer) + (75 firms x 20 hours per firm</w:t>
      </w:r>
      <w:r w:rsidRPr="00640710">
        <w:t>)</w:t>
      </w:r>
      <w:r>
        <w:t xml:space="preserve"> = 26,830 hours.</w:t>
      </w:r>
    </w:p>
  </w:footnote>
  <w:footnote w:id="25">
    <w:p w:rsidR="005F35AC" w:rsidRDefault="005F35AC" w:rsidP="00CE3EA2">
      <w:pPr>
        <w:pStyle w:val="FootnoteText"/>
        <w:widowControl w:val="0"/>
        <w:ind w:left="720" w:hanging="720"/>
      </w:pPr>
      <w:r>
        <w:rPr>
          <w:rStyle w:val="FootnoteReference"/>
        </w:rPr>
        <w:footnoteRef/>
      </w:r>
      <w:r>
        <w:t xml:space="preserve"> </w:t>
      </w:r>
      <w:r>
        <w:tab/>
      </w:r>
      <w:r w:rsidRPr="007D6478">
        <w:rPr>
          <w:u w:val="single"/>
        </w:rPr>
        <w:t>See</w:t>
      </w:r>
      <w:r w:rsidRPr="00640710">
        <w:t xml:space="preserve"> Letter from Michael A. Macchiaroli, Associate Director, Division of Market Regulation, Commission, to Raymond J. Hennessy, Vice President, NYSE, and Thomas </w:t>
      </w:r>
      <w:proofErr w:type="spellStart"/>
      <w:r w:rsidRPr="00640710">
        <w:t>Cassella</w:t>
      </w:r>
      <w:proofErr w:type="spellEnd"/>
      <w:r w:rsidRPr="00640710">
        <w:t>, Vice President, NASD Regulation, Inc. (Nov. 10, 1998).</w:t>
      </w:r>
    </w:p>
  </w:footnote>
  <w:footnote w:id="26">
    <w:p w:rsidR="005F35AC" w:rsidRDefault="005F35AC" w:rsidP="0071269A">
      <w:pPr>
        <w:pStyle w:val="FootnoteText"/>
      </w:pPr>
      <w:r>
        <w:rPr>
          <w:rStyle w:val="FootnoteReference"/>
        </w:rPr>
        <w:footnoteRef/>
      </w:r>
      <w:r>
        <w:t xml:space="preserve"> </w:t>
      </w:r>
      <w:r>
        <w:tab/>
        <w:t>75 broker-dealers x 30 hours per firm = 2,250 hours.</w:t>
      </w:r>
    </w:p>
  </w:footnote>
  <w:footnote w:id="27">
    <w:p w:rsidR="005F35AC" w:rsidRPr="00640710" w:rsidRDefault="005F35AC" w:rsidP="00A6484F">
      <w:pPr>
        <w:pStyle w:val="FootnoteText"/>
        <w:ind w:left="720" w:hanging="720"/>
      </w:pPr>
      <w:r w:rsidRPr="00640710">
        <w:rPr>
          <w:rStyle w:val="FootnoteReference"/>
        </w:rPr>
        <w:footnoteRef/>
      </w:r>
      <w:r w:rsidRPr="00640710">
        <w:t xml:space="preserve"> </w:t>
      </w:r>
      <w:r w:rsidRPr="00640710">
        <w:tab/>
      </w:r>
      <w:r>
        <w:t>([71</w:t>
      </w:r>
      <w:r w:rsidRPr="00640710">
        <w:t xml:space="preserve"> weekly filers] x [52 weeks] x [</w:t>
      </w:r>
      <w:r>
        <w:t xml:space="preserve">2.5 </w:t>
      </w:r>
      <w:r w:rsidRPr="00640710">
        <w:t xml:space="preserve">hours </w:t>
      </w:r>
      <w:r>
        <w:t xml:space="preserve">per computation]) + ([4 </w:t>
      </w:r>
      <w:r w:rsidRPr="00640710">
        <w:t>monthly filers] x [12 months] x [</w:t>
      </w:r>
      <w:r>
        <w:t xml:space="preserve">2.5 </w:t>
      </w:r>
      <w:r w:rsidRPr="00640710">
        <w:t>hours per computation])</w:t>
      </w:r>
      <w:r>
        <w:t xml:space="preserve"> = </w:t>
      </w:r>
      <w:r w:rsidRPr="00640710">
        <w:t xml:space="preserve">9,350 total hours.  </w:t>
      </w:r>
    </w:p>
  </w:footnote>
  <w:footnote w:id="28">
    <w:p w:rsidR="005F35AC" w:rsidRDefault="005F35AC" w:rsidP="0071269A">
      <w:pPr>
        <w:pStyle w:val="FootnoteText"/>
      </w:pPr>
      <w:r>
        <w:rPr>
          <w:rStyle w:val="FootnoteReference"/>
        </w:rPr>
        <w:footnoteRef/>
      </w:r>
      <w:r>
        <w:t xml:space="preserve"> </w:t>
      </w:r>
      <w:r>
        <w:tab/>
        <w:t>50 broker-dealers x 200 hours per firm = 2,250.</w:t>
      </w:r>
    </w:p>
  </w:footnote>
  <w:footnote w:id="29">
    <w:p w:rsidR="005F35AC" w:rsidRPr="007025E4" w:rsidRDefault="005F35AC" w:rsidP="0071269A">
      <w:pPr>
        <w:pStyle w:val="FootnoteText"/>
        <w:ind w:left="720" w:hanging="720"/>
      </w:pPr>
      <w:r w:rsidRPr="007025E4">
        <w:rPr>
          <w:rStyle w:val="FootnoteReference"/>
        </w:rPr>
        <w:footnoteRef/>
      </w:r>
      <w:r w:rsidRPr="007025E4">
        <w:t xml:space="preserve"> </w:t>
      </w:r>
      <w:r w:rsidRPr="007025E4">
        <w:tab/>
        <w:t>5,465,000 accounts x 4 minutes/account = 364,333 hours.</w:t>
      </w:r>
      <w:r>
        <w:t xml:space="preserve">  For purposes of the Form 83I only, the number of responses per respondent is reported as an average of 109,300 per broker-dealer (5,465,000/50 = 109,300 average accounts per broker-dealer).</w:t>
      </w:r>
    </w:p>
  </w:footnote>
  <w:footnote w:id="30">
    <w:p w:rsidR="005F35AC" w:rsidRPr="00915F68" w:rsidRDefault="005F35AC" w:rsidP="00915F68">
      <w:pPr>
        <w:pStyle w:val="FootnoteText"/>
        <w:ind w:left="720" w:hanging="720"/>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Broker-dealers that do not engage in an SFP business with or for customers are not affected by this section of Rule 15c3-3.</w:t>
      </w:r>
    </w:p>
  </w:footnote>
  <w:footnote w:id="31">
    <w:p w:rsidR="005F35AC" w:rsidRPr="00915F68" w:rsidRDefault="005F35AC" w:rsidP="00915F68">
      <w:pPr>
        <w:pStyle w:val="FootnoteText"/>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17 CFR 240.15c3-3(o</w:t>
      </w:r>
      <w:proofErr w:type="gramStart"/>
      <w:r w:rsidRPr="00915F68">
        <w:rPr>
          <w:rFonts w:ascii="Times New Roman" w:hAnsi="Times New Roman"/>
        </w:rPr>
        <w:t>)(</w:t>
      </w:r>
      <w:proofErr w:type="gramEnd"/>
      <w:r w:rsidRPr="00915F68">
        <w:rPr>
          <w:rFonts w:ascii="Times New Roman" w:hAnsi="Times New Roman"/>
        </w:rPr>
        <w:t>2).</w:t>
      </w:r>
    </w:p>
  </w:footnote>
  <w:footnote w:id="32">
    <w:p w:rsidR="005F35AC" w:rsidRPr="00915F68" w:rsidRDefault="005F35AC" w:rsidP="00915F68">
      <w:pPr>
        <w:pStyle w:val="FootnoteText"/>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17 CFR 240.15c3-3(o</w:t>
      </w:r>
      <w:proofErr w:type="gramStart"/>
      <w:r w:rsidRPr="00915F68">
        <w:rPr>
          <w:rFonts w:ascii="Times New Roman" w:hAnsi="Times New Roman"/>
        </w:rPr>
        <w:t>)(</w:t>
      </w:r>
      <w:proofErr w:type="gramEnd"/>
      <w:r w:rsidRPr="00915F68">
        <w:rPr>
          <w:rFonts w:ascii="Times New Roman" w:hAnsi="Times New Roman"/>
        </w:rPr>
        <w:t>3)(ii).</w:t>
      </w:r>
    </w:p>
  </w:footnote>
  <w:footnote w:id="33">
    <w:p w:rsidR="005F35AC" w:rsidRPr="00915F68" w:rsidRDefault="005F35AC" w:rsidP="00915F68">
      <w:pPr>
        <w:pStyle w:val="FootnoteText"/>
        <w:ind w:left="720" w:hanging="720"/>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 xml:space="preserve">The staff derived its estimate from the number of active options accounts and conversations with industry representatives.  </w:t>
      </w:r>
    </w:p>
  </w:footnote>
  <w:footnote w:id="34">
    <w:p w:rsidR="005F35AC" w:rsidRPr="00915F68" w:rsidRDefault="005F35AC" w:rsidP="00915F68">
      <w:pPr>
        <w:pStyle w:val="FootnoteText"/>
        <w:ind w:left="720" w:hanging="720"/>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This estimate is based on past conversations with industry representatives regarding other rule changes which required similar printing and postage costs.  Postage may be minimized by including the disclosure document with other information mailed to customers.  In addition, to account for inflation, we have included an inflation factor of 18% (based on the CPI from 2001 to 2007</w:t>
      </w:r>
      <w:proofErr w:type="gramStart"/>
      <w:r w:rsidRPr="00915F68">
        <w:rPr>
          <w:rFonts w:ascii="Times New Roman" w:hAnsi="Times New Roman"/>
        </w:rPr>
        <w:t>)(</w:t>
      </w:r>
      <w:proofErr w:type="gramEnd"/>
      <w:r w:rsidRPr="00915F68">
        <w:rPr>
          <w:rFonts w:ascii="Times New Roman" w:hAnsi="Times New Roman"/>
        </w:rPr>
        <w:t>the prior conversations with industry representatives regarding postage costs took place in 2001).</w:t>
      </w:r>
    </w:p>
  </w:footnote>
  <w:footnote w:id="35">
    <w:p w:rsidR="005F35AC" w:rsidRPr="00915F68" w:rsidRDefault="005F35AC" w:rsidP="00915F68">
      <w:pPr>
        <w:pStyle w:val="FootnoteText"/>
        <w:ind w:left="720" w:hanging="720"/>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As of December 31, 2006, broker-dealers that were also registered as FCMs reported that they maintained 38,815,092 customer accounts (per FOCUS Schedule 1 Filings filed by the broker-dealers with the Commission).  The staff estimates that 8% of these customers may engage in SFP transactions (38,815,092 accounts x 8% = 3,105,207).  Further, the staff estimates that 20% per year may change account type.  Thus, broker-dealers may be required to create this record for up to 621,041 accounts (3,105,207 accounts x 20%).</w:t>
      </w:r>
    </w:p>
  </w:footnote>
  <w:footnote w:id="36">
    <w:p w:rsidR="005F35AC" w:rsidRPr="00915F68" w:rsidRDefault="005F35AC" w:rsidP="00915F68">
      <w:pPr>
        <w:pStyle w:val="FootnoteText"/>
        <w:ind w:left="720" w:hanging="720"/>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r>
      <w:r w:rsidRPr="00915F68">
        <w:rPr>
          <w:rFonts w:ascii="Times New Roman" w:hAnsi="Times New Roman"/>
          <w:i/>
        </w:rPr>
        <w:t xml:space="preserve">See supra </w:t>
      </w:r>
      <w:r w:rsidRPr="00915F68">
        <w:rPr>
          <w:rFonts w:ascii="Times New Roman" w:hAnsi="Times New Roman"/>
        </w:rPr>
        <w:t>note 38.</w:t>
      </w:r>
    </w:p>
  </w:footnote>
  <w:footnote w:id="37">
    <w:p w:rsidR="005F35AC" w:rsidRPr="00915F68" w:rsidRDefault="005F35AC" w:rsidP="00915F68">
      <w:pPr>
        <w:pStyle w:val="FootnoteText"/>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50 broker-dealers x 50 hours per firm = 2,500 hours.</w:t>
      </w:r>
    </w:p>
  </w:footnote>
  <w:footnote w:id="38">
    <w:p w:rsidR="005F35AC" w:rsidRPr="00915F68" w:rsidRDefault="005F35AC" w:rsidP="00915F68">
      <w:pPr>
        <w:pStyle w:val="FootnoteText"/>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$400 per hour x 50 hours = $20,000.</w:t>
      </w:r>
    </w:p>
  </w:footnote>
  <w:footnote w:id="39">
    <w:p w:rsidR="005F35AC" w:rsidRPr="00915F68" w:rsidRDefault="005F35AC" w:rsidP="00915F68">
      <w:pPr>
        <w:pStyle w:val="FootnoteText"/>
        <w:rPr>
          <w:rFonts w:ascii="Times New Roman" w:hAnsi="Times New Roman"/>
        </w:rPr>
      </w:pPr>
      <w:r w:rsidRPr="00915F68">
        <w:rPr>
          <w:rStyle w:val="FootnoteReference"/>
          <w:rFonts w:ascii="Times New Roman" w:hAnsi="Times New Roman"/>
        </w:rPr>
        <w:footnoteRef/>
      </w:r>
      <w:r w:rsidRPr="00915F68">
        <w:rPr>
          <w:rFonts w:ascii="Times New Roman" w:hAnsi="Times New Roman"/>
        </w:rPr>
        <w:t xml:space="preserve"> </w:t>
      </w:r>
      <w:r w:rsidRPr="00915F68">
        <w:rPr>
          <w:rFonts w:ascii="Times New Roman" w:hAnsi="Times New Roman"/>
        </w:rPr>
        <w:tab/>
        <w:t>50 broker-dealers x $20,000 = $1,000,000.</w:t>
      </w:r>
    </w:p>
  </w:footnote>
  <w:footnote w:id="40">
    <w:p w:rsidR="005F35AC" w:rsidRPr="0089598E" w:rsidRDefault="005F35AC" w:rsidP="00D6160F">
      <w:pPr>
        <w:pStyle w:val="FootnoteText"/>
        <w:rPr>
          <w:rFonts w:ascii="Times New Roman" w:hAnsi="Times New Roman"/>
        </w:rPr>
      </w:pPr>
      <w:r w:rsidRPr="0089598E">
        <w:rPr>
          <w:rStyle w:val="FootnoteReference"/>
          <w:rFonts w:ascii="Times New Roman" w:hAnsi="Times New Roman"/>
        </w:rPr>
        <w:footnoteRef/>
      </w:r>
      <w:r w:rsidRPr="0089598E">
        <w:rPr>
          <w:rFonts w:ascii="Times New Roman" w:hAnsi="Times New Roman"/>
        </w:rPr>
        <w:t xml:space="preserve"> </w:t>
      </w:r>
      <w:r w:rsidRPr="0089598E">
        <w:rPr>
          <w:rFonts w:ascii="Times New Roman" w:hAnsi="Times New Roman"/>
        </w:rPr>
        <w:tab/>
      </w:r>
      <w:r w:rsidRPr="0089598E">
        <w:rPr>
          <w:rFonts w:ascii="Times New Roman" w:hAnsi="Times New Roman"/>
          <w:i/>
        </w:rPr>
        <w:t>See supra</w:t>
      </w:r>
      <w:r w:rsidRPr="0089598E">
        <w:rPr>
          <w:rFonts w:ascii="Times New Roman" w:hAnsi="Times New Roman"/>
        </w:rPr>
        <w:t xml:space="preserve"> note </w:t>
      </w:r>
      <w:r>
        <w:rPr>
          <w:rFonts w:ascii="Times New Roman" w:hAnsi="Times New Roman"/>
        </w:rPr>
        <w:t>3</w:t>
      </w:r>
      <w:r w:rsidRPr="0089598E">
        <w:rPr>
          <w:rFonts w:ascii="Times New Roman" w:hAnsi="Times New Roman"/>
        </w:rPr>
        <w:t xml:space="preserve">. </w:t>
      </w:r>
    </w:p>
    <w:p w:rsidR="005F35AC" w:rsidRPr="0089598E" w:rsidRDefault="005F35AC" w:rsidP="00D6160F">
      <w:pPr>
        <w:pStyle w:val="FootnoteText"/>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E470A"/>
    <w:multiLevelType w:val="hybridMultilevel"/>
    <w:tmpl w:val="386ABC32"/>
    <w:lvl w:ilvl="0" w:tplc="FF04EDB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FEA0C44"/>
    <w:multiLevelType w:val="hybridMultilevel"/>
    <w:tmpl w:val="E6943E94"/>
    <w:lvl w:ilvl="0" w:tplc="DC9A8668">
      <w:start w:val="1"/>
      <w:numFmt w:val="lowerRoman"/>
      <w:lvlText w:val="%1."/>
      <w:lvlJc w:val="left"/>
      <w:pPr>
        <w:tabs>
          <w:tab w:val="num" w:pos="1440"/>
        </w:tabs>
        <w:ind w:left="1440" w:hanging="720"/>
      </w:pPr>
      <w:rPr>
        <w:rFonts w:ascii="Arial Unicode MS" w:hAnsi="Arial Unicode MS" w:cs="Arial Unicode M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4F418A1"/>
    <w:multiLevelType w:val="hybridMultilevel"/>
    <w:tmpl w:val="64A6BF10"/>
    <w:lvl w:ilvl="0" w:tplc="D9901FEA">
      <w:start w:val="12"/>
      <w:numFmt w:val="decimal"/>
      <w:lvlText w:val="%1."/>
      <w:lvlJc w:val="left"/>
      <w:pPr>
        <w:tabs>
          <w:tab w:val="num" w:pos="1440"/>
        </w:tabs>
        <w:ind w:left="1440" w:hanging="720"/>
      </w:pPr>
      <w:rPr>
        <w:rFonts w:hint="default"/>
        <w:u w:val="none"/>
      </w:rPr>
    </w:lvl>
    <w:lvl w:ilvl="1" w:tplc="724C50F6">
      <w:start w:val="1"/>
      <w:numFmt w:val="upperLetter"/>
      <w:pStyle w:val="Heading2"/>
      <w:lvlText w:val="%2."/>
      <w:lvlJc w:val="left"/>
      <w:pPr>
        <w:tabs>
          <w:tab w:val="num" w:pos="1620"/>
        </w:tabs>
        <w:ind w:left="1620" w:hanging="72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4B27"/>
    <w:rsid w:val="000122EB"/>
    <w:rsid w:val="00046A72"/>
    <w:rsid w:val="000536C0"/>
    <w:rsid w:val="00067B7E"/>
    <w:rsid w:val="00072FCA"/>
    <w:rsid w:val="000F496A"/>
    <w:rsid w:val="00100B20"/>
    <w:rsid w:val="0012773C"/>
    <w:rsid w:val="001332EE"/>
    <w:rsid w:val="001336B6"/>
    <w:rsid w:val="0014718F"/>
    <w:rsid w:val="001D74B2"/>
    <w:rsid w:val="001F3555"/>
    <w:rsid w:val="00211841"/>
    <w:rsid w:val="00253271"/>
    <w:rsid w:val="0027141D"/>
    <w:rsid w:val="002D533D"/>
    <w:rsid w:val="00305AE2"/>
    <w:rsid w:val="00341F08"/>
    <w:rsid w:val="00346425"/>
    <w:rsid w:val="003514F0"/>
    <w:rsid w:val="0035269F"/>
    <w:rsid w:val="00357B07"/>
    <w:rsid w:val="003849E9"/>
    <w:rsid w:val="003A51B5"/>
    <w:rsid w:val="003B2B23"/>
    <w:rsid w:val="003D3B23"/>
    <w:rsid w:val="003E7F34"/>
    <w:rsid w:val="004164EB"/>
    <w:rsid w:val="00466817"/>
    <w:rsid w:val="004A48E4"/>
    <w:rsid w:val="004B05EE"/>
    <w:rsid w:val="004B2B94"/>
    <w:rsid w:val="004C2154"/>
    <w:rsid w:val="004D23F9"/>
    <w:rsid w:val="00506306"/>
    <w:rsid w:val="005106AB"/>
    <w:rsid w:val="0058406A"/>
    <w:rsid w:val="00592773"/>
    <w:rsid w:val="005C0ABA"/>
    <w:rsid w:val="005E0056"/>
    <w:rsid w:val="005F35AC"/>
    <w:rsid w:val="00691603"/>
    <w:rsid w:val="006D568B"/>
    <w:rsid w:val="0071269A"/>
    <w:rsid w:val="00745A5D"/>
    <w:rsid w:val="00767B1A"/>
    <w:rsid w:val="00790065"/>
    <w:rsid w:val="007E6AF8"/>
    <w:rsid w:val="008872CA"/>
    <w:rsid w:val="0089598E"/>
    <w:rsid w:val="008B5ADA"/>
    <w:rsid w:val="008C4F45"/>
    <w:rsid w:val="008F2F84"/>
    <w:rsid w:val="00915F68"/>
    <w:rsid w:val="009204B3"/>
    <w:rsid w:val="0093183B"/>
    <w:rsid w:val="00987254"/>
    <w:rsid w:val="009C552C"/>
    <w:rsid w:val="009E438F"/>
    <w:rsid w:val="00A20D2B"/>
    <w:rsid w:val="00A6484F"/>
    <w:rsid w:val="00AC418E"/>
    <w:rsid w:val="00B30C75"/>
    <w:rsid w:val="00BA0B8A"/>
    <w:rsid w:val="00BB2C16"/>
    <w:rsid w:val="00BD467F"/>
    <w:rsid w:val="00BD5E3B"/>
    <w:rsid w:val="00BD6824"/>
    <w:rsid w:val="00BE33AE"/>
    <w:rsid w:val="00C53C73"/>
    <w:rsid w:val="00C65747"/>
    <w:rsid w:val="00CB45E5"/>
    <w:rsid w:val="00CC6B4E"/>
    <w:rsid w:val="00CD1F6C"/>
    <w:rsid w:val="00CD2A83"/>
    <w:rsid w:val="00CE3EA2"/>
    <w:rsid w:val="00CE4705"/>
    <w:rsid w:val="00CF2314"/>
    <w:rsid w:val="00D02990"/>
    <w:rsid w:val="00D451FA"/>
    <w:rsid w:val="00D6160F"/>
    <w:rsid w:val="00D66CFA"/>
    <w:rsid w:val="00DD4629"/>
    <w:rsid w:val="00E06C40"/>
    <w:rsid w:val="00E40135"/>
    <w:rsid w:val="00E746E7"/>
    <w:rsid w:val="00EB4859"/>
    <w:rsid w:val="00EC4575"/>
    <w:rsid w:val="00F31E73"/>
    <w:rsid w:val="00F44B27"/>
    <w:rsid w:val="00F70333"/>
    <w:rsid w:val="00FC2D78"/>
    <w:rsid w:val="00FD740C"/>
    <w:rsid w:val="00FE27D7"/>
    <w:rsid w:val="00FE4DE8"/>
    <w:rsid w:val="00FF30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6C0"/>
    <w:rPr>
      <w:rFonts w:ascii="CG Times" w:hAnsi="CG Times"/>
      <w:sz w:val="24"/>
    </w:rPr>
  </w:style>
  <w:style w:type="paragraph" w:styleId="Heading1">
    <w:name w:val="heading 1"/>
    <w:basedOn w:val="Normal"/>
    <w:next w:val="Normal"/>
    <w:qFormat/>
    <w:rsid w:val="00D6160F"/>
    <w:pPr>
      <w:keepNext/>
      <w:tabs>
        <w:tab w:val="left" w:pos="-720"/>
        <w:tab w:val="left" w:pos="0"/>
        <w:tab w:val="left" w:pos="720"/>
        <w:tab w:val="num" w:pos="1440"/>
        <w:tab w:val="num" w:pos="1620"/>
        <w:tab w:val="left" w:pos="2880"/>
        <w:tab w:val="left" w:pos="3600"/>
        <w:tab w:val="left" w:pos="4320"/>
        <w:tab w:val="left" w:pos="5040"/>
        <w:tab w:val="left" w:pos="5760"/>
        <w:tab w:val="left" w:pos="6480"/>
        <w:tab w:val="left" w:pos="7200"/>
        <w:tab w:val="left" w:pos="7920"/>
        <w:tab w:val="left" w:pos="8640"/>
      </w:tabs>
      <w:ind w:left="1440" w:hanging="720"/>
      <w:outlineLvl w:val="0"/>
    </w:pPr>
    <w:rPr>
      <w:rFonts w:ascii="Times New Roman" w:hAnsi="Times New Roman"/>
      <w:b/>
      <w:bCs/>
      <w:u w:val="single"/>
    </w:rPr>
  </w:style>
  <w:style w:type="paragraph" w:styleId="Heading2">
    <w:name w:val="heading 2"/>
    <w:basedOn w:val="Normal"/>
    <w:next w:val="Normal"/>
    <w:qFormat/>
    <w:rsid w:val="00D6160F"/>
    <w:pPr>
      <w:keepNext/>
      <w:numPr>
        <w:ilvl w:val="1"/>
        <w:numId w:val="1"/>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hanging="1440"/>
      <w:outlineLvl w:val="1"/>
    </w:pPr>
    <w:rPr>
      <w:rFonts w:ascii="Times New Roman" w:hAnsi="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36C0"/>
    <w:pPr>
      <w:tabs>
        <w:tab w:val="center" w:pos="4320"/>
        <w:tab w:val="right" w:pos="8640"/>
      </w:tabs>
    </w:pPr>
  </w:style>
  <w:style w:type="paragraph" w:styleId="Footer">
    <w:name w:val="footer"/>
    <w:basedOn w:val="Normal"/>
    <w:rsid w:val="000536C0"/>
    <w:pPr>
      <w:tabs>
        <w:tab w:val="center" w:pos="4320"/>
        <w:tab w:val="right" w:pos="8640"/>
      </w:tabs>
    </w:pPr>
  </w:style>
  <w:style w:type="character" w:styleId="PageNumber">
    <w:name w:val="page number"/>
    <w:basedOn w:val="DefaultParagraphFont"/>
    <w:rsid w:val="000536C0"/>
  </w:style>
  <w:style w:type="paragraph" w:styleId="FootnoteText">
    <w:name w:val="footnote text"/>
    <w:aliases w:val="fn"/>
    <w:basedOn w:val="Normal"/>
    <w:link w:val="FootnoteTextChar"/>
    <w:semiHidden/>
    <w:rsid w:val="000536C0"/>
    <w:rPr>
      <w:sz w:val="20"/>
    </w:rPr>
  </w:style>
  <w:style w:type="character" w:styleId="FootnoteReference">
    <w:name w:val="footnote reference"/>
    <w:basedOn w:val="DefaultParagraphFont"/>
    <w:semiHidden/>
    <w:rsid w:val="000536C0"/>
    <w:rPr>
      <w:vertAlign w:val="superscript"/>
    </w:rPr>
  </w:style>
  <w:style w:type="paragraph" w:styleId="BodyText">
    <w:name w:val="Body Text"/>
    <w:basedOn w:val="Normal"/>
    <w:rsid w:val="001332EE"/>
    <w:pPr>
      <w:overflowPunct w:val="0"/>
      <w:autoSpaceDE w:val="0"/>
      <w:autoSpaceDN w:val="0"/>
      <w:adjustRightInd w:val="0"/>
      <w:textAlignment w:val="baseline"/>
    </w:pPr>
  </w:style>
  <w:style w:type="character" w:customStyle="1" w:styleId="FootnoteTextChar">
    <w:name w:val="Footnote Text Char"/>
    <w:aliases w:val="fn Char"/>
    <w:basedOn w:val="DefaultParagraphFont"/>
    <w:link w:val="FootnoteText"/>
    <w:locked/>
    <w:rsid w:val="00745A5D"/>
    <w:rPr>
      <w:rFonts w:ascii="CG Times" w:hAnsi="CG Times"/>
      <w:lang w:val="en-US" w:eastAsia="en-US" w:bidi="ar-SA"/>
    </w:rPr>
  </w:style>
  <w:style w:type="paragraph" w:styleId="BodyTextIndent">
    <w:name w:val="Body Text Indent"/>
    <w:basedOn w:val="Normal"/>
    <w:rsid w:val="001D74B2"/>
    <w:pPr>
      <w:spacing w:after="240"/>
      <w:ind w:firstLine="720"/>
    </w:pPr>
    <w:rPr>
      <w:rFonts w:ascii="Times New Roman" w:hAnsi="Times New Roman"/>
      <w:szCs w:val="24"/>
    </w:rPr>
  </w:style>
  <w:style w:type="paragraph" w:styleId="NormalWeb">
    <w:name w:val="Normal (Web)"/>
    <w:basedOn w:val="Normal"/>
    <w:rsid w:val="00D6160F"/>
    <w:pPr>
      <w:spacing w:before="100" w:beforeAutospacing="1" w:after="100" w:afterAutospacing="1"/>
    </w:pPr>
    <w:rPr>
      <w:rFonts w:ascii="Arial Unicode MS" w:eastAsia="Arial Unicode MS" w:hAnsi="Arial Unicode MS" w:cs="Arial Unicode MS"/>
      <w:szCs w:val="24"/>
    </w:rPr>
  </w:style>
</w:styles>
</file>

<file path=word/webSettings.xml><?xml version="1.0" encoding="utf-8"?>
<w:webSettings xmlns:r="http://schemas.openxmlformats.org/officeDocument/2006/relationships" xmlns:w="http://schemas.openxmlformats.org/wordprocessingml/2006/main">
  <w:divs>
    <w:div w:id="34270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E0209887FCC4489928908F1EA849F" ma:contentTypeVersion="2" ma:contentTypeDescription="Create a new document." ma:contentTypeScope="" ma:versionID="9c1074a6858fd67cb9dad43ae063c7cf">
  <xsd:schema xmlns:xsd="http://www.w3.org/2001/XMLSchema" xmlns:p="http://schemas.microsoft.com/office/2006/metadata/properties" xmlns:ns2="edfa8e0c-71d1-4135-9074-aaf557eea0df" targetNamespace="http://schemas.microsoft.com/office/2006/metadata/properties" ma:root="true" ma:fieldsID="8f27bfd4ac3bf40953fd72db045aa167" ns2:_="">
    <xsd:import namespace="edfa8e0c-71d1-4135-9074-aaf557eea0df"/>
    <xsd:element name="properties">
      <xsd:complexType>
        <xsd:sequence>
          <xsd:element name="documentManagement">
            <xsd:complexType>
              <xsd:all>
                <xsd:element ref="ns2:Previously_x0020_Modified" minOccurs="0"/>
                <xsd:element ref="ns2:Previously_x0020_Modified_x0020_By" minOccurs="0"/>
              </xsd:all>
            </xsd:complexType>
          </xsd:element>
        </xsd:sequence>
      </xsd:complexType>
    </xsd:element>
  </xsd:schema>
  <xsd:schema xmlns:xsd="http://www.w3.org/2001/XMLSchema" xmlns:dms="http://schemas.microsoft.com/office/2006/documentManagement/types" targetNamespace="edfa8e0c-71d1-4135-9074-aaf557eea0df" elementFormDefault="qualified">
    <xsd:import namespace="http://schemas.microsoft.com/office/2006/documentManagement/types"/>
    <xsd:element name="Previously_x0020_Modified" ma:index="8" nillable="true" ma:displayName="Previously Modified" ma:format="DateTime" ma:internalName="Previously_x0020_Modified">
      <xsd:simpleType>
        <xsd:restriction base="dms:DateTime"/>
      </xsd:simpleType>
    </xsd:element>
    <xsd:element name="Previously_x0020_Modified_x0020_By" ma:index="9" nillable="true" ma:displayName="Previously Modified By" ma:list="UserInfo" ma:internalName="Previously_x0020_Modifi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reviously_x0020_Modified_x0020_By xmlns="edfa8e0c-71d1-4135-9074-aaf557eea0df">
      <UserInfo xmlns="edfa8e0c-71d1-4135-9074-aaf557eea0df">
        <DisplayName xmlns="edfa8e0c-71d1-4135-9074-aaf557eea0df"/>
        <AccountId xmlns="edfa8e0c-71d1-4135-9074-aaf557eea0df">1923</AccountId>
        <AccountType xmlns="edfa8e0c-71d1-4135-9074-aaf557eea0df"/>
      </UserInfo>
    </Previously_x0020_Modified_x0020_By>
    <Previously_x0020_Modified xmlns="edfa8e0c-71d1-4135-9074-aaf557eea0df">2010-06-18T19:28:12+00:00</Previously_x0020_Modified>
  </documentManagement>
</p:properties>
</file>

<file path=customXml/itemProps1.xml><?xml version="1.0" encoding="utf-8"?>
<ds:datastoreItem xmlns:ds="http://schemas.openxmlformats.org/officeDocument/2006/customXml" ds:itemID="{4372EAF4-CDF6-42F7-A737-91CD5B039B8B}">
  <ds:schemaRefs>
    <ds:schemaRef ds:uri="http://schemas.microsoft.com/sharepoint/v3/contenttype/forms"/>
  </ds:schemaRefs>
</ds:datastoreItem>
</file>

<file path=customXml/itemProps2.xml><?xml version="1.0" encoding="utf-8"?>
<ds:datastoreItem xmlns:ds="http://schemas.openxmlformats.org/officeDocument/2006/customXml" ds:itemID="{391B43ED-8615-444B-88E8-869B8D959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a8e0c-71d1-4135-9074-aaf557eea0d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8820FDA-40C6-475B-8B5F-CF070F5258AF}">
  <ds:schemaRefs>
    <ds:schemaRef ds:uri="http://schemas.microsoft.com/office/2006/metadata/longProperties"/>
  </ds:schemaRefs>
</ds:datastoreItem>
</file>

<file path=customXml/itemProps4.xml><?xml version="1.0" encoding="utf-8"?>
<ds:datastoreItem xmlns:ds="http://schemas.openxmlformats.org/officeDocument/2006/customXml" ds:itemID="{5D1B3090-DD05-4512-83F7-F0AAC1551766}">
  <ds:schemaRefs>
    <ds:schemaRef ds:uri="http://schemas.microsoft.com/office/2006/metadata/properties"/>
    <ds:schemaRef ds:uri="edfa8e0c-71d1-4135-9074-aaf557eea0df"/>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3945</Words>
  <Characters>22245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Extension of Rule 15c3-3</vt:lpstr>
    </vt:vector>
  </TitlesOfParts>
  <Company>Securities and Exhange Commission</Company>
  <LinksUpToDate>false</LinksUpToDate>
  <CharactersWithSpaces>26138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Extension of Rule 15c3-3</dc:title>
  <dc:subject/>
  <dc:creator>us</dc:creator>
  <cp:keywords/>
  <dc:description/>
  <cp:lastModifiedBy>swartzs</cp:lastModifiedBy>
  <cp:revision>5</cp:revision>
  <cp:lastPrinted>2010-09-15T13:58:00Z</cp:lastPrinted>
  <dcterms:created xsi:type="dcterms:W3CDTF">2010-09-15T13:25:00Z</dcterms:created>
  <dcterms:modified xsi:type="dcterms:W3CDTF">2010-09-15T14:25:00Z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Previously_x0020_Modified_x0020_By">
    <vt:lpwstr>Chambers, Donna</vt:lpwstr>
  </property>
  <property fmtid="{D5CDD505-2E9C-101B-9397-08002B2CF9AE}" pid="3" name="Order">
    <vt:lpwstr>129400.000000000</vt:lpwstr>
  </property>
</Properties>
</file>