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00D" w:rsidRDefault="0067200D">
      <w:pPr>
        <w:tabs>
          <w:tab w:val="left" w:pos="270"/>
        </w:tabs>
        <w:jc w:val="center"/>
        <w:rPr>
          <w:sz w:val="24"/>
          <w:szCs w:val="24"/>
        </w:rPr>
      </w:pPr>
    </w:p>
    <w:p w:rsidR="00827FAA" w:rsidRDefault="00827FAA">
      <w:pPr>
        <w:tabs>
          <w:tab w:val="left" w:pos="270"/>
        </w:tabs>
        <w:jc w:val="center"/>
        <w:rPr>
          <w:sz w:val="24"/>
          <w:szCs w:val="24"/>
        </w:rPr>
      </w:pPr>
      <w:r>
        <w:rPr>
          <w:sz w:val="24"/>
          <w:szCs w:val="24"/>
        </w:rPr>
        <w:t>SUPPORTING STATEMENT FOR VA FORM 26-1817,</w:t>
      </w:r>
    </w:p>
    <w:p w:rsidR="00827FAA" w:rsidRDefault="00827FAA">
      <w:pPr>
        <w:tabs>
          <w:tab w:val="left" w:pos="270"/>
        </w:tabs>
        <w:jc w:val="center"/>
        <w:rPr>
          <w:sz w:val="24"/>
          <w:szCs w:val="24"/>
        </w:rPr>
      </w:pPr>
      <w:r>
        <w:rPr>
          <w:sz w:val="24"/>
          <w:szCs w:val="24"/>
        </w:rPr>
        <w:t>REQUEST FOR DETERMINATION OF LOAN GUARANTY ELIGIBILITY</w:t>
      </w:r>
    </w:p>
    <w:p w:rsidR="00827FAA" w:rsidRDefault="00827FAA">
      <w:pPr>
        <w:tabs>
          <w:tab w:val="left" w:pos="270"/>
        </w:tabs>
        <w:jc w:val="center"/>
        <w:rPr>
          <w:sz w:val="24"/>
          <w:szCs w:val="24"/>
        </w:rPr>
      </w:pPr>
      <w:r>
        <w:rPr>
          <w:sz w:val="24"/>
          <w:szCs w:val="24"/>
        </w:rPr>
        <w:t>UNMARRIED SURVIVING SPOUSES</w:t>
      </w:r>
    </w:p>
    <w:p w:rsidR="00827FAA" w:rsidRDefault="00827FAA">
      <w:pPr>
        <w:tabs>
          <w:tab w:val="left" w:pos="270"/>
        </w:tabs>
        <w:jc w:val="center"/>
        <w:rPr>
          <w:sz w:val="24"/>
          <w:szCs w:val="24"/>
        </w:rPr>
      </w:pPr>
      <w:r>
        <w:rPr>
          <w:sz w:val="24"/>
          <w:szCs w:val="24"/>
        </w:rPr>
        <w:t>(2900-0055)</w:t>
      </w:r>
    </w:p>
    <w:p w:rsidR="00827FAA" w:rsidRDefault="00827FAA">
      <w:pPr>
        <w:tabs>
          <w:tab w:val="left" w:pos="270"/>
        </w:tabs>
        <w:jc w:val="center"/>
        <w:rPr>
          <w:sz w:val="24"/>
          <w:szCs w:val="24"/>
        </w:rPr>
      </w:pPr>
    </w:p>
    <w:p w:rsidR="00827FAA" w:rsidRDefault="00827FAA">
      <w:pPr>
        <w:tabs>
          <w:tab w:val="left" w:pos="270"/>
        </w:tabs>
        <w:rPr>
          <w:sz w:val="24"/>
          <w:szCs w:val="24"/>
        </w:rPr>
      </w:pPr>
      <w:r>
        <w:rPr>
          <w:sz w:val="24"/>
          <w:szCs w:val="24"/>
        </w:rPr>
        <w:t xml:space="preserve">A.  </w:t>
      </w:r>
      <w:r w:rsidR="0067200D">
        <w:rPr>
          <w:sz w:val="24"/>
          <w:szCs w:val="24"/>
          <w:u w:val="single"/>
        </w:rPr>
        <w:t>JUSTIFICATION</w:t>
      </w:r>
    </w:p>
    <w:p w:rsidR="00827FAA" w:rsidRDefault="00827FAA">
      <w:pPr>
        <w:tabs>
          <w:tab w:val="left" w:pos="270"/>
        </w:tabs>
        <w:rPr>
          <w:sz w:val="24"/>
          <w:szCs w:val="24"/>
        </w:rPr>
      </w:pPr>
    </w:p>
    <w:p w:rsidR="00827FAA" w:rsidRDefault="00827FAA">
      <w:pPr>
        <w:tabs>
          <w:tab w:val="left" w:pos="270"/>
        </w:tabs>
        <w:rPr>
          <w:sz w:val="24"/>
          <w:szCs w:val="24"/>
        </w:rPr>
      </w:pPr>
      <w:r>
        <w:rPr>
          <w:sz w:val="24"/>
          <w:szCs w:val="24"/>
        </w:rPr>
        <w:tab/>
        <w:t>1.  Title 38, U.S.C. 3701(b)(2), authorizes VA to extend home loan benefits to unmarried surviving spouses of veterans whose deaths (1) occurred either while serving on active duty or (2) were a direct result of service-connected disabilities.</w:t>
      </w:r>
    </w:p>
    <w:p w:rsidR="00827FAA" w:rsidRDefault="00827FAA">
      <w:pPr>
        <w:tabs>
          <w:tab w:val="left" w:pos="270"/>
        </w:tabs>
        <w:rPr>
          <w:sz w:val="24"/>
          <w:szCs w:val="24"/>
        </w:rPr>
      </w:pPr>
    </w:p>
    <w:p w:rsidR="00827FAA" w:rsidRDefault="00827FAA">
      <w:pPr>
        <w:tabs>
          <w:tab w:val="left" w:pos="270"/>
        </w:tabs>
        <w:rPr>
          <w:sz w:val="24"/>
          <w:szCs w:val="24"/>
        </w:rPr>
      </w:pPr>
      <w:r>
        <w:rPr>
          <w:sz w:val="24"/>
          <w:szCs w:val="24"/>
        </w:rPr>
        <w:tab/>
        <w:t xml:space="preserve">2.  Section 3702(c) of </w:t>
      </w:r>
      <w:r w:rsidR="0067200D">
        <w:rPr>
          <w:sz w:val="24"/>
          <w:szCs w:val="24"/>
        </w:rPr>
        <w:t>T</w:t>
      </w:r>
      <w:r>
        <w:rPr>
          <w:sz w:val="24"/>
          <w:szCs w:val="24"/>
        </w:rPr>
        <w:t>itle 38, U.S.C. states that any veteran may apply to the Secretary for a certificate of eligibility.  A completed VA Form 26-1817 constitutes a formal request by an unmarried surviving spouse for a certificate of eligibility.  Upon receipt of VA Form 26-1817 and the required documentation by Loan Guaranty personnel, the application and supporting documents are referred to the Adjudication activity via the Administrative activity for determination of the applicant's basic eligibility.  Adjudication will then notify Loan Guaranty about the basic eligibility for issuance of the certificate of eligibility.  The information collected on the form provides the essential information necessary for VA to make a proper determination.</w:t>
      </w:r>
    </w:p>
    <w:p w:rsidR="00827FAA" w:rsidRDefault="00827FAA">
      <w:pPr>
        <w:tabs>
          <w:tab w:val="left" w:pos="270"/>
        </w:tabs>
        <w:rPr>
          <w:sz w:val="24"/>
          <w:szCs w:val="24"/>
        </w:rPr>
      </w:pPr>
    </w:p>
    <w:p w:rsidR="00827FAA" w:rsidRDefault="00827FAA">
      <w:pPr>
        <w:tabs>
          <w:tab w:val="left" w:pos="270"/>
        </w:tabs>
        <w:rPr>
          <w:sz w:val="24"/>
          <w:szCs w:val="24"/>
        </w:rPr>
      </w:pPr>
      <w:r>
        <w:rPr>
          <w:sz w:val="24"/>
          <w:szCs w:val="24"/>
        </w:rPr>
        <w:tab/>
        <w:t>3.  VA Form 26-1817 requires very specific information that is collected from individuals.  Use of improved information technology in gathering this information would be of limited benefit.  The form requires the applicant to provide identifying information about the deceased veteran which may not always be contained at the time in VA data systems.  Additionally, once the form is submitted to Loan Guaranty</w:t>
      </w:r>
      <w:r w:rsidR="0067200D">
        <w:rPr>
          <w:sz w:val="24"/>
          <w:szCs w:val="24"/>
        </w:rPr>
        <w:t>,</w:t>
      </w:r>
      <w:r>
        <w:rPr>
          <w:sz w:val="24"/>
          <w:szCs w:val="24"/>
        </w:rPr>
        <w:t xml:space="preserve"> it is usually referred to the Veteran’s </w:t>
      </w:r>
      <w:smartTag w:uri="urn:schemas-microsoft-com:office:smarttags" w:element="place">
        <w:smartTag w:uri="urn:schemas-microsoft-com:office:smarttags" w:element="PlaceName">
          <w:r>
            <w:rPr>
              <w:sz w:val="24"/>
              <w:szCs w:val="24"/>
            </w:rPr>
            <w:t>Service</w:t>
          </w:r>
        </w:smartTag>
        <w:r>
          <w:rPr>
            <w:sz w:val="24"/>
            <w:szCs w:val="24"/>
          </w:rPr>
          <w:t xml:space="preserve"> </w:t>
        </w:r>
        <w:smartTag w:uri="urn:schemas-microsoft-com:office:smarttags" w:element="City">
          <w:r>
            <w:rPr>
              <w:sz w:val="24"/>
              <w:szCs w:val="24"/>
            </w:rPr>
            <w:t>Center</w:t>
          </w:r>
        </w:smartTag>
      </w:smartTag>
      <w:r>
        <w:rPr>
          <w:sz w:val="24"/>
          <w:szCs w:val="24"/>
        </w:rPr>
        <w:t xml:space="preserve">.  In many cases that division must request military service records and manually review them in order to determine if the applicant meets the </w:t>
      </w:r>
      <w:r w:rsidR="0099583B">
        <w:rPr>
          <w:sz w:val="24"/>
          <w:szCs w:val="24"/>
        </w:rPr>
        <w:t>definition</w:t>
      </w:r>
      <w:r>
        <w:rPr>
          <w:sz w:val="24"/>
          <w:szCs w:val="24"/>
        </w:rPr>
        <w:t xml:space="preserve"> of an unmarried surviving spouse.</w:t>
      </w:r>
    </w:p>
    <w:p w:rsidR="00827FAA" w:rsidRDefault="00827FAA">
      <w:pPr>
        <w:tabs>
          <w:tab w:val="left" w:pos="270"/>
        </w:tabs>
        <w:rPr>
          <w:sz w:val="24"/>
          <w:szCs w:val="24"/>
        </w:rPr>
      </w:pPr>
    </w:p>
    <w:p w:rsidR="00827FAA" w:rsidRDefault="00827FAA">
      <w:pPr>
        <w:tabs>
          <w:tab w:val="left" w:pos="270"/>
        </w:tabs>
        <w:rPr>
          <w:sz w:val="24"/>
          <w:szCs w:val="24"/>
        </w:rPr>
      </w:pPr>
      <w:r>
        <w:rPr>
          <w:sz w:val="24"/>
          <w:szCs w:val="24"/>
        </w:rPr>
        <w:tab/>
        <w:t>4.  The information is not contained in any other VA records.  The information contained in the form relates to an individual's eligibility status.</w:t>
      </w:r>
    </w:p>
    <w:p w:rsidR="00827FAA" w:rsidRDefault="00827FAA">
      <w:pPr>
        <w:tabs>
          <w:tab w:val="left" w:pos="270"/>
        </w:tabs>
        <w:rPr>
          <w:sz w:val="24"/>
          <w:szCs w:val="24"/>
        </w:rPr>
      </w:pPr>
    </w:p>
    <w:p w:rsidR="00827FAA" w:rsidRDefault="00827FAA">
      <w:pPr>
        <w:tabs>
          <w:tab w:val="left" w:pos="270"/>
        </w:tabs>
        <w:rPr>
          <w:sz w:val="24"/>
          <w:szCs w:val="24"/>
        </w:rPr>
      </w:pPr>
      <w:r>
        <w:rPr>
          <w:sz w:val="24"/>
          <w:szCs w:val="24"/>
        </w:rPr>
        <w:tab/>
        <w:t>5.  The collection of information does not involve small businesses.</w:t>
      </w:r>
    </w:p>
    <w:p w:rsidR="00827FAA" w:rsidRDefault="00827FAA">
      <w:pPr>
        <w:tabs>
          <w:tab w:val="left" w:pos="270"/>
        </w:tabs>
        <w:rPr>
          <w:sz w:val="24"/>
          <w:szCs w:val="24"/>
        </w:rPr>
      </w:pPr>
    </w:p>
    <w:p w:rsidR="00827FAA" w:rsidRDefault="00827FAA">
      <w:pPr>
        <w:tabs>
          <w:tab w:val="left" w:pos="270"/>
        </w:tabs>
        <w:rPr>
          <w:sz w:val="24"/>
          <w:szCs w:val="24"/>
        </w:rPr>
      </w:pPr>
      <w:r>
        <w:rPr>
          <w:sz w:val="24"/>
          <w:szCs w:val="24"/>
        </w:rPr>
        <w:tab/>
        <w:t>6.  The information collected is completed by applicants frequently with the assistance of a casualty assistance officer when an original claim for benefits is requested by an unmarried surviving spouse.  This completed form is used to establish eligibility for loan guaranty benefits.  The collection is generally conducted once per individual applicant.</w:t>
      </w:r>
    </w:p>
    <w:p w:rsidR="00827FAA" w:rsidRDefault="00827FAA">
      <w:pPr>
        <w:tabs>
          <w:tab w:val="left" w:pos="270"/>
        </w:tabs>
        <w:rPr>
          <w:sz w:val="24"/>
          <w:szCs w:val="24"/>
        </w:rPr>
      </w:pPr>
    </w:p>
    <w:p w:rsidR="00827FAA" w:rsidRDefault="00827FAA">
      <w:pPr>
        <w:tabs>
          <w:tab w:val="left" w:pos="270"/>
        </w:tabs>
        <w:rPr>
          <w:sz w:val="24"/>
          <w:szCs w:val="24"/>
        </w:rPr>
      </w:pPr>
      <w:r>
        <w:rPr>
          <w:sz w:val="24"/>
          <w:szCs w:val="24"/>
        </w:rPr>
        <w:tab/>
        <w:t>7.  There are no special circumstances that require the collection to be conducted in a manner inconsistent with the guidelines in 5 CFR 1320.6.</w:t>
      </w:r>
    </w:p>
    <w:p w:rsidR="00827FAA" w:rsidRDefault="00827FAA">
      <w:pPr>
        <w:tabs>
          <w:tab w:val="left" w:pos="270"/>
        </w:tabs>
        <w:rPr>
          <w:sz w:val="24"/>
          <w:szCs w:val="24"/>
        </w:rPr>
      </w:pPr>
    </w:p>
    <w:p w:rsidR="00827FAA" w:rsidRDefault="00827FAA">
      <w:pPr>
        <w:tabs>
          <w:tab w:val="left" w:pos="270"/>
        </w:tabs>
        <w:rPr>
          <w:sz w:val="24"/>
          <w:szCs w:val="24"/>
        </w:rPr>
      </w:pPr>
      <w:r>
        <w:rPr>
          <w:sz w:val="24"/>
          <w:szCs w:val="24"/>
        </w:rPr>
        <w:tab/>
        <w:t xml:space="preserve">8.  The agency notice was published in the </w:t>
      </w:r>
      <w:r>
        <w:rPr>
          <w:sz w:val="24"/>
          <w:szCs w:val="24"/>
          <w:u w:val="single"/>
        </w:rPr>
        <w:t>Federal Register</w:t>
      </w:r>
      <w:r>
        <w:rPr>
          <w:sz w:val="24"/>
          <w:szCs w:val="24"/>
        </w:rPr>
        <w:t xml:space="preserve"> on</w:t>
      </w:r>
      <w:r w:rsidR="00D92205">
        <w:rPr>
          <w:sz w:val="24"/>
          <w:szCs w:val="24"/>
        </w:rPr>
        <w:t xml:space="preserve"> </w:t>
      </w:r>
      <w:r w:rsidR="00C14375">
        <w:rPr>
          <w:sz w:val="24"/>
          <w:szCs w:val="24"/>
        </w:rPr>
        <w:t>November 24, 2010, pages 71796-71797</w:t>
      </w:r>
      <w:r>
        <w:rPr>
          <w:sz w:val="24"/>
          <w:szCs w:val="24"/>
        </w:rPr>
        <w:t xml:space="preserve">.  </w:t>
      </w:r>
      <w:r w:rsidR="00C14375">
        <w:rPr>
          <w:sz w:val="24"/>
          <w:szCs w:val="24"/>
        </w:rPr>
        <w:t>There were no comments received in response to this notice.</w:t>
      </w:r>
    </w:p>
    <w:p w:rsidR="00D92205" w:rsidRDefault="00D92205">
      <w:pPr>
        <w:tabs>
          <w:tab w:val="left" w:pos="270"/>
        </w:tabs>
        <w:rPr>
          <w:sz w:val="24"/>
          <w:szCs w:val="24"/>
        </w:rPr>
      </w:pPr>
    </w:p>
    <w:p w:rsidR="00827FAA" w:rsidRDefault="00827FAA">
      <w:pPr>
        <w:tabs>
          <w:tab w:val="left" w:pos="270"/>
        </w:tabs>
        <w:rPr>
          <w:sz w:val="24"/>
          <w:szCs w:val="24"/>
        </w:rPr>
      </w:pPr>
      <w:r>
        <w:rPr>
          <w:sz w:val="24"/>
          <w:szCs w:val="24"/>
        </w:rPr>
        <w:tab/>
        <w:t>9.  No payments or gifts to respondents have been made under this collection of information.</w:t>
      </w:r>
    </w:p>
    <w:p w:rsidR="00827FAA" w:rsidRDefault="00827FAA">
      <w:pPr>
        <w:tabs>
          <w:tab w:val="left" w:pos="270"/>
        </w:tabs>
        <w:rPr>
          <w:sz w:val="24"/>
          <w:szCs w:val="24"/>
        </w:rPr>
      </w:pPr>
    </w:p>
    <w:p w:rsidR="00827FAA" w:rsidRDefault="00827FAA">
      <w:pPr>
        <w:tabs>
          <w:tab w:val="left" w:pos="270"/>
        </w:tabs>
        <w:rPr>
          <w:sz w:val="24"/>
          <w:szCs w:val="24"/>
        </w:rPr>
      </w:pPr>
      <w:r>
        <w:rPr>
          <w:sz w:val="24"/>
          <w:szCs w:val="24"/>
        </w:rPr>
        <w:tab/>
        <w:t xml:space="preserve">10.  </w:t>
      </w:r>
      <w:r>
        <w:rPr>
          <w:sz w:val="24"/>
          <w:szCs w:val="24"/>
          <w:u w:val="single"/>
        </w:rPr>
        <w:t xml:space="preserve">Loan Guaranty Home, Condominium and Manufactured Home Loan Applicant Records, </w:t>
      </w:r>
      <w:proofErr w:type="gramStart"/>
      <w:r>
        <w:rPr>
          <w:sz w:val="24"/>
          <w:szCs w:val="24"/>
          <w:u w:val="single"/>
        </w:rPr>
        <w:t>Specially</w:t>
      </w:r>
      <w:proofErr w:type="gramEnd"/>
      <w:r>
        <w:rPr>
          <w:sz w:val="24"/>
          <w:szCs w:val="24"/>
          <w:u w:val="single"/>
        </w:rPr>
        <w:t xml:space="preserve"> Adapted Housing Applicant Records, and Vendee Loan Applicant Records - VA (55VA26)</w:t>
      </w:r>
      <w:r>
        <w:rPr>
          <w:sz w:val="24"/>
          <w:szCs w:val="24"/>
        </w:rPr>
        <w:t xml:space="preserve"> contained in the Privacy Act Issuances, 2001 Compilation.</w:t>
      </w:r>
    </w:p>
    <w:p w:rsidR="00827FAA" w:rsidRDefault="00827FAA">
      <w:pPr>
        <w:tabs>
          <w:tab w:val="left" w:pos="270"/>
        </w:tabs>
        <w:rPr>
          <w:sz w:val="24"/>
          <w:szCs w:val="24"/>
        </w:rPr>
      </w:pPr>
    </w:p>
    <w:p w:rsidR="00827FAA" w:rsidRDefault="00827FAA">
      <w:pPr>
        <w:tabs>
          <w:tab w:val="left" w:pos="270"/>
        </w:tabs>
        <w:rPr>
          <w:sz w:val="24"/>
          <w:szCs w:val="24"/>
        </w:rPr>
      </w:pPr>
      <w:r>
        <w:rPr>
          <w:sz w:val="24"/>
          <w:szCs w:val="24"/>
        </w:rPr>
        <w:tab/>
        <w:t>11.  No sensitive questions appear on the form.</w:t>
      </w:r>
    </w:p>
    <w:p w:rsidR="00827FAA" w:rsidRDefault="00827FAA">
      <w:pPr>
        <w:tabs>
          <w:tab w:val="left" w:pos="270"/>
        </w:tabs>
        <w:rPr>
          <w:sz w:val="24"/>
          <w:szCs w:val="24"/>
        </w:rPr>
      </w:pPr>
    </w:p>
    <w:p w:rsidR="00827FAA" w:rsidRDefault="00827FAA">
      <w:pPr>
        <w:tabs>
          <w:tab w:val="left" w:pos="270"/>
        </w:tabs>
        <w:rPr>
          <w:sz w:val="24"/>
          <w:szCs w:val="24"/>
        </w:rPr>
      </w:pPr>
      <w:r>
        <w:rPr>
          <w:sz w:val="24"/>
          <w:szCs w:val="24"/>
        </w:rPr>
        <w:tab/>
        <w:t xml:space="preserve">12.  </w:t>
      </w:r>
      <w:r>
        <w:rPr>
          <w:sz w:val="24"/>
          <w:szCs w:val="24"/>
          <w:u w:val="single"/>
        </w:rPr>
        <w:t>Estimate of Information Collection Burden</w:t>
      </w:r>
    </w:p>
    <w:p w:rsidR="00827FAA" w:rsidRDefault="00827FAA">
      <w:pPr>
        <w:tabs>
          <w:tab w:val="left" w:pos="270"/>
        </w:tabs>
        <w:rPr>
          <w:sz w:val="24"/>
          <w:szCs w:val="24"/>
        </w:rPr>
      </w:pPr>
    </w:p>
    <w:p w:rsidR="00827FAA" w:rsidRDefault="00827FAA">
      <w:pPr>
        <w:tabs>
          <w:tab w:val="left" w:pos="270"/>
        </w:tabs>
        <w:rPr>
          <w:sz w:val="24"/>
          <w:szCs w:val="24"/>
        </w:rPr>
      </w:pPr>
      <w:r>
        <w:rPr>
          <w:sz w:val="24"/>
          <w:szCs w:val="24"/>
        </w:rPr>
        <w:tab/>
      </w:r>
      <w:proofErr w:type="gramStart"/>
      <w:r>
        <w:rPr>
          <w:sz w:val="24"/>
          <w:szCs w:val="24"/>
        </w:rPr>
        <w:t>a.  Number</w:t>
      </w:r>
      <w:proofErr w:type="gramEnd"/>
      <w:r>
        <w:rPr>
          <w:sz w:val="24"/>
          <w:szCs w:val="24"/>
        </w:rPr>
        <w:t xml:space="preserve"> of </w:t>
      </w:r>
      <w:r w:rsidR="00B42AA0">
        <w:rPr>
          <w:sz w:val="24"/>
          <w:szCs w:val="24"/>
        </w:rPr>
        <w:t>respondents is estimated at 3,649</w:t>
      </w:r>
      <w:r>
        <w:rPr>
          <w:sz w:val="24"/>
          <w:szCs w:val="24"/>
        </w:rPr>
        <w:t xml:space="preserve"> per year.</w:t>
      </w:r>
    </w:p>
    <w:p w:rsidR="00827FAA" w:rsidRDefault="00827FAA">
      <w:pPr>
        <w:tabs>
          <w:tab w:val="left" w:pos="270"/>
        </w:tabs>
        <w:rPr>
          <w:sz w:val="24"/>
          <w:szCs w:val="24"/>
        </w:rPr>
      </w:pPr>
    </w:p>
    <w:p w:rsidR="00827FAA" w:rsidRDefault="00827FAA">
      <w:pPr>
        <w:tabs>
          <w:tab w:val="left" w:pos="270"/>
        </w:tabs>
        <w:rPr>
          <w:sz w:val="24"/>
          <w:szCs w:val="24"/>
        </w:rPr>
      </w:pPr>
      <w:r>
        <w:rPr>
          <w:sz w:val="24"/>
          <w:szCs w:val="24"/>
        </w:rPr>
        <w:tab/>
      </w:r>
      <w:proofErr w:type="gramStart"/>
      <w:r>
        <w:rPr>
          <w:sz w:val="24"/>
          <w:szCs w:val="24"/>
        </w:rPr>
        <w:t>b.  Frequency</w:t>
      </w:r>
      <w:proofErr w:type="gramEnd"/>
      <w:r>
        <w:rPr>
          <w:sz w:val="24"/>
          <w:szCs w:val="24"/>
        </w:rPr>
        <w:t xml:space="preserve"> of response is generally one time.</w:t>
      </w:r>
    </w:p>
    <w:p w:rsidR="00827FAA" w:rsidRDefault="00827FAA">
      <w:pPr>
        <w:tabs>
          <w:tab w:val="left" w:pos="270"/>
        </w:tabs>
        <w:rPr>
          <w:sz w:val="24"/>
          <w:szCs w:val="24"/>
        </w:rPr>
      </w:pPr>
    </w:p>
    <w:p w:rsidR="00827FAA" w:rsidRDefault="00B42AA0">
      <w:pPr>
        <w:tabs>
          <w:tab w:val="left" w:pos="270"/>
        </w:tabs>
        <w:rPr>
          <w:sz w:val="24"/>
          <w:szCs w:val="24"/>
        </w:rPr>
      </w:pPr>
      <w:r>
        <w:rPr>
          <w:sz w:val="24"/>
          <w:szCs w:val="24"/>
        </w:rPr>
        <w:tab/>
      </w:r>
      <w:proofErr w:type="gramStart"/>
      <w:r>
        <w:rPr>
          <w:sz w:val="24"/>
          <w:szCs w:val="24"/>
        </w:rPr>
        <w:t>c.  Annual</w:t>
      </w:r>
      <w:proofErr w:type="gramEnd"/>
      <w:r>
        <w:rPr>
          <w:sz w:val="24"/>
          <w:szCs w:val="24"/>
        </w:rPr>
        <w:t xml:space="preserve"> burden is 912</w:t>
      </w:r>
      <w:r w:rsidR="00827FAA">
        <w:rPr>
          <w:sz w:val="24"/>
          <w:szCs w:val="24"/>
        </w:rPr>
        <w:t xml:space="preserve"> hours.</w:t>
      </w:r>
    </w:p>
    <w:p w:rsidR="00827FAA" w:rsidRDefault="00827FAA">
      <w:pPr>
        <w:tabs>
          <w:tab w:val="left" w:pos="270"/>
        </w:tabs>
        <w:rPr>
          <w:sz w:val="24"/>
          <w:szCs w:val="24"/>
        </w:rPr>
      </w:pPr>
    </w:p>
    <w:p w:rsidR="00827FAA" w:rsidRDefault="00827FAA">
      <w:pPr>
        <w:tabs>
          <w:tab w:val="left" w:pos="270"/>
        </w:tabs>
        <w:rPr>
          <w:sz w:val="24"/>
          <w:szCs w:val="24"/>
        </w:rPr>
      </w:pPr>
      <w:r>
        <w:rPr>
          <w:sz w:val="24"/>
          <w:szCs w:val="24"/>
        </w:rPr>
        <w:tab/>
      </w:r>
      <w:proofErr w:type="gramStart"/>
      <w:r>
        <w:rPr>
          <w:sz w:val="24"/>
          <w:szCs w:val="24"/>
        </w:rPr>
        <w:t>d.  The</w:t>
      </w:r>
      <w:proofErr w:type="gramEnd"/>
      <w:r>
        <w:rPr>
          <w:sz w:val="24"/>
          <w:szCs w:val="24"/>
        </w:rPr>
        <w:t xml:space="preserve"> estimated response time of 15 minutes is based on informal consultations with staff personnel who have had actual experience in completing the form with the applicant.</w:t>
      </w:r>
    </w:p>
    <w:p w:rsidR="00827FAA" w:rsidRDefault="00827FAA">
      <w:pPr>
        <w:tabs>
          <w:tab w:val="left" w:pos="270"/>
        </w:tabs>
        <w:rPr>
          <w:sz w:val="24"/>
          <w:szCs w:val="24"/>
        </w:rPr>
      </w:pPr>
    </w:p>
    <w:p w:rsidR="00827FAA" w:rsidRDefault="00827FAA">
      <w:pPr>
        <w:tabs>
          <w:tab w:val="left" w:pos="270"/>
        </w:tabs>
        <w:rPr>
          <w:sz w:val="24"/>
          <w:szCs w:val="24"/>
        </w:rPr>
      </w:pPr>
      <w:r>
        <w:rPr>
          <w:sz w:val="24"/>
          <w:szCs w:val="24"/>
        </w:rPr>
        <w:tab/>
      </w:r>
      <w:proofErr w:type="gramStart"/>
      <w:r>
        <w:rPr>
          <w:sz w:val="24"/>
          <w:szCs w:val="24"/>
        </w:rPr>
        <w:t>e.  The</w:t>
      </w:r>
      <w:proofErr w:type="gramEnd"/>
      <w:r>
        <w:rPr>
          <w:sz w:val="24"/>
          <w:szCs w:val="24"/>
        </w:rPr>
        <w:t xml:space="preserve"> total estimated co</w:t>
      </w:r>
      <w:r w:rsidR="00B42AA0">
        <w:rPr>
          <w:sz w:val="24"/>
          <w:szCs w:val="24"/>
        </w:rPr>
        <w:t>st to respondents is $13,680 (912</w:t>
      </w:r>
      <w:r>
        <w:rPr>
          <w:sz w:val="24"/>
          <w:szCs w:val="24"/>
        </w:rPr>
        <w:t xml:space="preserve"> hours x $15 per hour).</w:t>
      </w:r>
    </w:p>
    <w:p w:rsidR="00827FAA" w:rsidRDefault="00827FAA">
      <w:pPr>
        <w:tabs>
          <w:tab w:val="left" w:pos="270"/>
        </w:tabs>
        <w:rPr>
          <w:sz w:val="24"/>
          <w:szCs w:val="24"/>
        </w:rPr>
      </w:pPr>
    </w:p>
    <w:p w:rsidR="00827FAA" w:rsidRDefault="00827FAA">
      <w:pPr>
        <w:tabs>
          <w:tab w:val="left" w:pos="270"/>
        </w:tabs>
        <w:rPr>
          <w:sz w:val="24"/>
          <w:szCs w:val="24"/>
        </w:rPr>
      </w:pPr>
      <w:r>
        <w:rPr>
          <w:sz w:val="24"/>
          <w:szCs w:val="24"/>
        </w:rPr>
        <w:tab/>
        <w:t>13.  This submission does not involve any recordkeeping costs.</w:t>
      </w:r>
    </w:p>
    <w:p w:rsidR="00827FAA" w:rsidRDefault="00827FAA">
      <w:pPr>
        <w:tabs>
          <w:tab w:val="left" w:pos="270"/>
        </w:tabs>
        <w:rPr>
          <w:sz w:val="24"/>
          <w:szCs w:val="24"/>
        </w:rPr>
      </w:pPr>
    </w:p>
    <w:p w:rsidR="00827FAA" w:rsidRDefault="00827FAA">
      <w:pPr>
        <w:tabs>
          <w:tab w:val="left" w:pos="270"/>
        </w:tabs>
        <w:rPr>
          <w:sz w:val="24"/>
          <w:szCs w:val="24"/>
        </w:rPr>
      </w:pPr>
      <w:r>
        <w:rPr>
          <w:sz w:val="24"/>
          <w:szCs w:val="24"/>
        </w:rPr>
        <w:tab/>
        <w:t xml:space="preserve">14.  </w:t>
      </w:r>
      <w:r>
        <w:rPr>
          <w:sz w:val="24"/>
          <w:szCs w:val="24"/>
          <w:u w:val="single"/>
        </w:rPr>
        <w:t>Estimate of Cost to Federal Government</w:t>
      </w:r>
    </w:p>
    <w:p w:rsidR="00827FAA" w:rsidRDefault="00827FAA">
      <w:pPr>
        <w:tabs>
          <w:tab w:val="left" w:pos="270"/>
        </w:tabs>
        <w:rPr>
          <w:sz w:val="24"/>
          <w:szCs w:val="24"/>
        </w:rPr>
      </w:pPr>
    </w:p>
    <w:p w:rsidR="00827FAA" w:rsidRDefault="00EB61E6">
      <w:pPr>
        <w:tabs>
          <w:tab w:val="left" w:pos="270"/>
        </w:tabs>
        <w:rPr>
          <w:sz w:val="24"/>
          <w:szCs w:val="24"/>
        </w:rPr>
      </w:pPr>
      <w:r>
        <w:rPr>
          <w:sz w:val="24"/>
          <w:szCs w:val="24"/>
        </w:rPr>
        <w:tab/>
        <w:t>$</w:t>
      </w:r>
      <w:r w:rsidR="00B42AA0">
        <w:rPr>
          <w:sz w:val="24"/>
          <w:szCs w:val="24"/>
        </w:rPr>
        <w:t>15,228</w:t>
      </w:r>
      <w:r w:rsidR="00827FAA">
        <w:rPr>
          <w:sz w:val="24"/>
          <w:szCs w:val="24"/>
        </w:rPr>
        <w:tab/>
        <w:t>Estimated Loan Gua</w:t>
      </w:r>
      <w:r w:rsidR="00B42AA0">
        <w:rPr>
          <w:sz w:val="24"/>
          <w:szCs w:val="24"/>
        </w:rPr>
        <w:t>ranty processing cost for FY 2010</w:t>
      </w:r>
    </w:p>
    <w:p w:rsidR="00827FAA" w:rsidRDefault="00827FAA">
      <w:pPr>
        <w:tabs>
          <w:tab w:val="left" w:pos="270"/>
        </w:tabs>
        <w:rPr>
          <w:sz w:val="24"/>
          <w:szCs w:val="24"/>
        </w:rPr>
      </w:pPr>
      <w:r>
        <w:rPr>
          <w:sz w:val="24"/>
          <w:szCs w:val="24"/>
        </w:rPr>
        <w:tab/>
      </w:r>
      <w:r>
        <w:rPr>
          <w:sz w:val="24"/>
          <w:szCs w:val="24"/>
        </w:rPr>
        <w:tab/>
      </w:r>
      <w:r>
        <w:rPr>
          <w:sz w:val="24"/>
          <w:szCs w:val="24"/>
        </w:rPr>
        <w:tab/>
        <w:t>(</w:t>
      </w:r>
      <w:r w:rsidR="00B42AA0">
        <w:rPr>
          <w:sz w:val="24"/>
          <w:szCs w:val="24"/>
        </w:rPr>
        <w:t>3,649</w:t>
      </w:r>
      <w:r>
        <w:rPr>
          <w:sz w:val="24"/>
          <w:szCs w:val="24"/>
        </w:rPr>
        <w:t xml:space="preserve"> case</w:t>
      </w:r>
      <w:r w:rsidR="00D92205">
        <w:rPr>
          <w:sz w:val="24"/>
          <w:szCs w:val="24"/>
        </w:rPr>
        <w:t>s x 10 minutes per case x $</w:t>
      </w:r>
      <w:r w:rsidR="00B42AA0">
        <w:rPr>
          <w:sz w:val="24"/>
          <w:szCs w:val="24"/>
        </w:rPr>
        <w:t>25.04</w:t>
      </w:r>
      <w:r>
        <w:rPr>
          <w:sz w:val="24"/>
          <w:szCs w:val="24"/>
        </w:rPr>
        <w:t xml:space="preserve"> per hour (average Loan </w:t>
      </w:r>
    </w:p>
    <w:p w:rsidR="00827FAA" w:rsidRDefault="00827FAA">
      <w:pPr>
        <w:tabs>
          <w:tab w:val="left" w:pos="270"/>
        </w:tabs>
        <w:rPr>
          <w:sz w:val="24"/>
          <w:szCs w:val="24"/>
        </w:rPr>
      </w:pPr>
      <w:r>
        <w:rPr>
          <w:sz w:val="24"/>
          <w:szCs w:val="24"/>
        </w:rPr>
        <w:tab/>
      </w:r>
      <w:r>
        <w:rPr>
          <w:sz w:val="24"/>
          <w:szCs w:val="24"/>
        </w:rPr>
        <w:tab/>
      </w:r>
      <w:r>
        <w:rPr>
          <w:sz w:val="24"/>
          <w:szCs w:val="24"/>
        </w:rPr>
        <w:tab/>
        <w:t>Guaranty field salary))</w:t>
      </w:r>
    </w:p>
    <w:p w:rsidR="00827FAA" w:rsidRDefault="00D92205">
      <w:pPr>
        <w:tabs>
          <w:tab w:val="left" w:pos="270"/>
        </w:tabs>
        <w:rPr>
          <w:sz w:val="24"/>
          <w:szCs w:val="24"/>
        </w:rPr>
      </w:pPr>
      <w:r>
        <w:rPr>
          <w:sz w:val="24"/>
          <w:szCs w:val="24"/>
        </w:rPr>
        <w:tab/>
        <w:t>$</w:t>
      </w:r>
      <w:r w:rsidR="00EB61E6">
        <w:rPr>
          <w:sz w:val="24"/>
          <w:szCs w:val="24"/>
        </w:rPr>
        <w:t>28</w:t>
      </w:r>
      <w:r w:rsidR="0067200D">
        <w:rPr>
          <w:sz w:val="24"/>
          <w:szCs w:val="24"/>
        </w:rPr>
        <w:t>,</w:t>
      </w:r>
      <w:r w:rsidR="00EB61E6">
        <w:rPr>
          <w:sz w:val="24"/>
          <w:szCs w:val="24"/>
        </w:rPr>
        <w:t>831</w:t>
      </w:r>
      <w:r w:rsidR="00827FAA">
        <w:rPr>
          <w:sz w:val="24"/>
          <w:szCs w:val="24"/>
        </w:rPr>
        <w:tab/>
        <w:t>Estimated Veteran’s Service Center</w:t>
      </w:r>
      <w:r w:rsidR="00B42AA0">
        <w:rPr>
          <w:sz w:val="24"/>
          <w:szCs w:val="24"/>
        </w:rPr>
        <w:t xml:space="preserve"> processing cost for FY 2010</w:t>
      </w:r>
    </w:p>
    <w:p w:rsidR="00827FAA" w:rsidRDefault="00827FAA">
      <w:pPr>
        <w:tabs>
          <w:tab w:val="left" w:pos="270"/>
        </w:tabs>
        <w:rPr>
          <w:sz w:val="24"/>
          <w:szCs w:val="24"/>
        </w:rPr>
      </w:pPr>
      <w:r>
        <w:rPr>
          <w:sz w:val="24"/>
          <w:szCs w:val="24"/>
        </w:rPr>
        <w:tab/>
      </w:r>
      <w:r>
        <w:rPr>
          <w:sz w:val="24"/>
          <w:szCs w:val="24"/>
        </w:rPr>
        <w:tab/>
      </w:r>
      <w:r>
        <w:rPr>
          <w:sz w:val="24"/>
          <w:szCs w:val="24"/>
        </w:rPr>
        <w:tab/>
        <w:t>(</w:t>
      </w:r>
      <w:r w:rsidR="0067200D">
        <w:rPr>
          <w:sz w:val="24"/>
          <w:szCs w:val="24"/>
        </w:rPr>
        <w:t>1800</w:t>
      </w:r>
      <w:r>
        <w:rPr>
          <w:sz w:val="24"/>
          <w:szCs w:val="24"/>
        </w:rPr>
        <w:t xml:space="preserve"> cases x 15 minutes</w:t>
      </w:r>
      <w:r w:rsidR="00B42AA0">
        <w:rPr>
          <w:sz w:val="24"/>
          <w:szCs w:val="24"/>
        </w:rPr>
        <w:t xml:space="preserve"> processing time by GS-4 ($</w:t>
      </w:r>
      <w:r w:rsidR="00741DCA">
        <w:rPr>
          <w:sz w:val="24"/>
          <w:szCs w:val="24"/>
        </w:rPr>
        <w:t>14.59</w:t>
      </w:r>
      <w:r>
        <w:rPr>
          <w:sz w:val="24"/>
          <w:szCs w:val="24"/>
        </w:rPr>
        <w:t xml:space="preserve"> per hour) plus </w:t>
      </w:r>
      <w:r>
        <w:rPr>
          <w:sz w:val="24"/>
          <w:szCs w:val="24"/>
        </w:rPr>
        <w:tab/>
      </w:r>
      <w:r>
        <w:rPr>
          <w:sz w:val="24"/>
          <w:szCs w:val="24"/>
        </w:rPr>
        <w:tab/>
      </w:r>
      <w:r w:rsidR="00D92205">
        <w:rPr>
          <w:sz w:val="24"/>
          <w:szCs w:val="24"/>
        </w:rPr>
        <w:tab/>
      </w:r>
      <w:r>
        <w:rPr>
          <w:sz w:val="24"/>
          <w:szCs w:val="24"/>
        </w:rPr>
        <w:tab/>
      </w:r>
      <w:r>
        <w:rPr>
          <w:sz w:val="24"/>
          <w:szCs w:val="24"/>
        </w:rPr>
        <w:tab/>
        <w:t>30 minutes</w:t>
      </w:r>
      <w:r w:rsidR="00B42AA0">
        <w:rPr>
          <w:sz w:val="24"/>
          <w:szCs w:val="24"/>
        </w:rPr>
        <w:t xml:space="preserve"> processing time by GS-9 ($2</w:t>
      </w:r>
      <w:r w:rsidR="00741DCA">
        <w:rPr>
          <w:sz w:val="24"/>
          <w:szCs w:val="24"/>
        </w:rPr>
        <w:t>4</w:t>
      </w:r>
      <w:r w:rsidR="00B42AA0">
        <w:rPr>
          <w:sz w:val="24"/>
          <w:szCs w:val="24"/>
        </w:rPr>
        <w:t>.74</w:t>
      </w:r>
      <w:r>
        <w:rPr>
          <w:sz w:val="24"/>
          <w:szCs w:val="24"/>
        </w:rPr>
        <w:t xml:space="preserve"> per hour)</w:t>
      </w:r>
      <w:r w:rsidR="0067200D">
        <w:rPr>
          <w:sz w:val="24"/>
          <w:szCs w:val="24"/>
        </w:rPr>
        <w:br/>
      </w:r>
      <w:r w:rsidR="0067200D">
        <w:rPr>
          <w:sz w:val="24"/>
          <w:szCs w:val="24"/>
        </w:rPr>
        <w:tab/>
      </w:r>
      <w:r>
        <w:rPr>
          <w:sz w:val="24"/>
          <w:szCs w:val="24"/>
          <w:u w:val="single"/>
        </w:rPr>
        <w:tab/>
      </w:r>
      <w:r w:rsidR="00B42AA0">
        <w:rPr>
          <w:sz w:val="24"/>
          <w:szCs w:val="24"/>
          <w:u w:val="single"/>
        </w:rPr>
        <w:t>___</w:t>
      </w:r>
      <w:r>
        <w:rPr>
          <w:sz w:val="24"/>
          <w:szCs w:val="24"/>
          <w:u w:val="single"/>
        </w:rPr>
        <w:t xml:space="preserve"> </w:t>
      </w:r>
      <w:r w:rsidR="00D92205">
        <w:rPr>
          <w:sz w:val="24"/>
          <w:szCs w:val="24"/>
          <w:u w:val="single"/>
        </w:rPr>
        <w:t xml:space="preserve"> </w:t>
      </w:r>
      <w:r>
        <w:rPr>
          <w:sz w:val="24"/>
          <w:szCs w:val="24"/>
        </w:rPr>
        <w:tab/>
        <w:t xml:space="preserve"> </w:t>
      </w:r>
    </w:p>
    <w:p w:rsidR="00827FAA" w:rsidRDefault="00827FAA">
      <w:pPr>
        <w:tabs>
          <w:tab w:val="left" w:pos="270"/>
        </w:tabs>
        <w:rPr>
          <w:sz w:val="24"/>
          <w:szCs w:val="24"/>
        </w:rPr>
      </w:pPr>
      <w:r>
        <w:rPr>
          <w:sz w:val="24"/>
          <w:szCs w:val="24"/>
        </w:rPr>
        <w:tab/>
        <w:t>$</w:t>
      </w:r>
      <w:r w:rsidR="00EB61E6">
        <w:rPr>
          <w:sz w:val="24"/>
          <w:szCs w:val="24"/>
        </w:rPr>
        <w:t>44,059</w:t>
      </w:r>
      <w:r>
        <w:rPr>
          <w:sz w:val="24"/>
          <w:szCs w:val="24"/>
        </w:rPr>
        <w:tab/>
        <w:t>Total estimated cost to the Government</w:t>
      </w:r>
    </w:p>
    <w:p w:rsidR="00827FAA" w:rsidRDefault="00827FAA">
      <w:pPr>
        <w:tabs>
          <w:tab w:val="left" w:pos="270"/>
        </w:tabs>
        <w:rPr>
          <w:sz w:val="24"/>
          <w:szCs w:val="24"/>
        </w:rPr>
      </w:pPr>
    </w:p>
    <w:p w:rsidR="00827FAA" w:rsidRDefault="00827FAA" w:rsidP="00C14375">
      <w:pPr>
        <w:numPr>
          <w:ilvl w:val="0"/>
          <w:numId w:val="2"/>
        </w:numPr>
        <w:tabs>
          <w:tab w:val="left" w:pos="270"/>
        </w:tabs>
        <w:ind w:left="274" w:firstLine="0"/>
        <w:rPr>
          <w:sz w:val="24"/>
          <w:szCs w:val="24"/>
        </w:rPr>
      </w:pPr>
      <w:r>
        <w:rPr>
          <w:sz w:val="24"/>
          <w:szCs w:val="24"/>
        </w:rPr>
        <w:t xml:space="preserve">There is </w:t>
      </w:r>
      <w:r w:rsidR="00C34BD8">
        <w:rPr>
          <w:sz w:val="24"/>
          <w:szCs w:val="24"/>
        </w:rPr>
        <w:t xml:space="preserve">an increase </w:t>
      </w:r>
      <w:r>
        <w:rPr>
          <w:sz w:val="24"/>
          <w:szCs w:val="24"/>
        </w:rPr>
        <w:t>in burden hours.</w:t>
      </w:r>
      <w:r w:rsidR="0067200D">
        <w:rPr>
          <w:sz w:val="24"/>
          <w:szCs w:val="24"/>
        </w:rPr>
        <w:t xml:space="preserve">  This</w:t>
      </w:r>
      <w:r w:rsidR="00CB729B">
        <w:rPr>
          <w:sz w:val="24"/>
          <w:szCs w:val="24"/>
        </w:rPr>
        <w:t xml:space="preserve"> is due to a rise in the number</w:t>
      </w:r>
      <w:r w:rsidR="00525B99">
        <w:rPr>
          <w:sz w:val="24"/>
          <w:szCs w:val="24"/>
        </w:rPr>
        <w:t xml:space="preserve"> of service-connected deaths</w:t>
      </w:r>
      <w:r w:rsidR="00CB729B">
        <w:rPr>
          <w:sz w:val="24"/>
          <w:szCs w:val="24"/>
        </w:rPr>
        <w:t xml:space="preserve"> in relation to the ongoing conflicts in the </w:t>
      </w:r>
      <w:smartTag w:uri="urn:schemas-microsoft-com:office:smarttags" w:element="place">
        <w:r w:rsidR="00CB729B">
          <w:rPr>
            <w:sz w:val="24"/>
            <w:szCs w:val="24"/>
          </w:rPr>
          <w:t>Middle East</w:t>
        </w:r>
      </w:smartTag>
      <w:r w:rsidR="00CB729B">
        <w:rPr>
          <w:sz w:val="24"/>
          <w:szCs w:val="24"/>
        </w:rPr>
        <w:t xml:space="preserve">. </w:t>
      </w:r>
    </w:p>
    <w:p w:rsidR="00D92205" w:rsidRDefault="00D92205">
      <w:pPr>
        <w:tabs>
          <w:tab w:val="left" w:pos="270"/>
        </w:tabs>
        <w:rPr>
          <w:sz w:val="24"/>
          <w:szCs w:val="24"/>
        </w:rPr>
      </w:pPr>
    </w:p>
    <w:p w:rsidR="00827FAA" w:rsidRDefault="00827FAA">
      <w:pPr>
        <w:tabs>
          <w:tab w:val="left" w:pos="270"/>
        </w:tabs>
        <w:rPr>
          <w:sz w:val="24"/>
          <w:szCs w:val="24"/>
        </w:rPr>
      </w:pPr>
      <w:r>
        <w:rPr>
          <w:sz w:val="24"/>
          <w:szCs w:val="24"/>
        </w:rPr>
        <w:tab/>
        <w:t>16.  Information collection is not for tabulation or publication use.</w:t>
      </w:r>
    </w:p>
    <w:p w:rsidR="00827FAA" w:rsidRDefault="00827FAA">
      <w:pPr>
        <w:tabs>
          <w:tab w:val="left" w:pos="270"/>
        </w:tabs>
        <w:rPr>
          <w:sz w:val="24"/>
          <w:szCs w:val="24"/>
        </w:rPr>
      </w:pPr>
    </w:p>
    <w:p w:rsidR="00827FAA" w:rsidRDefault="00827FAA">
      <w:pPr>
        <w:tabs>
          <w:tab w:val="left" w:pos="270"/>
        </w:tabs>
        <w:rPr>
          <w:sz w:val="24"/>
          <w:szCs w:val="24"/>
        </w:rPr>
      </w:pPr>
      <w:r>
        <w:rPr>
          <w:sz w:val="24"/>
          <w:szCs w:val="24"/>
        </w:rPr>
        <w:tab/>
        <w:t xml:space="preserve">17.  The collection instrument, VA Form 26-1817, may be reproduced and/or stocked by the respondents and veterans service organizations.  This VA form does not display an expiration date, and if required to do so it would result in unnecessary waste of existing stocks of this form.  These forms are submitted to OMB for approval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w:t>
      </w:r>
      <w:r>
        <w:rPr>
          <w:sz w:val="24"/>
          <w:szCs w:val="24"/>
        </w:rPr>
        <w:lastRenderedPageBreak/>
        <w:t>stated, VA continues to seek an exemption that waives the displaying of the expiration date on VA Form 26-1817.</w:t>
      </w:r>
    </w:p>
    <w:p w:rsidR="00827FAA" w:rsidRDefault="00827FAA">
      <w:pPr>
        <w:tabs>
          <w:tab w:val="left" w:pos="270"/>
        </w:tabs>
        <w:rPr>
          <w:sz w:val="24"/>
          <w:szCs w:val="24"/>
        </w:rPr>
      </w:pPr>
    </w:p>
    <w:p w:rsidR="00827FAA" w:rsidRDefault="00827FAA">
      <w:pPr>
        <w:numPr>
          <w:ilvl w:val="0"/>
          <w:numId w:val="1"/>
        </w:numPr>
        <w:tabs>
          <w:tab w:val="left" w:pos="270"/>
        </w:tabs>
        <w:rPr>
          <w:sz w:val="24"/>
          <w:szCs w:val="24"/>
        </w:rPr>
      </w:pPr>
      <w:r>
        <w:rPr>
          <w:sz w:val="24"/>
          <w:szCs w:val="24"/>
        </w:rPr>
        <w:t xml:space="preserve">There is no exception to the certification statement identified in Item l9, </w:t>
      </w:r>
    </w:p>
    <w:p w:rsidR="00827FAA" w:rsidRDefault="00827FAA">
      <w:pPr>
        <w:tabs>
          <w:tab w:val="left" w:pos="270"/>
        </w:tabs>
        <w:rPr>
          <w:sz w:val="24"/>
          <w:szCs w:val="24"/>
        </w:rPr>
      </w:pPr>
      <w:proofErr w:type="gramStart"/>
      <w:r>
        <w:rPr>
          <w:sz w:val="24"/>
          <w:szCs w:val="24"/>
        </w:rPr>
        <w:t>"Certification for Paperwork Reduction Act Submissions," of OMB Form 83-1.</w:t>
      </w:r>
      <w:proofErr w:type="gramEnd"/>
    </w:p>
    <w:p w:rsidR="00827FAA" w:rsidRDefault="00827FAA">
      <w:pPr>
        <w:tabs>
          <w:tab w:val="left" w:pos="270"/>
        </w:tabs>
        <w:rPr>
          <w:sz w:val="24"/>
          <w:szCs w:val="24"/>
        </w:rPr>
      </w:pPr>
    </w:p>
    <w:p w:rsidR="00827FAA" w:rsidRDefault="00827FAA">
      <w:pPr>
        <w:tabs>
          <w:tab w:val="left" w:pos="270"/>
        </w:tabs>
        <w:rPr>
          <w:sz w:val="24"/>
          <w:szCs w:val="24"/>
          <w:u w:val="single"/>
        </w:rPr>
      </w:pPr>
      <w:r>
        <w:rPr>
          <w:sz w:val="24"/>
          <w:szCs w:val="24"/>
        </w:rPr>
        <w:t xml:space="preserve">B.  </w:t>
      </w:r>
      <w:r>
        <w:rPr>
          <w:sz w:val="24"/>
          <w:szCs w:val="24"/>
          <w:u w:val="single"/>
        </w:rPr>
        <w:t>STATISTICAL METHODS</w:t>
      </w:r>
    </w:p>
    <w:p w:rsidR="00827FAA" w:rsidRDefault="00827FAA">
      <w:pPr>
        <w:tabs>
          <w:tab w:val="left" w:pos="270"/>
        </w:tabs>
        <w:rPr>
          <w:sz w:val="24"/>
          <w:szCs w:val="24"/>
          <w:u w:val="single"/>
        </w:rPr>
      </w:pPr>
    </w:p>
    <w:p w:rsidR="00827FAA" w:rsidRDefault="00827FAA">
      <w:pPr>
        <w:tabs>
          <w:tab w:val="left" w:pos="270"/>
        </w:tabs>
        <w:rPr>
          <w:sz w:val="24"/>
          <w:szCs w:val="24"/>
        </w:rPr>
      </w:pPr>
      <w:r>
        <w:rPr>
          <w:sz w:val="24"/>
          <w:szCs w:val="24"/>
        </w:rPr>
        <w:t>The Veterans Benefits Administration does not collect information employing statistical methods.</w:t>
      </w:r>
    </w:p>
    <w:p w:rsidR="00C14375" w:rsidRDefault="00C14375">
      <w:pPr>
        <w:tabs>
          <w:tab w:val="left" w:pos="270"/>
        </w:tabs>
        <w:rPr>
          <w:sz w:val="24"/>
          <w:szCs w:val="24"/>
        </w:rPr>
      </w:pPr>
    </w:p>
    <w:sectPr w:rsidR="00C14375" w:rsidSect="00827FA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71A07"/>
    <w:multiLevelType w:val="singleLevel"/>
    <w:tmpl w:val="6EC60866"/>
    <w:lvl w:ilvl="0">
      <w:start w:val="15"/>
      <w:numFmt w:val="decimal"/>
      <w:lvlText w:val="%1."/>
      <w:lvlJc w:val="left"/>
      <w:pPr>
        <w:tabs>
          <w:tab w:val="num" w:pos="690"/>
        </w:tabs>
        <w:ind w:left="690" w:hanging="420"/>
      </w:pPr>
      <w:rPr>
        <w:rFonts w:hint="default"/>
      </w:rPr>
    </w:lvl>
  </w:abstractNum>
  <w:abstractNum w:abstractNumId="1">
    <w:nsid w:val="2DE72827"/>
    <w:multiLevelType w:val="singleLevel"/>
    <w:tmpl w:val="3C26C67C"/>
    <w:lvl w:ilvl="0">
      <w:start w:val="18"/>
      <w:numFmt w:val="decimal"/>
      <w:lvlText w:val="%1. "/>
      <w:legacy w:legacy="1" w:legacySpace="0" w:legacyIndent="360"/>
      <w:lvlJc w:val="left"/>
      <w:pPr>
        <w:ind w:left="630" w:hanging="360"/>
      </w:pPr>
      <w:rPr>
        <w:rFonts w:ascii="Times New Roman" w:hAnsi="Times New Roman" w:hint="default"/>
        <w:b w:val="0"/>
        <w:bCs w:val="0"/>
        <w:i w:val="0"/>
        <w:iCs w:val="0"/>
        <w:sz w:val="24"/>
        <w:szCs w:val="24"/>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E379DB"/>
    <w:rsid w:val="00085FB6"/>
    <w:rsid w:val="002329D1"/>
    <w:rsid w:val="00525B99"/>
    <w:rsid w:val="0067200D"/>
    <w:rsid w:val="006E2770"/>
    <w:rsid w:val="00741DCA"/>
    <w:rsid w:val="00827FAA"/>
    <w:rsid w:val="00961DB0"/>
    <w:rsid w:val="0099583B"/>
    <w:rsid w:val="00A9611C"/>
    <w:rsid w:val="00B42AA0"/>
    <w:rsid w:val="00C14375"/>
    <w:rsid w:val="00C34BD8"/>
    <w:rsid w:val="00C65FEF"/>
    <w:rsid w:val="00CB729B"/>
    <w:rsid w:val="00CC254A"/>
    <w:rsid w:val="00CC7709"/>
    <w:rsid w:val="00D92205"/>
    <w:rsid w:val="00E379DB"/>
    <w:rsid w:val="00E43D4D"/>
    <w:rsid w:val="00E6007A"/>
    <w:rsid w:val="00EB61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09"/>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600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813</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OMB justification VAF 26-1817</vt:lpstr>
    </vt:vector>
  </TitlesOfParts>
  <Company>Veterans Benefits Administration</Company>
  <LinksUpToDate>false</LinksUpToDate>
  <CharactersWithSpaces>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justification VAF 26-1817</dc:title>
  <dc:subject/>
  <dc:creator>Veterans Benefits Administrat</dc:creator>
  <cp:keywords/>
  <dc:description/>
  <cp:lastModifiedBy>vacomclamd</cp:lastModifiedBy>
  <cp:revision>3</cp:revision>
  <cp:lastPrinted>2010-11-04T13:58:00Z</cp:lastPrinted>
  <dcterms:created xsi:type="dcterms:W3CDTF">2011-01-26T17:21:00Z</dcterms:created>
  <dcterms:modified xsi:type="dcterms:W3CDTF">2011-02-22T15:51:00Z</dcterms:modified>
</cp:coreProperties>
</file>