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DC" w:rsidRDefault="00001DA1">
      <w:bookmarkStart w:id="0" w:name="_GoBack"/>
      <w:bookmarkEnd w:id="0"/>
      <w:r>
        <w:rPr>
          <w:noProof/>
        </w:rPr>
        <mc:AlternateContent>
          <mc:Choice Requires="wps">
            <w:drawing>
              <wp:anchor distT="0" distB="0" distL="114300" distR="114300" simplePos="0" relativeHeight="251659264" behindDoc="0" locked="0" layoutInCell="0" allowOverlap="1">
                <wp:simplePos x="0" y="0"/>
                <wp:positionH relativeFrom="column">
                  <wp:posOffset>-52070</wp:posOffset>
                </wp:positionH>
                <wp:positionV relativeFrom="paragraph">
                  <wp:posOffset>-694690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239" w:rsidRDefault="00E36239">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54.7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" o:allowincell="f" stroked="f">
                <v:textbox>
                  <w:txbxContent>
                    <w:p w:rsidR="00E36239" w:rsidRDefault="00E36239">
                      <w:pPr>
                        <w:rPr>
                          <w:i/>
                          <w:sz w:val="100"/>
                        </w:rPr>
                      </w:pPr>
                      <w:r>
                        <w:rPr>
                          <w:i/>
                          <w:sz w:val="100"/>
                        </w:rPr>
                        <w:t>memorandum</w:t>
                      </w:r>
                    </w:p>
                  </w:txbxContent>
                </v:textbox>
              </v:shape>
            </w:pict>
          </mc:Fallback>
        </mc:AlternateContent>
      </w:r>
    </w:p>
    <w:tbl>
      <w:tblPr>
        <w:tblW w:w="0" w:type="auto"/>
        <w:tblInd w:w="90" w:type="dxa"/>
        <w:tblLayout w:type="fixed"/>
        <w:tblCellMar>
          <w:left w:w="0" w:type="dxa"/>
          <w:right w:w="0" w:type="dxa"/>
        </w:tblCellMar>
        <w:tblLook w:val="0000" w:firstRow="0" w:lastRow="0" w:firstColumn="0" w:lastColumn="0" w:noHBand="0" w:noVBand="0"/>
      </w:tblPr>
      <w:tblGrid>
        <w:gridCol w:w="6840"/>
      </w:tblGrid>
      <w:tr w:rsidR="007B2FDC" w:rsidTr="00026EDF">
        <w:tc>
          <w:tcPr>
            <w:tcW w:w="6840" w:type="dxa"/>
          </w:tcPr>
          <w:p w:rsidR="007B2FDC" w:rsidRDefault="00C56384">
            <w:pPr>
              <w:rPr>
                <w:b/>
              </w:rPr>
            </w:pPr>
            <w:r>
              <w:rPr>
                <w:b/>
                <w:sz w:val="30"/>
              </w:rPr>
              <w:t>Social and Economic Policy Division</w:t>
            </w:r>
          </w:p>
        </w:tc>
      </w:tr>
    </w:tbl>
    <w:p w:rsidR="007B2FDC" w:rsidRDefault="007B2FDC"/>
    <w:p w:rsidR="007B2FDC" w:rsidRDefault="007B2FDC"/>
    <w:p w:rsidR="007B2FDC" w:rsidRDefault="007B2FDC"/>
    <w:p w:rsidR="007B2FDC" w:rsidRDefault="007B2FDC"/>
    <w:p w:rsidR="007B2FDC" w:rsidRDefault="007B2FDC"/>
    <w:tbl>
      <w:tblPr>
        <w:tblW w:w="9018" w:type="dxa"/>
        <w:tblLayout w:type="fixed"/>
        <w:tblCellMar>
          <w:left w:w="0" w:type="dxa"/>
          <w:right w:w="0" w:type="dxa"/>
        </w:tblCellMar>
        <w:tblLook w:val="0000" w:firstRow="0" w:lastRow="0" w:firstColumn="0" w:lastColumn="0" w:noHBand="0" w:noVBand="0"/>
      </w:tblPr>
      <w:tblGrid>
        <w:gridCol w:w="1296"/>
        <w:gridCol w:w="7722"/>
      </w:tblGrid>
      <w:tr w:rsidR="007B2FDC" w:rsidTr="00165891">
        <w:tc>
          <w:tcPr>
            <w:tcW w:w="1296" w:type="dxa"/>
          </w:tcPr>
          <w:p w:rsidR="007B2FDC" w:rsidRDefault="007B2FDC">
            <w:pPr>
              <w:rPr>
                <w:b/>
              </w:rPr>
            </w:pPr>
            <w:r>
              <w:rPr>
                <w:rFonts w:ascii="Arial" w:hAnsi="Arial"/>
                <w:b/>
              </w:rPr>
              <w:t>Date</w:t>
            </w:r>
          </w:p>
        </w:tc>
        <w:tc>
          <w:tcPr>
            <w:tcW w:w="7722" w:type="dxa"/>
          </w:tcPr>
          <w:p w:rsidR="007B2FDC" w:rsidRDefault="00EC24C4" w:rsidP="00E36239">
            <w:pPr>
              <w:rPr>
                <w:b/>
              </w:rPr>
            </w:pPr>
            <w:r>
              <w:fldChar w:fldCharType="begin"/>
            </w:r>
            <w:r w:rsidR="007B2FDC">
              <w:instrText xml:space="preserve"> CREATEDATE \@ "MMMM d, yyyy" \* MERGEFORMAT </w:instrText>
            </w:r>
            <w:r>
              <w:fldChar w:fldCharType="separate"/>
            </w:r>
            <w:r w:rsidR="00B22B1B">
              <w:rPr>
                <w:noProof/>
              </w:rPr>
              <w:t xml:space="preserve">June </w:t>
            </w:r>
            <w:r w:rsidR="00E36239">
              <w:rPr>
                <w:noProof/>
              </w:rPr>
              <w:t>17</w:t>
            </w:r>
            <w:r w:rsidR="00B22B1B">
              <w:rPr>
                <w:noProof/>
              </w:rPr>
              <w:t>, 2011</w:t>
            </w:r>
            <w:r>
              <w:fldChar w:fldCharType="end"/>
            </w:r>
          </w:p>
        </w:tc>
      </w:tr>
      <w:tr w:rsidR="007B2FDC" w:rsidTr="00165891">
        <w:trPr>
          <w:gridAfter w:val="1"/>
          <w:wAfter w:w="7722" w:type="dxa"/>
          <w:cantSplit/>
        </w:trPr>
        <w:tc>
          <w:tcPr>
            <w:tcW w:w="1296" w:type="dxa"/>
          </w:tcPr>
          <w:p w:rsidR="007B2FDC" w:rsidRDefault="007B2FDC">
            <w:pPr>
              <w:rPr>
                <w:b/>
              </w:rPr>
            </w:pPr>
          </w:p>
        </w:tc>
      </w:tr>
      <w:tr w:rsidR="007B2FDC" w:rsidTr="00165891">
        <w:tc>
          <w:tcPr>
            <w:tcW w:w="1296" w:type="dxa"/>
          </w:tcPr>
          <w:p w:rsidR="007B2FDC" w:rsidRDefault="007B2FDC">
            <w:pPr>
              <w:rPr>
                <w:b/>
              </w:rPr>
            </w:pPr>
            <w:r>
              <w:rPr>
                <w:rFonts w:ascii="Arial" w:hAnsi="Arial"/>
                <w:b/>
              </w:rPr>
              <w:t>To</w:t>
            </w:r>
          </w:p>
        </w:tc>
        <w:tc>
          <w:tcPr>
            <w:tcW w:w="7722" w:type="dxa"/>
          </w:tcPr>
          <w:p w:rsidR="007B2FDC" w:rsidRDefault="00E36239">
            <w:pPr>
              <w:rPr>
                <w:b/>
              </w:rPr>
            </w:pPr>
            <w:r>
              <w:t>Regina Gray, HUD</w:t>
            </w:r>
          </w:p>
        </w:tc>
      </w:tr>
      <w:tr w:rsidR="007B2FDC" w:rsidTr="00165891">
        <w:trPr>
          <w:gridAfter w:val="1"/>
          <w:wAfter w:w="7722" w:type="dxa"/>
          <w:cantSplit/>
        </w:trPr>
        <w:tc>
          <w:tcPr>
            <w:tcW w:w="1296" w:type="dxa"/>
          </w:tcPr>
          <w:p w:rsidR="007B2FDC" w:rsidRDefault="007B2FDC">
            <w:pPr>
              <w:rPr>
                <w:b/>
              </w:rPr>
            </w:pPr>
          </w:p>
        </w:tc>
      </w:tr>
      <w:tr w:rsidR="007B2FDC" w:rsidTr="00165891">
        <w:tc>
          <w:tcPr>
            <w:tcW w:w="1296" w:type="dxa"/>
          </w:tcPr>
          <w:p w:rsidR="007B2FDC" w:rsidRDefault="007B2FDC">
            <w:pPr>
              <w:rPr>
                <w:b/>
              </w:rPr>
            </w:pPr>
            <w:r>
              <w:rPr>
                <w:rFonts w:ascii="Arial" w:hAnsi="Arial"/>
                <w:b/>
              </w:rPr>
              <w:t>From</w:t>
            </w:r>
          </w:p>
        </w:tc>
        <w:tc>
          <w:tcPr>
            <w:tcW w:w="7722" w:type="dxa"/>
          </w:tcPr>
          <w:p w:rsidR="00E36239" w:rsidRDefault="00E36239" w:rsidP="00624F9F">
            <w:pPr>
              <w:rPr>
                <w:b/>
              </w:rPr>
            </w:pPr>
            <w:r>
              <w:t>Carissa Climaco</w:t>
            </w:r>
            <w:r w:rsidR="00624F9F">
              <w:t xml:space="preserve">, </w:t>
            </w:r>
            <w:r>
              <w:t>Jill Khadduri</w:t>
            </w:r>
            <w:r w:rsidR="00624F9F">
              <w:t xml:space="preserve"> (Abt Associates Inc.)</w:t>
            </w:r>
          </w:p>
        </w:tc>
      </w:tr>
      <w:tr w:rsidR="007B2FDC" w:rsidTr="00165891">
        <w:trPr>
          <w:gridAfter w:val="1"/>
          <w:wAfter w:w="7722" w:type="dxa"/>
          <w:cantSplit/>
        </w:trPr>
        <w:tc>
          <w:tcPr>
            <w:tcW w:w="1296" w:type="dxa"/>
          </w:tcPr>
          <w:p w:rsidR="007B2FDC" w:rsidRDefault="007B2FDC">
            <w:pPr>
              <w:rPr>
                <w:b/>
              </w:rPr>
            </w:pPr>
          </w:p>
        </w:tc>
      </w:tr>
      <w:tr w:rsidR="007B2FDC" w:rsidTr="00165891">
        <w:tc>
          <w:tcPr>
            <w:tcW w:w="1296" w:type="dxa"/>
          </w:tcPr>
          <w:p w:rsidR="007B2FDC" w:rsidRDefault="007B2FDC">
            <w:pPr>
              <w:rPr>
                <w:b/>
              </w:rPr>
            </w:pPr>
            <w:r>
              <w:rPr>
                <w:rFonts w:ascii="Arial" w:hAnsi="Arial"/>
                <w:b/>
              </w:rPr>
              <w:t>Subject</w:t>
            </w:r>
          </w:p>
        </w:tc>
        <w:tc>
          <w:tcPr>
            <w:tcW w:w="7722" w:type="dxa"/>
          </w:tcPr>
          <w:p w:rsidR="007B2FDC" w:rsidRDefault="00E36239">
            <w:pPr>
              <w:rPr>
                <w:b/>
              </w:rPr>
            </w:pPr>
            <w:r w:rsidRPr="00E36239">
              <w:rPr>
                <w:b/>
                <w:i/>
              </w:rPr>
              <w:t>Assessment of the LIHTC Program After 15 Years</w:t>
            </w:r>
            <w:r w:rsidRPr="00E36239">
              <w:t>; 201012-2528-003; OMB PRA Review Response to Questions</w:t>
            </w:r>
          </w:p>
        </w:tc>
      </w:tr>
    </w:tbl>
    <w:p w:rsidR="007B2FDC" w:rsidRDefault="007B2FDC"/>
    <w:p w:rsidR="007B2FDC" w:rsidRDefault="007B2FDC"/>
    <w:p w:rsidR="00E36239" w:rsidRDefault="00E36239" w:rsidP="00E36239">
      <w:pPr>
        <w:pStyle w:val="BodyText"/>
        <w:tabs>
          <w:tab w:val="clear" w:pos="720"/>
          <w:tab w:val="clear" w:pos="1080"/>
          <w:tab w:val="clear" w:pos="1800"/>
        </w:tabs>
      </w:pPr>
      <w:r>
        <w:t xml:space="preserve">We are in receipt of the questions from OMB regarding the OMB PRA submission for the owner survey for the </w:t>
      </w:r>
      <w:r w:rsidRPr="00E36239">
        <w:rPr>
          <w:b/>
          <w:i/>
        </w:rPr>
        <w:t>Assessment of the LIHTC Program After 15 Years</w:t>
      </w:r>
      <w:r>
        <w:t>.  Below are our responses.</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Pr>
          <w:b/>
          <w:i/>
        </w:rPr>
        <w:t>Question 1:</w:t>
      </w:r>
      <w:r>
        <w:rPr>
          <w:b/>
          <w:i/>
        </w:rPr>
        <w:tab/>
      </w:r>
      <w:r w:rsidRPr="00E36239">
        <w:rPr>
          <w:b/>
          <w:i/>
        </w:rPr>
        <w:t>It is not clear how relying on referrals from tax credit syndicators for selection is better than a statistical sample.  The referral method will almost surely bias the results and will not be generalizable to the larger universe of LIHTC properties facing the same decision of whether to continue to operate as a LIHTC property.  A 1/3 refusal is NOT a reason to abandon sampling.  Please explain how this method is superior to a statistical sampling method and add this explanation to part B.</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In preparing the OMB PRA submission for this study’s owner survey, it should have been stated and emphasized that this is primarily a qualitative study.  Analysis will be completed with data collected mainly through the use of discussion guides, interviews, and open-ended questions.  The decision to not rely on a sample of LIHTC property owners was in part based on the lack of data to use as the sampling frame.  The data source that represents the universe of rental properties placed into service with tax credits is the HUD National LIHTC Database.   Data on properties placed in service since 1995 are most complete.  Properties placed in service from 1987 to 1994, the years covered by this study, are largely missing data that would be used in sampling, including project size (number of units, number of bedrooms), presence of a nonprofit sponsor, and construction type (new construction, rehabilitation).</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Owner contact information from the HUD National LIHTC Database is also limited for these earliest LIHTC properties.  While the some contact data may be the result of annual updates to the database, most owner contact information for the 1987 to 1994 placed in service properties were collected in 1996, when the database was first completed.  It is unlikely that these contact data are current and usable to contact owners for the survey.</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 xml:space="preserve">In finding owners through syndicator referrals we have planned to request specific types of owners and property outcomes so as to be able to gather information on the range of typical property outcomes.  These typical property outcomes were learned of through discussions and data collection with tax credit syndicators.  The syndicators contacted to participate in the study included a mix of syndicators known in the tax credit industry as being active in the earliest years </w:t>
      </w:r>
      <w:r>
        <w:lastRenderedPageBreak/>
        <w:t>of the tax credit program.  Although none of the syndicators or owners would have been selected through a statistical sampling process, every effort has been and will be made to find the range of properties that represent the most typical outcomes for the LIHTC program’s earliest properties.</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sidRPr="00E36239">
        <w:rPr>
          <w:b/>
          <w:i/>
        </w:rPr>
        <w:t>Question 2:</w:t>
      </w:r>
      <w:r w:rsidRPr="00E36239">
        <w:rPr>
          <w:b/>
          <w:i/>
        </w:rPr>
        <w:tab/>
        <w:t>Please explain in Part B why HUD chose a sample size of 40.</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The decision to choose up to 40 owners to survey was based on budget.</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sidRPr="00E36239">
        <w:rPr>
          <w:b/>
          <w:i/>
        </w:rPr>
        <w:t>Question 3:</w:t>
      </w:r>
      <w:r w:rsidRPr="00E36239">
        <w:rPr>
          <w:b/>
          <w:i/>
        </w:rPr>
        <w:tab/>
        <w:t>Why does this PRA request not include the interviews of Tax Credit Syndicators?</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The syndicators and brokers contacted for the study had varying business structures, operations, and roles with the LIHTC program.  The PRA request does not include the interviews with tax credit syndicators and brokers because those interviews were actually less formal than a structured interview and more like exploratory discussions.  Because these were less formal and less structured discussions, we did not believe the interview and discussion guides needed to undertake a PRA review.</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sidRPr="00E36239">
        <w:rPr>
          <w:b/>
          <w:i/>
        </w:rPr>
        <w:t>Question 4:</w:t>
      </w:r>
      <w:r w:rsidRPr="00E36239">
        <w:rPr>
          <w:b/>
          <w:i/>
        </w:rPr>
        <w:tab/>
        <w:t>Please elaborate on how the data will be used.  Will it be made public?  Used for any reports?</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The data from the owner survey will be compiled for analysis and presented in a report.  Data that can be tabulated will be compiled into analysis tables.  Other data will be analyzed qualitatively, looking for themes and patterns that may be able to be post-coded and tabulated.  The data will not be made into a publicly-available data set.</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sidRPr="00E36239">
        <w:rPr>
          <w:b/>
          <w:i/>
        </w:rPr>
        <w:t>Question 5:</w:t>
      </w:r>
      <w:r w:rsidRPr="00E36239">
        <w:rPr>
          <w:b/>
          <w:i/>
        </w:rPr>
        <w:tab/>
        <w:t>Why does HUD believe previous LIHTC surveys had low response rates? Why does HUD believe that the same issue will arise with this survey.</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We believe that previous LIHTC surveys of owners had low response rates because owners do not have a relationship with HUD through the LIHTC program.  The LIHTC program is funded by the federal government through federal income tax credits.  HUD has overall responsibility for housing policy for low income renters, but HUD has limited responsibility with the LIHTC program.  For this reason, LIHTC property owners have had no motivation to participate in an owner survey.  Also, many LIHTC owners are business entities.  Businesses may be less open to respond to a survey to discuss their business operations.</w:t>
      </w:r>
    </w:p>
    <w:p w:rsidR="00E36239" w:rsidRDefault="00E36239" w:rsidP="00E36239">
      <w:pPr>
        <w:pStyle w:val="BodyText"/>
        <w:tabs>
          <w:tab w:val="clear" w:pos="720"/>
          <w:tab w:val="clear" w:pos="1080"/>
          <w:tab w:val="clear" w:pos="1800"/>
        </w:tabs>
      </w:pPr>
    </w:p>
    <w:p w:rsidR="00E36239" w:rsidRPr="00E36239" w:rsidRDefault="00E36239" w:rsidP="00E36239">
      <w:pPr>
        <w:pStyle w:val="BodyText"/>
        <w:tabs>
          <w:tab w:val="clear" w:pos="720"/>
          <w:tab w:val="clear" w:pos="1080"/>
          <w:tab w:val="clear" w:pos="1800"/>
        </w:tabs>
        <w:rPr>
          <w:b/>
          <w:i/>
        </w:rPr>
      </w:pPr>
      <w:r w:rsidRPr="00E36239">
        <w:rPr>
          <w:b/>
          <w:i/>
        </w:rPr>
        <w:t>Question 6:</w:t>
      </w:r>
      <w:r w:rsidRPr="00E36239">
        <w:rPr>
          <w:b/>
          <w:i/>
        </w:rPr>
        <w:tab/>
        <w:t>Is there any promise of confidentiality to respondents?</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Yes, there is a promise of confidentiality to respondents.  Potential respondents to the owner survey will be informed that:</w:t>
      </w:r>
    </w:p>
    <w:p w:rsidR="00E36239" w:rsidRDefault="00E36239" w:rsidP="00E36239">
      <w:pPr>
        <w:pStyle w:val="BodyText"/>
        <w:tabs>
          <w:tab w:val="clear" w:pos="720"/>
          <w:tab w:val="clear" w:pos="1080"/>
          <w:tab w:val="clear" w:pos="1800"/>
        </w:tabs>
      </w:pPr>
    </w:p>
    <w:p w:rsidR="00E36239" w:rsidRDefault="00201CA1" w:rsidP="00E36239">
      <w:pPr>
        <w:pStyle w:val="BodyText"/>
        <w:tabs>
          <w:tab w:val="clear" w:pos="720"/>
          <w:tab w:val="clear" w:pos="1080"/>
          <w:tab w:val="clear" w:pos="1800"/>
        </w:tabs>
        <w:ind w:left="990" w:hanging="270"/>
      </w:pPr>
      <w:r>
        <w:t>•</w:t>
      </w:r>
      <w:r>
        <w:tab/>
        <w:t>The information they</w:t>
      </w:r>
      <w:r w:rsidR="00E36239">
        <w:t xml:space="preserve"> provide will be kept confidential to the extent allowed by law.</w:t>
      </w:r>
    </w:p>
    <w:p w:rsidR="00E36239" w:rsidRDefault="00E36239" w:rsidP="00E36239">
      <w:pPr>
        <w:pStyle w:val="BodyText"/>
        <w:tabs>
          <w:tab w:val="clear" w:pos="720"/>
          <w:tab w:val="clear" w:pos="1080"/>
          <w:tab w:val="clear" w:pos="1800"/>
        </w:tabs>
        <w:ind w:left="990" w:hanging="270"/>
      </w:pPr>
      <w:r>
        <w:t>•</w:t>
      </w:r>
      <w:r>
        <w:tab/>
        <w:t>Data will only be presented in the aggregate.</w:t>
      </w:r>
    </w:p>
    <w:p w:rsidR="00E36239" w:rsidRDefault="00E36239" w:rsidP="00E36239">
      <w:pPr>
        <w:pStyle w:val="BodyText"/>
        <w:tabs>
          <w:tab w:val="clear" w:pos="720"/>
          <w:tab w:val="clear" w:pos="1080"/>
          <w:tab w:val="clear" w:pos="1800"/>
        </w:tabs>
        <w:ind w:left="990" w:hanging="270"/>
      </w:pPr>
      <w:r>
        <w:t>•</w:t>
      </w:r>
      <w:r>
        <w:tab/>
        <w:t>Participants will not be named in the research reports produced by the study, and no specific data will be attributed to specific survey respondents.</w:t>
      </w:r>
    </w:p>
    <w:p w:rsidR="00E36239" w:rsidRPr="00E36239" w:rsidRDefault="00E36239" w:rsidP="00E36239">
      <w:pPr>
        <w:pStyle w:val="BodyText"/>
        <w:tabs>
          <w:tab w:val="clear" w:pos="720"/>
          <w:tab w:val="clear" w:pos="1080"/>
          <w:tab w:val="clear" w:pos="1800"/>
        </w:tabs>
        <w:rPr>
          <w:b/>
          <w:i/>
        </w:rPr>
      </w:pPr>
      <w:r w:rsidRPr="00E36239">
        <w:rPr>
          <w:b/>
          <w:i/>
        </w:rPr>
        <w:t>Question 7:</w:t>
      </w:r>
      <w:r w:rsidRPr="00E36239">
        <w:rPr>
          <w:b/>
          <w:i/>
        </w:rPr>
        <w:tab/>
        <w:t>How does HUD plan to contact/recruit respondents? Will there be any contact with respondents in advance of the survey? Perhaps a fuller explanation of the recruitment process would be useful.</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In completing discussions with tax credit syndicators and brokers, we have now determined a range of property types from which we plan to base the selection of owners for the owner survey.  The criteria for property types include the nonprofit status of the owner entity, status of ownership transfer (property retained or sold), whether some sort of financial bailout occurred, location and market type (strong market/weak market, non-metro area), whether the property remained affordable or was repositioned, and whether there were extended affordability use restrictions.  A summary of the property types and the target number of interviews is presented in Table 1.  The target number of interviews was not determined by a statistical means.  The intent was to cover the range of property types.</w:t>
      </w:r>
    </w:p>
    <w:p w:rsidR="00E36239" w:rsidRDefault="00E36239" w:rsidP="00E36239">
      <w:pPr>
        <w:pStyle w:val="BodyText"/>
        <w:tabs>
          <w:tab w:val="clear" w:pos="720"/>
          <w:tab w:val="clear" w:pos="1080"/>
          <w:tab w:val="clear" w:pos="1800"/>
        </w:tabs>
      </w:pPr>
    </w:p>
    <w:p w:rsidR="00E36239" w:rsidRDefault="00E36239" w:rsidP="00E36239">
      <w:pPr>
        <w:pStyle w:val="BodyText"/>
        <w:tabs>
          <w:tab w:val="clear" w:pos="720"/>
          <w:tab w:val="clear" w:pos="1080"/>
          <w:tab w:val="clear" w:pos="1800"/>
        </w:tabs>
      </w:pPr>
      <w:r>
        <w:t>To find and recruit owners, we have reached out to syndicators interviewed for the study.  They were asked to please identify projects that met specified project types, and to also signify whether the owner may be willing to participate in the study by responding to an owner survey.  With the introduction from the syndicator, we hoped to be able to more readily find survey respondents.  In anticipation of conducting the owner survey, we have begun recruiting of some owners through our syndicator contacts.  The recruitment has proven to be challenging, and we have not yet been able to confirm an owner is willing to participate in the study.</w:t>
      </w:r>
    </w:p>
    <w:p w:rsidR="00E36239" w:rsidRDefault="00E36239" w:rsidP="00E36239">
      <w:pPr>
        <w:pStyle w:val="BodyText"/>
        <w:tabs>
          <w:tab w:val="clear" w:pos="720"/>
          <w:tab w:val="clear" w:pos="1080"/>
          <w:tab w:val="clear" w:pos="1800"/>
        </w:tabs>
      </w:pPr>
    </w:p>
    <w:p w:rsidR="00294228" w:rsidRDefault="00E36239" w:rsidP="00E36239">
      <w:pPr>
        <w:pStyle w:val="BodyText"/>
        <w:tabs>
          <w:tab w:val="clear" w:pos="720"/>
          <w:tab w:val="clear" w:pos="1080"/>
          <w:tab w:val="clear" w:pos="1800"/>
        </w:tabs>
      </w:pPr>
      <w:r>
        <w:t>We do not expect to be able to find owners solely through the syndicators.  After reviewing the list of potential owner interviewees found through syndicators, we have begun to look for areas of the country not represented in the syndicator-based list.  We intend to review the geographic distribution of early LIHTC properties based on location data in the HUD National LIHTC Database.  We will contact state allocating agencies to ask if they would be able to identify specific owners based on property type.  Industry contacts have also expressed interest in the study, and if needed, we will contact them for potential owner survey respondents.  We are very mindful of the need to cover the range of property types we have identified, and although selection of the owners will not be based on statistical sampling, we do not expect any bias in selecting owner</w:t>
      </w:r>
      <w:r w:rsidR="00B83984">
        <w:t>s</w:t>
      </w:r>
      <w:r>
        <w:t xml:space="preserve"> for the survey.</w:t>
      </w:r>
    </w:p>
    <w:p w:rsidR="00201CA1" w:rsidRDefault="00201CA1" w:rsidP="00E36239">
      <w:pPr>
        <w:pStyle w:val="BodyText"/>
        <w:tabs>
          <w:tab w:val="clear" w:pos="720"/>
          <w:tab w:val="clear" w:pos="1080"/>
          <w:tab w:val="clear" w:pos="1800"/>
        </w:tabs>
      </w:pPr>
    </w:p>
    <w:p w:rsidR="00201CA1" w:rsidRDefault="00201CA1" w:rsidP="00E36239">
      <w:pPr>
        <w:pStyle w:val="BodyText"/>
        <w:tabs>
          <w:tab w:val="clear" w:pos="720"/>
          <w:tab w:val="clear" w:pos="1080"/>
          <w:tab w:val="clear" w:pos="1800"/>
        </w:tabs>
        <w:sectPr w:rsidR="00201CA1">
          <w:headerReference w:type="default" r:id="rId9"/>
          <w:footerReference w:type="default" r:id="rId10"/>
          <w:headerReference w:type="first" r:id="rId11"/>
          <w:footerReference w:type="first" r:id="rId12"/>
          <w:pgSz w:w="12240" w:h="15840" w:code="1"/>
          <w:pgMar w:top="1440" w:right="1440" w:bottom="576" w:left="2160" w:header="720" w:footer="360" w:gutter="0"/>
          <w:cols w:space="720"/>
          <w:titlePg/>
        </w:sect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2"/>
        <w:gridCol w:w="1440"/>
        <w:gridCol w:w="1386"/>
        <w:gridCol w:w="1530"/>
        <w:gridCol w:w="1764"/>
        <w:gridCol w:w="1440"/>
        <w:gridCol w:w="1530"/>
        <w:gridCol w:w="1710"/>
        <w:gridCol w:w="1386"/>
      </w:tblGrid>
      <w:tr w:rsidR="00201CA1" w:rsidRPr="001A6545" w:rsidTr="00201CA1">
        <w:trPr>
          <w:cantSplit/>
          <w:tblHeader/>
          <w:jc w:val="center"/>
        </w:trPr>
        <w:tc>
          <w:tcPr>
            <w:tcW w:w="13608" w:type="dxa"/>
            <w:gridSpan w:val="9"/>
            <w:tcBorders>
              <w:top w:val="nil"/>
              <w:left w:val="nil"/>
              <w:right w:val="nil"/>
            </w:tcBorders>
          </w:tcPr>
          <w:p w:rsidR="00201CA1" w:rsidRDefault="00201CA1" w:rsidP="00382095">
            <w:pPr>
              <w:rPr>
                <w:rFonts w:ascii="Arial" w:hAnsi="Arial" w:cs="Arial"/>
                <w:b/>
              </w:rPr>
            </w:pPr>
            <w:r>
              <w:rPr>
                <w:rFonts w:ascii="Arial" w:hAnsi="Arial" w:cs="Arial"/>
                <w:b/>
              </w:rPr>
              <w:t>Table 1:</w:t>
            </w:r>
            <w:r>
              <w:rPr>
                <w:rFonts w:ascii="Arial" w:hAnsi="Arial" w:cs="Arial"/>
                <w:b/>
              </w:rPr>
              <w:tab/>
              <w:t xml:space="preserve">LIHTC 15-Year Study </w:t>
            </w:r>
            <w:r w:rsidRPr="00D95D01">
              <w:rPr>
                <w:rFonts w:ascii="Arial" w:hAnsi="Arial" w:cs="Arial"/>
                <w:b/>
              </w:rPr>
              <w:t xml:space="preserve">Project </w:t>
            </w:r>
            <w:r>
              <w:rPr>
                <w:rFonts w:ascii="Arial" w:hAnsi="Arial" w:cs="Arial"/>
                <w:b/>
              </w:rPr>
              <w:t xml:space="preserve">and Owner </w:t>
            </w:r>
            <w:r w:rsidRPr="00D95D01">
              <w:rPr>
                <w:rFonts w:ascii="Arial" w:hAnsi="Arial" w:cs="Arial"/>
                <w:b/>
              </w:rPr>
              <w:t>Select</w:t>
            </w:r>
            <w:r>
              <w:rPr>
                <w:rFonts w:ascii="Arial" w:hAnsi="Arial" w:cs="Arial"/>
                <w:b/>
              </w:rPr>
              <w:t>ion Approach</w:t>
            </w:r>
          </w:p>
          <w:p w:rsidR="00201CA1" w:rsidRPr="001A6545" w:rsidRDefault="00201CA1" w:rsidP="00382095">
            <w:pPr>
              <w:rPr>
                <w:rFonts w:ascii="Arial" w:hAnsi="Arial" w:cs="Arial"/>
                <w:b/>
                <w:sz w:val="18"/>
                <w:szCs w:val="18"/>
              </w:rPr>
            </w:pPr>
          </w:p>
        </w:tc>
      </w:tr>
      <w:tr w:rsidR="00201CA1" w:rsidRPr="001A6545" w:rsidTr="00DE657E">
        <w:trPr>
          <w:cantSplit/>
          <w:tblHeader/>
          <w:jc w:val="center"/>
        </w:trPr>
        <w:tc>
          <w:tcPr>
            <w:tcW w:w="1422" w:type="dxa"/>
          </w:tcPr>
          <w:p w:rsidR="00201CA1" w:rsidRPr="001A6545" w:rsidRDefault="00201CA1" w:rsidP="00382095">
            <w:pPr>
              <w:rPr>
                <w:rFonts w:ascii="Arial" w:hAnsi="Arial" w:cs="Arial"/>
                <w:b/>
                <w:sz w:val="18"/>
                <w:szCs w:val="18"/>
              </w:rPr>
            </w:pPr>
            <w:r w:rsidRPr="001A6545">
              <w:rPr>
                <w:rFonts w:ascii="Arial" w:hAnsi="Arial" w:cs="Arial"/>
                <w:b/>
                <w:sz w:val="18"/>
                <w:szCs w:val="18"/>
              </w:rPr>
              <w:t>Owner Type when  Project was Placed in Service</w:t>
            </w:r>
          </w:p>
        </w:tc>
        <w:tc>
          <w:tcPr>
            <w:tcW w:w="1440" w:type="dxa"/>
          </w:tcPr>
          <w:p w:rsidR="00201CA1" w:rsidRPr="001A6545" w:rsidRDefault="00201CA1" w:rsidP="00382095">
            <w:pPr>
              <w:rPr>
                <w:rFonts w:ascii="Arial" w:hAnsi="Arial" w:cs="Arial"/>
                <w:b/>
                <w:sz w:val="18"/>
                <w:szCs w:val="18"/>
              </w:rPr>
            </w:pPr>
            <w:r w:rsidRPr="001A6545">
              <w:rPr>
                <w:rFonts w:ascii="Arial" w:hAnsi="Arial" w:cs="Arial"/>
                <w:b/>
                <w:sz w:val="18"/>
                <w:szCs w:val="18"/>
              </w:rPr>
              <w:t>Status of Ownership Transfer</w:t>
            </w:r>
          </w:p>
        </w:tc>
        <w:tc>
          <w:tcPr>
            <w:tcW w:w="1386" w:type="dxa"/>
          </w:tcPr>
          <w:p w:rsidR="00201CA1" w:rsidRPr="001A6545" w:rsidRDefault="00201CA1" w:rsidP="00382095">
            <w:pPr>
              <w:rPr>
                <w:rFonts w:ascii="Arial" w:hAnsi="Arial" w:cs="Arial"/>
                <w:b/>
                <w:sz w:val="18"/>
                <w:szCs w:val="18"/>
              </w:rPr>
            </w:pPr>
            <w:r w:rsidRPr="001A6545">
              <w:rPr>
                <w:rFonts w:ascii="Arial" w:hAnsi="Arial" w:cs="Arial"/>
                <w:b/>
                <w:sz w:val="18"/>
                <w:szCs w:val="18"/>
              </w:rPr>
              <w:t>Did a Bailout Occur?</w:t>
            </w:r>
          </w:p>
        </w:tc>
        <w:tc>
          <w:tcPr>
            <w:tcW w:w="1530" w:type="dxa"/>
          </w:tcPr>
          <w:p w:rsidR="00201CA1" w:rsidRPr="001A6545" w:rsidRDefault="00201CA1" w:rsidP="00382095">
            <w:pPr>
              <w:rPr>
                <w:rFonts w:ascii="Arial" w:hAnsi="Arial" w:cs="Arial"/>
                <w:b/>
                <w:sz w:val="18"/>
                <w:szCs w:val="18"/>
              </w:rPr>
            </w:pPr>
            <w:r w:rsidRPr="001A6545">
              <w:rPr>
                <w:rFonts w:ascii="Arial" w:hAnsi="Arial" w:cs="Arial"/>
                <w:b/>
                <w:sz w:val="18"/>
                <w:szCs w:val="18"/>
              </w:rPr>
              <w:t>Market Type</w:t>
            </w:r>
          </w:p>
        </w:tc>
        <w:tc>
          <w:tcPr>
            <w:tcW w:w="1764" w:type="dxa"/>
          </w:tcPr>
          <w:p w:rsidR="00201CA1" w:rsidRPr="001A6545" w:rsidRDefault="00201CA1" w:rsidP="00382095">
            <w:pPr>
              <w:rPr>
                <w:rFonts w:ascii="Arial" w:hAnsi="Arial" w:cs="Arial"/>
                <w:b/>
                <w:sz w:val="18"/>
                <w:szCs w:val="18"/>
              </w:rPr>
            </w:pPr>
            <w:r w:rsidRPr="001A6545">
              <w:rPr>
                <w:rFonts w:ascii="Arial" w:hAnsi="Arial" w:cs="Arial"/>
                <w:b/>
                <w:sz w:val="18"/>
                <w:szCs w:val="18"/>
              </w:rPr>
              <w:t>Value after 15 Y</w:t>
            </w:r>
            <w:r w:rsidR="00DE657E">
              <w:rPr>
                <w:rFonts w:ascii="Arial" w:hAnsi="Arial" w:cs="Arial"/>
                <w:b/>
                <w:sz w:val="18"/>
                <w:szCs w:val="18"/>
              </w:rPr>
              <w:t>ea</w:t>
            </w:r>
            <w:r w:rsidRPr="001A6545">
              <w:rPr>
                <w:rFonts w:ascii="Arial" w:hAnsi="Arial" w:cs="Arial"/>
                <w:b/>
                <w:sz w:val="18"/>
                <w:szCs w:val="18"/>
              </w:rPr>
              <w:t>rs (Potential to sell for profit in excess of debt)</w:t>
            </w:r>
          </w:p>
        </w:tc>
        <w:tc>
          <w:tcPr>
            <w:tcW w:w="1440" w:type="dxa"/>
          </w:tcPr>
          <w:p w:rsidR="00201CA1" w:rsidRPr="001A6545" w:rsidRDefault="00201CA1" w:rsidP="00382095">
            <w:pPr>
              <w:rPr>
                <w:rFonts w:ascii="Arial" w:hAnsi="Arial" w:cs="Arial"/>
                <w:b/>
                <w:sz w:val="18"/>
                <w:szCs w:val="18"/>
              </w:rPr>
            </w:pPr>
            <w:r w:rsidRPr="001A6545">
              <w:rPr>
                <w:rFonts w:ascii="Arial" w:hAnsi="Arial" w:cs="Arial"/>
                <w:b/>
                <w:sz w:val="18"/>
                <w:szCs w:val="18"/>
              </w:rPr>
              <w:t>New Target Market</w:t>
            </w:r>
          </w:p>
        </w:tc>
        <w:tc>
          <w:tcPr>
            <w:tcW w:w="1530" w:type="dxa"/>
          </w:tcPr>
          <w:p w:rsidR="00201CA1" w:rsidRPr="001A6545" w:rsidRDefault="00201CA1" w:rsidP="00382095">
            <w:pPr>
              <w:rPr>
                <w:rFonts w:ascii="Arial" w:hAnsi="Arial" w:cs="Arial"/>
                <w:b/>
                <w:sz w:val="18"/>
                <w:szCs w:val="18"/>
              </w:rPr>
            </w:pPr>
            <w:r w:rsidRPr="001A6545">
              <w:rPr>
                <w:rFonts w:ascii="Arial" w:hAnsi="Arial" w:cs="Arial"/>
                <w:b/>
                <w:sz w:val="18"/>
                <w:szCs w:val="18"/>
              </w:rPr>
              <w:t>Use Restrictions</w:t>
            </w:r>
          </w:p>
        </w:tc>
        <w:tc>
          <w:tcPr>
            <w:tcW w:w="1710" w:type="dxa"/>
          </w:tcPr>
          <w:p w:rsidR="00201CA1" w:rsidRPr="001A6545" w:rsidRDefault="00201CA1" w:rsidP="00382095">
            <w:pPr>
              <w:rPr>
                <w:rFonts w:ascii="Arial" w:hAnsi="Arial" w:cs="Arial"/>
                <w:b/>
                <w:sz w:val="18"/>
                <w:szCs w:val="18"/>
              </w:rPr>
            </w:pPr>
            <w:r w:rsidRPr="001A6545">
              <w:rPr>
                <w:rFonts w:ascii="Arial" w:hAnsi="Arial" w:cs="Arial"/>
                <w:b/>
                <w:sz w:val="18"/>
                <w:szCs w:val="18"/>
              </w:rPr>
              <w:t>What We Want to Learn</w:t>
            </w:r>
          </w:p>
        </w:tc>
        <w:tc>
          <w:tcPr>
            <w:tcW w:w="1386" w:type="dxa"/>
          </w:tcPr>
          <w:p w:rsidR="00201CA1" w:rsidRPr="001A6545" w:rsidRDefault="00201CA1" w:rsidP="00382095">
            <w:pPr>
              <w:rPr>
                <w:rFonts w:ascii="Arial" w:hAnsi="Arial" w:cs="Arial"/>
                <w:b/>
                <w:sz w:val="18"/>
                <w:szCs w:val="18"/>
              </w:rPr>
            </w:pPr>
            <w:r>
              <w:rPr>
                <w:rFonts w:ascii="Arial" w:hAnsi="Arial" w:cs="Arial"/>
                <w:b/>
                <w:sz w:val="18"/>
                <w:szCs w:val="18"/>
              </w:rPr>
              <w:t>Target Number of Interviews</w:t>
            </w:r>
          </w:p>
        </w:tc>
      </w:tr>
      <w:tr w:rsidR="00201CA1" w:rsidRPr="001A6545" w:rsidTr="00201CA1">
        <w:trPr>
          <w:trHeight w:val="314"/>
          <w:jc w:val="center"/>
        </w:trPr>
        <w:tc>
          <w:tcPr>
            <w:tcW w:w="13608" w:type="dxa"/>
            <w:gridSpan w:val="9"/>
            <w:vAlign w:val="center"/>
          </w:tcPr>
          <w:p w:rsidR="00201CA1" w:rsidRPr="001A6545" w:rsidRDefault="00201CA1" w:rsidP="00201CA1">
            <w:pPr>
              <w:rPr>
                <w:b/>
                <w:i/>
                <w:sz w:val="18"/>
                <w:szCs w:val="18"/>
              </w:rPr>
            </w:pPr>
            <w:r w:rsidRPr="001A6545">
              <w:rPr>
                <w:b/>
                <w:i/>
                <w:sz w:val="18"/>
                <w:szCs w:val="18"/>
              </w:rPr>
              <w:t xml:space="preserve">These </w:t>
            </w:r>
            <w:r>
              <w:rPr>
                <w:b/>
                <w:i/>
                <w:sz w:val="18"/>
                <w:szCs w:val="18"/>
              </w:rPr>
              <w:t>five</w:t>
            </w:r>
            <w:r w:rsidRPr="001A6545">
              <w:rPr>
                <w:b/>
                <w:i/>
                <w:sz w:val="18"/>
                <w:szCs w:val="18"/>
              </w:rPr>
              <w:t xml:space="preserve"> types represent the greatest proportion of LIHTC properties (retained by </w:t>
            </w:r>
            <w:r>
              <w:rPr>
                <w:b/>
                <w:i/>
                <w:sz w:val="18"/>
                <w:szCs w:val="18"/>
              </w:rPr>
              <w:t>General Partner (</w:t>
            </w:r>
            <w:r w:rsidRPr="001A6545">
              <w:rPr>
                <w:b/>
                <w:i/>
                <w:sz w:val="18"/>
                <w:szCs w:val="18"/>
              </w:rPr>
              <w:t>GP</w:t>
            </w:r>
            <w:r>
              <w:rPr>
                <w:b/>
                <w:i/>
                <w:sz w:val="18"/>
                <w:szCs w:val="18"/>
              </w:rPr>
              <w:t>)</w:t>
            </w:r>
            <w:r w:rsidRPr="001A6545">
              <w:rPr>
                <w:b/>
                <w:i/>
                <w:sz w:val="18"/>
                <w:szCs w:val="18"/>
              </w:rPr>
              <w:t>, remaining affordable)</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Nonprofit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Strong market</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Nonprofit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Average, weak</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For 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Strong</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For 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Average, weak</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r w:rsidRPr="001A6545">
              <w:rPr>
                <w:sz w:val="18"/>
                <w:szCs w:val="18"/>
              </w:rPr>
              <w:t>Extended Use</w:t>
            </w: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DE657E">
        <w:trPr>
          <w:cantSplit/>
          <w:jc w:val="center"/>
        </w:trPr>
        <w:tc>
          <w:tcPr>
            <w:tcW w:w="1422" w:type="dxa"/>
          </w:tcPr>
          <w:p w:rsidR="00201CA1" w:rsidRPr="001A6545" w:rsidRDefault="00201CA1" w:rsidP="00382095">
            <w:pPr>
              <w:rPr>
                <w:sz w:val="18"/>
                <w:szCs w:val="18"/>
              </w:rPr>
            </w:pPr>
            <w:r w:rsidRPr="001A6545">
              <w:rPr>
                <w:sz w:val="18"/>
                <w:szCs w:val="18"/>
              </w:rPr>
              <w:t>For 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r w:rsidRPr="001A6545">
              <w:rPr>
                <w:sz w:val="18"/>
                <w:szCs w:val="18"/>
              </w:rPr>
              <w:t xml:space="preserve">Affordable </w:t>
            </w:r>
          </w:p>
        </w:tc>
        <w:tc>
          <w:tcPr>
            <w:tcW w:w="1530" w:type="dxa"/>
          </w:tcPr>
          <w:p w:rsidR="00201CA1" w:rsidRPr="001A6545" w:rsidRDefault="00201CA1" w:rsidP="00382095">
            <w:pPr>
              <w:rPr>
                <w:sz w:val="18"/>
                <w:szCs w:val="18"/>
              </w:rPr>
            </w:pPr>
            <w:r w:rsidRPr="001A6545">
              <w:rPr>
                <w:sz w:val="18"/>
                <w:szCs w:val="18"/>
              </w:rPr>
              <w:t>No extended use</w:t>
            </w:r>
          </w:p>
        </w:tc>
        <w:tc>
          <w:tcPr>
            <w:tcW w:w="1710" w:type="dxa"/>
          </w:tcPr>
          <w:p w:rsidR="00201CA1" w:rsidRDefault="00201CA1" w:rsidP="00382095">
            <w:pPr>
              <w:rPr>
                <w:sz w:val="18"/>
                <w:szCs w:val="18"/>
              </w:rPr>
            </w:pPr>
            <w:r w:rsidRPr="001A6545">
              <w:rPr>
                <w:sz w:val="18"/>
                <w:szCs w:val="18"/>
              </w:rPr>
              <w:t>Risk of failing or being l</w:t>
            </w:r>
            <w:r>
              <w:rPr>
                <w:sz w:val="18"/>
                <w:szCs w:val="18"/>
              </w:rPr>
              <w:t>ost as affordable;</w:t>
            </w:r>
          </w:p>
          <w:p w:rsidR="00201CA1" w:rsidRPr="001A6545" w:rsidRDefault="00201CA1" w:rsidP="00382095">
            <w:pPr>
              <w:rPr>
                <w:sz w:val="18"/>
                <w:szCs w:val="18"/>
              </w:rPr>
            </w:pPr>
            <w:r w:rsidRPr="001A6545">
              <w:rPr>
                <w:sz w:val="18"/>
                <w:szCs w:val="18"/>
              </w:rPr>
              <w:t>if/how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201CA1">
        <w:trPr>
          <w:trHeight w:val="269"/>
          <w:jc w:val="center"/>
        </w:trPr>
        <w:tc>
          <w:tcPr>
            <w:tcW w:w="13608" w:type="dxa"/>
            <w:gridSpan w:val="9"/>
            <w:vAlign w:val="center"/>
          </w:tcPr>
          <w:p w:rsidR="00201CA1" w:rsidRPr="00D95D01" w:rsidRDefault="00201CA1" w:rsidP="00201CA1">
            <w:pPr>
              <w:rPr>
                <w:sz w:val="18"/>
                <w:szCs w:val="18"/>
              </w:rPr>
            </w:pPr>
            <w:r w:rsidRPr="00D95D01">
              <w:rPr>
                <w:b/>
                <w:i/>
                <w:sz w:val="18"/>
                <w:szCs w:val="18"/>
              </w:rPr>
              <w:t xml:space="preserve">These </w:t>
            </w:r>
            <w:r>
              <w:rPr>
                <w:b/>
                <w:i/>
                <w:sz w:val="18"/>
                <w:szCs w:val="18"/>
              </w:rPr>
              <w:t>two</w:t>
            </w:r>
            <w:r w:rsidRPr="00D95D01">
              <w:rPr>
                <w:b/>
                <w:i/>
                <w:sz w:val="18"/>
                <w:szCs w:val="18"/>
              </w:rPr>
              <w:t xml:space="preserve"> types are bailouts which may be indicative of the kinds of problems more properties will have over time as they ag</w:t>
            </w:r>
            <w:r>
              <w:rPr>
                <w:b/>
                <w:i/>
                <w:sz w:val="18"/>
                <w:szCs w:val="18"/>
              </w:rPr>
              <w:t>e</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Nonprofit</w:t>
            </w:r>
          </w:p>
        </w:tc>
        <w:tc>
          <w:tcPr>
            <w:tcW w:w="1440" w:type="dxa"/>
          </w:tcPr>
          <w:p w:rsidR="00201CA1" w:rsidRPr="001A6545" w:rsidRDefault="00201CA1" w:rsidP="00382095">
            <w:pPr>
              <w:rPr>
                <w:sz w:val="18"/>
                <w:szCs w:val="18"/>
              </w:rPr>
            </w:pPr>
          </w:p>
        </w:tc>
        <w:tc>
          <w:tcPr>
            <w:tcW w:w="1386" w:type="dxa"/>
          </w:tcPr>
          <w:p w:rsidR="00201CA1" w:rsidRPr="001A6545" w:rsidRDefault="00201CA1" w:rsidP="00382095">
            <w:pPr>
              <w:rPr>
                <w:sz w:val="18"/>
                <w:szCs w:val="18"/>
              </w:rPr>
            </w:pPr>
            <w:r w:rsidRPr="001A6545">
              <w:rPr>
                <w:sz w:val="18"/>
                <w:szCs w:val="18"/>
              </w:rPr>
              <w:t>Yes</w:t>
            </w:r>
          </w:p>
        </w:tc>
        <w:tc>
          <w:tcPr>
            <w:tcW w:w="1530" w:type="dxa"/>
          </w:tcPr>
          <w:p w:rsidR="00201CA1" w:rsidRPr="001A6545" w:rsidRDefault="00201CA1" w:rsidP="00382095">
            <w:pPr>
              <w:rPr>
                <w:sz w:val="18"/>
                <w:szCs w:val="18"/>
              </w:rPr>
            </w:pPr>
          </w:p>
        </w:tc>
        <w:tc>
          <w:tcPr>
            <w:tcW w:w="1764" w:type="dxa"/>
          </w:tcPr>
          <w:p w:rsidR="00201CA1" w:rsidRPr="001A6545" w:rsidRDefault="00201CA1" w:rsidP="00382095">
            <w:pPr>
              <w:rPr>
                <w:sz w:val="18"/>
                <w:szCs w:val="18"/>
              </w:rPr>
            </w:pPr>
            <w:r w:rsidRPr="001A6545">
              <w:rPr>
                <w:i/>
                <w:sz w:val="18"/>
                <w:szCs w:val="18"/>
              </w:rPr>
              <w:t>To be learned</w:t>
            </w:r>
          </w:p>
        </w:tc>
        <w:tc>
          <w:tcPr>
            <w:tcW w:w="1440" w:type="dxa"/>
          </w:tcPr>
          <w:p w:rsidR="00201CA1" w:rsidRPr="001A6545" w:rsidRDefault="00201CA1" w:rsidP="00382095">
            <w:pPr>
              <w:rPr>
                <w:sz w:val="18"/>
                <w:szCs w:val="18"/>
              </w:rPr>
            </w:pP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sidRPr="001A6545">
              <w:rPr>
                <w:sz w:val="18"/>
                <w:szCs w:val="18"/>
              </w:rPr>
              <w:t>Risk of failin</w:t>
            </w:r>
            <w:r>
              <w:rPr>
                <w:sz w:val="18"/>
                <w:szCs w:val="18"/>
              </w:rPr>
              <w:t>g;</w:t>
            </w:r>
          </w:p>
          <w:p w:rsidR="00201CA1" w:rsidRPr="001A6545" w:rsidRDefault="00201CA1" w:rsidP="00382095">
            <w:pPr>
              <w:rPr>
                <w:sz w:val="18"/>
                <w:szCs w:val="18"/>
              </w:rPr>
            </w:pPr>
            <w:r w:rsidRPr="001A6545">
              <w:rPr>
                <w:sz w:val="18"/>
                <w:szCs w:val="18"/>
              </w:rPr>
              <w:t>if/how refin</w:t>
            </w:r>
            <w:r>
              <w:rPr>
                <w:sz w:val="18"/>
                <w:szCs w:val="18"/>
              </w:rPr>
              <w:t>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DE657E">
        <w:trPr>
          <w:jc w:val="center"/>
        </w:trPr>
        <w:tc>
          <w:tcPr>
            <w:tcW w:w="1422" w:type="dxa"/>
          </w:tcPr>
          <w:p w:rsidR="00201CA1" w:rsidRPr="001A6545" w:rsidRDefault="00201CA1" w:rsidP="00382095">
            <w:pPr>
              <w:rPr>
                <w:sz w:val="18"/>
                <w:szCs w:val="18"/>
              </w:rPr>
            </w:pPr>
            <w:r w:rsidRPr="001A6545">
              <w:rPr>
                <w:sz w:val="18"/>
                <w:szCs w:val="18"/>
              </w:rPr>
              <w:t>For profit</w:t>
            </w:r>
          </w:p>
        </w:tc>
        <w:tc>
          <w:tcPr>
            <w:tcW w:w="1440" w:type="dxa"/>
          </w:tcPr>
          <w:p w:rsidR="00201CA1" w:rsidRPr="001A6545" w:rsidRDefault="00201CA1" w:rsidP="00382095">
            <w:pPr>
              <w:rPr>
                <w:sz w:val="18"/>
                <w:szCs w:val="18"/>
              </w:rPr>
            </w:pPr>
          </w:p>
        </w:tc>
        <w:tc>
          <w:tcPr>
            <w:tcW w:w="1386" w:type="dxa"/>
          </w:tcPr>
          <w:p w:rsidR="00201CA1" w:rsidRPr="001A6545" w:rsidRDefault="00201CA1" w:rsidP="00382095">
            <w:pPr>
              <w:rPr>
                <w:sz w:val="18"/>
                <w:szCs w:val="18"/>
              </w:rPr>
            </w:pPr>
            <w:r w:rsidRPr="001A6545">
              <w:rPr>
                <w:sz w:val="18"/>
                <w:szCs w:val="18"/>
              </w:rPr>
              <w:t>Yes</w:t>
            </w:r>
          </w:p>
        </w:tc>
        <w:tc>
          <w:tcPr>
            <w:tcW w:w="1530" w:type="dxa"/>
          </w:tcPr>
          <w:p w:rsidR="00201CA1" w:rsidRPr="001A6545" w:rsidRDefault="00201CA1" w:rsidP="00382095">
            <w:pPr>
              <w:rPr>
                <w:sz w:val="18"/>
                <w:szCs w:val="18"/>
              </w:rPr>
            </w:pPr>
          </w:p>
        </w:tc>
        <w:tc>
          <w:tcPr>
            <w:tcW w:w="1764" w:type="dxa"/>
          </w:tcPr>
          <w:p w:rsidR="00201CA1" w:rsidRPr="001A6545" w:rsidRDefault="00201CA1" w:rsidP="00382095">
            <w:pPr>
              <w:rPr>
                <w:sz w:val="18"/>
                <w:szCs w:val="18"/>
              </w:rPr>
            </w:pPr>
            <w:r w:rsidRPr="001A6545">
              <w:rPr>
                <w:i/>
                <w:sz w:val="18"/>
                <w:szCs w:val="18"/>
              </w:rPr>
              <w:t>To be learned</w:t>
            </w:r>
          </w:p>
        </w:tc>
        <w:tc>
          <w:tcPr>
            <w:tcW w:w="1440" w:type="dxa"/>
          </w:tcPr>
          <w:p w:rsidR="00201CA1" w:rsidRPr="001A6545" w:rsidRDefault="00201CA1" w:rsidP="00382095">
            <w:pPr>
              <w:rPr>
                <w:sz w:val="18"/>
                <w:szCs w:val="18"/>
              </w:rPr>
            </w:pP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refin</w:t>
            </w:r>
            <w:r>
              <w:rPr>
                <w:sz w:val="18"/>
                <w:szCs w:val="18"/>
              </w:rPr>
              <w:t>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201CA1">
        <w:trPr>
          <w:trHeight w:val="314"/>
          <w:jc w:val="center"/>
        </w:trPr>
        <w:tc>
          <w:tcPr>
            <w:tcW w:w="13608" w:type="dxa"/>
            <w:gridSpan w:val="9"/>
            <w:vAlign w:val="center"/>
          </w:tcPr>
          <w:p w:rsidR="00201CA1" w:rsidRPr="00D95D01" w:rsidRDefault="00201CA1" w:rsidP="00201CA1">
            <w:pPr>
              <w:rPr>
                <w:sz w:val="18"/>
                <w:szCs w:val="18"/>
              </w:rPr>
            </w:pPr>
            <w:r w:rsidRPr="00D95D01">
              <w:rPr>
                <w:b/>
                <w:i/>
                <w:sz w:val="18"/>
                <w:szCs w:val="18"/>
              </w:rPr>
              <w:t>These are</w:t>
            </w:r>
            <w:r>
              <w:rPr>
                <w:b/>
                <w:i/>
                <w:sz w:val="18"/>
                <w:szCs w:val="18"/>
              </w:rPr>
              <w:t xml:space="preserve"> two</w:t>
            </w:r>
            <w:r w:rsidR="00DE657E">
              <w:rPr>
                <w:b/>
                <w:i/>
                <w:sz w:val="18"/>
                <w:szCs w:val="18"/>
              </w:rPr>
              <w:t xml:space="preserve"> kinds of non-metro projects. (A</w:t>
            </w:r>
            <w:r w:rsidRPr="00D95D01">
              <w:rPr>
                <w:b/>
                <w:i/>
                <w:sz w:val="18"/>
                <w:szCs w:val="18"/>
              </w:rPr>
              <w:t>ll to be non-Farmers Home)</w:t>
            </w:r>
          </w:p>
        </w:tc>
      </w:tr>
      <w:tr w:rsidR="00201CA1" w:rsidRPr="001A6545" w:rsidTr="00DE657E">
        <w:trPr>
          <w:jc w:val="center"/>
        </w:trPr>
        <w:tc>
          <w:tcPr>
            <w:tcW w:w="1422" w:type="dxa"/>
          </w:tcPr>
          <w:p w:rsidR="00201CA1" w:rsidRPr="001A6545" w:rsidRDefault="00201CA1" w:rsidP="00382095">
            <w:pPr>
              <w:rPr>
                <w:sz w:val="18"/>
                <w:szCs w:val="18"/>
              </w:rPr>
            </w:pPr>
            <w:r>
              <w:rPr>
                <w:sz w:val="18"/>
                <w:szCs w:val="18"/>
              </w:rPr>
              <w:t>Likely F</w:t>
            </w:r>
            <w:r w:rsidRPr="001A6545">
              <w:rPr>
                <w:sz w:val="18"/>
                <w:szCs w:val="18"/>
              </w:rPr>
              <w:t>or profit</w:t>
            </w:r>
          </w:p>
        </w:tc>
        <w:tc>
          <w:tcPr>
            <w:tcW w:w="1440" w:type="dxa"/>
          </w:tcPr>
          <w:p w:rsidR="00201CA1" w:rsidRPr="001A6545" w:rsidRDefault="00201CA1" w:rsidP="00382095">
            <w:pPr>
              <w:rPr>
                <w:sz w:val="18"/>
                <w:szCs w:val="18"/>
              </w:rPr>
            </w:pPr>
            <w:r w:rsidRPr="001A6545">
              <w:rPr>
                <w:sz w:val="18"/>
                <w:szCs w:val="18"/>
              </w:rPr>
              <w:t>GP retains</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Non-metro</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p>
        </w:tc>
        <w:tc>
          <w:tcPr>
            <w:tcW w:w="1530" w:type="dxa"/>
          </w:tcPr>
          <w:p w:rsidR="00201CA1" w:rsidRPr="001A6545" w:rsidRDefault="00201CA1" w:rsidP="00382095">
            <w:pPr>
              <w:rPr>
                <w:sz w:val="18"/>
                <w:szCs w:val="18"/>
              </w:rPr>
            </w:pP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sidRPr="001A6545">
              <w:rPr>
                <w:sz w:val="18"/>
                <w:szCs w:val="18"/>
              </w:rPr>
              <w:t>if/how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4</w:t>
            </w:r>
          </w:p>
        </w:tc>
      </w:tr>
      <w:tr w:rsidR="00201CA1" w:rsidRPr="001A6545" w:rsidTr="00DE657E">
        <w:trPr>
          <w:jc w:val="center"/>
        </w:trPr>
        <w:tc>
          <w:tcPr>
            <w:tcW w:w="1422" w:type="dxa"/>
          </w:tcPr>
          <w:p w:rsidR="00201CA1" w:rsidRPr="001A6545" w:rsidRDefault="00201CA1" w:rsidP="00382095">
            <w:pPr>
              <w:rPr>
                <w:sz w:val="18"/>
                <w:szCs w:val="18"/>
              </w:rPr>
            </w:pPr>
            <w:r>
              <w:rPr>
                <w:sz w:val="18"/>
                <w:szCs w:val="18"/>
              </w:rPr>
              <w:t>Likely F</w:t>
            </w:r>
            <w:r w:rsidRPr="001A6545">
              <w:rPr>
                <w:sz w:val="18"/>
                <w:szCs w:val="18"/>
              </w:rPr>
              <w:t>or profit</w:t>
            </w:r>
          </w:p>
        </w:tc>
        <w:tc>
          <w:tcPr>
            <w:tcW w:w="1440" w:type="dxa"/>
          </w:tcPr>
          <w:p w:rsidR="00201CA1" w:rsidRPr="001A6545" w:rsidRDefault="00201CA1" w:rsidP="00382095">
            <w:pPr>
              <w:rPr>
                <w:sz w:val="18"/>
                <w:szCs w:val="18"/>
              </w:rPr>
            </w:pPr>
            <w:r w:rsidRPr="001A6545">
              <w:rPr>
                <w:sz w:val="18"/>
                <w:szCs w:val="18"/>
              </w:rPr>
              <w:t>New GP</w:t>
            </w:r>
          </w:p>
        </w:tc>
        <w:tc>
          <w:tcPr>
            <w:tcW w:w="1386" w:type="dxa"/>
          </w:tcPr>
          <w:p w:rsidR="00201CA1" w:rsidRPr="001A6545" w:rsidRDefault="00201CA1" w:rsidP="00382095">
            <w:pPr>
              <w:rPr>
                <w:sz w:val="18"/>
                <w:szCs w:val="18"/>
              </w:rPr>
            </w:pPr>
            <w:r w:rsidRPr="001A6545">
              <w:rPr>
                <w:sz w:val="18"/>
                <w:szCs w:val="18"/>
              </w:rPr>
              <w:t>No</w:t>
            </w:r>
          </w:p>
        </w:tc>
        <w:tc>
          <w:tcPr>
            <w:tcW w:w="1530" w:type="dxa"/>
          </w:tcPr>
          <w:p w:rsidR="00201CA1" w:rsidRPr="001A6545" w:rsidRDefault="00201CA1" w:rsidP="00382095">
            <w:pPr>
              <w:rPr>
                <w:sz w:val="18"/>
                <w:szCs w:val="18"/>
              </w:rPr>
            </w:pPr>
            <w:r w:rsidRPr="001A6545">
              <w:rPr>
                <w:sz w:val="18"/>
                <w:szCs w:val="18"/>
              </w:rPr>
              <w:t>Non-metro</w:t>
            </w:r>
          </w:p>
        </w:tc>
        <w:tc>
          <w:tcPr>
            <w:tcW w:w="1764" w:type="dxa"/>
          </w:tcPr>
          <w:p w:rsidR="00201CA1" w:rsidRPr="001A6545" w:rsidRDefault="00201CA1" w:rsidP="00382095">
            <w:pPr>
              <w:rPr>
                <w:i/>
                <w:sz w:val="18"/>
                <w:szCs w:val="18"/>
              </w:rPr>
            </w:pPr>
            <w:r w:rsidRPr="001A6545">
              <w:rPr>
                <w:i/>
                <w:sz w:val="18"/>
                <w:szCs w:val="18"/>
              </w:rPr>
              <w:t>To be learned</w:t>
            </w:r>
          </w:p>
        </w:tc>
        <w:tc>
          <w:tcPr>
            <w:tcW w:w="1440" w:type="dxa"/>
          </w:tcPr>
          <w:p w:rsidR="00201CA1" w:rsidRPr="001A6545" w:rsidRDefault="00201CA1" w:rsidP="00382095">
            <w:pPr>
              <w:rPr>
                <w:sz w:val="18"/>
                <w:szCs w:val="18"/>
              </w:rPr>
            </w:pPr>
          </w:p>
        </w:tc>
        <w:tc>
          <w:tcPr>
            <w:tcW w:w="1530" w:type="dxa"/>
          </w:tcPr>
          <w:p w:rsidR="00201CA1" w:rsidRPr="001A6545" w:rsidRDefault="00201CA1" w:rsidP="00382095">
            <w:pPr>
              <w:rPr>
                <w:sz w:val="18"/>
                <w:szCs w:val="18"/>
              </w:rPr>
            </w:pPr>
            <w:r w:rsidRPr="001A6545">
              <w:rPr>
                <w:sz w:val="18"/>
                <w:szCs w:val="18"/>
              </w:rPr>
              <w:t>No extended restrictions (if can be found)</w:t>
            </w:r>
          </w:p>
        </w:tc>
        <w:tc>
          <w:tcPr>
            <w:tcW w:w="1710" w:type="dxa"/>
          </w:tcPr>
          <w:p w:rsidR="00201CA1" w:rsidRDefault="00201CA1" w:rsidP="00382095">
            <w:pPr>
              <w:rPr>
                <w:sz w:val="18"/>
                <w:szCs w:val="18"/>
              </w:rPr>
            </w:pPr>
            <w:r>
              <w:rPr>
                <w:sz w:val="18"/>
                <w:szCs w:val="18"/>
              </w:rPr>
              <w:t>Risk of failing;</w:t>
            </w:r>
          </w:p>
          <w:p w:rsidR="00201CA1" w:rsidRPr="001A6545" w:rsidRDefault="00201CA1" w:rsidP="00382095">
            <w:pPr>
              <w:rPr>
                <w:sz w:val="18"/>
                <w:szCs w:val="18"/>
              </w:rPr>
            </w:pPr>
            <w:r>
              <w:rPr>
                <w:sz w:val="18"/>
                <w:szCs w:val="18"/>
              </w:rPr>
              <w:t>i</w:t>
            </w:r>
            <w:r w:rsidRPr="001A6545">
              <w:rPr>
                <w:sz w:val="18"/>
                <w:szCs w:val="18"/>
              </w:rPr>
              <w:t>f/how refi</w:t>
            </w:r>
            <w:r>
              <w:rPr>
                <w:sz w:val="18"/>
                <w:szCs w:val="18"/>
              </w:rPr>
              <w:t>nanced</w:t>
            </w:r>
          </w:p>
        </w:tc>
        <w:tc>
          <w:tcPr>
            <w:tcW w:w="1386" w:type="dxa"/>
          </w:tcPr>
          <w:p w:rsidR="00201CA1" w:rsidRPr="001A6545" w:rsidRDefault="00201CA1" w:rsidP="00201CA1">
            <w:pPr>
              <w:jc w:val="center"/>
              <w:rPr>
                <w:sz w:val="18"/>
                <w:szCs w:val="18"/>
              </w:rPr>
            </w:pPr>
            <w:r w:rsidRPr="001A6545">
              <w:rPr>
                <w:sz w:val="18"/>
                <w:szCs w:val="18"/>
              </w:rPr>
              <w:t>3</w:t>
            </w:r>
          </w:p>
        </w:tc>
      </w:tr>
      <w:tr w:rsidR="00201CA1" w:rsidRPr="001A6545" w:rsidTr="00201CA1">
        <w:trPr>
          <w:trHeight w:val="269"/>
          <w:jc w:val="center"/>
        </w:trPr>
        <w:tc>
          <w:tcPr>
            <w:tcW w:w="13608" w:type="dxa"/>
            <w:gridSpan w:val="9"/>
            <w:vAlign w:val="center"/>
          </w:tcPr>
          <w:p w:rsidR="00201CA1" w:rsidRPr="001A6545" w:rsidRDefault="00201CA1" w:rsidP="00201CA1">
            <w:pPr>
              <w:rPr>
                <w:b/>
                <w:i/>
                <w:sz w:val="18"/>
                <w:szCs w:val="18"/>
              </w:rPr>
            </w:pPr>
            <w:r w:rsidRPr="001A6545">
              <w:rPr>
                <w:b/>
                <w:i/>
                <w:sz w:val="18"/>
                <w:szCs w:val="18"/>
              </w:rPr>
              <w:t>These are properties with new owner</w:t>
            </w:r>
            <w:r>
              <w:rPr>
                <w:b/>
                <w:i/>
                <w:sz w:val="18"/>
                <w:szCs w:val="18"/>
              </w:rPr>
              <w:t>s that have been through a sale;</w:t>
            </w:r>
            <w:r w:rsidRPr="001A6545">
              <w:rPr>
                <w:b/>
                <w:i/>
                <w:sz w:val="18"/>
                <w:szCs w:val="18"/>
              </w:rPr>
              <w:t xml:space="preserve"> almost certain</w:t>
            </w:r>
            <w:r>
              <w:rPr>
                <w:b/>
                <w:i/>
                <w:sz w:val="18"/>
                <w:szCs w:val="18"/>
              </w:rPr>
              <w:t xml:space="preserve"> to</w:t>
            </w:r>
            <w:r w:rsidRPr="001A6545">
              <w:rPr>
                <w:b/>
                <w:i/>
                <w:sz w:val="18"/>
                <w:szCs w:val="18"/>
              </w:rPr>
              <w:t xml:space="preserve"> have value</w:t>
            </w:r>
          </w:p>
        </w:tc>
      </w:tr>
      <w:tr w:rsidR="00201CA1" w:rsidRPr="001A6545" w:rsidTr="00DE657E">
        <w:trPr>
          <w:jc w:val="center"/>
        </w:trPr>
        <w:tc>
          <w:tcPr>
            <w:tcW w:w="1422" w:type="dxa"/>
          </w:tcPr>
          <w:p w:rsidR="00201CA1" w:rsidRPr="001A6545" w:rsidRDefault="00201CA1" w:rsidP="00382095">
            <w:pPr>
              <w:rPr>
                <w:sz w:val="18"/>
                <w:szCs w:val="18"/>
              </w:rPr>
            </w:pPr>
          </w:p>
        </w:tc>
        <w:tc>
          <w:tcPr>
            <w:tcW w:w="1440" w:type="dxa"/>
          </w:tcPr>
          <w:p w:rsidR="00201CA1" w:rsidRPr="001A6545" w:rsidRDefault="00201CA1" w:rsidP="00382095">
            <w:pPr>
              <w:rPr>
                <w:sz w:val="18"/>
                <w:szCs w:val="18"/>
              </w:rPr>
            </w:pPr>
            <w:r w:rsidRPr="001A6545">
              <w:rPr>
                <w:sz w:val="18"/>
                <w:szCs w:val="18"/>
              </w:rPr>
              <w:t>New GP</w:t>
            </w:r>
          </w:p>
        </w:tc>
        <w:tc>
          <w:tcPr>
            <w:tcW w:w="1386" w:type="dxa"/>
          </w:tcPr>
          <w:p w:rsidR="00201CA1" w:rsidRPr="001A6545" w:rsidRDefault="00201CA1" w:rsidP="00382095">
            <w:pPr>
              <w:rPr>
                <w:sz w:val="18"/>
                <w:szCs w:val="18"/>
              </w:rPr>
            </w:pPr>
            <w:r w:rsidRPr="001A6545">
              <w:rPr>
                <w:sz w:val="18"/>
                <w:szCs w:val="18"/>
              </w:rPr>
              <w:t>No (or unlikely)</w:t>
            </w:r>
          </w:p>
        </w:tc>
        <w:tc>
          <w:tcPr>
            <w:tcW w:w="1530" w:type="dxa"/>
            <w:shd w:val="clear" w:color="auto" w:fill="auto"/>
          </w:tcPr>
          <w:p w:rsidR="00201CA1" w:rsidRPr="001A6545" w:rsidRDefault="00201CA1" w:rsidP="00382095">
            <w:pPr>
              <w:rPr>
                <w:sz w:val="18"/>
                <w:szCs w:val="18"/>
              </w:rPr>
            </w:pPr>
            <w:r w:rsidRPr="001A6545">
              <w:rPr>
                <w:sz w:val="18"/>
                <w:szCs w:val="18"/>
              </w:rPr>
              <w:t>Strong</w:t>
            </w:r>
          </w:p>
        </w:tc>
        <w:tc>
          <w:tcPr>
            <w:tcW w:w="1764" w:type="dxa"/>
          </w:tcPr>
          <w:p w:rsidR="00201CA1" w:rsidRPr="001A6545" w:rsidRDefault="00201CA1" w:rsidP="00382095">
            <w:pPr>
              <w:rPr>
                <w:sz w:val="18"/>
                <w:szCs w:val="18"/>
              </w:rPr>
            </w:pPr>
            <w:r w:rsidRPr="001A6545">
              <w:rPr>
                <w:sz w:val="18"/>
                <w:szCs w:val="18"/>
              </w:rPr>
              <w:t>Yes</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p>
        </w:tc>
        <w:tc>
          <w:tcPr>
            <w:tcW w:w="1710" w:type="dxa"/>
            <w:vMerge w:val="restart"/>
          </w:tcPr>
          <w:p w:rsidR="00201CA1" w:rsidRDefault="00201CA1" w:rsidP="00382095">
            <w:pPr>
              <w:rPr>
                <w:sz w:val="18"/>
                <w:szCs w:val="18"/>
              </w:rPr>
            </w:pPr>
            <w:r>
              <w:rPr>
                <w:sz w:val="18"/>
                <w:szCs w:val="18"/>
              </w:rPr>
              <w:t>How refinanced;</w:t>
            </w:r>
          </w:p>
          <w:p w:rsidR="00201CA1" w:rsidRPr="001A6545" w:rsidRDefault="00201CA1" w:rsidP="00382095">
            <w:pPr>
              <w:rPr>
                <w:sz w:val="18"/>
                <w:szCs w:val="18"/>
              </w:rPr>
            </w:pPr>
            <w:r w:rsidRPr="001A6545">
              <w:rPr>
                <w:sz w:val="18"/>
                <w:szCs w:val="18"/>
              </w:rPr>
              <w:t>future expectations</w:t>
            </w:r>
          </w:p>
        </w:tc>
        <w:tc>
          <w:tcPr>
            <w:tcW w:w="1386" w:type="dxa"/>
          </w:tcPr>
          <w:p w:rsidR="00201CA1" w:rsidRPr="001A6545" w:rsidRDefault="00201CA1" w:rsidP="00201CA1">
            <w:pPr>
              <w:jc w:val="center"/>
              <w:rPr>
                <w:sz w:val="18"/>
                <w:szCs w:val="18"/>
              </w:rPr>
            </w:pPr>
            <w:r w:rsidRPr="001A6545">
              <w:rPr>
                <w:sz w:val="18"/>
                <w:szCs w:val="18"/>
              </w:rPr>
              <w:t>5</w:t>
            </w:r>
          </w:p>
        </w:tc>
      </w:tr>
      <w:tr w:rsidR="00201CA1" w:rsidRPr="001A6545" w:rsidTr="00DE657E">
        <w:trPr>
          <w:jc w:val="center"/>
        </w:trPr>
        <w:tc>
          <w:tcPr>
            <w:tcW w:w="1422" w:type="dxa"/>
          </w:tcPr>
          <w:p w:rsidR="00201CA1" w:rsidRPr="001A6545" w:rsidRDefault="00201CA1" w:rsidP="00382095">
            <w:pPr>
              <w:rPr>
                <w:sz w:val="18"/>
                <w:szCs w:val="18"/>
              </w:rPr>
            </w:pPr>
          </w:p>
        </w:tc>
        <w:tc>
          <w:tcPr>
            <w:tcW w:w="1440" w:type="dxa"/>
          </w:tcPr>
          <w:p w:rsidR="00201CA1" w:rsidRPr="001A6545" w:rsidRDefault="00201CA1" w:rsidP="00382095">
            <w:pPr>
              <w:rPr>
                <w:sz w:val="18"/>
                <w:szCs w:val="18"/>
              </w:rPr>
            </w:pPr>
            <w:r w:rsidRPr="001A6545">
              <w:rPr>
                <w:sz w:val="18"/>
                <w:szCs w:val="18"/>
              </w:rPr>
              <w:t>New GP</w:t>
            </w:r>
          </w:p>
        </w:tc>
        <w:tc>
          <w:tcPr>
            <w:tcW w:w="1386" w:type="dxa"/>
          </w:tcPr>
          <w:p w:rsidR="00201CA1" w:rsidRPr="001A6545" w:rsidRDefault="00201CA1" w:rsidP="00382095">
            <w:pPr>
              <w:rPr>
                <w:sz w:val="18"/>
                <w:szCs w:val="18"/>
              </w:rPr>
            </w:pPr>
            <w:r w:rsidRPr="001A6545">
              <w:rPr>
                <w:sz w:val="18"/>
                <w:szCs w:val="18"/>
              </w:rPr>
              <w:t>No (or unlikely)</w:t>
            </w:r>
          </w:p>
        </w:tc>
        <w:tc>
          <w:tcPr>
            <w:tcW w:w="1530" w:type="dxa"/>
            <w:shd w:val="clear" w:color="auto" w:fill="auto"/>
          </w:tcPr>
          <w:p w:rsidR="00201CA1" w:rsidRPr="001A6545" w:rsidRDefault="00201CA1" w:rsidP="00382095">
            <w:pPr>
              <w:rPr>
                <w:sz w:val="18"/>
                <w:szCs w:val="18"/>
              </w:rPr>
            </w:pPr>
            <w:r w:rsidRPr="001A6545">
              <w:rPr>
                <w:sz w:val="18"/>
                <w:szCs w:val="18"/>
              </w:rPr>
              <w:t>Average, weak</w:t>
            </w:r>
          </w:p>
        </w:tc>
        <w:tc>
          <w:tcPr>
            <w:tcW w:w="1764" w:type="dxa"/>
          </w:tcPr>
          <w:p w:rsidR="00201CA1" w:rsidRPr="001A6545" w:rsidRDefault="00201CA1" w:rsidP="00382095">
            <w:pPr>
              <w:rPr>
                <w:sz w:val="18"/>
                <w:szCs w:val="18"/>
              </w:rPr>
            </w:pPr>
            <w:r w:rsidRPr="001A6545">
              <w:rPr>
                <w:sz w:val="18"/>
                <w:szCs w:val="18"/>
              </w:rPr>
              <w:t>Yes</w:t>
            </w:r>
          </w:p>
        </w:tc>
        <w:tc>
          <w:tcPr>
            <w:tcW w:w="1440" w:type="dxa"/>
          </w:tcPr>
          <w:p w:rsidR="00201CA1" w:rsidRPr="001A6545" w:rsidRDefault="00201CA1" w:rsidP="00382095">
            <w:pPr>
              <w:rPr>
                <w:sz w:val="18"/>
                <w:szCs w:val="18"/>
              </w:rPr>
            </w:pPr>
            <w:r w:rsidRPr="001A6545">
              <w:rPr>
                <w:sz w:val="18"/>
                <w:szCs w:val="18"/>
              </w:rPr>
              <w:t>Affordable</w:t>
            </w:r>
          </w:p>
        </w:tc>
        <w:tc>
          <w:tcPr>
            <w:tcW w:w="1530" w:type="dxa"/>
          </w:tcPr>
          <w:p w:rsidR="00201CA1" w:rsidRPr="001A6545" w:rsidRDefault="00201CA1" w:rsidP="00382095">
            <w:pPr>
              <w:rPr>
                <w:sz w:val="18"/>
                <w:szCs w:val="18"/>
              </w:rPr>
            </w:pPr>
          </w:p>
        </w:tc>
        <w:tc>
          <w:tcPr>
            <w:tcW w:w="1710" w:type="dxa"/>
            <w:vMerge/>
          </w:tcPr>
          <w:p w:rsidR="00201CA1" w:rsidRPr="001A6545" w:rsidRDefault="00201CA1" w:rsidP="00382095">
            <w:pPr>
              <w:rPr>
                <w:sz w:val="18"/>
                <w:szCs w:val="18"/>
              </w:rPr>
            </w:pPr>
          </w:p>
        </w:tc>
        <w:tc>
          <w:tcPr>
            <w:tcW w:w="1386" w:type="dxa"/>
          </w:tcPr>
          <w:p w:rsidR="00201CA1" w:rsidRPr="001A6545" w:rsidRDefault="00201CA1" w:rsidP="00201CA1">
            <w:pPr>
              <w:jc w:val="center"/>
              <w:rPr>
                <w:sz w:val="18"/>
                <w:szCs w:val="18"/>
              </w:rPr>
            </w:pPr>
            <w:r w:rsidRPr="001A6545">
              <w:rPr>
                <w:sz w:val="18"/>
                <w:szCs w:val="18"/>
              </w:rPr>
              <w:t>4</w:t>
            </w:r>
          </w:p>
        </w:tc>
      </w:tr>
      <w:tr w:rsidR="00201CA1" w:rsidRPr="001A6545" w:rsidTr="00DE657E">
        <w:trPr>
          <w:jc w:val="center"/>
        </w:trPr>
        <w:tc>
          <w:tcPr>
            <w:tcW w:w="1422" w:type="dxa"/>
            <w:tcBorders>
              <w:bottom w:val="single" w:sz="4" w:space="0" w:color="auto"/>
            </w:tcBorders>
          </w:tcPr>
          <w:p w:rsidR="00201CA1" w:rsidRPr="001A6545" w:rsidRDefault="00201CA1" w:rsidP="00382095">
            <w:pPr>
              <w:rPr>
                <w:sz w:val="18"/>
                <w:szCs w:val="18"/>
              </w:rPr>
            </w:pPr>
          </w:p>
        </w:tc>
        <w:tc>
          <w:tcPr>
            <w:tcW w:w="1440" w:type="dxa"/>
            <w:tcBorders>
              <w:bottom w:val="single" w:sz="4" w:space="0" w:color="auto"/>
            </w:tcBorders>
          </w:tcPr>
          <w:p w:rsidR="00201CA1" w:rsidRPr="001A6545" w:rsidRDefault="00201CA1" w:rsidP="00382095">
            <w:pPr>
              <w:rPr>
                <w:i/>
                <w:sz w:val="18"/>
                <w:szCs w:val="18"/>
              </w:rPr>
            </w:pPr>
            <w:r w:rsidRPr="001A6545">
              <w:rPr>
                <w:sz w:val="18"/>
                <w:szCs w:val="18"/>
              </w:rPr>
              <w:t>Will likely have new GP</w:t>
            </w:r>
          </w:p>
        </w:tc>
        <w:tc>
          <w:tcPr>
            <w:tcW w:w="1386" w:type="dxa"/>
            <w:tcBorders>
              <w:bottom w:val="single" w:sz="4" w:space="0" w:color="auto"/>
            </w:tcBorders>
          </w:tcPr>
          <w:p w:rsidR="00201CA1" w:rsidRPr="001A6545" w:rsidRDefault="00201CA1" w:rsidP="00382095">
            <w:pPr>
              <w:rPr>
                <w:sz w:val="18"/>
                <w:szCs w:val="18"/>
              </w:rPr>
            </w:pPr>
            <w:r w:rsidRPr="001A6545">
              <w:rPr>
                <w:sz w:val="18"/>
                <w:szCs w:val="18"/>
              </w:rPr>
              <w:t>No (or unlikely)</w:t>
            </w:r>
          </w:p>
        </w:tc>
        <w:tc>
          <w:tcPr>
            <w:tcW w:w="1530" w:type="dxa"/>
            <w:tcBorders>
              <w:bottom w:val="single" w:sz="4" w:space="0" w:color="auto"/>
            </w:tcBorders>
            <w:shd w:val="clear" w:color="auto" w:fill="auto"/>
          </w:tcPr>
          <w:p w:rsidR="00201CA1" w:rsidRPr="001A6545" w:rsidRDefault="00201CA1" w:rsidP="00382095">
            <w:pPr>
              <w:rPr>
                <w:sz w:val="18"/>
                <w:szCs w:val="18"/>
              </w:rPr>
            </w:pPr>
          </w:p>
        </w:tc>
        <w:tc>
          <w:tcPr>
            <w:tcW w:w="1764" w:type="dxa"/>
            <w:tcBorders>
              <w:bottom w:val="single" w:sz="4" w:space="0" w:color="auto"/>
            </w:tcBorders>
          </w:tcPr>
          <w:p w:rsidR="00201CA1" w:rsidRPr="001A6545" w:rsidRDefault="00201CA1" w:rsidP="00382095">
            <w:pPr>
              <w:rPr>
                <w:sz w:val="18"/>
                <w:szCs w:val="18"/>
              </w:rPr>
            </w:pPr>
            <w:r w:rsidRPr="001A6545">
              <w:rPr>
                <w:sz w:val="18"/>
                <w:szCs w:val="18"/>
              </w:rPr>
              <w:t>Yes</w:t>
            </w:r>
          </w:p>
          <w:p w:rsidR="00201CA1" w:rsidRPr="001A6545" w:rsidRDefault="00201CA1" w:rsidP="00382095">
            <w:pPr>
              <w:rPr>
                <w:sz w:val="18"/>
                <w:szCs w:val="18"/>
              </w:rPr>
            </w:pPr>
          </w:p>
        </w:tc>
        <w:tc>
          <w:tcPr>
            <w:tcW w:w="1440" w:type="dxa"/>
            <w:tcBorders>
              <w:bottom w:val="single" w:sz="4" w:space="0" w:color="auto"/>
            </w:tcBorders>
          </w:tcPr>
          <w:p w:rsidR="00201CA1" w:rsidRPr="001A6545" w:rsidRDefault="00201CA1" w:rsidP="00382095">
            <w:pPr>
              <w:rPr>
                <w:sz w:val="18"/>
                <w:szCs w:val="18"/>
              </w:rPr>
            </w:pPr>
            <w:r w:rsidRPr="001A6545">
              <w:rPr>
                <w:sz w:val="18"/>
                <w:szCs w:val="18"/>
              </w:rPr>
              <w:t>Repositioned</w:t>
            </w:r>
          </w:p>
        </w:tc>
        <w:tc>
          <w:tcPr>
            <w:tcW w:w="1530" w:type="dxa"/>
            <w:tcBorders>
              <w:bottom w:val="single" w:sz="4" w:space="0" w:color="auto"/>
            </w:tcBorders>
          </w:tcPr>
          <w:p w:rsidR="00201CA1" w:rsidRPr="001A6545" w:rsidRDefault="00201CA1" w:rsidP="00382095">
            <w:pPr>
              <w:rPr>
                <w:sz w:val="18"/>
                <w:szCs w:val="18"/>
              </w:rPr>
            </w:pPr>
            <w:r w:rsidRPr="001A6545">
              <w:rPr>
                <w:sz w:val="18"/>
                <w:szCs w:val="18"/>
              </w:rPr>
              <w:t xml:space="preserve">No extended use restrictions </w:t>
            </w:r>
          </w:p>
        </w:tc>
        <w:tc>
          <w:tcPr>
            <w:tcW w:w="1710" w:type="dxa"/>
            <w:vMerge/>
            <w:tcBorders>
              <w:bottom w:val="single" w:sz="4" w:space="0" w:color="auto"/>
            </w:tcBorders>
          </w:tcPr>
          <w:p w:rsidR="00201CA1" w:rsidRPr="001A6545" w:rsidRDefault="00201CA1" w:rsidP="00382095">
            <w:pPr>
              <w:rPr>
                <w:sz w:val="18"/>
                <w:szCs w:val="18"/>
              </w:rPr>
            </w:pPr>
          </w:p>
        </w:tc>
        <w:tc>
          <w:tcPr>
            <w:tcW w:w="1386" w:type="dxa"/>
            <w:tcBorders>
              <w:bottom w:val="single" w:sz="4" w:space="0" w:color="auto"/>
            </w:tcBorders>
          </w:tcPr>
          <w:p w:rsidR="00201CA1" w:rsidRPr="001A6545" w:rsidRDefault="00201CA1" w:rsidP="00201CA1">
            <w:pPr>
              <w:jc w:val="center"/>
              <w:rPr>
                <w:sz w:val="18"/>
                <w:szCs w:val="18"/>
              </w:rPr>
            </w:pPr>
            <w:r w:rsidRPr="001A6545">
              <w:rPr>
                <w:sz w:val="18"/>
                <w:szCs w:val="18"/>
              </w:rPr>
              <w:t>3</w:t>
            </w:r>
          </w:p>
        </w:tc>
      </w:tr>
      <w:tr w:rsidR="00201CA1" w:rsidRPr="001A6545" w:rsidTr="00201CA1">
        <w:trPr>
          <w:jc w:val="center"/>
        </w:trPr>
        <w:tc>
          <w:tcPr>
            <w:tcW w:w="13608" w:type="dxa"/>
            <w:gridSpan w:val="9"/>
            <w:tcBorders>
              <w:left w:val="nil"/>
              <w:bottom w:val="nil"/>
              <w:right w:val="nil"/>
            </w:tcBorders>
          </w:tcPr>
          <w:p w:rsidR="00201CA1" w:rsidRPr="00966D1B" w:rsidRDefault="00201CA1" w:rsidP="00382095">
            <w:pPr>
              <w:rPr>
                <w:i/>
                <w:sz w:val="16"/>
                <w:szCs w:val="16"/>
              </w:rPr>
            </w:pPr>
            <w:r w:rsidRPr="00D95D01">
              <w:rPr>
                <w:i/>
                <w:sz w:val="16"/>
                <w:szCs w:val="16"/>
              </w:rPr>
              <w:t xml:space="preserve">Note:  Blank cells indicate the criteria were not being considered for selecting </w:t>
            </w:r>
            <w:r>
              <w:rPr>
                <w:i/>
                <w:sz w:val="16"/>
                <w:szCs w:val="16"/>
              </w:rPr>
              <w:t>that property type.</w:t>
            </w:r>
          </w:p>
        </w:tc>
      </w:tr>
    </w:tbl>
    <w:p w:rsidR="00201CA1" w:rsidRDefault="00201CA1" w:rsidP="00E36239">
      <w:pPr>
        <w:pStyle w:val="BodyText"/>
        <w:tabs>
          <w:tab w:val="clear" w:pos="720"/>
          <w:tab w:val="clear" w:pos="1080"/>
          <w:tab w:val="clear" w:pos="1800"/>
        </w:tabs>
      </w:pPr>
    </w:p>
    <w:sectPr w:rsidR="00201CA1" w:rsidSect="00201CA1">
      <w:headerReference w:type="first" r:id="rId13"/>
      <w:pgSz w:w="15840" w:h="12240" w:orient="landscape" w:code="1"/>
      <w:pgMar w:top="1440" w:right="1440" w:bottom="1440" w:left="576" w:header="720" w:footer="36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39" w:rsidRDefault="00E36239">
      <w:r>
        <w:separator/>
      </w:r>
    </w:p>
  </w:endnote>
  <w:endnote w:type="continuationSeparator" w:id="0">
    <w:p w:rsidR="00E36239" w:rsidRDefault="00E3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239" w:rsidRDefault="00EC24C4">
    <w:pPr>
      <w:pStyle w:val="Footer"/>
      <w:jc w:val="center"/>
    </w:pPr>
    <w:r>
      <w:rPr>
        <w:rStyle w:val="PageNumber"/>
      </w:rPr>
      <w:fldChar w:fldCharType="begin"/>
    </w:r>
    <w:r w:rsidR="00E36239">
      <w:rPr>
        <w:rStyle w:val="PageNumber"/>
      </w:rPr>
      <w:instrText xml:space="preserve"> PAGE </w:instrText>
    </w:r>
    <w:r>
      <w:rPr>
        <w:rStyle w:val="PageNumber"/>
      </w:rPr>
      <w:fldChar w:fldCharType="separate"/>
    </w:r>
    <w:r w:rsidR="003A563C">
      <w:rPr>
        <w:rStyle w:val="PageNumber"/>
        <w:noProof/>
      </w:rPr>
      <w:t>2</w:t>
    </w:r>
    <w:r>
      <w:rPr>
        <w:rStyle w:val="PageNumber"/>
      </w:rPr>
      <w:fldChar w:fldCharType="end"/>
    </w:r>
  </w:p>
  <w:p w:rsidR="00E36239" w:rsidRDefault="00E362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239" w:rsidRDefault="00E36239">
    <w:pP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39" w:rsidRDefault="00E36239">
      <w:r>
        <w:separator/>
      </w:r>
    </w:p>
  </w:footnote>
  <w:footnote w:type="continuationSeparator" w:id="0">
    <w:p w:rsidR="00E36239" w:rsidRDefault="00E36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239" w:rsidRDefault="00E36239"/>
  <w:p w:rsidR="00E36239" w:rsidRDefault="00E362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239" w:rsidRDefault="00E36239">
    <w:pPr>
      <w:pStyle w:val="Header"/>
    </w:pPr>
    <w:r>
      <w:rPr>
        <w:noProof/>
      </w:rPr>
      <w:drawing>
        <wp:anchor distT="0" distB="0" distL="114300" distR="114300" simplePos="0" relativeHeight="251659264" behindDoc="1" locked="0" layoutInCell="1" allowOverlap="1">
          <wp:simplePos x="0" y="0"/>
          <wp:positionH relativeFrom="page">
            <wp:posOffset>6035040</wp:posOffset>
          </wp:positionH>
          <wp:positionV relativeFrom="page">
            <wp:posOffset>344170</wp:posOffset>
          </wp:positionV>
          <wp:extent cx="1105535" cy="1097280"/>
          <wp:effectExtent l="0" t="0" r="0" b="7620"/>
          <wp:wrapTight wrapText="bothSides">
            <wp:wrapPolygon edited="0">
              <wp:start x="9305" y="0"/>
              <wp:lineTo x="6700" y="0"/>
              <wp:lineTo x="372" y="4500"/>
              <wp:lineTo x="0" y="7125"/>
              <wp:lineTo x="0" y="14250"/>
              <wp:lineTo x="1489" y="18000"/>
              <wp:lineTo x="2233" y="19125"/>
              <wp:lineTo x="7072" y="21375"/>
              <wp:lineTo x="9305" y="21375"/>
              <wp:lineTo x="11910" y="21375"/>
              <wp:lineTo x="14144" y="21375"/>
              <wp:lineTo x="19354" y="19125"/>
              <wp:lineTo x="21215" y="13875"/>
              <wp:lineTo x="21215" y="7125"/>
              <wp:lineTo x="20843" y="4500"/>
              <wp:lineTo x="14516" y="0"/>
              <wp:lineTo x="11910" y="0"/>
              <wp:lineTo x="93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10972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CA1" w:rsidRDefault="00201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F7E"/>
    <w:multiLevelType w:val="singleLevel"/>
    <w:tmpl w:val="8A2067C4"/>
    <w:lvl w:ilvl="0">
      <w:start w:val="1"/>
      <w:numFmt w:val="bullet"/>
      <w:pStyle w:val="Bullets"/>
      <w:lvlText w:val=""/>
      <w:lvlJc w:val="left"/>
      <w:pPr>
        <w:tabs>
          <w:tab w:val="num" w:pos="1080"/>
        </w:tabs>
        <w:ind w:left="1080" w:hanging="360"/>
      </w:pPr>
      <w:rPr>
        <w:rFonts w:ascii="Symbol" w:hAnsi="Symbol" w:hint="default"/>
      </w:rPr>
    </w:lvl>
  </w:abstractNum>
  <w:abstractNum w:abstractNumId="1">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2">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3">
    <w:nsid w:val="4A0E370F"/>
    <w:multiLevelType w:val="singleLevel"/>
    <w:tmpl w:val="DFE01D44"/>
    <w:lvl w:ilvl="0">
      <w:start w:val="1"/>
      <w:numFmt w:val="decimal"/>
      <w:lvlText w:val="%1."/>
      <w:lvlJc w:val="left"/>
      <w:pPr>
        <w:tabs>
          <w:tab w:val="num" w:pos="1080"/>
        </w:tabs>
        <w:ind w:left="1080" w:hanging="360"/>
      </w:pPr>
    </w:lvl>
  </w:abstractNum>
  <w:abstractNum w:abstractNumId="4">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num w:numId="1">
    <w:abstractNumId w:val="2"/>
  </w:num>
  <w:num w:numId="2">
    <w:abstractNumId w:val="4"/>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1B"/>
    <w:rsid w:val="00001DA1"/>
    <w:rsid w:val="00026EDF"/>
    <w:rsid w:val="00165891"/>
    <w:rsid w:val="00184A4A"/>
    <w:rsid w:val="00201CA1"/>
    <w:rsid w:val="00294228"/>
    <w:rsid w:val="003A563C"/>
    <w:rsid w:val="00624F9F"/>
    <w:rsid w:val="00687AF5"/>
    <w:rsid w:val="006D3FF2"/>
    <w:rsid w:val="0070033D"/>
    <w:rsid w:val="007B2FDC"/>
    <w:rsid w:val="00B22B1B"/>
    <w:rsid w:val="00B83984"/>
    <w:rsid w:val="00C25E78"/>
    <w:rsid w:val="00C56384"/>
    <w:rsid w:val="00DE657E"/>
    <w:rsid w:val="00E36239"/>
    <w:rsid w:val="00EC24C4"/>
    <w:rsid w:val="00F2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192" w:lineRule="auto"/>
    </w:pPr>
    <w:rPr>
      <w:rFonts w:ascii="Arial" w:hAnsi="Arial"/>
      <w:b/>
      <w:sz w:val="18"/>
    </w:rPr>
  </w:style>
  <w:style w:type="paragraph" w:customStyle="1" w:styleId="AbtHeadA">
    <w:name w:val="AbtHead A"/>
    <w:basedOn w:val="Normal"/>
    <w:next w:val="BodyText"/>
    <w:pPr>
      <w:keepNext/>
      <w:keepLines/>
      <w:tabs>
        <w:tab w:val="left" w:pos="360"/>
        <w:tab w:val="left" w:pos="720"/>
        <w:tab w:val="left" w:pos="1440"/>
      </w:tabs>
      <w:spacing w:after="360"/>
      <w:outlineLvl w:val="0"/>
    </w:pPr>
    <w:rPr>
      <w:rFonts w:ascii="Arial" w:hAnsi="Arial"/>
      <w:b/>
      <w:sz w:val="36"/>
    </w:rPr>
  </w:style>
  <w:style w:type="paragraph" w:styleId="Header">
    <w:name w:val="header"/>
    <w:basedOn w:val="Normal"/>
    <w:link w:val="HeaderChar"/>
    <w:rsid w:val="007B2FDC"/>
    <w:pPr>
      <w:tabs>
        <w:tab w:val="center" w:pos="4680"/>
        <w:tab w:val="right" w:pos="9360"/>
      </w:tabs>
    </w:pPr>
  </w:style>
  <w:style w:type="character" w:styleId="PageNumber">
    <w:name w:val="page number"/>
    <w:basedOn w:val="DefaultParagraphFont"/>
    <w:rPr>
      <w:rFonts w:ascii="Arial" w:hAnsi="Arial"/>
      <w:dstrike w:val="0"/>
      <w:color w:val="auto"/>
      <w:sz w:val="20"/>
      <w:vertAlign w:val="baseline"/>
    </w:rPr>
  </w:style>
  <w:style w:type="paragraph" w:customStyle="1" w:styleId="AbtHeadB">
    <w:name w:val="AbtHead B"/>
    <w:basedOn w:val="Normal"/>
    <w:next w:val="BodyText"/>
    <w:pPr>
      <w:keepNext/>
      <w:keepLines/>
      <w:tabs>
        <w:tab w:val="left" w:pos="360"/>
        <w:tab w:val="left" w:pos="720"/>
        <w:tab w:val="left" w:pos="1440"/>
      </w:tabs>
      <w:spacing w:after="280"/>
      <w:outlineLvl w:val="1"/>
    </w:pPr>
    <w:rPr>
      <w:rFonts w:ascii="Arial" w:hAnsi="Arial"/>
      <w:b/>
      <w:sz w:val="28"/>
    </w:rPr>
  </w:style>
  <w:style w:type="paragraph" w:customStyle="1" w:styleId="AbtHeadC">
    <w:name w:val="AbtHead C"/>
    <w:basedOn w:val="Normal"/>
    <w:next w:val="BodyText"/>
    <w:pPr>
      <w:keepNext/>
      <w:keepLines/>
      <w:tabs>
        <w:tab w:val="left" w:pos="360"/>
        <w:tab w:val="left" w:pos="720"/>
        <w:tab w:val="left" w:pos="1440"/>
      </w:tabs>
      <w:spacing w:after="240"/>
      <w:outlineLvl w:val="2"/>
    </w:pPr>
    <w:rPr>
      <w:rFonts w:ascii="Arial" w:hAnsi="Arial"/>
      <w:b/>
      <w:sz w:val="20"/>
    </w:rPr>
  </w:style>
  <w:style w:type="paragraph" w:customStyle="1" w:styleId="RefNumbers">
    <w:name w:val="Ref Numbers"/>
    <w:basedOn w:val="BodyText"/>
    <w:pPr>
      <w:numPr>
        <w:numId w:val="1"/>
      </w:numPr>
      <w:spacing w:after="240"/>
    </w:pPr>
  </w:style>
  <w:style w:type="character" w:customStyle="1" w:styleId="HeaderChar">
    <w:name w:val="Header Char"/>
    <w:basedOn w:val="DefaultParagraphFont"/>
    <w:link w:val="Header"/>
    <w:rsid w:val="007B2FDC"/>
    <w:rPr>
      <w:sz w:val="22"/>
    </w:rPr>
  </w:style>
  <w:style w:type="paragraph" w:customStyle="1" w:styleId="AbtHeadD">
    <w:name w:val="AbtHead D"/>
    <w:basedOn w:val="Normal"/>
    <w:next w:val="BodyText"/>
    <w:pPr>
      <w:keepNext/>
      <w:keepLines/>
      <w:tabs>
        <w:tab w:val="left" w:pos="360"/>
        <w:tab w:val="left" w:pos="720"/>
        <w:tab w:val="left" w:pos="1440"/>
      </w:tabs>
      <w:outlineLvl w:val="3"/>
    </w:pPr>
    <w:rPr>
      <w:b/>
      <w:i/>
    </w:rPr>
  </w:style>
  <w:style w:type="paragraph" w:customStyle="1" w:styleId="Table">
    <w:name w:val="Table"/>
    <w:basedOn w:val="Normal"/>
    <w:pPr>
      <w:tabs>
        <w:tab w:val="left" w:pos="360"/>
        <w:tab w:val="left" w:pos="720"/>
        <w:tab w:val="left" w:pos="1440"/>
      </w:tabs>
    </w:pPr>
    <w:rPr>
      <w:rFonts w:ascii="Arial" w:hAnsi="Arial"/>
      <w:sz w:val="20"/>
    </w:rPr>
  </w:style>
  <w:style w:type="character" w:styleId="PlaceholderText">
    <w:name w:val="Placeholder Text"/>
    <w:basedOn w:val="DefaultParagraphFont"/>
    <w:uiPriority w:val="99"/>
    <w:semiHidden/>
    <w:rsid w:val="00C25E78"/>
    <w:rPr>
      <w:color w:val="808080"/>
    </w:rPr>
  </w:style>
  <w:style w:type="character" w:styleId="CommentReference">
    <w:name w:val="annotation reference"/>
    <w:basedOn w:val="DefaultParagraphFont"/>
    <w:semiHidden/>
    <w:rPr>
      <w:sz w:val="16"/>
    </w:rPr>
  </w:style>
  <w:style w:type="paragraph" w:styleId="BodyText">
    <w:name w:val="Body Text"/>
    <w:basedOn w:val="Normal"/>
    <w:pPr>
      <w:tabs>
        <w:tab w:val="left" w:pos="720"/>
        <w:tab w:val="left" w:pos="1080"/>
        <w:tab w:val="left" w:pos="1440"/>
        <w:tab w:val="left" w:pos="1800"/>
      </w:tabs>
    </w:pPr>
  </w:style>
  <w:style w:type="paragraph" w:customStyle="1" w:styleId="Numbers">
    <w:name w:val="Numbers"/>
    <w:basedOn w:val="BodyText"/>
    <w:pPr>
      <w:numPr>
        <w:numId w:val="5"/>
      </w:numPr>
    </w:pPr>
  </w:style>
  <w:style w:type="paragraph" w:customStyle="1" w:styleId="Bullets">
    <w:name w:val="Bullets"/>
    <w:basedOn w:val="BodyText"/>
    <w:pPr>
      <w:numPr>
        <w:numId w:val="6"/>
      </w:numPr>
    </w:pPr>
  </w:style>
  <w:style w:type="paragraph" w:styleId="BalloonText">
    <w:name w:val="Balloon Text"/>
    <w:basedOn w:val="Normal"/>
    <w:link w:val="BalloonTextChar"/>
    <w:rsid w:val="00C25E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25E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192" w:lineRule="auto"/>
    </w:pPr>
    <w:rPr>
      <w:rFonts w:ascii="Arial" w:hAnsi="Arial"/>
      <w:b/>
      <w:sz w:val="18"/>
    </w:rPr>
  </w:style>
  <w:style w:type="paragraph" w:customStyle="1" w:styleId="AbtHeadA">
    <w:name w:val="AbtHead A"/>
    <w:basedOn w:val="Normal"/>
    <w:next w:val="BodyText"/>
    <w:pPr>
      <w:keepNext/>
      <w:keepLines/>
      <w:tabs>
        <w:tab w:val="left" w:pos="360"/>
        <w:tab w:val="left" w:pos="720"/>
        <w:tab w:val="left" w:pos="1440"/>
      </w:tabs>
      <w:spacing w:after="360"/>
      <w:outlineLvl w:val="0"/>
    </w:pPr>
    <w:rPr>
      <w:rFonts w:ascii="Arial" w:hAnsi="Arial"/>
      <w:b/>
      <w:sz w:val="36"/>
    </w:rPr>
  </w:style>
  <w:style w:type="paragraph" w:styleId="Header">
    <w:name w:val="header"/>
    <w:basedOn w:val="Normal"/>
    <w:link w:val="HeaderChar"/>
    <w:rsid w:val="007B2FDC"/>
    <w:pPr>
      <w:tabs>
        <w:tab w:val="center" w:pos="4680"/>
        <w:tab w:val="right" w:pos="9360"/>
      </w:tabs>
    </w:pPr>
  </w:style>
  <w:style w:type="character" w:styleId="PageNumber">
    <w:name w:val="page number"/>
    <w:basedOn w:val="DefaultParagraphFont"/>
    <w:rPr>
      <w:rFonts w:ascii="Arial" w:hAnsi="Arial"/>
      <w:dstrike w:val="0"/>
      <w:color w:val="auto"/>
      <w:sz w:val="20"/>
      <w:vertAlign w:val="baseline"/>
    </w:rPr>
  </w:style>
  <w:style w:type="paragraph" w:customStyle="1" w:styleId="AbtHeadB">
    <w:name w:val="AbtHead B"/>
    <w:basedOn w:val="Normal"/>
    <w:next w:val="BodyText"/>
    <w:pPr>
      <w:keepNext/>
      <w:keepLines/>
      <w:tabs>
        <w:tab w:val="left" w:pos="360"/>
        <w:tab w:val="left" w:pos="720"/>
        <w:tab w:val="left" w:pos="1440"/>
      </w:tabs>
      <w:spacing w:after="280"/>
      <w:outlineLvl w:val="1"/>
    </w:pPr>
    <w:rPr>
      <w:rFonts w:ascii="Arial" w:hAnsi="Arial"/>
      <w:b/>
      <w:sz w:val="28"/>
    </w:rPr>
  </w:style>
  <w:style w:type="paragraph" w:customStyle="1" w:styleId="AbtHeadC">
    <w:name w:val="AbtHead C"/>
    <w:basedOn w:val="Normal"/>
    <w:next w:val="BodyText"/>
    <w:pPr>
      <w:keepNext/>
      <w:keepLines/>
      <w:tabs>
        <w:tab w:val="left" w:pos="360"/>
        <w:tab w:val="left" w:pos="720"/>
        <w:tab w:val="left" w:pos="1440"/>
      </w:tabs>
      <w:spacing w:after="240"/>
      <w:outlineLvl w:val="2"/>
    </w:pPr>
    <w:rPr>
      <w:rFonts w:ascii="Arial" w:hAnsi="Arial"/>
      <w:b/>
      <w:sz w:val="20"/>
    </w:rPr>
  </w:style>
  <w:style w:type="paragraph" w:customStyle="1" w:styleId="RefNumbers">
    <w:name w:val="Ref Numbers"/>
    <w:basedOn w:val="BodyText"/>
    <w:pPr>
      <w:numPr>
        <w:numId w:val="1"/>
      </w:numPr>
      <w:spacing w:after="240"/>
    </w:pPr>
  </w:style>
  <w:style w:type="character" w:customStyle="1" w:styleId="HeaderChar">
    <w:name w:val="Header Char"/>
    <w:basedOn w:val="DefaultParagraphFont"/>
    <w:link w:val="Header"/>
    <w:rsid w:val="007B2FDC"/>
    <w:rPr>
      <w:sz w:val="22"/>
    </w:rPr>
  </w:style>
  <w:style w:type="paragraph" w:customStyle="1" w:styleId="AbtHeadD">
    <w:name w:val="AbtHead D"/>
    <w:basedOn w:val="Normal"/>
    <w:next w:val="BodyText"/>
    <w:pPr>
      <w:keepNext/>
      <w:keepLines/>
      <w:tabs>
        <w:tab w:val="left" w:pos="360"/>
        <w:tab w:val="left" w:pos="720"/>
        <w:tab w:val="left" w:pos="1440"/>
      </w:tabs>
      <w:outlineLvl w:val="3"/>
    </w:pPr>
    <w:rPr>
      <w:b/>
      <w:i/>
    </w:rPr>
  </w:style>
  <w:style w:type="paragraph" w:customStyle="1" w:styleId="Table">
    <w:name w:val="Table"/>
    <w:basedOn w:val="Normal"/>
    <w:pPr>
      <w:tabs>
        <w:tab w:val="left" w:pos="360"/>
        <w:tab w:val="left" w:pos="720"/>
        <w:tab w:val="left" w:pos="1440"/>
      </w:tabs>
    </w:pPr>
    <w:rPr>
      <w:rFonts w:ascii="Arial" w:hAnsi="Arial"/>
      <w:sz w:val="20"/>
    </w:rPr>
  </w:style>
  <w:style w:type="character" w:styleId="PlaceholderText">
    <w:name w:val="Placeholder Text"/>
    <w:basedOn w:val="DefaultParagraphFont"/>
    <w:uiPriority w:val="99"/>
    <w:semiHidden/>
    <w:rsid w:val="00C25E78"/>
    <w:rPr>
      <w:color w:val="808080"/>
    </w:rPr>
  </w:style>
  <w:style w:type="character" w:styleId="CommentReference">
    <w:name w:val="annotation reference"/>
    <w:basedOn w:val="DefaultParagraphFont"/>
    <w:semiHidden/>
    <w:rPr>
      <w:sz w:val="16"/>
    </w:rPr>
  </w:style>
  <w:style w:type="paragraph" w:styleId="BodyText">
    <w:name w:val="Body Text"/>
    <w:basedOn w:val="Normal"/>
    <w:pPr>
      <w:tabs>
        <w:tab w:val="left" w:pos="720"/>
        <w:tab w:val="left" w:pos="1080"/>
        <w:tab w:val="left" w:pos="1440"/>
        <w:tab w:val="left" w:pos="1800"/>
      </w:tabs>
    </w:pPr>
  </w:style>
  <w:style w:type="paragraph" w:customStyle="1" w:styleId="Numbers">
    <w:name w:val="Numbers"/>
    <w:basedOn w:val="BodyText"/>
    <w:pPr>
      <w:numPr>
        <w:numId w:val="5"/>
      </w:numPr>
    </w:pPr>
  </w:style>
  <w:style w:type="paragraph" w:customStyle="1" w:styleId="Bullets">
    <w:name w:val="Bullets"/>
    <w:basedOn w:val="BodyText"/>
    <w:pPr>
      <w:numPr>
        <w:numId w:val="6"/>
      </w:numPr>
    </w:pPr>
  </w:style>
  <w:style w:type="paragraph" w:styleId="BalloonText">
    <w:name w:val="Balloon Text"/>
    <w:basedOn w:val="Normal"/>
    <w:link w:val="BalloonTextChar"/>
    <w:rsid w:val="00C25E7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25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5D16-A014-4EC4-A619-2C838DE6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8607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Abt Memorandum Template</vt:lpstr>
    </vt:vector>
  </TitlesOfParts>
  <Company>Abt Associates Inc.</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Memorandum Template</dc:title>
  <dc:creator>Carissa Climaco</dc:creator>
  <cp:keywords>Memorandum Templates</cp:keywords>
  <cp:lastModifiedBy>Rutledge_RA</cp:lastModifiedBy>
  <cp:revision>2</cp:revision>
  <cp:lastPrinted>2011-06-17T17:32:00Z</cp:lastPrinted>
  <dcterms:created xsi:type="dcterms:W3CDTF">2011-07-05T15:03:00Z</dcterms:created>
  <dcterms:modified xsi:type="dcterms:W3CDTF">2011-07-05T15:03:00Z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-1235981949</vt:i4>
  </property>
  <property fmtid="{D5CDD505-2E9C-101B-9397-08002B2CF9AE}" pid="3" name="_NewReviewCycle">
    <vt:lpwstr/>
  </property>
  <property fmtid="{D5CDD505-2E9C-101B-9397-08002B2CF9AE}" pid="4" name="_EmailSubject">
    <vt:lpwstr>Assessment of the LIHTC Program After 15 Years; 201012-2528-003</vt:lpwstr>
  </property>
  <property fmtid="{D5CDD505-2E9C-101B-9397-08002B2CF9AE}" pid="5" name="_AuthorEmail">
    <vt:lpwstr>Regina.C.Gray@hud.gov</vt:lpwstr>
  </property>
  <property fmtid="{D5CDD505-2E9C-101B-9397-08002B2CF9AE}" pid="6" name="_AuthorEmailDisplayName">
    <vt:lpwstr>Gray, Regina C</vt:lpwstr>
  </property>
  <property fmtid="{D5CDD505-2E9C-101B-9397-08002B2CF9AE}" pid="7" name="_ReviewingToolsShownOnce">
    <vt:lpwstr/>
  </property>
</Properties>
</file>