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CF152B"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CF152B">
        <w:rPr>
          <w:b/>
          <w:sz w:val="24"/>
          <w:szCs w:val="24"/>
        </w:rPr>
        <w:t xml:space="preserve">Title: </w:t>
      </w:r>
      <w:r w:rsidR="00A927EC" w:rsidRPr="00CF152B">
        <w:rPr>
          <w:b/>
          <w:bCs/>
          <w:sz w:val="24"/>
          <w:szCs w:val="24"/>
        </w:rPr>
        <w:t xml:space="preserve">Transformation Initiative: </w:t>
      </w:r>
      <w:r w:rsidR="00CF152B" w:rsidRPr="00CF152B">
        <w:rPr>
          <w:rFonts w:cs="Times New Roman"/>
          <w:b/>
          <w:bCs/>
          <w:sz w:val="24"/>
          <w:szCs w:val="24"/>
        </w:rPr>
        <w:t>Homeless Families Small Grant Research Demonstration</w:t>
      </w:r>
      <w:r w:rsidR="00CF152B">
        <w:rPr>
          <w:rFonts w:cs="Times New Roman"/>
          <w:b/>
          <w:bCs/>
          <w:sz w:val="24"/>
          <w:szCs w:val="24"/>
        </w:rPr>
        <w:t xml:space="preserve"> </w:t>
      </w:r>
      <w:r w:rsidR="00CF152B" w:rsidRPr="00CF152B">
        <w:rPr>
          <w:rFonts w:cs="Times New Roman"/>
          <w:b/>
          <w:bCs/>
          <w:sz w:val="24"/>
          <w:szCs w:val="24"/>
        </w:rPr>
        <w:t xml:space="preserve">Program </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Pr="00D92DC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27EC" w:rsidRDefault="00A927EC" w:rsidP="0031711C">
      <w:pPr>
        <w:suppressAutoHyphens/>
        <w:spacing w:after="0" w:line="240" w:lineRule="auto"/>
        <w:rPr>
          <w:rFonts w:cs="Times New Roman"/>
        </w:rPr>
      </w:pPr>
    </w:p>
    <w:p w:rsidR="00497CF9" w:rsidRPr="00497CF9" w:rsidRDefault="00497CF9" w:rsidP="00497CF9">
      <w:pPr>
        <w:tabs>
          <w:tab w:val="left" w:pos="720"/>
          <w:tab w:val="left" w:pos="1440"/>
          <w:tab w:val="left" w:pos="2160"/>
          <w:tab w:val="left" w:pos="2880"/>
          <w:tab w:val="left" w:pos="3600"/>
          <w:tab w:val="left" w:pos="4320"/>
        </w:tabs>
        <w:suppressAutoHyphens/>
        <w:spacing w:after="0" w:line="240" w:lineRule="auto"/>
      </w:pPr>
      <w:r w:rsidRPr="00497CF9">
        <w:rPr>
          <w:rFonts w:cs="Times New Roman"/>
        </w:rPr>
        <w:t xml:space="preserve">In Fiscal Year (FY) 2010, approximately $150,000 has been made available to carry out this effort by the </w:t>
      </w:r>
      <w:r w:rsidRPr="00497CF9">
        <w:rPr>
          <w:rFonts w:cs="Times New Roman"/>
          <w:bCs/>
          <w:iCs/>
        </w:rPr>
        <w:t xml:space="preserve">Department of Housing and Urban Development </w:t>
      </w:r>
      <w:r w:rsidRPr="00497CF9">
        <w:rPr>
          <w:rFonts w:cs="Times New Roman"/>
          <w:bCs/>
        </w:rPr>
        <w:t>Consolidated Appropriations Act, 2010 (Pub. L. 111-117 approved December 16, 2009).</w:t>
      </w:r>
      <w:r w:rsidRPr="00497CF9">
        <w:rPr>
          <w:rFonts w:cs="Times New Roman"/>
          <w:bCs/>
          <w:iCs/>
        </w:rPr>
        <w:t xml:space="preserve">  This program is approved by </w:t>
      </w:r>
      <w:r w:rsidRPr="00497CF9">
        <w:rPr>
          <w:rFonts w:cs="Times New Roman"/>
        </w:rPr>
        <w:t xml:space="preserve">HUD’s authority and administered under the Transformation Initiative (TI) account.  </w:t>
      </w:r>
      <w:r w:rsidRPr="00497CF9">
        <w:t xml:space="preserve">The purpose of this effort is to enhance the demonstration project that serves Homeless Families by providing a vehicle for conducting a number of small research projects aimed at collecting additional/supplemental information and analyses. </w:t>
      </w:r>
      <w:r w:rsidRPr="00497CF9">
        <w:rPr>
          <w:rFonts w:cs="Times New Roman"/>
          <w:bCs/>
          <w:iCs/>
        </w:rPr>
        <w:t>These funds wil</w:t>
      </w:r>
      <w:r w:rsidR="007C0303">
        <w:rPr>
          <w:rFonts w:cs="Times New Roman"/>
          <w:bCs/>
          <w:iCs/>
        </w:rPr>
        <w:t>l be made available in the form</w:t>
      </w:r>
      <w:r w:rsidRPr="00497CF9">
        <w:rPr>
          <w:rFonts w:cs="Times New Roman"/>
          <w:bCs/>
          <w:iCs/>
        </w:rPr>
        <w:t xml:space="preserve"> of cooperative agreements.  </w:t>
      </w:r>
    </w:p>
    <w:p w:rsidR="00497CF9" w:rsidRDefault="00497CF9" w:rsidP="00497CF9">
      <w:pPr>
        <w:keepLines/>
        <w:tabs>
          <w:tab w:val="left" w:pos="360"/>
          <w:tab w:val="left" w:pos="720"/>
        </w:tabs>
        <w:spacing w:line="240" w:lineRule="auto"/>
        <w:rPr>
          <w:rFonts w:cs="Times New Roman"/>
        </w:rPr>
      </w:pPr>
    </w:p>
    <w:p w:rsidR="00497CF9" w:rsidRPr="00D92DCC" w:rsidRDefault="00497CF9" w:rsidP="00497CF9">
      <w:pPr>
        <w:keepLines/>
        <w:tabs>
          <w:tab w:val="left" w:pos="360"/>
          <w:tab w:val="left" w:pos="720"/>
        </w:tabs>
        <w:spacing w:line="240" w:lineRule="auto"/>
      </w:pPr>
      <w:r w:rsidRPr="00D92DCC">
        <w:t xml:space="preserve">Grantees are selected through a competition process, announced through </w:t>
      </w:r>
      <w:r>
        <w:t>a Notice of Public Intent</w:t>
      </w:r>
      <w:r w:rsidRPr="00D92DCC">
        <w:t>.  Applicants are required to submit certain information as part of their application for assistance.  Grantees are r</w:t>
      </w:r>
      <w:r>
        <w:t>equired to prepare a quarterly</w:t>
      </w:r>
      <w:r w:rsidRPr="00D92DCC">
        <w:t xml:space="preserve"> status report so that HUD </w:t>
      </w:r>
      <w:r>
        <w:t xml:space="preserve">can monitor </w:t>
      </w:r>
      <w:r w:rsidRPr="00D92DCC">
        <w:t>the</w:t>
      </w:r>
      <w:r>
        <w:t>ir progress in completion of their</w:t>
      </w:r>
      <w:r w:rsidRPr="00D92DCC">
        <w:t xml:space="preserve"> research.</w:t>
      </w:r>
      <w:r w:rsidRPr="00D92DCC">
        <w:t> </w:t>
      </w:r>
    </w:p>
    <w:p w:rsidR="0031711C" w:rsidRPr="00D92DCC" w:rsidRDefault="0031711C"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D90C05" w:rsidRDefault="00636B17" w:rsidP="0000371E">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90C05" w:rsidRDefault="00D64178" w:rsidP="0031711C">
      <w:pPr>
        <w:keepLines/>
        <w:tabs>
          <w:tab w:val="left" w:pos="0"/>
          <w:tab w:val="left" w:pos="270"/>
        </w:tabs>
        <w:spacing w:after="80"/>
        <w:rPr>
          <w:b/>
          <w:sz w:val="24"/>
          <w:szCs w:val="24"/>
        </w:rPr>
      </w:pPr>
      <w:r w:rsidRPr="0002319A">
        <w:t>Respondents may apply through Grants.g</w:t>
      </w:r>
      <w:r w:rsidR="001F07F4">
        <w:t xml:space="preserve">ov unless they get a waiver for </w:t>
      </w:r>
      <w:r w:rsidRPr="0002319A">
        <w:t>the electronic application process. </w:t>
      </w: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00371E" w:rsidRDefault="0000371E" w:rsidP="0031711C">
      <w:pPr>
        <w:keepLines/>
        <w:tabs>
          <w:tab w:val="left" w:pos="0"/>
          <w:tab w:val="left" w:pos="360"/>
        </w:tabs>
        <w:spacing w:after="80"/>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00371E" w:rsidRDefault="0000371E"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lastRenderedPageBreak/>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C3CC7" w:rsidRDefault="000C3CC7" w:rsidP="00D90C05">
      <w:pPr>
        <w:keepLines/>
        <w:tabs>
          <w:tab w:val="left" w:pos="360"/>
          <w:tab w:val="left" w:pos="720"/>
        </w:tabs>
        <w:rPr>
          <w:noProof/>
        </w:rPr>
      </w:pPr>
    </w:p>
    <w:p w:rsidR="00E3227A" w:rsidRDefault="00E3227A" w:rsidP="00D90C05">
      <w:pPr>
        <w:keepLines/>
        <w:tabs>
          <w:tab w:val="left" w:pos="360"/>
          <w:tab w:val="left" w:pos="720"/>
        </w:tabs>
        <w:rPr>
          <w:noProof/>
        </w:rPr>
      </w:pPr>
      <w:r>
        <w:rPr>
          <w:noProof/>
        </w:rPr>
        <w:t>None</w:t>
      </w:r>
      <w:r w:rsidR="00D92DCC">
        <w:rPr>
          <w:noProof/>
        </w:rPr>
        <w:t xml:space="preserve">  </w:t>
      </w: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Default="0031711C" w:rsidP="00E3227A">
      <w:pPr>
        <w:keepLines/>
        <w:tabs>
          <w:tab w:val="left" w:pos="360"/>
          <w:tab w:val="left" w:pos="720"/>
        </w:tabs>
      </w:pPr>
    </w:p>
    <w:p w:rsidR="002463B2" w:rsidRPr="00B839DD" w:rsidRDefault="002463B2" w:rsidP="002463B2">
      <w:pPr>
        <w:keepLines/>
        <w:tabs>
          <w:tab w:val="left" w:pos="0"/>
        </w:tabs>
      </w:pPr>
      <w:r>
        <w:t>A notice was not published.  An emergency review was requested due to the time constraints presented, the type of research being conducted and the funding source supporting this effort.</w:t>
      </w: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0C3CC7" w:rsidRDefault="000C3CC7" w:rsidP="00D90C05">
      <w:pPr>
        <w:keepLines/>
        <w:tabs>
          <w:tab w:val="left" w:pos="360"/>
        </w:tabs>
        <w:spacing w:after="80"/>
        <w:rPr>
          <w:b/>
          <w:sz w:val="24"/>
          <w:szCs w:val="24"/>
        </w:rPr>
      </w:pPr>
    </w:p>
    <w:p w:rsidR="000C3CC7" w:rsidRDefault="000C3CC7" w:rsidP="00D90C05">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proofErr w:type="gramStart"/>
      <w:r w:rsidRPr="00D92DCC">
        <w:rPr>
          <w:b/>
          <w:sz w:val="24"/>
          <w:szCs w:val="24"/>
        </w:rPr>
        <w:lastRenderedPageBreak/>
        <w:t>10.</w:t>
      </w:r>
      <w:r w:rsidRPr="00D92DCC">
        <w:rPr>
          <w:b/>
          <w:sz w:val="24"/>
          <w:szCs w:val="24"/>
        </w:rPr>
        <w:tab/>
        <w:t>Describe any assurance of confidentiality provided to respondents and the basis for assurance in statute, regulation or agency policy.</w:t>
      </w:r>
      <w:proofErr w:type="gramEnd"/>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D90C05">
      <w:pPr>
        <w:keepLines/>
        <w:tabs>
          <w:tab w:val="left" w:pos="360"/>
        </w:tabs>
        <w:spacing w:after="80" w:line="240" w:lineRule="auto"/>
        <w:ind w:left="360" w:hanging="360"/>
        <w:rPr>
          <w:b/>
          <w:sz w:val="24"/>
          <w:szCs w:val="24"/>
        </w:rPr>
      </w:pPr>
      <w:r w:rsidRPr="00490AD9">
        <w:rPr>
          <w:b/>
          <w:sz w:val="24"/>
          <w:szCs w:val="24"/>
        </w:rPr>
        <w:t xml:space="preserve">behavior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r w:rsidRPr="00490AD9">
        <w:rPr>
          <w:b/>
          <w:sz w:val="24"/>
          <w:szCs w:val="24"/>
        </w:rPr>
        <w:t xml:space="preserve">private.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r w:rsidRPr="00490AD9">
        <w:rPr>
          <w:b/>
          <w:sz w:val="24"/>
          <w:szCs w:val="24"/>
        </w:rPr>
        <w:t xml:space="preserve">necessary,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r w:rsidRPr="00490AD9">
        <w:rPr>
          <w:b/>
          <w:sz w:val="24"/>
          <w:szCs w:val="24"/>
        </w:rPr>
        <w:t xml:space="preserve">persons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636B17" w:rsidRDefault="00E3227A" w:rsidP="00636B17">
      <w:pPr>
        <w:keepLines/>
        <w:tabs>
          <w:tab w:val="left" w:pos="360"/>
          <w:tab w:val="left" w:pos="720"/>
        </w:tabs>
      </w:pPr>
      <w:r>
        <w:t>None</w:t>
      </w: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31711C" w:rsidRPr="00490AD9" w:rsidRDefault="003A7E77" w:rsidP="0031711C">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71EBE" w:rsidRDefault="00171EBE" w:rsidP="00636B17">
      <w:pPr>
        <w:keepLines/>
        <w:tabs>
          <w:tab w:val="left" w:pos="360"/>
          <w:tab w:val="left" w:pos="720"/>
        </w:tabs>
      </w:pPr>
    </w:p>
    <w:p w:rsidR="00636B17" w:rsidRDefault="00636B17" w:rsidP="00636B17">
      <w:pPr>
        <w:keepLines/>
        <w:tabs>
          <w:tab w:val="left" w:pos="360"/>
          <w:tab w:val="left" w:pos="720"/>
        </w:tabs>
      </w:pPr>
      <w:r>
        <w:t>1) Pre-Award</w:t>
      </w:r>
    </w:p>
    <w:p w:rsidR="00835CB6" w:rsidRDefault="00835CB6" w:rsidP="00636B17">
      <w:pPr>
        <w:keepLines/>
        <w:tabs>
          <w:tab w:val="left" w:pos="360"/>
          <w:tab w:val="left" w:pos="720"/>
        </w:tabs>
      </w:pPr>
      <w:r>
        <w:t xml:space="preserve">HUD estimates that each applicant spends approximately 7 person-hours to complete the </w:t>
      </w:r>
      <w:r w:rsidR="00274614" w:rsidRPr="001E67DE">
        <w:t xml:space="preserve">pre-application </w:t>
      </w:r>
      <w:r w:rsidRPr="001E67DE">
        <w:t xml:space="preserve">phase.  </w:t>
      </w:r>
      <w:r w:rsidR="0000371E">
        <w:t>Almost all of this time is in</w:t>
      </w:r>
      <w:r w:rsidR="001E67DE">
        <w:t xml:space="preserve">vested by a researcher, expert and/or </w:t>
      </w:r>
      <w:r w:rsidR="0000371E">
        <w:t>analyst.  HUD estimates the mean hourly rate at $30.  For 15 applications, the computation is as follows: 15 applications X 7 hours X $30 per hours= $3,150.</w:t>
      </w:r>
    </w:p>
    <w:p w:rsidR="00636B17" w:rsidRDefault="00636B17" w:rsidP="00636B17">
      <w:pPr>
        <w:keepLines/>
        <w:tabs>
          <w:tab w:val="left" w:pos="360"/>
          <w:tab w:val="left" w:pos="720"/>
        </w:tabs>
      </w:pPr>
      <w:r>
        <w:lastRenderedPageBreak/>
        <w:t xml:space="preserve"> HUD estimates that each </w:t>
      </w:r>
      <w:r w:rsidR="0070170E">
        <w:t>a</w:t>
      </w:r>
      <w:r w:rsidR="0000371E">
        <w:t>ppl</w:t>
      </w:r>
      <w:r w:rsidR="002463B2">
        <w:t xml:space="preserve">icant that makes it through the </w:t>
      </w:r>
      <w:r w:rsidR="00274614">
        <w:rPr>
          <w:rFonts w:ascii="Helvetica" w:hAnsi="Helvetica"/>
          <w:sz w:val="18"/>
          <w:szCs w:val="18"/>
        </w:rPr>
        <w:t>p</w:t>
      </w:r>
      <w:r w:rsidR="00274614" w:rsidRPr="00FB3449">
        <w:rPr>
          <w:rFonts w:ascii="Helvetica" w:hAnsi="Helvetica"/>
          <w:sz w:val="18"/>
          <w:szCs w:val="18"/>
        </w:rPr>
        <w:t xml:space="preserve">re-application </w:t>
      </w:r>
      <w:r w:rsidR="00274614">
        <w:rPr>
          <w:rFonts w:ascii="Helvetica" w:hAnsi="Helvetica"/>
          <w:sz w:val="18"/>
          <w:szCs w:val="18"/>
        </w:rPr>
        <w:t>phase</w:t>
      </w:r>
      <w:r w:rsidR="002463B2">
        <w:t xml:space="preserve"> will spend approximately 42</w:t>
      </w:r>
      <w:r w:rsidR="00171EBE">
        <w:t xml:space="preserve"> person-hours to complete a full </w:t>
      </w:r>
      <w:r>
        <w:t>applicatio</w:t>
      </w:r>
      <w:r w:rsidR="00171EBE">
        <w:t xml:space="preserve">n.  </w:t>
      </w:r>
      <w:r>
        <w:t>HUD estimates the mean hourly rate at $30.</w:t>
      </w:r>
      <w:r w:rsidR="0000371E">
        <w:t xml:space="preserve">  For 10 </w:t>
      </w:r>
      <w:r>
        <w:t>applications, t</w:t>
      </w:r>
      <w:r w:rsidR="0000371E">
        <w:t>he computation is as follows: 10</w:t>
      </w:r>
      <w:r>
        <w:t xml:space="preserve"> applications</w:t>
      </w:r>
      <w:r w:rsidR="00171EBE">
        <w:t xml:space="preserve"> X 42 hours X $30 per hours= $12,600</w:t>
      </w:r>
      <w:r>
        <w:t>.</w:t>
      </w:r>
    </w:p>
    <w:p w:rsidR="00636B17" w:rsidRDefault="00636B17" w:rsidP="00636B17">
      <w:pPr>
        <w:keepLines/>
        <w:tabs>
          <w:tab w:val="left" w:pos="360"/>
          <w:tab w:val="left" w:pos="720"/>
        </w:tabs>
      </w:pPr>
      <w:r>
        <w:t>2) Post-Award</w:t>
      </w:r>
    </w:p>
    <w:p w:rsidR="00636B17" w:rsidRDefault="00636B17" w:rsidP="00636B17">
      <w:pPr>
        <w:keepLines/>
        <w:tabs>
          <w:tab w:val="left" w:pos="360"/>
          <w:tab w:val="left" w:pos="720"/>
        </w:tabs>
      </w:pPr>
      <w:r>
        <w:t>HUD estimates that each gr</w:t>
      </w:r>
      <w:r w:rsidR="009C24CF">
        <w:t>antee will spend approximately 6</w:t>
      </w:r>
      <w:r>
        <w:t xml:space="preserve"> hours a year maintaining records.  HUD also estimates that each grantee will spend approximately 4 hours a year preparing monitoring reports.  Clerical staff and faculty/supervisory staff will share this burden.  HUD estimates the applicable hourly rate at $15.  Th</w:t>
      </w:r>
      <w:r w:rsidR="00490AD9">
        <w:t>e computation</w:t>
      </w:r>
      <w:r w:rsidR="00CF152B">
        <w:t xml:space="preserve"> is as follow:  2</w:t>
      </w:r>
      <w:r w:rsidR="00490AD9">
        <w:t xml:space="preserve"> </w:t>
      </w:r>
      <w:r w:rsidR="009C24CF">
        <w:t>grantees x 10</w:t>
      </w:r>
      <w:r>
        <w:t xml:space="preserve"> hours x $15 an hour = </w:t>
      </w:r>
      <w:r w:rsidR="00CF152B">
        <w:t>$30</w:t>
      </w:r>
      <w:r w:rsidR="00490AD9">
        <w:t>0</w:t>
      </w:r>
      <w:r>
        <w:t>.</w:t>
      </w:r>
    </w:p>
    <w:tbl>
      <w:tblPr>
        <w:tblpPr w:leftFromText="180" w:rightFromText="180" w:vertAnchor="text" w:horzAnchor="margin" w:tblpXSpec="center" w:tblpY="8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2"/>
        <w:gridCol w:w="1530"/>
        <w:gridCol w:w="1440"/>
        <w:gridCol w:w="1260"/>
        <w:gridCol w:w="1440"/>
        <w:gridCol w:w="1476"/>
      </w:tblGrid>
      <w:tr w:rsidR="0000371E" w:rsidTr="00171EBE">
        <w:trPr>
          <w:trHeight w:val="872"/>
        </w:trPr>
        <w:tc>
          <w:tcPr>
            <w:tcW w:w="2682" w:type="dxa"/>
          </w:tcPr>
          <w:p w:rsidR="0000371E" w:rsidRDefault="0000371E" w:rsidP="0000371E">
            <w:pPr>
              <w:keepLines/>
              <w:tabs>
                <w:tab w:val="left" w:pos="360"/>
                <w:tab w:val="left" w:pos="720"/>
              </w:tabs>
              <w:rPr>
                <w:rFonts w:ascii="Helvetica" w:hAnsi="Helvetica"/>
                <w:sz w:val="18"/>
              </w:rPr>
            </w:pPr>
          </w:p>
          <w:p w:rsidR="0000371E" w:rsidRDefault="0000371E" w:rsidP="0000371E">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Hrs per Response</w:t>
            </w:r>
          </w:p>
        </w:tc>
        <w:tc>
          <w:tcPr>
            <w:tcW w:w="1476" w:type="dxa"/>
          </w:tcPr>
          <w:p w:rsidR="0000371E" w:rsidRDefault="0000371E" w:rsidP="0000371E">
            <w:pPr>
              <w:keepLines/>
              <w:tabs>
                <w:tab w:val="left" w:pos="360"/>
                <w:tab w:val="left" w:pos="720"/>
              </w:tabs>
              <w:jc w:val="center"/>
              <w:rPr>
                <w:rFonts w:ascii="Helvetica" w:hAnsi="Helvetica"/>
                <w:sz w:val="18"/>
              </w:rPr>
            </w:pPr>
          </w:p>
          <w:p w:rsidR="0000371E" w:rsidRDefault="0000371E" w:rsidP="0000371E">
            <w:pPr>
              <w:keepLines/>
              <w:tabs>
                <w:tab w:val="left" w:pos="360"/>
                <w:tab w:val="left" w:pos="720"/>
              </w:tabs>
              <w:jc w:val="center"/>
              <w:rPr>
                <w:rFonts w:ascii="Helvetica" w:hAnsi="Helvetica"/>
                <w:sz w:val="18"/>
              </w:rPr>
            </w:pPr>
            <w:r>
              <w:rPr>
                <w:rFonts w:ascii="Helvetica" w:hAnsi="Helvetica"/>
                <w:sz w:val="18"/>
              </w:rPr>
              <w:t>Total Hours</w:t>
            </w:r>
          </w:p>
        </w:tc>
      </w:tr>
      <w:tr w:rsidR="0000371E" w:rsidTr="00171EBE">
        <w:trPr>
          <w:trHeight w:val="287"/>
        </w:trPr>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SF</w:t>
            </w:r>
            <w:r w:rsidR="00171EBE">
              <w:rPr>
                <w:rFonts w:ascii="Helvetica" w:hAnsi="Helvetica"/>
                <w:sz w:val="18"/>
              </w:rPr>
              <w:t xml:space="preserve"> </w:t>
            </w:r>
            <w:r>
              <w:rPr>
                <w:rFonts w:ascii="Helvetica" w:hAnsi="Helvetica"/>
                <w:sz w:val="18"/>
              </w:rPr>
              <w:t>424</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15</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15</w:t>
            </w:r>
          </w:p>
        </w:tc>
        <w:tc>
          <w:tcPr>
            <w:tcW w:w="1440" w:type="dxa"/>
          </w:tcPr>
          <w:p w:rsidR="0000371E" w:rsidRDefault="0000371E" w:rsidP="0000371E">
            <w:pPr>
              <w:keepLines/>
              <w:ind w:left="-228" w:right="132"/>
              <w:jc w:val="center"/>
              <w:rPr>
                <w:rFonts w:ascii="Helvetica" w:hAnsi="Helvetica"/>
                <w:sz w:val="18"/>
              </w:rPr>
            </w:pPr>
            <w:r>
              <w:rPr>
                <w:rFonts w:ascii="Helvetica" w:hAnsi="Helvetica"/>
                <w:sz w:val="18"/>
              </w:rPr>
              <w:t>0.75</w:t>
            </w:r>
          </w:p>
        </w:tc>
        <w:tc>
          <w:tcPr>
            <w:tcW w:w="1476" w:type="dxa"/>
          </w:tcPr>
          <w:p w:rsidR="0000371E" w:rsidRDefault="0000371E" w:rsidP="0000371E">
            <w:pPr>
              <w:keepLines/>
              <w:tabs>
                <w:tab w:val="left" w:pos="612"/>
              </w:tabs>
              <w:ind w:left="-348" w:right="612"/>
              <w:jc w:val="center"/>
              <w:rPr>
                <w:rFonts w:ascii="Helvetica" w:hAnsi="Helvetica"/>
                <w:sz w:val="18"/>
              </w:rPr>
            </w:pPr>
            <w:r>
              <w:rPr>
                <w:rFonts w:ascii="Helvetica" w:hAnsi="Helvetica"/>
                <w:sz w:val="18"/>
              </w:rPr>
              <w:t xml:space="preserve">          11.25</w:t>
            </w:r>
          </w:p>
        </w:tc>
      </w:tr>
      <w:tr w:rsidR="0000371E" w:rsidTr="00171EBE">
        <w:tc>
          <w:tcPr>
            <w:tcW w:w="2682" w:type="dxa"/>
          </w:tcPr>
          <w:p w:rsidR="0000371E" w:rsidRPr="00FB3449" w:rsidRDefault="0000371E" w:rsidP="0000371E">
            <w:pPr>
              <w:keepLines/>
              <w:tabs>
                <w:tab w:val="left" w:pos="360"/>
                <w:tab w:val="left" w:pos="720"/>
              </w:tabs>
              <w:rPr>
                <w:rFonts w:ascii="Helvetica" w:hAnsi="Helvetica"/>
                <w:sz w:val="18"/>
                <w:szCs w:val="18"/>
              </w:rPr>
            </w:pPr>
            <w:r w:rsidRPr="00FB3449">
              <w:rPr>
                <w:rFonts w:ascii="Helvetica" w:hAnsi="Helvetica"/>
                <w:sz w:val="18"/>
                <w:szCs w:val="18"/>
              </w:rPr>
              <w:t>Pre-application stage</w:t>
            </w:r>
          </w:p>
        </w:tc>
        <w:tc>
          <w:tcPr>
            <w:tcW w:w="1530" w:type="dxa"/>
          </w:tcPr>
          <w:p w:rsidR="0000371E" w:rsidRPr="00FB3449" w:rsidRDefault="0000371E" w:rsidP="0000371E">
            <w:pPr>
              <w:keepLines/>
              <w:tabs>
                <w:tab w:val="left" w:pos="360"/>
                <w:tab w:val="left" w:pos="720"/>
              </w:tabs>
              <w:jc w:val="center"/>
              <w:rPr>
                <w:rFonts w:ascii="Helvetica" w:hAnsi="Helvetica"/>
                <w:sz w:val="18"/>
                <w:szCs w:val="18"/>
              </w:rPr>
            </w:pPr>
            <w:r w:rsidRPr="00FB3449">
              <w:rPr>
                <w:rFonts w:ascii="Helvetica" w:hAnsi="Helvetica"/>
                <w:sz w:val="18"/>
                <w:szCs w:val="18"/>
              </w:rPr>
              <w:t>15</w:t>
            </w:r>
          </w:p>
        </w:tc>
        <w:tc>
          <w:tcPr>
            <w:tcW w:w="1440" w:type="dxa"/>
          </w:tcPr>
          <w:p w:rsidR="0000371E" w:rsidRPr="00FB3449" w:rsidRDefault="0000371E" w:rsidP="0000371E">
            <w:pPr>
              <w:keepLines/>
              <w:tabs>
                <w:tab w:val="left" w:pos="360"/>
                <w:tab w:val="left" w:pos="720"/>
              </w:tabs>
              <w:jc w:val="center"/>
              <w:rPr>
                <w:rFonts w:ascii="Helvetica" w:hAnsi="Helvetica"/>
                <w:sz w:val="18"/>
                <w:szCs w:val="18"/>
              </w:rPr>
            </w:pPr>
            <w:r w:rsidRPr="00FB3449">
              <w:rPr>
                <w:rFonts w:ascii="Helvetica" w:hAnsi="Helvetica"/>
                <w:sz w:val="18"/>
                <w:szCs w:val="18"/>
              </w:rPr>
              <w:t>1</w:t>
            </w:r>
          </w:p>
        </w:tc>
        <w:tc>
          <w:tcPr>
            <w:tcW w:w="1260" w:type="dxa"/>
          </w:tcPr>
          <w:p w:rsidR="0000371E" w:rsidRPr="00FB3449" w:rsidRDefault="0000371E" w:rsidP="0000371E">
            <w:pPr>
              <w:jc w:val="center"/>
              <w:rPr>
                <w:rFonts w:ascii="Helvetica" w:hAnsi="Helvetica"/>
                <w:sz w:val="18"/>
                <w:szCs w:val="18"/>
              </w:rPr>
            </w:pPr>
            <w:r w:rsidRPr="00FB3449">
              <w:rPr>
                <w:rFonts w:ascii="Helvetica" w:hAnsi="Helvetica"/>
                <w:sz w:val="18"/>
                <w:szCs w:val="18"/>
              </w:rPr>
              <w:t>15</w:t>
            </w:r>
          </w:p>
        </w:tc>
        <w:tc>
          <w:tcPr>
            <w:tcW w:w="1440" w:type="dxa"/>
          </w:tcPr>
          <w:p w:rsidR="0000371E" w:rsidRPr="00FB3449" w:rsidRDefault="0000371E" w:rsidP="0000371E">
            <w:pPr>
              <w:keepLines/>
              <w:ind w:left="-228" w:right="252"/>
              <w:jc w:val="center"/>
              <w:rPr>
                <w:rFonts w:ascii="Helvetica" w:hAnsi="Helvetica"/>
                <w:sz w:val="18"/>
                <w:szCs w:val="18"/>
              </w:rPr>
            </w:pPr>
            <w:r>
              <w:rPr>
                <w:rFonts w:ascii="Helvetica" w:hAnsi="Helvetica"/>
                <w:sz w:val="18"/>
                <w:szCs w:val="18"/>
              </w:rPr>
              <w:t xml:space="preserve">   </w:t>
            </w:r>
            <w:r w:rsidRPr="00FB3449">
              <w:rPr>
                <w:rFonts w:ascii="Helvetica" w:hAnsi="Helvetica"/>
                <w:sz w:val="18"/>
                <w:szCs w:val="18"/>
              </w:rPr>
              <w:t>7</w:t>
            </w:r>
          </w:p>
        </w:tc>
        <w:tc>
          <w:tcPr>
            <w:tcW w:w="1476" w:type="dxa"/>
          </w:tcPr>
          <w:p w:rsidR="0000371E" w:rsidRPr="00FB3449" w:rsidRDefault="0000371E" w:rsidP="0000371E">
            <w:pPr>
              <w:keepLines/>
              <w:ind w:left="-108" w:right="492"/>
              <w:jc w:val="center"/>
              <w:rPr>
                <w:rFonts w:ascii="Helvetica" w:hAnsi="Helvetica"/>
                <w:sz w:val="18"/>
                <w:szCs w:val="18"/>
              </w:rPr>
            </w:pPr>
            <w:r>
              <w:rPr>
                <w:rFonts w:ascii="Helvetica" w:hAnsi="Helvetica"/>
                <w:sz w:val="18"/>
                <w:szCs w:val="18"/>
              </w:rPr>
              <w:t xml:space="preserve">    </w:t>
            </w:r>
            <w:r w:rsidRPr="00FB3449">
              <w:rPr>
                <w:rFonts w:ascii="Helvetica" w:hAnsi="Helvetica"/>
                <w:sz w:val="18"/>
                <w:szCs w:val="18"/>
              </w:rPr>
              <w:t>105</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sidR="00F61807">
              <w:rPr>
                <w:rFonts w:ascii="Helvetica" w:hAnsi="Helvetica"/>
                <w:sz w:val="18"/>
              </w:rPr>
              <w:t>0</w:t>
            </w:r>
          </w:p>
        </w:tc>
        <w:tc>
          <w:tcPr>
            <w:tcW w:w="1440" w:type="dxa"/>
          </w:tcPr>
          <w:p w:rsidR="0000371E" w:rsidRDefault="0000371E" w:rsidP="0000371E">
            <w:pPr>
              <w:keepLines/>
              <w:ind w:left="-228" w:right="132"/>
              <w:jc w:val="center"/>
              <w:rPr>
                <w:rFonts w:ascii="Helvetica" w:hAnsi="Helvetica"/>
                <w:sz w:val="18"/>
              </w:rPr>
            </w:pPr>
            <w:r>
              <w:rPr>
                <w:rFonts w:ascii="Helvetica" w:hAnsi="Helvetica"/>
                <w:sz w:val="18"/>
              </w:rPr>
              <w:t>0.08</w:t>
            </w:r>
          </w:p>
        </w:tc>
        <w:tc>
          <w:tcPr>
            <w:tcW w:w="1476" w:type="dxa"/>
          </w:tcPr>
          <w:p w:rsidR="0000371E" w:rsidRDefault="0000371E" w:rsidP="00F61807">
            <w:pPr>
              <w:keepLines/>
              <w:ind w:left="-108" w:right="372"/>
              <w:jc w:val="center"/>
              <w:rPr>
                <w:rFonts w:ascii="Helvetica" w:hAnsi="Helvetica"/>
                <w:sz w:val="18"/>
              </w:rPr>
            </w:pPr>
            <w:r>
              <w:rPr>
                <w:rFonts w:ascii="Helvetica" w:hAnsi="Helvetica"/>
                <w:sz w:val="18"/>
              </w:rPr>
              <w:t xml:space="preserve"> </w:t>
            </w:r>
            <w:r w:rsidR="00F61807">
              <w:rPr>
                <w:rFonts w:ascii="Helvetica" w:hAnsi="Helvetica"/>
                <w:sz w:val="18"/>
              </w:rPr>
              <w:t>.8</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HUD 424CB</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sidR="00F61807">
              <w:rPr>
                <w:rFonts w:ascii="Helvetica" w:hAnsi="Helvetica"/>
                <w:sz w:val="18"/>
              </w:rPr>
              <w:t>0</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3</w:t>
            </w:r>
          </w:p>
        </w:tc>
        <w:tc>
          <w:tcPr>
            <w:tcW w:w="1476" w:type="dxa"/>
          </w:tcPr>
          <w:p w:rsidR="0000371E" w:rsidRDefault="00F61807" w:rsidP="0000371E">
            <w:pPr>
              <w:keepLines/>
              <w:ind w:left="-468" w:right="612"/>
              <w:jc w:val="center"/>
              <w:rPr>
                <w:rFonts w:ascii="Helvetica" w:hAnsi="Helvetica"/>
                <w:sz w:val="18"/>
              </w:rPr>
            </w:pPr>
            <w:r>
              <w:rPr>
                <w:rFonts w:ascii="Helvetica" w:hAnsi="Helvetica"/>
                <w:sz w:val="18"/>
              </w:rPr>
              <w:t xml:space="preserve">           30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SFLLL</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sidR="00F61807">
              <w:rPr>
                <w:rFonts w:ascii="Helvetica" w:hAnsi="Helvetica"/>
                <w:sz w:val="18"/>
              </w:rPr>
              <w:t>0</w:t>
            </w:r>
          </w:p>
        </w:tc>
        <w:tc>
          <w:tcPr>
            <w:tcW w:w="1440" w:type="dxa"/>
          </w:tcPr>
          <w:p w:rsidR="0000371E" w:rsidRDefault="0000371E" w:rsidP="0000371E">
            <w:pPr>
              <w:keepLines/>
              <w:ind w:left="-228" w:right="132"/>
              <w:jc w:val="center"/>
              <w:rPr>
                <w:rFonts w:ascii="Helvetica" w:hAnsi="Helvetica"/>
                <w:sz w:val="18"/>
              </w:rPr>
            </w:pPr>
            <w:r>
              <w:rPr>
                <w:rFonts w:ascii="Helvetica" w:hAnsi="Helvetica"/>
                <w:sz w:val="18"/>
              </w:rPr>
              <w:t xml:space="preserve"> 0.17</w:t>
            </w:r>
          </w:p>
        </w:tc>
        <w:tc>
          <w:tcPr>
            <w:tcW w:w="1476" w:type="dxa"/>
          </w:tcPr>
          <w:p w:rsidR="0000371E" w:rsidRDefault="00F61807" w:rsidP="0000371E">
            <w:pPr>
              <w:keepLines/>
              <w:ind w:left="-108" w:right="372"/>
              <w:jc w:val="center"/>
              <w:rPr>
                <w:rFonts w:ascii="Helvetica" w:hAnsi="Helvetica"/>
                <w:sz w:val="18"/>
              </w:rPr>
            </w:pPr>
            <w:r>
              <w:rPr>
                <w:rFonts w:ascii="Helvetica" w:hAnsi="Helvetica"/>
                <w:sz w:val="18"/>
              </w:rPr>
              <w:t>1.7</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sidR="002463B2">
              <w:rPr>
                <w:rFonts w:ascii="Helvetica" w:hAnsi="Helvetica"/>
                <w:sz w:val="18"/>
              </w:rPr>
              <w:t>0</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0</w:t>
            </w:r>
          </w:p>
        </w:tc>
        <w:tc>
          <w:tcPr>
            <w:tcW w:w="1476" w:type="dxa"/>
          </w:tcPr>
          <w:p w:rsidR="0000371E" w:rsidRDefault="0000371E" w:rsidP="0000371E">
            <w:pPr>
              <w:keepLines/>
              <w:ind w:left="-348" w:right="612"/>
              <w:jc w:val="center"/>
              <w:rPr>
                <w:rFonts w:ascii="Helvetica" w:hAnsi="Helvetica"/>
                <w:sz w:val="18"/>
              </w:rPr>
            </w:pPr>
            <w:r>
              <w:rPr>
                <w:rFonts w:ascii="Helvetica" w:hAnsi="Helvetica"/>
                <w:sz w:val="18"/>
              </w:rPr>
              <w:t xml:space="preserve">           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sidR="00F61807">
              <w:rPr>
                <w:rFonts w:ascii="Helvetica" w:hAnsi="Helvetica"/>
                <w:sz w:val="18"/>
              </w:rPr>
              <w:t>0</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3</w:t>
            </w:r>
          </w:p>
        </w:tc>
        <w:tc>
          <w:tcPr>
            <w:tcW w:w="1476" w:type="dxa"/>
          </w:tcPr>
          <w:p w:rsidR="0000371E" w:rsidRDefault="00F61807" w:rsidP="0000371E">
            <w:pPr>
              <w:keepLines/>
              <w:ind w:left="-348" w:right="612"/>
              <w:jc w:val="center"/>
              <w:rPr>
                <w:rFonts w:ascii="Helvetica" w:hAnsi="Helvetica"/>
                <w:sz w:val="18"/>
              </w:rPr>
            </w:pPr>
            <w:r>
              <w:rPr>
                <w:rFonts w:ascii="Helvetica" w:hAnsi="Helvetica"/>
                <w:sz w:val="18"/>
              </w:rPr>
              <w:t xml:space="preserve">         30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Pr>
                <w:rFonts w:ascii="Helvetica" w:hAnsi="Helvetica"/>
                <w:sz w:val="18"/>
              </w:rPr>
              <w:t>10</w:t>
            </w:r>
          </w:p>
        </w:tc>
        <w:tc>
          <w:tcPr>
            <w:tcW w:w="1440" w:type="dxa"/>
          </w:tcPr>
          <w:p w:rsidR="0000371E" w:rsidRDefault="0000371E" w:rsidP="0000371E">
            <w:pPr>
              <w:keepLines/>
              <w:ind w:left="-228" w:right="252"/>
              <w:jc w:val="center"/>
              <w:rPr>
                <w:rFonts w:ascii="Helvetica" w:hAnsi="Helvetica"/>
                <w:sz w:val="18"/>
              </w:rPr>
            </w:pPr>
            <w:r>
              <w:rPr>
                <w:rFonts w:ascii="Helvetica" w:hAnsi="Helvetica"/>
                <w:sz w:val="18"/>
              </w:rPr>
              <w:t xml:space="preserve">     7</w:t>
            </w:r>
          </w:p>
        </w:tc>
        <w:tc>
          <w:tcPr>
            <w:tcW w:w="1476" w:type="dxa"/>
          </w:tcPr>
          <w:p w:rsidR="0000371E" w:rsidRDefault="00F61807" w:rsidP="0000371E">
            <w:pPr>
              <w:keepLines/>
              <w:ind w:left="-108" w:right="492"/>
              <w:jc w:val="center"/>
              <w:rPr>
                <w:rFonts w:ascii="Helvetica" w:hAnsi="Helvetica"/>
                <w:sz w:val="18"/>
              </w:rPr>
            </w:pPr>
            <w:r>
              <w:rPr>
                <w:rFonts w:ascii="Helvetica" w:hAnsi="Helvetica"/>
                <w:sz w:val="18"/>
              </w:rPr>
              <w:t xml:space="preserve">  </w:t>
            </w:r>
            <w:r w:rsidR="0000371E">
              <w:rPr>
                <w:rFonts w:ascii="Helvetica" w:hAnsi="Helvetica"/>
                <w:sz w:val="18"/>
              </w:rPr>
              <w:t>70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Pr>
                <w:rFonts w:ascii="Helvetica" w:hAnsi="Helvetica"/>
                <w:sz w:val="18"/>
              </w:rPr>
              <w:t>0</w:t>
            </w:r>
          </w:p>
        </w:tc>
        <w:tc>
          <w:tcPr>
            <w:tcW w:w="1440" w:type="dxa"/>
          </w:tcPr>
          <w:p w:rsidR="0000371E" w:rsidRDefault="0000371E" w:rsidP="0000371E">
            <w:pPr>
              <w:keepLines/>
              <w:ind w:left="-228" w:right="252"/>
              <w:jc w:val="center"/>
              <w:rPr>
                <w:rFonts w:ascii="Helvetica" w:hAnsi="Helvetica"/>
                <w:sz w:val="18"/>
              </w:rPr>
            </w:pPr>
            <w:r>
              <w:rPr>
                <w:rFonts w:ascii="Helvetica" w:hAnsi="Helvetica"/>
                <w:sz w:val="18"/>
              </w:rPr>
              <w:t xml:space="preserve">     7</w:t>
            </w:r>
          </w:p>
        </w:tc>
        <w:tc>
          <w:tcPr>
            <w:tcW w:w="1476" w:type="dxa"/>
          </w:tcPr>
          <w:p w:rsidR="0000371E" w:rsidRDefault="0000371E" w:rsidP="0000371E">
            <w:r>
              <w:rPr>
                <w:rFonts w:ascii="Helvetica" w:hAnsi="Helvetica"/>
                <w:sz w:val="18"/>
              </w:rPr>
              <w:t xml:space="preserve">         70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Pr>
                <w:rFonts w:ascii="Helvetica" w:hAnsi="Helvetica"/>
                <w:sz w:val="18"/>
              </w:rPr>
              <w:t>0</w:t>
            </w:r>
          </w:p>
        </w:tc>
        <w:tc>
          <w:tcPr>
            <w:tcW w:w="1440" w:type="dxa"/>
          </w:tcPr>
          <w:p w:rsidR="0000371E" w:rsidRDefault="0000371E" w:rsidP="0000371E">
            <w:pPr>
              <w:keepLines/>
              <w:ind w:left="-228" w:right="252"/>
              <w:jc w:val="center"/>
              <w:rPr>
                <w:rFonts w:ascii="Helvetica" w:hAnsi="Helvetica"/>
                <w:sz w:val="18"/>
              </w:rPr>
            </w:pPr>
            <w:r>
              <w:rPr>
                <w:rFonts w:ascii="Helvetica" w:hAnsi="Helvetica"/>
                <w:sz w:val="18"/>
              </w:rPr>
              <w:t xml:space="preserve">     7</w:t>
            </w:r>
          </w:p>
        </w:tc>
        <w:tc>
          <w:tcPr>
            <w:tcW w:w="1476" w:type="dxa"/>
          </w:tcPr>
          <w:p w:rsidR="0000371E" w:rsidRDefault="0000371E" w:rsidP="0000371E">
            <w:r>
              <w:rPr>
                <w:rFonts w:ascii="Helvetica" w:hAnsi="Helvetica"/>
                <w:sz w:val="18"/>
              </w:rPr>
              <w:t xml:space="preserve">         70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Pr>
                <w:rFonts w:ascii="Helvetica" w:hAnsi="Helvetica"/>
                <w:sz w:val="18"/>
              </w:rPr>
              <w:t>0</w:t>
            </w:r>
          </w:p>
        </w:tc>
        <w:tc>
          <w:tcPr>
            <w:tcW w:w="1440" w:type="dxa"/>
          </w:tcPr>
          <w:p w:rsidR="0000371E" w:rsidRDefault="0000371E" w:rsidP="0000371E">
            <w:pPr>
              <w:keepLines/>
              <w:ind w:left="-228" w:right="252"/>
              <w:jc w:val="center"/>
              <w:rPr>
                <w:rFonts w:ascii="Helvetica" w:hAnsi="Helvetica"/>
                <w:sz w:val="18"/>
              </w:rPr>
            </w:pPr>
            <w:r>
              <w:rPr>
                <w:rFonts w:ascii="Helvetica" w:hAnsi="Helvetica"/>
                <w:sz w:val="18"/>
              </w:rPr>
              <w:t xml:space="preserve">     7</w:t>
            </w:r>
          </w:p>
        </w:tc>
        <w:tc>
          <w:tcPr>
            <w:tcW w:w="1476" w:type="dxa"/>
          </w:tcPr>
          <w:p w:rsidR="0000371E" w:rsidRDefault="00F61807" w:rsidP="0000371E">
            <w:r>
              <w:rPr>
                <w:rFonts w:ascii="Helvetica" w:hAnsi="Helvetica"/>
                <w:sz w:val="18"/>
              </w:rPr>
              <w:t xml:space="preserve">        </w:t>
            </w:r>
            <w:r w:rsidR="0000371E">
              <w:rPr>
                <w:rFonts w:ascii="Helvetica" w:hAnsi="Helvetica"/>
                <w:sz w:val="18"/>
              </w:rPr>
              <w:t>70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Rating factor 5</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Pr>
                <w:rFonts w:ascii="Helvetica" w:hAnsi="Helvetica"/>
                <w:sz w:val="18"/>
              </w:rPr>
              <w:t>0</w:t>
            </w:r>
          </w:p>
        </w:tc>
        <w:tc>
          <w:tcPr>
            <w:tcW w:w="1440" w:type="dxa"/>
          </w:tcPr>
          <w:p w:rsidR="0000371E" w:rsidRDefault="0000371E" w:rsidP="0000371E">
            <w:pPr>
              <w:keepLines/>
              <w:ind w:left="-228" w:right="252"/>
              <w:jc w:val="center"/>
              <w:rPr>
                <w:rFonts w:ascii="Helvetica" w:hAnsi="Helvetica"/>
                <w:sz w:val="18"/>
              </w:rPr>
            </w:pPr>
            <w:r>
              <w:rPr>
                <w:rFonts w:ascii="Helvetica" w:hAnsi="Helvetica"/>
                <w:sz w:val="18"/>
              </w:rPr>
              <w:t xml:space="preserve">     7</w:t>
            </w:r>
          </w:p>
        </w:tc>
        <w:tc>
          <w:tcPr>
            <w:tcW w:w="1476" w:type="dxa"/>
          </w:tcPr>
          <w:p w:rsidR="0000371E" w:rsidRDefault="00F61807" w:rsidP="0000371E">
            <w:r>
              <w:rPr>
                <w:rFonts w:ascii="Helvetica" w:hAnsi="Helvetica"/>
                <w:sz w:val="18"/>
              </w:rPr>
              <w:t xml:space="preserve">       </w:t>
            </w:r>
            <w:r w:rsidR="0000371E">
              <w:rPr>
                <w:rFonts w:ascii="Helvetica" w:hAnsi="Helvetica"/>
                <w:sz w:val="18"/>
              </w:rPr>
              <w:t xml:space="preserve"> 70</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10</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00371E" w:rsidRDefault="0000371E" w:rsidP="0000371E">
            <w:pPr>
              <w:jc w:val="center"/>
            </w:pPr>
            <w:r w:rsidRPr="00162590">
              <w:rPr>
                <w:rFonts w:ascii="Helvetica" w:hAnsi="Helvetica"/>
                <w:sz w:val="18"/>
              </w:rPr>
              <w:t>1</w:t>
            </w:r>
            <w:r>
              <w:rPr>
                <w:rFonts w:ascii="Helvetica" w:hAnsi="Helvetica"/>
                <w:sz w:val="18"/>
              </w:rPr>
              <w:t>0</w:t>
            </w:r>
          </w:p>
        </w:tc>
        <w:tc>
          <w:tcPr>
            <w:tcW w:w="1440" w:type="dxa"/>
          </w:tcPr>
          <w:p w:rsidR="0000371E" w:rsidRDefault="00F61807" w:rsidP="0000371E">
            <w:pPr>
              <w:keepLines/>
              <w:ind w:left="-468" w:right="372"/>
              <w:jc w:val="center"/>
              <w:rPr>
                <w:rFonts w:ascii="Helvetica" w:hAnsi="Helvetica"/>
                <w:sz w:val="18"/>
              </w:rPr>
            </w:pPr>
            <w:r>
              <w:rPr>
                <w:rFonts w:ascii="Helvetica" w:hAnsi="Helvetica"/>
                <w:sz w:val="18"/>
              </w:rPr>
              <w:t xml:space="preserve">        </w:t>
            </w:r>
            <w:r w:rsidR="001E67DE">
              <w:rPr>
                <w:rFonts w:ascii="Helvetica" w:hAnsi="Helvetica"/>
                <w:sz w:val="18"/>
              </w:rPr>
              <w:t xml:space="preserve">   </w:t>
            </w:r>
            <w:r>
              <w:rPr>
                <w:rFonts w:ascii="Helvetica" w:hAnsi="Helvetica"/>
                <w:sz w:val="18"/>
              </w:rPr>
              <w:t>49</w:t>
            </w:r>
          </w:p>
        </w:tc>
        <w:tc>
          <w:tcPr>
            <w:tcW w:w="1476" w:type="dxa"/>
          </w:tcPr>
          <w:p w:rsidR="0000371E" w:rsidRDefault="00171EBE" w:rsidP="0000371E">
            <w:pPr>
              <w:keepLines/>
              <w:ind w:left="-348" w:right="612"/>
              <w:jc w:val="center"/>
              <w:rPr>
                <w:rFonts w:ascii="Helvetica" w:hAnsi="Helvetica"/>
                <w:sz w:val="18"/>
              </w:rPr>
            </w:pPr>
            <w:r>
              <w:rPr>
                <w:rFonts w:ascii="Helvetica" w:hAnsi="Helvetica"/>
                <w:sz w:val="18"/>
              </w:rPr>
              <w:t xml:space="preserve">        </w:t>
            </w:r>
            <w:r w:rsidR="00F61807">
              <w:rPr>
                <w:rFonts w:ascii="Helvetica" w:hAnsi="Helvetica"/>
                <w:sz w:val="18"/>
              </w:rPr>
              <w:t>528.75</w:t>
            </w:r>
            <w:r w:rsidR="0000371E">
              <w:rPr>
                <w:rFonts w:ascii="Helvetica" w:hAnsi="Helvetica"/>
                <w:sz w:val="18"/>
              </w:rPr>
              <w:t xml:space="preserve">            </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2</w:t>
            </w:r>
          </w:p>
        </w:tc>
        <w:tc>
          <w:tcPr>
            <w:tcW w:w="144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00371E" w:rsidRDefault="0000371E" w:rsidP="0000371E">
            <w:pPr>
              <w:jc w:val="center"/>
            </w:pPr>
            <w:r>
              <w:rPr>
                <w:rFonts w:ascii="Helvetica" w:hAnsi="Helvetica"/>
                <w:sz w:val="18"/>
              </w:rPr>
              <w:t>8</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6     </w:t>
            </w:r>
          </w:p>
        </w:tc>
        <w:tc>
          <w:tcPr>
            <w:tcW w:w="1476" w:type="dxa"/>
          </w:tcPr>
          <w:p w:rsidR="0000371E" w:rsidRDefault="00171EBE" w:rsidP="0000371E">
            <w:pPr>
              <w:keepLines/>
              <w:ind w:left="-348" w:right="612"/>
              <w:jc w:val="center"/>
              <w:rPr>
                <w:rFonts w:ascii="Helvetica" w:hAnsi="Helvetica"/>
                <w:sz w:val="18"/>
              </w:rPr>
            </w:pPr>
            <w:r>
              <w:rPr>
                <w:rFonts w:ascii="Helvetica" w:hAnsi="Helvetica"/>
                <w:sz w:val="18"/>
              </w:rPr>
              <w:t xml:space="preserve">               </w:t>
            </w:r>
            <w:r w:rsidR="0000371E">
              <w:rPr>
                <w:rFonts w:ascii="Helvetica" w:hAnsi="Helvetica"/>
                <w:sz w:val="18"/>
              </w:rPr>
              <w:t>48</w:t>
            </w:r>
          </w:p>
        </w:tc>
      </w:tr>
      <w:tr w:rsidR="0000371E" w:rsidTr="00171EBE">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2</w:t>
            </w:r>
          </w:p>
        </w:tc>
        <w:tc>
          <w:tcPr>
            <w:tcW w:w="1440" w:type="dxa"/>
          </w:tcPr>
          <w:p w:rsidR="0000371E" w:rsidRDefault="0000371E" w:rsidP="0000371E">
            <w:pPr>
              <w:keepLines/>
              <w:tabs>
                <w:tab w:val="left" w:pos="360"/>
                <w:tab w:val="left" w:pos="720"/>
              </w:tabs>
              <w:jc w:val="center"/>
              <w:rPr>
                <w:rFonts w:ascii="Helvetica" w:hAnsi="Helvetica"/>
                <w:sz w:val="18"/>
              </w:rPr>
            </w:pPr>
          </w:p>
        </w:tc>
        <w:tc>
          <w:tcPr>
            <w:tcW w:w="1260" w:type="dxa"/>
          </w:tcPr>
          <w:p w:rsidR="0000371E" w:rsidRDefault="0000371E" w:rsidP="0000371E">
            <w:pPr>
              <w:keepLines/>
              <w:tabs>
                <w:tab w:val="left" w:pos="360"/>
                <w:tab w:val="left" w:pos="720"/>
              </w:tabs>
              <w:jc w:val="center"/>
              <w:rPr>
                <w:rFonts w:ascii="Helvetica" w:hAnsi="Helvetica"/>
                <w:sz w:val="18"/>
              </w:rPr>
            </w:pPr>
            <w:r>
              <w:rPr>
                <w:rFonts w:ascii="Helvetica" w:hAnsi="Helvetica"/>
                <w:sz w:val="18"/>
              </w:rPr>
              <w:t>2</w:t>
            </w:r>
          </w:p>
        </w:tc>
        <w:tc>
          <w:tcPr>
            <w:tcW w:w="1440" w:type="dxa"/>
          </w:tcPr>
          <w:p w:rsidR="0000371E" w:rsidRDefault="0000371E" w:rsidP="0000371E">
            <w:pPr>
              <w:keepLines/>
              <w:ind w:left="-468" w:right="372"/>
              <w:jc w:val="center"/>
              <w:rPr>
                <w:rFonts w:ascii="Helvetica" w:hAnsi="Helvetica"/>
                <w:sz w:val="18"/>
              </w:rPr>
            </w:pPr>
            <w:r>
              <w:rPr>
                <w:rFonts w:ascii="Helvetica" w:hAnsi="Helvetica"/>
                <w:sz w:val="18"/>
              </w:rPr>
              <w:t xml:space="preserve">            4       </w:t>
            </w:r>
          </w:p>
        </w:tc>
        <w:tc>
          <w:tcPr>
            <w:tcW w:w="1476" w:type="dxa"/>
          </w:tcPr>
          <w:p w:rsidR="0000371E" w:rsidRDefault="0000371E" w:rsidP="0000371E">
            <w:pPr>
              <w:keepLines/>
              <w:ind w:left="-348" w:right="612"/>
              <w:jc w:val="center"/>
              <w:rPr>
                <w:rFonts w:ascii="Helvetica" w:hAnsi="Helvetica"/>
                <w:sz w:val="18"/>
              </w:rPr>
            </w:pPr>
            <w:r>
              <w:rPr>
                <w:rFonts w:ascii="Helvetica" w:hAnsi="Helvetica"/>
                <w:sz w:val="18"/>
              </w:rPr>
              <w:t xml:space="preserve">               8</w:t>
            </w:r>
          </w:p>
        </w:tc>
      </w:tr>
      <w:tr w:rsidR="0000371E" w:rsidTr="00171EBE">
        <w:trPr>
          <w:trHeight w:val="332"/>
        </w:trPr>
        <w:tc>
          <w:tcPr>
            <w:tcW w:w="2682" w:type="dxa"/>
          </w:tcPr>
          <w:p w:rsidR="0000371E" w:rsidRDefault="0000371E" w:rsidP="0000371E">
            <w:pPr>
              <w:keepLines/>
              <w:tabs>
                <w:tab w:val="left" w:pos="360"/>
                <w:tab w:val="left" w:pos="720"/>
              </w:tabs>
              <w:rPr>
                <w:rFonts w:ascii="Helvetica" w:hAnsi="Helvetica"/>
                <w:sz w:val="18"/>
              </w:rPr>
            </w:pPr>
            <w:r>
              <w:rPr>
                <w:rFonts w:ascii="Helvetica" w:hAnsi="Helvetica"/>
                <w:sz w:val="18"/>
              </w:rPr>
              <w:t>Total</w:t>
            </w:r>
          </w:p>
        </w:tc>
        <w:tc>
          <w:tcPr>
            <w:tcW w:w="1530" w:type="dxa"/>
          </w:tcPr>
          <w:p w:rsidR="0000371E" w:rsidRDefault="0000371E" w:rsidP="0000371E">
            <w:pPr>
              <w:keepLines/>
              <w:tabs>
                <w:tab w:val="left" w:pos="360"/>
                <w:tab w:val="left" w:pos="720"/>
              </w:tabs>
              <w:jc w:val="center"/>
              <w:rPr>
                <w:rFonts w:ascii="Helvetica" w:hAnsi="Helvetica"/>
                <w:b/>
                <w:bCs/>
                <w:sz w:val="18"/>
              </w:rPr>
            </w:pPr>
            <w:r>
              <w:rPr>
                <w:rFonts w:ascii="Helvetica" w:hAnsi="Helvetica"/>
                <w:b/>
                <w:bCs/>
                <w:sz w:val="18"/>
              </w:rPr>
              <w:t>10</w:t>
            </w:r>
          </w:p>
        </w:tc>
        <w:tc>
          <w:tcPr>
            <w:tcW w:w="1440" w:type="dxa"/>
          </w:tcPr>
          <w:p w:rsidR="0000371E" w:rsidRDefault="0000371E" w:rsidP="0000371E">
            <w:pPr>
              <w:keepLines/>
              <w:tabs>
                <w:tab w:val="left" w:pos="360"/>
                <w:tab w:val="left" w:pos="720"/>
              </w:tabs>
              <w:jc w:val="center"/>
              <w:rPr>
                <w:rFonts w:ascii="Helvetica" w:hAnsi="Helvetica"/>
                <w:b/>
                <w:bCs/>
                <w:sz w:val="18"/>
              </w:rPr>
            </w:pPr>
          </w:p>
        </w:tc>
        <w:tc>
          <w:tcPr>
            <w:tcW w:w="1260" w:type="dxa"/>
          </w:tcPr>
          <w:p w:rsidR="0000371E" w:rsidRDefault="0000371E" w:rsidP="0000371E">
            <w:pPr>
              <w:keepLines/>
              <w:tabs>
                <w:tab w:val="left" w:pos="360"/>
                <w:tab w:val="left" w:pos="720"/>
              </w:tabs>
              <w:jc w:val="center"/>
              <w:rPr>
                <w:rFonts w:ascii="Helvetica" w:hAnsi="Helvetica"/>
                <w:b/>
                <w:bCs/>
                <w:sz w:val="18"/>
              </w:rPr>
            </w:pPr>
            <w:r>
              <w:rPr>
                <w:rFonts w:ascii="Helvetica" w:hAnsi="Helvetica"/>
                <w:b/>
                <w:bCs/>
                <w:sz w:val="18"/>
              </w:rPr>
              <w:t>10</w:t>
            </w:r>
          </w:p>
        </w:tc>
        <w:tc>
          <w:tcPr>
            <w:tcW w:w="1440" w:type="dxa"/>
          </w:tcPr>
          <w:p w:rsidR="0000371E" w:rsidRDefault="0000371E" w:rsidP="00171EBE">
            <w:pPr>
              <w:keepLines/>
              <w:ind w:left="-228" w:right="252"/>
              <w:jc w:val="center"/>
              <w:rPr>
                <w:rFonts w:ascii="Helvetica" w:hAnsi="Helvetica"/>
                <w:b/>
                <w:bCs/>
                <w:sz w:val="18"/>
              </w:rPr>
            </w:pPr>
            <w:r>
              <w:rPr>
                <w:rFonts w:ascii="Helvetica" w:hAnsi="Helvetica"/>
                <w:b/>
                <w:bCs/>
                <w:sz w:val="18"/>
              </w:rPr>
              <w:t>Varies</w:t>
            </w:r>
          </w:p>
        </w:tc>
        <w:tc>
          <w:tcPr>
            <w:tcW w:w="1476" w:type="dxa"/>
          </w:tcPr>
          <w:p w:rsidR="0000371E" w:rsidRDefault="00171EBE" w:rsidP="00171EBE">
            <w:pPr>
              <w:keepLines/>
              <w:ind w:left="-348" w:right="612"/>
              <w:jc w:val="right"/>
              <w:rPr>
                <w:rFonts w:ascii="Helvetica" w:hAnsi="Helvetica"/>
                <w:b/>
                <w:bCs/>
                <w:sz w:val="18"/>
              </w:rPr>
            </w:pPr>
            <w:r>
              <w:rPr>
                <w:rFonts w:ascii="Helvetica" w:hAnsi="Helvetica"/>
                <w:b/>
                <w:bCs/>
                <w:sz w:val="18"/>
              </w:rPr>
              <w:t xml:space="preserve">          </w:t>
            </w:r>
            <w:r w:rsidR="00F61807">
              <w:rPr>
                <w:rFonts w:ascii="Helvetica" w:hAnsi="Helvetica"/>
                <w:b/>
                <w:bCs/>
                <w:sz w:val="18"/>
              </w:rPr>
              <w:t>584.75</w:t>
            </w:r>
          </w:p>
        </w:tc>
      </w:tr>
    </w:tbl>
    <w:p w:rsidR="0000371E" w:rsidRDefault="0000371E"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lastRenderedPageBreak/>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711C" w:rsidRDefault="0031711C" w:rsidP="00175AA4">
      <w:pPr>
        <w:keepLines/>
        <w:tabs>
          <w:tab w:val="left" w:pos="360"/>
          <w:tab w:val="left" w:pos="720"/>
        </w:tabs>
      </w:pPr>
    </w:p>
    <w:p w:rsidR="000C3CC7" w:rsidRDefault="000C3CC7" w:rsidP="00175AA4">
      <w:pPr>
        <w:keepLines/>
        <w:tabs>
          <w:tab w:val="left" w:pos="360"/>
          <w:tab w:val="left" w:pos="720"/>
        </w:tabs>
      </w:pPr>
    </w:p>
    <w:p w:rsidR="000C3CC7" w:rsidRDefault="000C3CC7" w:rsidP="00175AA4">
      <w:pPr>
        <w:keepLines/>
        <w:tabs>
          <w:tab w:val="left" w:pos="360"/>
          <w:tab w:val="left" w:pos="720"/>
        </w:tabs>
      </w:pPr>
    </w:p>
    <w:p w:rsidR="00DF678B" w:rsidRDefault="00DF678B" w:rsidP="00DF678B">
      <w:pPr>
        <w:keepLines/>
        <w:tabs>
          <w:tab w:val="left" w:pos="360"/>
          <w:tab w:val="left" w:pos="720"/>
        </w:tabs>
      </w:pPr>
    </w:p>
    <w:p w:rsidR="00DF678B" w:rsidRDefault="00DF678B" w:rsidP="00DF678B">
      <w:pPr>
        <w:keepLines/>
        <w:tabs>
          <w:tab w:val="left" w:pos="360"/>
          <w:tab w:val="left" w:pos="720"/>
        </w:tabs>
      </w:pPr>
      <w:r>
        <w:lastRenderedPageBreak/>
        <w:t>1) Pre-Award.</w:t>
      </w:r>
    </w:p>
    <w:p w:rsidR="00DF678B" w:rsidRDefault="00DF678B" w:rsidP="00DF678B">
      <w:pPr>
        <w:keepLines/>
        <w:tabs>
          <w:tab w:val="left" w:pos="360"/>
          <w:tab w:val="left" w:pos="720"/>
        </w:tabs>
      </w:pPr>
      <w:r>
        <w:t xml:space="preserve">Approximately 25 applications are expected to be received.  </w:t>
      </w:r>
      <w:r w:rsidRPr="006E5215">
        <w:t>Each</w:t>
      </w:r>
      <w:r>
        <w:t xml:space="preserve"> application goes through a threshold review which takes one hour to conduct.  This review is conducted by two </w:t>
      </w:r>
      <w:r w:rsidRPr="006E5215">
        <w:t>persons, having an ave</w:t>
      </w:r>
      <w:r>
        <w:t>rage grade of GS-14 at an hourly rate of $45.00</w:t>
      </w:r>
      <w:r w:rsidRPr="006E5215">
        <w:t>.  Th</w:t>
      </w:r>
      <w:r>
        <w:t xml:space="preserve">e computation is as follows: 25 </w:t>
      </w:r>
      <w:r w:rsidRPr="006E5215">
        <w:t>applicatio</w:t>
      </w:r>
      <w:r>
        <w:t xml:space="preserve">ns x 2 persons x 1 hours x $45.00 = $2,250.  </w:t>
      </w:r>
    </w:p>
    <w:p w:rsidR="00DF678B" w:rsidRDefault="00DF678B" w:rsidP="00DF678B">
      <w:pPr>
        <w:keepLines/>
        <w:tabs>
          <w:tab w:val="left" w:pos="360"/>
          <w:tab w:val="left" w:pos="720"/>
        </w:tabs>
      </w:pPr>
      <w:r>
        <w:t xml:space="preserve">Approximately 20 of those applications will go to the next phase </w:t>
      </w:r>
      <w:r w:rsidR="001E67DE" w:rsidRPr="002B5B3A">
        <w:t>pre-application stage.</w:t>
      </w:r>
      <w:r w:rsidR="001E67DE">
        <w:t xml:space="preserve">  </w:t>
      </w:r>
      <w:r>
        <w:t xml:space="preserve">This review is conducted by three </w:t>
      </w:r>
      <w:r w:rsidRPr="006E5215">
        <w:t>persons, having an ave</w:t>
      </w:r>
      <w:r>
        <w:t>rage grade of GS-14 at an hourly rate of $45.00</w:t>
      </w:r>
      <w:r w:rsidRPr="006E5215">
        <w:t>.</w:t>
      </w:r>
      <w:r>
        <w:t xml:space="preserve"> This computation is as follows: 20 applications X 3 persons x 2 hours x $45.00 = $5,400. </w:t>
      </w:r>
    </w:p>
    <w:p w:rsidR="00DF678B" w:rsidRDefault="00DF678B" w:rsidP="00DF678B">
      <w:pPr>
        <w:keepLines/>
        <w:tabs>
          <w:tab w:val="left" w:pos="360"/>
          <w:tab w:val="left" w:pos="720"/>
        </w:tabs>
      </w:pPr>
      <w:r>
        <w:t>Of the 20 applications reviewed during the</w:t>
      </w:r>
      <w:r w:rsidR="001E67DE" w:rsidRPr="001E67DE">
        <w:t xml:space="preserve"> </w:t>
      </w:r>
      <w:r w:rsidR="001E67DE" w:rsidRPr="002B5B3A">
        <w:t>pre-application stage</w:t>
      </w:r>
      <w:r>
        <w:t xml:space="preserve">, approximately 15 applications are expected to go to the final review phase.  This stage of review is conducted by three </w:t>
      </w:r>
      <w:r w:rsidRPr="006E5215">
        <w:t>persons, having an ave</w:t>
      </w:r>
      <w:r>
        <w:t>rage grade of GS-14 at an hourly rate of $45.00</w:t>
      </w:r>
      <w:r w:rsidRPr="006E5215">
        <w:t>.   Th</w:t>
      </w:r>
      <w:r>
        <w:t xml:space="preserve">e computation is as follows: 15 </w:t>
      </w:r>
      <w:r w:rsidRPr="006E5215">
        <w:t>applicatio</w:t>
      </w:r>
      <w:r>
        <w:t>ns x 3 persons x 4 hours x $45.00 = $8,100.</w:t>
      </w:r>
    </w:p>
    <w:p w:rsidR="00DF678B" w:rsidRDefault="00DF678B" w:rsidP="00DF678B">
      <w:pPr>
        <w:keepLines/>
        <w:tabs>
          <w:tab w:val="left" w:pos="360"/>
          <w:tab w:val="left" w:pos="720"/>
        </w:tabs>
      </w:pPr>
      <w:r>
        <w:t>2) Post-Award</w:t>
      </w:r>
    </w:p>
    <w:p w:rsidR="000C3CC7" w:rsidRDefault="00DF678B" w:rsidP="00175AA4">
      <w:pPr>
        <w:keepLines/>
        <w:tabs>
          <w:tab w:val="left" w:pos="360"/>
          <w:tab w:val="left" w:pos="720"/>
        </w:tabs>
      </w:pPr>
      <w:r>
        <w:t>HUD will award approximately 2 grants.  With annual reporting, HUD would receive 8 quarterly progress reports for each funding cycle, requiring a total review time of one hour per grant per report.  Assuming a GS-14 conducts the reviews, the cost is computed as follows: 1 hour x 16 reports x $45.00= $720.</w:t>
      </w:r>
    </w:p>
    <w:p w:rsidR="003A7E77" w:rsidRDefault="003A7E77" w:rsidP="003A7E77">
      <w:pPr>
        <w:keepLines/>
        <w:tabs>
          <w:tab w:val="left" w:pos="360"/>
        </w:tabs>
        <w:spacing w:after="80"/>
        <w:ind w:left="360" w:hanging="360"/>
        <w:rPr>
          <w:b/>
          <w:sz w:val="24"/>
          <w:szCs w:val="24"/>
        </w:rPr>
      </w:pPr>
    </w:p>
    <w:p w:rsidR="0031711C" w:rsidRPr="003A7E77" w:rsidRDefault="0031711C" w:rsidP="00DF678B">
      <w:pPr>
        <w:keepLines/>
        <w:tabs>
          <w:tab w:val="left" w:pos="360"/>
        </w:tabs>
        <w:spacing w:after="80"/>
        <w:rPr>
          <w:b/>
          <w:sz w:val="24"/>
          <w:szCs w:val="24"/>
        </w:rPr>
      </w:pPr>
      <w:r w:rsidRPr="00F60E3C">
        <w:rPr>
          <w:b/>
          <w:sz w:val="24"/>
          <w:szCs w:val="24"/>
        </w:rPr>
        <w:t>15.</w:t>
      </w:r>
      <w:r w:rsidRPr="00F60E3C">
        <w:rPr>
          <w:b/>
          <w:sz w:val="24"/>
          <w:szCs w:val="24"/>
        </w:rPr>
        <w:tab/>
        <w:t>Explain the reasons for any program changes or adjustments reported in Items 13 and 14 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227A" w:rsidRDefault="00E3227A" w:rsidP="00E3227A">
      <w:pPr>
        <w:keepLines/>
        <w:tabs>
          <w:tab w:val="left" w:pos="360"/>
          <w:tab w:val="left" w:pos="720"/>
        </w:tabs>
      </w:pPr>
      <w:r>
        <w:t>Not applicable</w:t>
      </w:r>
    </w:p>
    <w:p w:rsidR="00070512" w:rsidRDefault="00070512" w:rsidP="00070512">
      <w:pPr>
        <w:keepLines/>
        <w:tabs>
          <w:tab w:val="left" w:pos="0"/>
        </w:tabs>
        <w:spacing w:after="80"/>
        <w:rPr>
          <w:b/>
          <w:sz w:val="24"/>
          <w:szCs w:val="24"/>
        </w:rPr>
      </w:pPr>
    </w:p>
    <w:p w:rsidR="00070512" w:rsidRDefault="00070512" w:rsidP="00070512">
      <w:pPr>
        <w:keepLines/>
        <w:tabs>
          <w:tab w:val="left" w:pos="0"/>
        </w:tabs>
        <w:spacing w:after="80"/>
        <w:rPr>
          <w:b/>
          <w:sz w:val="24"/>
          <w:szCs w:val="24"/>
        </w:rPr>
      </w:pPr>
      <w:r>
        <w:rPr>
          <w:b/>
          <w:sz w:val="24"/>
          <w:szCs w:val="24"/>
        </w:rPr>
        <w:t xml:space="preserve">17.  </w:t>
      </w:r>
      <w:r w:rsidR="0031711C" w:rsidRPr="003A7E77">
        <w:rPr>
          <w:b/>
          <w:sz w:val="24"/>
          <w:szCs w:val="24"/>
        </w:rPr>
        <w:t>If seeking approval to not display the expirati</w:t>
      </w:r>
      <w:r w:rsidR="003A7E77">
        <w:rPr>
          <w:b/>
          <w:sz w:val="24"/>
          <w:szCs w:val="24"/>
        </w:rPr>
        <w:t xml:space="preserve">on date for OMB approval of the   </w:t>
      </w:r>
    </w:p>
    <w:p w:rsidR="0031711C" w:rsidRPr="003A7E77" w:rsidRDefault="0031711C" w:rsidP="00070512">
      <w:pPr>
        <w:keepLines/>
        <w:tabs>
          <w:tab w:val="left" w:pos="0"/>
        </w:tabs>
        <w:spacing w:after="80"/>
        <w:ind w:left="360" w:hanging="360"/>
        <w:rPr>
          <w:b/>
          <w:sz w:val="24"/>
          <w:szCs w:val="24"/>
        </w:rPr>
      </w:pPr>
      <w:r w:rsidRPr="003A7E77">
        <w:rPr>
          <w:b/>
          <w:sz w:val="24"/>
          <w:szCs w:val="24"/>
        </w:rPr>
        <w:t>information collection, explain the reasons that display would be inappropriate.</w:t>
      </w: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E3227A"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lastRenderedPageBreak/>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0371E"/>
    <w:rsid w:val="000133E8"/>
    <w:rsid w:val="00070512"/>
    <w:rsid w:val="0009473D"/>
    <w:rsid w:val="00094CEB"/>
    <w:rsid w:val="000B1D22"/>
    <w:rsid w:val="000C3CC7"/>
    <w:rsid w:val="000C6C79"/>
    <w:rsid w:val="000D479C"/>
    <w:rsid w:val="000D5223"/>
    <w:rsid w:val="000E6961"/>
    <w:rsid w:val="000E72AD"/>
    <w:rsid w:val="0012773B"/>
    <w:rsid w:val="00131DBD"/>
    <w:rsid w:val="00171EBE"/>
    <w:rsid w:val="00175AA4"/>
    <w:rsid w:val="0018123F"/>
    <w:rsid w:val="001E67DE"/>
    <w:rsid w:val="001F07F4"/>
    <w:rsid w:val="002463B2"/>
    <w:rsid w:val="00274614"/>
    <w:rsid w:val="002C7AD6"/>
    <w:rsid w:val="002D693E"/>
    <w:rsid w:val="002E7228"/>
    <w:rsid w:val="002E7E1B"/>
    <w:rsid w:val="003115E4"/>
    <w:rsid w:val="0031711C"/>
    <w:rsid w:val="003A7E77"/>
    <w:rsid w:val="003B419B"/>
    <w:rsid w:val="003D1D96"/>
    <w:rsid w:val="00420D75"/>
    <w:rsid w:val="00435D15"/>
    <w:rsid w:val="00446A29"/>
    <w:rsid w:val="004566E3"/>
    <w:rsid w:val="00490AD9"/>
    <w:rsid w:val="00497CF9"/>
    <w:rsid w:val="004A6C81"/>
    <w:rsid w:val="004B586C"/>
    <w:rsid w:val="004D520F"/>
    <w:rsid w:val="00516325"/>
    <w:rsid w:val="00535F7B"/>
    <w:rsid w:val="00536C5D"/>
    <w:rsid w:val="005428AE"/>
    <w:rsid w:val="005A64B3"/>
    <w:rsid w:val="005B1766"/>
    <w:rsid w:val="005C5F73"/>
    <w:rsid w:val="00636B17"/>
    <w:rsid w:val="00660C90"/>
    <w:rsid w:val="0068173A"/>
    <w:rsid w:val="006E3284"/>
    <w:rsid w:val="006E6364"/>
    <w:rsid w:val="0070170E"/>
    <w:rsid w:val="00755E9C"/>
    <w:rsid w:val="007C0303"/>
    <w:rsid w:val="007D478C"/>
    <w:rsid w:val="007E4E03"/>
    <w:rsid w:val="00835CB6"/>
    <w:rsid w:val="008A0757"/>
    <w:rsid w:val="008A2B62"/>
    <w:rsid w:val="008A4F1F"/>
    <w:rsid w:val="008B0917"/>
    <w:rsid w:val="008D04E3"/>
    <w:rsid w:val="009226D1"/>
    <w:rsid w:val="009A327A"/>
    <w:rsid w:val="009A3308"/>
    <w:rsid w:val="009A5D43"/>
    <w:rsid w:val="009C24CF"/>
    <w:rsid w:val="00A86405"/>
    <w:rsid w:val="00A927EC"/>
    <w:rsid w:val="00AA0862"/>
    <w:rsid w:val="00AF026F"/>
    <w:rsid w:val="00B41C6C"/>
    <w:rsid w:val="00B73388"/>
    <w:rsid w:val="00BC7D52"/>
    <w:rsid w:val="00BE7D4C"/>
    <w:rsid w:val="00C00015"/>
    <w:rsid w:val="00C165A9"/>
    <w:rsid w:val="00C4448F"/>
    <w:rsid w:val="00CF152B"/>
    <w:rsid w:val="00CF49B9"/>
    <w:rsid w:val="00D14D18"/>
    <w:rsid w:val="00D64178"/>
    <w:rsid w:val="00D67D92"/>
    <w:rsid w:val="00D90C05"/>
    <w:rsid w:val="00D92DCC"/>
    <w:rsid w:val="00DF678B"/>
    <w:rsid w:val="00E17BBC"/>
    <w:rsid w:val="00E3227A"/>
    <w:rsid w:val="00EF3F7C"/>
    <w:rsid w:val="00F44927"/>
    <w:rsid w:val="00F60E3C"/>
    <w:rsid w:val="00F61807"/>
    <w:rsid w:val="00F67038"/>
    <w:rsid w:val="00F95B5B"/>
    <w:rsid w:val="00FB3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3864-BDF5-4BB1-A529-3E0FE4C4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C55478</cp:lastModifiedBy>
  <cp:revision>3</cp:revision>
  <cp:lastPrinted>2010-11-23T20:18:00Z</cp:lastPrinted>
  <dcterms:created xsi:type="dcterms:W3CDTF">2010-12-30T18:12:00Z</dcterms:created>
  <dcterms:modified xsi:type="dcterms:W3CDTF">2010-12-30T18:12:00Z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508286630</vt:i4>
  </property>
  <property fmtid="{D5CDD505-2E9C-101B-9397-08002B2CF9AE}" pid="3" name="_NewReviewCycle">
    <vt:lpwstr/>
  </property>
  <property fmtid="{D5CDD505-2E9C-101B-9397-08002B2CF9AE}" pid="4" name="_EmailSubject">
    <vt:lpwstr>PRA</vt:lpwstr>
  </property>
  <property fmtid="{D5CDD505-2E9C-101B-9397-08002B2CF9AE}" pid="5" name="_AuthorEmail">
    <vt:lpwstr>susan.s.brunson@hud.gov</vt:lpwstr>
  </property>
  <property fmtid="{D5CDD505-2E9C-101B-9397-08002B2CF9AE}" pid="6" name="_AuthorEmailDisplayName">
    <vt:lpwstr>Brunson, Susan S</vt:lpwstr>
  </property>
  <property fmtid="{D5CDD505-2E9C-101B-9397-08002B2CF9AE}" pid="7" name="_PreviousAdHocReviewCycleID">
    <vt:i4>964194626</vt:i4>
  </property>
</Properties>
</file>