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BB" w:rsidRDefault="006C1DBB" w:rsidP="006C1DBB">
      <w:pPr>
        <w:widowControl w:val="0"/>
        <w:tabs>
          <w:tab w:val="center" w:pos="4680"/>
        </w:tabs>
        <w:jc w:val="center"/>
        <w:rPr>
          <w:b/>
          <w:szCs w:val="24"/>
        </w:rPr>
      </w:pPr>
      <w:r w:rsidRPr="00981917">
        <w:rPr>
          <w:b/>
          <w:szCs w:val="24"/>
        </w:rPr>
        <w:t>DEPARTMENT OF TRANSPORTATION</w:t>
      </w:r>
    </w:p>
    <w:p w:rsidR="006C1DBB" w:rsidRPr="005478A2" w:rsidRDefault="006C1DBB" w:rsidP="006C1DBB">
      <w:pPr>
        <w:widowControl w:val="0"/>
        <w:tabs>
          <w:tab w:val="center" w:pos="4680"/>
        </w:tabs>
        <w:jc w:val="center"/>
        <w:rPr>
          <w:b/>
          <w:szCs w:val="24"/>
        </w:rPr>
      </w:pPr>
    </w:p>
    <w:p w:rsidR="001D224D" w:rsidRDefault="001D224D">
      <w:pPr>
        <w:widowControl w:val="0"/>
        <w:tabs>
          <w:tab w:val="center" w:pos="4680"/>
        </w:tabs>
        <w:rPr>
          <w:b/>
          <w:szCs w:val="24"/>
          <w:u w:val="single"/>
        </w:rPr>
      </w:pPr>
      <w:r w:rsidRPr="00981917">
        <w:rPr>
          <w:szCs w:val="24"/>
        </w:rPr>
        <w:tab/>
      </w:r>
      <w:r w:rsidRPr="005478A2">
        <w:rPr>
          <w:b/>
          <w:szCs w:val="24"/>
          <w:u w:val="single"/>
        </w:rPr>
        <w:t xml:space="preserve">SUPPORTING </w:t>
      </w:r>
      <w:r w:rsidR="00311384" w:rsidRPr="005478A2">
        <w:rPr>
          <w:b/>
          <w:szCs w:val="24"/>
          <w:u w:val="single"/>
        </w:rPr>
        <w:t>STATEMENT</w:t>
      </w:r>
    </w:p>
    <w:p w:rsidR="00F24E7C" w:rsidRPr="005478A2" w:rsidRDefault="00F24E7C">
      <w:pPr>
        <w:widowControl w:val="0"/>
        <w:tabs>
          <w:tab w:val="center" w:pos="4680"/>
        </w:tabs>
        <w:rPr>
          <w:b/>
          <w:szCs w:val="24"/>
          <w:u w:val="single"/>
        </w:rPr>
      </w:pPr>
    </w:p>
    <w:p w:rsidR="00F24E7C" w:rsidRDefault="00F24E7C" w:rsidP="00F24E7C">
      <w:pPr>
        <w:widowControl w:val="0"/>
        <w:tabs>
          <w:tab w:val="center" w:pos="4680"/>
        </w:tabs>
        <w:jc w:val="center"/>
        <w:rPr>
          <w:b/>
          <w:szCs w:val="24"/>
        </w:rPr>
      </w:pPr>
      <w:r w:rsidRPr="005478A2">
        <w:rPr>
          <w:b/>
          <w:szCs w:val="24"/>
        </w:rPr>
        <w:t>Uniform Administrative Requirements for Grants and Agreements to State and Local Governments</w:t>
      </w:r>
      <w:r>
        <w:rPr>
          <w:b/>
          <w:szCs w:val="24"/>
        </w:rPr>
        <w:t xml:space="preserve"> and for Grants and Agreements with Institution of Higher Education, Hospitals and Other Non-Profit </w:t>
      </w:r>
      <w:proofErr w:type="spellStart"/>
      <w:r>
        <w:rPr>
          <w:b/>
          <w:szCs w:val="24"/>
        </w:rPr>
        <w:t>Ogranizations</w:t>
      </w:r>
      <w:proofErr w:type="spellEnd"/>
    </w:p>
    <w:p w:rsidR="00F24E7C" w:rsidRPr="005478A2" w:rsidRDefault="00F24E7C" w:rsidP="00F24E7C">
      <w:pPr>
        <w:widowControl w:val="0"/>
        <w:tabs>
          <w:tab w:val="center" w:pos="4680"/>
        </w:tabs>
        <w:jc w:val="center"/>
        <w:rPr>
          <w:b/>
          <w:color w:val="FF0000"/>
          <w:szCs w:val="24"/>
        </w:rPr>
      </w:pPr>
    </w:p>
    <w:p w:rsidR="00F45271" w:rsidRDefault="00F24E7C" w:rsidP="005478A2">
      <w:pPr>
        <w:widowControl w:val="0"/>
        <w:tabs>
          <w:tab w:val="center" w:pos="4680"/>
        </w:tabs>
        <w:jc w:val="center"/>
        <w:rPr>
          <w:b/>
          <w:szCs w:val="24"/>
        </w:rPr>
      </w:pPr>
      <w:r w:rsidRPr="00F24E7C">
        <w:rPr>
          <w:b/>
          <w:szCs w:val="24"/>
        </w:rPr>
        <w:t xml:space="preserve">OMB Control Number </w:t>
      </w:r>
      <w:r w:rsidR="005478A2" w:rsidRPr="00F24E7C">
        <w:rPr>
          <w:b/>
          <w:szCs w:val="24"/>
        </w:rPr>
        <w:t>2105-0520</w:t>
      </w:r>
    </w:p>
    <w:p w:rsidR="00F24E7C" w:rsidRPr="00F24E7C" w:rsidRDefault="00F24E7C" w:rsidP="005478A2">
      <w:pPr>
        <w:widowControl w:val="0"/>
        <w:tabs>
          <w:tab w:val="center" w:pos="4680"/>
        </w:tabs>
        <w:jc w:val="center"/>
        <w:rPr>
          <w:b/>
          <w:szCs w:val="24"/>
        </w:rPr>
      </w:pPr>
    </w:p>
    <w:p w:rsidR="00EC23D6" w:rsidRPr="00981917" w:rsidRDefault="00EC23D6" w:rsidP="00EC23D6">
      <w:pPr>
        <w:rPr>
          <w:b/>
          <w:szCs w:val="24"/>
          <w:u w:val="single"/>
        </w:rPr>
      </w:pPr>
      <w:r w:rsidRPr="00981917">
        <w:rPr>
          <w:b/>
          <w:szCs w:val="24"/>
          <w:u w:val="single"/>
        </w:rPr>
        <w:t>INTRODUCTION</w:t>
      </w:r>
    </w:p>
    <w:p w:rsidR="00EC23D6" w:rsidRPr="00981917" w:rsidRDefault="00EC23D6" w:rsidP="00EC23D6">
      <w:pPr>
        <w:rPr>
          <w:b/>
          <w:szCs w:val="24"/>
          <w:u w:val="single"/>
        </w:rPr>
      </w:pPr>
    </w:p>
    <w:p w:rsidR="00C00AA7" w:rsidRPr="00C00AA7" w:rsidRDefault="00EC23D6" w:rsidP="006726A6">
      <w:pPr>
        <w:rPr>
          <w:szCs w:val="24"/>
        </w:rPr>
      </w:pPr>
      <w:r w:rsidRPr="00980DC2">
        <w:rPr>
          <w:szCs w:val="24"/>
        </w:rPr>
        <w:t>This is to request the Office of Manag</w:t>
      </w:r>
      <w:r w:rsidR="00A333D0">
        <w:rPr>
          <w:szCs w:val="24"/>
        </w:rPr>
        <w:t xml:space="preserve">ement and Budget’s (OMB) </w:t>
      </w:r>
      <w:r w:rsidR="00F24E7C" w:rsidRPr="00980DC2">
        <w:rPr>
          <w:szCs w:val="24"/>
        </w:rPr>
        <w:t>three-year approv</w:t>
      </w:r>
      <w:r w:rsidR="00F24E7C">
        <w:rPr>
          <w:szCs w:val="24"/>
        </w:rPr>
        <w:t>al</w:t>
      </w:r>
      <w:r w:rsidR="00F24E7C" w:rsidRPr="00980DC2">
        <w:rPr>
          <w:szCs w:val="24"/>
        </w:rPr>
        <w:t xml:space="preserve"> for </w:t>
      </w:r>
      <w:r w:rsidR="00194CD4">
        <w:rPr>
          <w:szCs w:val="24"/>
        </w:rPr>
        <w:t>a</w:t>
      </w:r>
      <w:r w:rsidR="00F24E7C" w:rsidRPr="00980DC2">
        <w:rPr>
          <w:szCs w:val="24"/>
        </w:rPr>
        <w:t xml:space="preserve"> </w:t>
      </w:r>
      <w:r w:rsidR="00A333D0">
        <w:rPr>
          <w:szCs w:val="24"/>
        </w:rPr>
        <w:t>revision of a previously approved</w:t>
      </w:r>
      <w:r w:rsidRPr="00980DC2">
        <w:rPr>
          <w:szCs w:val="24"/>
        </w:rPr>
        <w:t xml:space="preserve"> information collection</w:t>
      </w:r>
      <w:r w:rsidR="00980DC2" w:rsidRPr="00980DC2">
        <w:rPr>
          <w:szCs w:val="24"/>
        </w:rPr>
        <w:t xml:space="preserve">, which is currently due to expire on </w:t>
      </w:r>
      <w:r w:rsidR="00194CD4">
        <w:rPr>
          <w:szCs w:val="24"/>
        </w:rPr>
        <w:t>February 28, 2011</w:t>
      </w:r>
      <w:r w:rsidR="00980DC2">
        <w:rPr>
          <w:szCs w:val="24"/>
        </w:rPr>
        <w:t>.</w:t>
      </w:r>
      <w:r w:rsidR="00194CD4">
        <w:rPr>
          <w:szCs w:val="24"/>
        </w:rPr>
        <w:t xml:space="preserve">  </w:t>
      </w:r>
      <w:r w:rsidR="006E25DB">
        <w:t>T</w:t>
      </w:r>
      <w:r w:rsidR="00C86674">
        <w:t xml:space="preserve">he </w:t>
      </w:r>
      <w:r w:rsidR="00F24E7C">
        <w:t xml:space="preserve">Department </w:t>
      </w:r>
      <w:r w:rsidR="00F567CF">
        <w:t xml:space="preserve">is requesting approval to combine two previously approved </w:t>
      </w:r>
      <w:r w:rsidR="00DE0132">
        <w:t>i</w:t>
      </w:r>
      <w:r w:rsidR="00F567CF">
        <w:t xml:space="preserve">nformation </w:t>
      </w:r>
      <w:r w:rsidR="00DE0132">
        <w:t>c</w:t>
      </w:r>
      <w:r w:rsidR="00F567CF">
        <w:t xml:space="preserve">ollection </w:t>
      </w:r>
      <w:r w:rsidR="00DE0132">
        <w:t>r</w:t>
      </w:r>
      <w:r w:rsidR="00F567CF">
        <w:t>equests</w:t>
      </w:r>
      <w:r w:rsidR="00DE0132">
        <w:t xml:space="preserve"> (ICR)</w:t>
      </w:r>
      <w:r w:rsidR="00F567CF">
        <w:t xml:space="preserve"> (OMB Control numbers 2105-0531 and 2105-0520) into OMB Control Number 2105-0520</w:t>
      </w:r>
      <w:r w:rsidR="006E25DB">
        <w:t xml:space="preserve">.  This requests also covers the </w:t>
      </w:r>
      <w:r w:rsidR="00A63D7F">
        <w:t xml:space="preserve">approval to </w:t>
      </w:r>
      <w:r w:rsidR="006E25DB">
        <w:t>use a new form</w:t>
      </w:r>
      <w:r w:rsidR="00A63D7F">
        <w:t>,</w:t>
      </w:r>
      <w:r w:rsidR="006E25DB">
        <w:t xml:space="preserve"> </w:t>
      </w:r>
      <w:r w:rsidR="006E25DB">
        <w:rPr>
          <w:szCs w:val="24"/>
        </w:rPr>
        <w:t xml:space="preserve">Federal Financial </w:t>
      </w:r>
      <w:r w:rsidR="006E25DB" w:rsidRPr="00980DC2">
        <w:rPr>
          <w:szCs w:val="24"/>
        </w:rPr>
        <w:t>Report</w:t>
      </w:r>
      <w:r w:rsidR="006E25DB">
        <w:rPr>
          <w:szCs w:val="24"/>
        </w:rPr>
        <w:t xml:space="preserve"> </w:t>
      </w:r>
      <w:r w:rsidR="006E25DB">
        <w:t xml:space="preserve">(SF-425), which </w:t>
      </w:r>
      <w:r w:rsidR="00C00AA7">
        <w:t xml:space="preserve">consolidates and </w:t>
      </w:r>
      <w:r w:rsidR="00BA0154">
        <w:t xml:space="preserve">replaces </w:t>
      </w:r>
      <w:r w:rsidR="00C00AA7">
        <w:t xml:space="preserve">the </w:t>
      </w:r>
      <w:r w:rsidR="00A63D7F">
        <w:rPr>
          <w:szCs w:val="24"/>
        </w:rPr>
        <w:t>Financial Status Report (SF-269 and SF- 269A) and Federal Transactions Report (SF-272 and SF-272A)</w:t>
      </w:r>
      <w:r w:rsidR="00BA0154">
        <w:rPr>
          <w:szCs w:val="24"/>
        </w:rPr>
        <w:t>.  The information</w:t>
      </w:r>
      <w:r w:rsidR="006E25DB">
        <w:t xml:space="preserve"> contained in those forms i</w:t>
      </w:r>
      <w:r w:rsidR="00A63D7F">
        <w:t>s</w:t>
      </w:r>
      <w:r w:rsidR="006E25DB">
        <w:t xml:space="preserve"> consolidated into SF-425.  T</w:t>
      </w:r>
      <w:r w:rsidR="00C86674">
        <w:t xml:space="preserve">he Department also requests approval to discontinue </w:t>
      </w:r>
      <w:r w:rsidR="00194CD4">
        <w:t>OMB Control Number 2105-0531</w:t>
      </w:r>
      <w:r w:rsidR="00194CD4" w:rsidRPr="00C00AA7">
        <w:rPr>
          <w:szCs w:val="24"/>
        </w:rPr>
        <w:t>.</w:t>
      </w:r>
      <w:r w:rsidR="0029371B" w:rsidRPr="00C00AA7">
        <w:rPr>
          <w:szCs w:val="24"/>
        </w:rPr>
        <w:t xml:space="preserve">  </w:t>
      </w:r>
    </w:p>
    <w:p w:rsidR="00C00AA7" w:rsidRPr="00C00AA7" w:rsidRDefault="00C00AA7" w:rsidP="006726A6">
      <w:pPr>
        <w:rPr>
          <w:szCs w:val="24"/>
        </w:rPr>
      </w:pPr>
    </w:p>
    <w:p w:rsidR="00C00AA7" w:rsidRPr="00C00AA7" w:rsidRDefault="0029371B" w:rsidP="00C00AA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C00AA7">
        <w:rPr>
          <w:rFonts w:ascii="Times New Roman" w:hAnsi="Times New Roman"/>
          <w:color w:val="auto"/>
        </w:rPr>
        <w:t>There have also been adjustments to the burden estimates.</w:t>
      </w:r>
      <w:r w:rsidR="00194CD4" w:rsidRPr="00C00AA7">
        <w:rPr>
          <w:rFonts w:ascii="Times New Roman" w:hAnsi="Times New Roman"/>
          <w:color w:val="auto"/>
        </w:rPr>
        <w:t xml:space="preserve">  </w:t>
      </w:r>
      <w:r w:rsidR="00087CC3">
        <w:rPr>
          <w:rFonts w:ascii="Times New Roman" w:hAnsi="Times New Roman"/>
          <w:color w:val="auto"/>
        </w:rPr>
        <w:t>Since 2007, there has been a 39% increase in grant activity</w:t>
      </w:r>
      <w:r w:rsidR="00FF14E0">
        <w:rPr>
          <w:rFonts w:ascii="Times New Roman" w:hAnsi="Times New Roman"/>
          <w:color w:val="auto"/>
        </w:rPr>
        <w:t xml:space="preserve"> due to </w:t>
      </w:r>
      <w:r w:rsidR="00F741DE">
        <w:rPr>
          <w:rFonts w:ascii="Times New Roman" w:hAnsi="Times New Roman"/>
          <w:color w:val="auto"/>
        </w:rPr>
        <w:t xml:space="preserve">an </w:t>
      </w:r>
      <w:r w:rsidR="00FF14E0">
        <w:rPr>
          <w:rFonts w:ascii="Times New Roman" w:hAnsi="Times New Roman"/>
          <w:color w:val="auto"/>
        </w:rPr>
        <w:t xml:space="preserve">increase in appropriations </w:t>
      </w:r>
      <w:r w:rsidR="00F741DE">
        <w:rPr>
          <w:rFonts w:ascii="Times New Roman" w:hAnsi="Times New Roman"/>
          <w:color w:val="auto"/>
        </w:rPr>
        <w:t>which included t</w:t>
      </w:r>
      <w:r w:rsidR="00FF14E0">
        <w:rPr>
          <w:rFonts w:ascii="Times New Roman" w:hAnsi="Times New Roman"/>
          <w:color w:val="auto"/>
        </w:rPr>
        <w:t>he American Recovery and Reinvestment Act</w:t>
      </w:r>
      <w:r w:rsidR="00F741DE">
        <w:rPr>
          <w:rFonts w:ascii="Times New Roman" w:hAnsi="Times New Roman"/>
          <w:color w:val="auto"/>
        </w:rPr>
        <w:t xml:space="preserve"> of 2009</w:t>
      </w:r>
      <w:r w:rsidR="00087CC3">
        <w:rPr>
          <w:rFonts w:ascii="Times New Roman" w:hAnsi="Times New Roman"/>
          <w:color w:val="auto"/>
        </w:rPr>
        <w:t xml:space="preserve">.  </w:t>
      </w:r>
      <w:r w:rsidR="00C00AA7" w:rsidRPr="00C00AA7">
        <w:rPr>
          <w:rFonts w:ascii="Times New Roman" w:hAnsi="Times New Roman"/>
          <w:color w:val="auto"/>
        </w:rPr>
        <w:t xml:space="preserve">In 2007, the Department estimated a combined total of 1,944 respondents and 136,150 burden hours.  </w:t>
      </w:r>
      <w:r w:rsidR="00087CC3">
        <w:rPr>
          <w:rFonts w:ascii="Times New Roman" w:hAnsi="Times New Roman"/>
          <w:color w:val="auto"/>
        </w:rPr>
        <w:t>The</w:t>
      </w:r>
      <w:r w:rsidR="00C00AA7" w:rsidRPr="00C00AA7">
        <w:rPr>
          <w:rFonts w:ascii="Times New Roman" w:hAnsi="Times New Roman"/>
          <w:color w:val="auto"/>
        </w:rPr>
        <w:t xml:space="preserve"> Department now estimates a combined total of 2,704 respondents and 189,280 burden hours. The estimated </w:t>
      </w:r>
      <w:proofErr w:type="gramStart"/>
      <w:r w:rsidR="00C00AA7" w:rsidRPr="00C00AA7">
        <w:rPr>
          <w:rFonts w:ascii="Times New Roman" w:hAnsi="Times New Roman"/>
          <w:color w:val="auto"/>
        </w:rPr>
        <w:t xml:space="preserve">costs </w:t>
      </w:r>
      <w:r w:rsidR="00C34F9B">
        <w:rPr>
          <w:rFonts w:ascii="Times New Roman" w:hAnsi="Times New Roman"/>
          <w:color w:val="auto"/>
        </w:rPr>
        <w:t>to respondents and federal government has</w:t>
      </w:r>
      <w:proofErr w:type="gramEnd"/>
      <w:r w:rsidR="00C34F9B">
        <w:rPr>
          <w:rFonts w:ascii="Times New Roman" w:hAnsi="Times New Roman"/>
          <w:color w:val="auto"/>
        </w:rPr>
        <w:t xml:space="preserve"> </w:t>
      </w:r>
      <w:r w:rsidR="00C00AA7" w:rsidRPr="00C00AA7">
        <w:rPr>
          <w:rFonts w:ascii="Times New Roman" w:hAnsi="Times New Roman"/>
          <w:color w:val="auto"/>
        </w:rPr>
        <w:t xml:space="preserve">increased by 33% </w:t>
      </w:r>
      <w:r w:rsidR="00087CC3">
        <w:rPr>
          <w:rFonts w:ascii="Times New Roman" w:hAnsi="Times New Roman"/>
          <w:color w:val="auto"/>
        </w:rPr>
        <w:t xml:space="preserve">in </w:t>
      </w:r>
      <w:r w:rsidR="00C00AA7" w:rsidRPr="00C00AA7">
        <w:rPr>
          <w:rFonts w:ascii="Times New Roman" w:hAnsi="Times New Roman"/>
          <w:color w:val="auto"/>
        </w:rPr>
        <w:t>overhead expenses.</w:t>
      </w:r>
    </w:p>
    <w:p w:rsidR="006726A6" w:rsidRPr="00C00AA7" w:rsidRDefault="006726A6" w:rsidP="00EC23D6">
      <w:pPr>
        <w:rPr>
          <w:szCs w:val="24"/>
        </w:rPr>
      </w:pPr>
    </w:p>
    <w:p w:rsidR="00EC23D6" w:rsidRPr="00981917" w:rsidRDefault="00EC23D6" w:rsidP="00EC23D6">
      <w:pPr>
        <w:rPr>
          <w:b/>
          <w:szCs w:val="24"/>
        </w:rPr>
      </w:pPr>
      <w:r w:rsidRPr="00981917">
        <w:rPr>
          <w:b/>
          <w:szCs w:val="24"/>
        </w:rPr>
        <w:t>Part A. Justification</w:t>
      </w:r>
    </w:p>
    <w:p w:rsidR="00EC23D6" w:rsidRPr="00981917" w:rsidRDefault="00EC23D6" w:rsidP="00EC23D6">
      <w:pPr>
        <w:jc w:val="center"/>
        <w:rPr>
          <w:b/>
          <w:szCs w:val="24"/>
        </w:rPr>
      </w:pPr>
    </w:p>
    <w:p w:rsidR="00EC23D6" w:rsidRPr="00A0677C" w:rsidRDefault="00EC23D6" w:rsidP="000A6210">
      <w:pPr>
        <w:numPr>
          <w:ilvl w:val="0"/>
          <w:numId w:val="16"/>
        </w:numPr>
        <w:tabs>
          <w:tab w:val="clear" w:pos="720"/>
          <w:tab w:val="num" w:pos="0"/>
          <w:tab w:val="left" w:pos="540"/>
        </w:tabs>
        <w:ind w:left="0" w:firstLine="0"/>
        <w:rPr>
          <w:color w:val="FF0000"/>
          <w:szCs w:val="24"/>
        </w:rPr>
      </w:pPr>
      <w:r w:rsidRPr="00A0677C">
        <w:rPr>
          <w:b/>
          <w:szCs w:val="24"/>
          <w:u w:val="single"/>
        </w:rPr>
        <w:t>Circumstances that make the collection of information necessary</w:t>
      </w:r>
      <w:r w:rsidRPr="00A0677C">
        <w:rPr>
          <w:b/>
          <w:szCs w:val="24"/>
        </w:rPr>
        <w:t xml:space="preserve">.  </w:t>
      </w:r>
    </w:p>
    <w:p w:rsidR="00A0677C" w:rsidRPr="00A0677C" w:rsidRDefault="00A0677C" w:rsidP="00A0677C">
      <w:pPr>
        <w:tabs>
          <w:tab w:val="left" w:pos="540"/>
        </w:tabs>
        <w:rPr>
          <w:color w:val="FF0000"/>
          <w:szCs w:val="24"/>
        </w:rPr>
      </w:pPr>
    </w:p>
    <w:p w:rsidR="00E215A6" w:rsidRDefault="00980DC2" w:rsidP="00980DC2">
      <w:pPr>
        <w:rPr>
          <w:szCs w:val="24"/>
        </w:rPr>
      </w:pPr>
      <w:r w:rsidRPr="00980DC2">
        <w:rPr>
          <w:szCs w:val="24"/>
        </w:rPr>
        <w:t xml:space="preserve">On </w:t>
      </w:r>
      <w:smartTag w:uri="urn:schemas-microsoft-com:office:smarttags" w:element="date">
        <w:smartTagPr>
          <w:attr w:name="Month" w:val="3"/>
          <w:attr w:name="Day" w:val="12"/>
          <w:attr w:name="Year" w:val="1987"/>
        </w:smartTagPr>
        <w:r w:rsidRPr="00980DC2">
          <w:rPr>
            <w:szCs w:val="24"/>
          </w:rPr>
          <w:t>March 12, 1987</w:t>
        </w:r>
      </w:smartTag>
      <w:r w:rsidRPr="00980DC2">
        <w:rPr>
          <w:szCs w:val="24"/>
        </w:rPr>
        <w:t xml:space="preserve">, President Reagan signed a memorandum directing all affected Executive departments and agencies to simultaneously issue a common rule that adopted </w:t>
      </w:r>
      <w:proofErr w:type="spellStart"/>
      <w:r w:rsidRPr="00980DC2">
        <w:rPr>
          <w:szCs w:val="24"/>
        </w:rPr>
        <w:t>governmentwide</w:t>
      </w:r>
      <w:proofErr w:type="spellEnd"/>
      <w:r w:rsidRPr="00980DC2">
        <w:rPr>
          <w:szCs w:val="24"/>
        </w:rPr>
        <w:t xml:space="preserve"> terms and conditions for grant to State and local governments.  The departments and agencies followed the guidelines of OMB Circular A-102</w:t>
      </w:r>
      <w:r w:rsidR="003E321F">
        <w:rPr>
          <w:szCs w:val="24"/>
        </w:rPr>
        <w:t xml:space="preserve">, </w:t>
      </w:r>
      <w:r w:rsidR="003E321F">
        <w:rPr>
          <w:szCs w:val="24"/>
          <w:lang/>
        </w:rPr>
        <w:t>issued under the authority of the Budget and Accounting Act of 1921, as amended; the Budget and Accounting Procedures Act of 1950, as amended; Reorganization Plan No. 2 of 1970; Executive Order 11541 and the Chief Financial Officers Act, 31 U.S.C. 503</w:t>
      </w:r>
      <w:r w:rsidRPr="00980DC2">
        <w:rPr>
          <w:szCs w:val="24"/>
        </w:rPr>
        <w:t xml:space="preserve">, and adopted the wording of the Circular verbatim, with their statutory deviations.  The common rule was issued on </w:t>
      </w:r>
      <w:smartTag w:uri="urn:schemas-microsoft-com:office:smarttags" w:element="date">
        <w:smartTagPr>
          <w:attr w:name="Month" w:val="3"/>
          <w:attr w:name="Day" w:val="11"/>
          <w:attr w:name="Year" w:val="1988"/>
        </w:smartTagPr>
        <w:r w:rsidRPr="00980DC2">
          <w:rPr>
            <w:szCs w:val="24"/>
          </w:rPr>
          <w:t>March 11, 1988</w:t>
        </w:r>
      </w:smartTag>
      <w:r w:rsidRPr="00980DC2">
        <w:rPr>
          <w:szCs w:val="24"/>
        </w:rPr>
        <w:t xml:space="preserve">, and has been updated periodically to reflect new legislation and Executive Orders.  The </w:t>
      </w:r>
      <w:r w:rsidR="00E215A6" w:rsidRPr="000E74E4">
        <w:rPr>
          <w:szCs w:val="24"/>
        </w:rPr>
        <w:t>Department of Tran</w:t>
      </w:r>
      <w:r w:rsidR="00E215A6">
        <w:rPr>
          <w:szCs w:val="24"/>
        </w:rPr>
        <w:t xml:space="preserve">sportation (DOT) </w:t>
      </w:r>
      <w:r w:rsidRPr="00980DC2">
        <w:rPr>
          <w:szCs w:val="24"/>
        </w:rPr>
        <w:t xml:space="preserve">codified the common rule at 49 CFR 18 and includes the </w:t>
      </w:r>
      <w:proofErr w:type="spellStart"/>
      <w:r w:rsidRPr="00980DC2">
        <w:rPr>
          <w:szCs w:val="24"/>
        </w:rPr>
        <w:t>OMB</w:t>
      </w:r>
      <w:r w:rsidR="00C34F9B">
        <w:rPr>
          <w:szCs w:val="24"/>
        </w:rPr>
        <w:noBreakHyphen/>
      </w:r>
      <w:r w:rsidRPr="00980DC2">
        <w:rPr>
          <w:szCs w:val="24"/>
        </w:rPr>
        <w:t>required</w:t>
      </w:r>
      <w:proofErr w:type="spellEnd"/>
      <w:r w:rsidRPr="00980DC2">
        <w:rPr>
          <w:szCs w:val="24"/>
        </w:rPr>
        <w:t xml:space="preserve"> reporting and record-keeping requirements. </w:t>
      </w:r>
    </w:p>
    <w:p w:rsidR="00E215A6" w:rsidRDefault="00E215A6" w:rsidP="00980DC2">
      <w:pPr>
        <w:rPr>
          <w:szCs w:val="24"/>
        </w:rPr>
      </w:pPr>
    </w:p>
    <w:p w:rsidR="00E23F15" w:rsidRPr="003E321F" w:rsidRDefault="00E23F15" w:rsidP="003E321F">
      <w:pPr>
        <w:pStyle w:val="NormalWeb"/>
        <w:shd w:val="clear" w:color="auto" w:fill="FAFAFA"/>
        <w:rPr>
          <w:rFonts w:ascii="Times New Roman" w:eastAsia="Times New Roman" w:hAnsi="Times New Roman" w:cs="Times New Roman"/>
        </w:rPr>
      </w:pPr>
      <w:r w:rsidRPr="003E321F">
        <w:rPr>
          <w:rFonts w:ascii="Times New Roman" w:eastAsia="Times New Roman" w:hAnsi="Times New Roman" w:cs="Times New Roman"/>
        </w:rPr>
        <w:lastRenderedPageBreak/>
        <w:t xml:space="preserve">The </w:t>
      </w:r>
      <w:r w:rsidR="00B217B0" w:rsidRPr="003E321F">
        <w:rPr>
          <w:rFonts w:ascii="Times New Roman" w:eastAsia="Times New Roman" w:hAnsi="Times New Roman" w:cs="Times New Roman"/>
        </w:rPr>
        <w:t>OMB</w:t>
      </w:r>
      <w:r w:rsidRPr="003E321F">
        <w:rPr>
          <w:rFonts w:ascii="Times New Roman" w:eastAsia="Times New Roman" w:hAnsi="Times New Roman" w:cs="Times New Roman"/>
        </w:rPr>
        <w:t xml:space="preserve"> Circular 2 CFR 215 (A-110) </w:t>
      </w:r>
      <w:r w:rsidR="003E321F" w:rsidRPr="003E321F">
        <w:rPr>
          <w:rFonts w:ascii="Times New Roman" w:eastAsia="Times New Roman" w:hAnsi="Times New Roman" w:cs="Times New Roman"/>
        </w:rPr>
        <w:t>issued under the authority of 31 U.S.C. 503 (the Chief Financial Officers Act), 31 U.S.C. 1111, 41 U.S.C. 405 (the Office of Federal Procurement Policy Act), Reorganization Plan No. 2 of 1970, and E.O. 11541 ("Prescribing the Duties of the Office of Management and Budget and the Domestic Policy Council in the Executive Office of the President"),</w:t>
      </w:r>
      <w:r w:rsidR="003E321F">
        <w:rPr>
          <w:rFonts w:ascii="Times New Roman" w:eastAsia="Times New Roman" w:hAnsi="Times New Roman" w:cs="Times New Roman"/>
        </w:rPr>
        <w:t xml:space="preserve"> </w:t>
      </w:r>
      <w:r w:rsidRPr="003E321F">
        <w:rPr>
          <w:rFonts w:ascii="Times New Roman" w:eastAsia="Times New Roman" w:hAnsi="Times New Roman" w:cs="Times New Roman"/>
        </w:rPr>
        <w:t xml:space="preserve">as originally issued in 1976, with minor revisions made when required through the present time.  The Circular sets standards for administration of Federal grants to nongovernmental entities.  Federal grant-making agencies were required to incorporate the contents of the Circular in their grant regulations, which the </w:t>
      </w:r>
      <w:r w:rsidR="00E215A6" w:rsidRPr="003E321F">
        <w:rPr>
          <w:rFonts w:ascii="Times New Roman" w:eastAsia="Times New Roman" w:hAnsi="Times New Roman" w:cs="Times New Roman"/>
        </w:rPr>
        <w:t xml:space="preserve">Department </w:t>
      </w:r>
      <w:r w:rsidR="00B217B0" w:rsidRPr="003E321F">
        <w:rPr>
          <w:rFonts w:ascii="Times New Roman" w:eastAsia="Times New Roman" w:hAnsi="Times New Roman" w:cs="Times New Roman"/>
        </w:rPr>
        <w:t xml:space="preserve">did </w:t>
      </w:r>
      <w:r w:rsidR="0029371B" w:rsidRPr="003E321F">
        <w:rPr>
          <w:rFonts w:ascii="Times New Roman" w:eastAsia="Times New Roman" w:hAnsi="Times New Roman" w:cs="Times New Roman"/>
        </w:rPr>
        <w:t>as</w:t>
      </w:r>
      <w:r w:rsidR="00B7377F" w:rsidRPr="003E321F">
        <w:rPr>
          <w:rFonts w:ascii="Times New Roman" w:eastAsia="Times New Roman" w:hAnsi="Times New Roman" w:cs="Times New Roman"/>
        </w:rPr>
        <w:t xml:space="preserve"> </w:t>
      </w:r>
      <w:r w:rsidR="00B217B0" w:rsidRPr="003E321F">
        <w:rPr>
          <w:rFonts w:ascii="Times New Roman" w:eastAsia="Times New Roman" w:hAnsi="Times New Roman" w:cs="Times New Roman"/>
        </w:rPr>
        <w:t xml:space="preserve">49 CFR </w:t>
      </w:r>
      <w:r w:rsidRPr="003E321F">
        <w:rPr>
          <w:rFonts w:ascii="Times New Roman" w:eastAsia="Times New Roman" w:hAnsi="Times New Roman" w:cs="Times New Roman"/>
        </w:rPr>
        <w:t>19</w:t>
      </w:r>
      <w:r w:rsidR="00B7377F" w:rsidRPr="003E321F">
        <w:rPr>
          <w:rFonts w:ascii="Times New Roman" w:eastAsia="Times New Roman" w:hAnsi="Times New Roman" w:cs="Times New Roman"/>
        </w:rPr>
        <w:t xml:space="preserve">, which </w:t>
      </w:r>
      <w:r w:rsidRPr="003E321F">
        <w:rPr>
          <w:rFonts w:ascii="Times New Roman" w:eastAsia="Times New Roman" w:hAnsi="Times New Roman" w:cs="Times New Roman"/>
        </w:rPr>
        <w:t xml:space="preserve">included the OMB-required reporting and recordkeeping requirements at Sections 12, 22, 51, 52, 53 and 71.  </w:t>
      </w:r>
      <w:r w:rsidR="00980DC2" w:rsidRPr="003E321F">
        <w:rPr>
          <w:rFonts w:ascii="Times New Roman" w:eastAsia="Times New Roman" w:hAnsi="Times New Roman" w:cs="Times New Roman"/>
        </w:rPr>
        <w:t xml:space="preserve"> </w:t>
      </w:r>
    </w:p>
    <w:p w:rsidR="00E23F15" w:rsidRDefault="00E23F15" w:rsidP="00980DC2">
      <w:pPr>
        <w:rPr>
          <w:szCs w:val="24"/>
        </w:rPr>
      </w:pPr>
    </w:p>
    <w:p w:rsidR="00E23F15" w:rsidRDefault="00B7377F" w:rsidP="00980DC2">
      <w:pPr>
        <w:rPr>
          <w:szCs w:val="24"/>
        </w:rPr>
      </w:pPr>
      <w:r w:rsidRPr="00980DC2">
        <w:rPr>
          <w:szCs w:val="24"/>
        </w:rPr>
        <w:t xml:space="preserve">This information </w:t>
      </w:r>
      <w:r>
        <w:rPr>
          <w:szCs w:val="24"/>
        </w:rPr>
        <w:t xml:space="preserve">collection includes </w:t>
      </w:r>
      <w:r w:rsidRPr="00980DC2">
        <w:rPr>
          <w:szCs w:val="24"/>
        </w:rPr>
        <w:t xml:space="preserve">those DOT grant programs that utilize </w:t>
      </w:r>
      <w:r>
        <w:rPr>
          <w:szCs w:val="24"/>
        </w:rPr>
        <w:t xml:space="preserve">the following OMB standard forms (SF): </w:t>
      </w:r>
      <w:r w:rsidRPr="00980DC2">
        <w:rPr>
          <w:szCs w:val="24"/>
        </w:rPr>
        <w:t>Application for Federal Assistance</w:t>
      </w:r>
      <w:r>
        <w:rPr>
          <w:szCs w:val="24"/>
        </w:rPr>
        <w:t xml:space="preserve"> (SF-424); Federal Financial </w:t>
      </w:r>
      <w:r w:rsidRPr="00980DC2">
        <w:rPr>
          <w:szCs w:val="24"/>
        </w:rPr>
        <w:t>Report</w:t>
      </w:r>
      <w:r>
        <w:rPr>
          <w:szCs w:val="24"/>
        </w:rPr>
        <w:t xml:space="preserve"> (SF</w:t>
      </w:r>
      <w:r w:rsidR="00C34F9B">
        <w:rPr>
          <w:szCs w:val="24"/>
        </w:rPr>
        <w:noBreakHyphen/>
      </w:r>
      <w:r>
        <w:rPr>
          <w:szCs w:val="24"/>
        </w:rPr>
        <w:t xml:space="preserve">-425); </w:t>
      </w:r>
      <w:r w:rsidRPr="00980DC2">
        <w:rPr>
          <w:szCs w:val="24"/>
        </w:rPr>
        <w:t>Request for Advance or Reimbursement</w:t>
      </w:r>
      <w:r>
        <w:rPr>
          <w:szCs w:val="24"/>
        </w:rPr>
        <w:t xml:space="preserve"> (SF-270)</w:t>
      </w:r>
      <w:r w:rsidRPr="00980DC2">
        <w:rPr>
          <w:szCs w:val="24"/>
        </w:rPr>
        <w:t xml:space="preserve">; </w:t>
      </w:r>
      <w:r>
        <w:rPr>
          <w:szCs w:val="24"/>
        </w:rPr>
        <w:t xml:space="preserve">and </w:t>
      </w:r>
      <w:r w:rsidRPr="00980DC2">
        <w:rPr>
          <w:szCs w:val="24"/>
        </w:rPr>
        <w:t>Outlay Report &amp; Request for Reimburs</w:t>
      </w:r>
      <w:r>
        <w:rPr>
          <w:szCs w:val="24"/>
        </w:rPr>
        <w:t xml:space="preserve">ement for Construction Programs (SF-271).  </w:t>
      </w:r>
      <w:r w:rsidR="00E23F15">
        <w:rPr>
          <w:szCs w:val="24"/>
        </w:rPr>
        <w:t>Beginning in October 1, 2009, OMB pr</w:t>
      </w:r>
      <w:r w:rsidR="00F74A54">
        <w:rPr>
          <w:szCs w:val="24"/>
        </w:rPr>
        <w:t>ovided instruction through the Federal R</w:t>
      </w:r>
      <w:r w:rsidR="00E23F15">
        <w:rPr>
          <w:szCs w:val="24"/>
        </w:rPr>
        <w:t xml:space="preserve">egister </w:t>
      </w:r>
      <w:r w:rsidR="002B7D25">
        <w:rPr>
          <w:szCs w:val="24"/>
        </w:rPr>
        <w:t>published on August 13, 2008 (7</w:t>
      </w:r>
      <w:r w:rsidR="0029371B">
        <w:rPr>
          <w:szCs w:val="24"/>
        </w:rPr>
        <w:t>3</w:t>
      </w:r>
      <w:r w:rsidR="002B7D25">
        <w:rPr>
          <w:szCs w:val="24"/>
        </w:rPr>
        <w:t xml:space="preserve"> FR </w:t>
      </w:r>
      <w:r w:rsidR="0029371B">
        <w:rPr>
          <w:szCs w:val="24"/>
        </w:rPr>
        <w:t>47246</w:t>
      </w:r>
      <w:r w:rsidR="002B7D25">
        <w:rPr>
          <w:szCs w:val="24"/>
        </w:rPr>
        <w:t xml:space="preserve">) </w:t>
      </w:r>
      <w:r w:rsidR="00E23F15">
        <w:rPr>
          <w:szCs w:val="24"/>
        </w:rPr>
        <w:t>to</w:t>
      </w:r>
      <w:r w:rsidR="0025583E">
        <w:rPr>
          <w:szCs w:val="24"/>
        </w:rPr>
        <w:t xml:space="preserve"> transition from</w:t>
      </w:r>
      <w:r w:rsidR="009E6DB8">
        <w:rPr>
          <w:szCs w:val="24"/>
        </w:rPr>
        <w:t xml:space="preserve"> the </w:t>
      </w:r>
      <w:r w:rsidR="0029371B">
        <w:rPr>
          <w:szCs w:val="24"/>
        </w:rPr>
        <w:t>F</w:t>
      </w:r>
      <w:r w:rsidR="009E6DB8">
        <w:rPr>
          <w:szCs w:val="24"/>
        </w:rPr>
        <w:t xml:space="preserve">inancial </w:t>
      </w:r>
      <w:r w:rsidR="0029371B">
        <w:rPr>
          <w:szCs w:val="24"/>
        </w:rPr>
        <w:t>Status R</w:t>
      </w:r>
      <w:r w:rsidR="009E6DB8">
        <w:rPr>
          <w:szCs w:val="24"/>
        </w:rPr>
        <w:t>eport (</w:t>
      </w:r>
      <w:r w:rsidR="0025583E">
        <w:rPr>
          <w:szCs w:val="24"/>
        </w:rPr>
        <w:t>SF-269</w:t>
      </w:r>
      <w:r w:rsidR="002B7D25">
        <w:rPr>
          <w:szCs w:val="24"/>
        </w:rPr>
        <w:t xml:space="preserve"> </w:t>
      </w:r>
      <w:r w:rsidR="0029371B">
        <w:rPr>
          <w:szCs w:val="24"/>
        </w:rPr>
        <w:t>and</w:t>
      </w:r>
      <w:r w:rsidR="002B7D25">
        <w:rPr>
          <w:szCs w:val="24"/>
        </w:rPr>
        <w:t xml:space="preserve"> SF-269A</w:t>
      </w:r>
      <w:r w:rsidR="009E6DB8">
        <w:rPr>
          <w:szCs w:val="24"/>
        </w:rPr>
        <w:t>)</w:t>
      </w:r>
      <w:r w:rsidR="0025583E">
        <w:rPr>
          <w:szCs w:val="24"/>
        </w:rPr>
        <w:t xml:space="preserve"> and </w:t>
      </w:r>
      <w:r w:rsidR="009E6DB8">
        <w:rPr>
          <w:szCs w:val="24"/>
        </w:rPr>
        <w:t>the Federal Transactions Report (</w:t>
      </w:r>
      <w:r w:rsidR="0025583E">
        <w:rPr>
          <w:szCs w:val="24"/>
        </w:rPr>
        <w:t>SF-272</w:t>
      </w:r>
      <w:r w:rsidR="002B7D25">
        <w:rPr>
          <w:szCs w:val="24"/>
        </w:rPr>
        <w:t xml:space="preserve"> </w:t>
      </w:r>
      <w:r w:rsidR="0029371B">
        <w:rPr>
          <w:szCs w:val="24"/>
        </w:rPr>
        <w:t xml:space="preserve">and </w:t>
      </w:r>
      <w:r w:rsidR="002B7D25">
        <w:rPr>
          <w:szCs w:val="24"/>
        </w:rPr>
        <w:t>SF-272A</w:t>
      </w:r>
      <w:r w:rsidR="009E6DB8">
        <w:rPr>
          <w:szCs w:val="24"/>
        </w:rPr>
        <w:t>)</w:t>
      </w:r>
      <w:r w:rsidR="0025583E">
        <w:rPr>
          <w:szCs w:val="24"/>
        </w:rPr>
        <w:t xml:space="preserve"> to</w:t>
      </w:r>
      <w:r w:rsidR="009E6DB8">
        <w:rPr>
          <w:szCs w:val="24"/>
        </w:rPr>
        <w:t xml:space="preserve"> utilizing</w:t>
      </w:r>
      <w:r w:rsidR="00B753FC">
        <w:rPr>
          <w:szCs w:val="24"/>
        </w:rPr>
        <w:t xml:space="preserve"> </w:t>
      </w:r>
      <w:r w:rsidR="00E23F15">
        <w:rPr>
          <w:szCs w:val="24"/>
        </w:rPr>
        <w:t>the Federal Financial Report</w:t>
      </w:r>
      <w:r w:rsidR="00B753FC">
        <w:rPr>
          <w:szCs w:val="24"/>
        </w:rPr>
        <w:t xml:space="preserve"> (SF-425)</w:t>
      </w:r>
      <w:r w:rsidR="0025583E">
        <w:rPr>
          <w:szCs w:val="24"/>
        </w:rPr>
        <w:t xml:space="preserve">.  </w:t>
      </w:r>
      <w:r w:rsidR="0070386C">
        <w:rPr>
          <w:szCs w:val="24"/>
        </w:rPr>
        <w:t>Based on the OMB requirements</w:t>
      </w:r>
      <w:r>
        <w:rPr>
          <w:szCs w:val="24"/>
        </w:rPr>
        <w:t>, DOT</w:t>
      </w:r>
      <w:r w:rsidR="0025583E">
        <w:rPr>
          <w:szCs w:val="24"/>
        </w:rPr>
        <w:t xml:space="preserve"> has terminated </w:t>
      </w:r>
      <w:r>
        <w:rPr>
          <w:szCs w:val="24"/>
        </w:rPr>
        <w:t xml:space="preserve">the use of </w:t>
      </w:r>
      <w:r w:rsidR="0025583E">
        <w:rPr>
          <w:szCs w:val="24"/>
        </w:rPr>
        <w:t>SF-269</w:t>
      </w:r>
      <w:r>
        <w:rPr>
          <w:szCs w:val="24"/>
        </w:rPr>
        <w:t xml:space="preserve">, </w:t>
      </w:r>
      <w:r w:rsidR="0025583E">
        <w:rPr>
          <w:szCs w:val="24"/>
        </w:rPr>
        <w:t>SF- 269A</w:t>
      </w:r>
      <w:r>
        <w:rPr>
          <w:szCs w:val="24"/>
        </w:rPr>
        <w:t xml:space="preserve">, </w:t>
      </w:r>
      <w:r w:rsidR="00B753FC">
        <w:rPr>
          <w:szCs w:val="24"/>
        </w:rPr>
        <w:t>SF-272</w:t>
      </w:r>
      <w:r>
        <w:rPr>
          <w:szCs w:val="24"/>
        </w:rPr>
        <w:t>,</w:t>
      </w:r>
      <w:r w:rsidR="00B753FC">
        <w:rPr>
          <w:szCs w:val="24"/>
        </w:rPr>
        <w:t xml:space="preserve"> and SF-272A.</w:t>
      </w:r>
      <w:r w:rsidR="0025583E">
        <w:rPr>
          <w:szCs w:val="24"/>
        </w:rPr>
        <w:t xml:space="preserve"> The information contained in the</w:t>
      </w:r>
      <w:r w:rsidR="002B7D25">
        <w:rPr>
          <w:szCs w:val="24"/>
        </w:rPr>
        <w:t xml:space="preserve"> forms is </w:t>
      </w:r>
      <w:r w:rsidR="00B753FC">
        <w:rPr>
          <w:szCs w:val="24"/>
        </w:rPr>
        <w:t>consolidated into SF-425</w:t>
      </w:r>
      <w:r w:rsidR="00D7263D">
        <w:rPr>
          <w:szCs w:val="24"/>
        </w:rPr>
        <w:t xml:space="preserve">.  </w:t>
      </w:r>
      <w:r w:rsidR="0070386C">
        <w:rPr>
          <w:szCs w:val="24"/>
        </w:rPr>
        <w:t>DOT is utilizing this new collection form based on</w:t>
      </w:r>
      <w:r w:rsidR="00D7263D">
        <w:rPr>
          <w:szCs w:val="24"/>
        </w:rPr>
        <w:t xml:space="preserve"> OMB instructions.</w:t>
      </w:r>
    </w:p>
    <w:p w:rsidR="00D7263D" w:rsidRDefault="00D7263D" w:rsidP="00980DC2">
      <w:pPr>
        <w:rPr>
          <w:szCs w:val="24"/>
        </w:rPr>
      </w:pPr>
    </w:p>
    <w:p w:rsidR="00980DC2" w:rsidRPr="00980DC2" w:rsidRDefault="00B753FC" w:rsidP="00980DC2">
      <w:pPr>
        <w:rPr>
          <w:szCs w:val="24"/>
        </w:rPr>
      </w:pPr>
      <w:r>
        <w:rPr>
          <w:szCs w:val="24"/>
        </w:rPr>
        <w:t>DOT funds</w:t>
      </w:r>
      <w:r w:rsidR="00980DC2" w:rsidRPr="00980DC2">
        <w:rPr>
          <w:szCs w:val="24"/>
        </w:rPr>
        <w:t xml:space="preserve"> annually approximately $</w:t>
      </w:r>
      <w:r w:rsidR="00016B08">
        <w:rPr>
          <w:szCs w:val="24"/>
        </w:rPr>
        <w:t>94</w:t>
      </w:r>
      <w:r w:rsidR="00980DC2" w:rsidRPr="00980DC2">
        <w:rPr>
          <w:szCs w:val="24"/>
        </w:rPr>
        <w:t xml:space="preserve"> billion in grants and cooperative agreements</w:t>
      </w:r>
      <w:r w:rsidR="00FF14E0">
        <w:rPr>
          <w:szCs w:val="24"/>
        </w:rPr>
        <w:t xml:space="preserve"> this is due </w:t>
      </w:r>
      <w:proofErr w:type="gramStart"/>
      <w:r w:rsidR="00FF14E0">
        <w:rPr>
          <w:szCs w:val="24"/>
        </w:rPr>
        <w:t>to  an</w:t>
      </w:r>
      <w:proofErr w:type="gramEnd"/>
      <w:r w:rsidR="00FF14E0">
        <w:rPr>
          <w:szCs w:val="24"/>
        </w:rPr>
        <w:t xml:space="preserve"> increase in appropriations </w:t>
      </w:r>
      <w:r w:rsidR="00F741DE">
        <w:rPr>
          <w:szCs w:val="24"/>
        </w:rPr>
        <w:t>which includes a $48 billion increase</w:t>
      </w:r>
      <w:r w:rsidR="00FF14E0">
        <w:rPr>
          <w:szCs w:val="24"/>
        </w:rPr>
        <w:t xml:space="preserve"> due to the American Recovery and Reinvestment Act</w:t>
      </w:r>
      <w:r w:rsidR="00F741DE">
        <w:rPr>
          <w:szCs w:val="24"/>
        </w:rPr>
        <w:t xml:space="preserve"> of 2009</w:t>
      </w:r>
      <w:r w:rsidR="00980DC2" w:rsidRPr="00980DC2">
        <w:rPr>
          <w:szCs w:val="24"/>
        </w:rPr>
        <w:t xml:space="preserve">. Guidance for departmental formula and discretionary grant programs is contained in their authorizing legislation, program regulations, or departmental regulations. This guidance generally includes general project management requirements and the limitations, if any, on spending authority. Departmental grants are generally made to State and local governments, with a lesser amount going to Indian tribes, universities, and nonprofit organizations. These grants are normally used to assist these entities in the planning, design, </w:t>
      </w:r>
      <w:r w:rsidR="00FF275A">
        <w:rPr>
          <w:szCs w:val="24"/>
        </w:rPr>
        <w:t xml:space="preserve">research </w:t>
      </w:r>
      <w:r w:rsidR="00980DC2" w:rsidRPr="00980DC2">
        <w:rPr>
          <w:szCs w:val="24"/>
        </w:rPr>
        <w:t xml:space="preserve">and construction of transportation improvements (e.g., highway, transit, and airport improvements).  </w:t>
      </w:r>
      <w:r w:rsidR="002B7D25">
        <w:rPr>
          <w:szCs w:val="24"/>
        </w:rPr>
        <w:t>Th</w:t>
      </w:r>
      <w:r w:rsidR="00810BF4">
        <w:rPr>
          <w:szCs w:val="24"/>
        </w:rPr>
        <w:t>is information</w:t>
      </w:r>
      <w:r w:rsidR="002B7D25">
        <w:rPr>
          <w:szCs w:val="24"/>
        </w:rPr>
        <w:t xml:space="preserve"> collection supports DOT’s </w:t>
      </w:r>
      <w:r w:rsidR="00810BF4">
        <w:rPr>
          <w:szCs w:val="24"/>
        </w:rPr>
        <w:t xml:space="preserve">strategic goal of </w:t>
      </w:r>
      <w:r w:rsidR="002B7D25">
        <w:rPr>
          <w:szCs w:val="24"/>
        </w:rPr>
        <w:t>achieving organizational excellence in grants management.</w:t>
      </w:r>
    </w:p>
    <w:p w:rsidR="001D224D" w:rsidRPr="00981917" w:rsidRDefault="001D224D" w:rsidP="000A6210">
      <w:pPr>
        <w:widowControl w:val="0"/>
        <w:tabs>
          <w:tab w:val="left" w:pos="540"/>
        </w:tabs>
        <w:ind w:left="1440"/>
        <w:rPr>
          <w:b/>
          <w:szCs w:val="24"/>
        </w:rPr>
      </w:pPr>
    </w:p>
    <w:p w:rsidR="00F45271" w:rsidRPr="00A0677C" w:rsidRDefault="00F45271" w:rsidP="00A0677C">
      <w:pPr>
        <w:pStyle w:val="ListParagraph"/>
        <w:widowControl w:val="0"/>
        <w:numPr>
          <w:ilvl w:val="0"/>
          <w:numId w:val="16"/>
        </w:numPr>
        <w:tabs>
          <w:tab w:val="left" w:pos="540"/>
        </w:tabs>
        <w:ind w:hanging="720"/>
        <w:rPr>
          <w:szCs w:val="24"/>
        </w:rPr>
      </w:pPr>
      <w:r w:rsidRPr="00A0677C">
        <w:rPr>
          <w:b/>
          <w:szCs w:val="24"/>
          <w:u w:val="single"/>
        </w:rPr>
        <w:t xml:space="preserve">How, by whom, and for what purpose </w:t>
      </w:r>
      <w:r w:rsidR="00BB1A46" w:rsidRPr="00A0677C">
        <w:rPr>
          <w:b/>
          <w:szCs w:val="24"/>
          <w:u w:val="single"/>
        </w:rPr>
        <w:t xml:space="preserve">is </w:t>
      </w:r>
      <w:r w:rsidRPr="00A0677C">
        <w:rPr>
          <w:b/>
          <w:szCs w:val="24"/>
          <w:u w:val="single"/>
        </w:rPr>
        <w:t>the information to be used</w:t>
      </w:r>
      <w:r w:rsidRPr="00A0677C">
        <w:rPr>
          <w:b/>
          <w:szCs w:val="24"/>
        </w:rPr>
        <w:t>.</w:t>
      </w:r>
      <w:r w:rsidRPr="00A0677C">
        <w:rPr>
          <w:szCs w:val="24"/>
        </w:rPr>
        <w:t xml:space="preserve">  </w:t>
      </w:r>
    </w:p>
    <w:p w:rsidR="00A0677C" w:rsidRPr="00A0677C" w:rsidRDefault="00A0677C" w:rsidP="00A0677C">
      <w:pPr>
        <w:pStyle w:val="ListParagraph"/>
        <w:widowControl w:val="0"/>
        <w:tabs>
          <w:tab w:val="left" w:pos="540"/>
        </w:tabs>
        <w:rPr>
          <w:b/>
          <w:szCs w:val="24"/>
        </w:rPr>
      </w:pPr>
    </w:p>
    <w:p w:rsidR="00016B08" w:rsidRPr="001F711A" w:rsidRDefault="00790443" w:rsidP="00016B08">
      <w:pPr>
        <w:rPr>
          <w:szCs w:val="24"/>
        </w:rPr>
      </w:pPr>
      <w:r w:rsidRPr="002558AD">
        <w:rPr>
          <w:szCs w:val="24"/>
        </w:rPr>
        <w:t>This informatio</w:t>
      </w:r>
      <w:r w:rsidR="003016BA" w:rsidRPr="002558AD">
        <w:rPr>
          <w:szCs w:val="24"/>
        </w:rPr>
        <w:t>n is used to provide oversight</w:t>
      </w:r>
      <w:r w:rsidRPr="002558AD">
        <w:rPr>
          <w:szCs w:val="24"/>
        </w:rPr>
        <w:t xml:space="preserve"> by the grantor (DOT) and guidance to the grantee (</w:t>
      </w:r>
      <w:proofErr w:type="spellStart"/>
      <w:r w:rsidRPr="002558AD">
        <w:rPr>
          <w:szCs w:val="24"/>
        </w:rPr>
        <w:t>awardee</w:t>
      </w:r>
      <w:proofErr w:type="spellEnd"/>
      <w:r w:rsidRPr="002558AD">
        <w:rPr>
          <w:szCs w:val="24"/>
        </w:rPr>
        <w:t xml:space="preserve">).  </w:t>
      </w:r>
      <w:r w:rsidR="002558AD" w:rsidRPr="002558AD">
        <w:rPr>
          <w:szCs w:val="24"/>
        </w:rPr>
        <w:t>The information is used by program and financial officials within DOT to ensure minimum fiscal control and accountability for Federal funds and to deter fraud, waste and abuse. Depending on the legislative requirements the financial forms are submitted</w:t>
      </w:r>
      <w:r w:rsidR="0029371B">
        <w:rPr>
          <w:szCs w:val="24"/>
        </w:rPr>
        <w:t>,</w:t>
      </w:r>
      <w:r w:rsidR="002558AD" w:rsidRPr="002558AD">
        <w:rPr>
          <w:szCs w:val="24"/>
        </w:rPr>
        <w:t xml:space="preserve"> at the most</w:t>
      </w:r>
      <w:r w:rsidR="0029371B">
        <w:rPr>
          <w:szCs w:val="24"/>
        </w:rPr>
        <w:t>,</w:t>
      </w:r>
      <w:r w:rsidR="002558AD" w:rsidRPr="002558AD">
        <w:rPr>
          <w:szCs w:val="24"/>
        </w:rPr>
        <w:t xml:space="preserve"> quarterly to collect data and the grant application form at the inception of the grant process. All of the </w:t>
      </w:r>
      <w:r w:rsidR="00E53C24">
        <w:rPr>
          <w:szCs w:val="24"/>
        </w:rPr>
        <w:t xml:space="preserve">financial reporting </w:t>
      </w:r>
      <w:r w:rsidR="002558AD" w:rsidRPr="002558AD">
        <w:rPr>
          <w:szCs w:val="24"/>
        </w:rPr>
        <w:t xml:space="preserve">forms are used for reconciliation as well as close-out of the grant awards.  </w:t>
      </w:r>
      <w:r w:rsidR="003016BA" w:rsidRPr="002558AD">
        <w:rPr>
          <w:szCs w:val="24"/>
        </w:rPr>
        <w:t xml:space="preserve">SF-424 </w:t>
      </w:r>
      <w:r w:rsidR="002558AD" w:rsidRPr="002558AD">
        <w:rPr>
          <w:szCs w:val="24"/>
        </w:rPr>
        <w:t xml:space="preserve">is </w:t>
      </w:r>
      <w:r w:rsidRPr="002558AD">
        <w:rPr>
          <w:szCs w:val="24"/>
        </w:rPr>
        <w:t>utiliz</w:t>
      </w:r>
      <w:r w:rsidR="003016BA" w:rsidRPr="002558AD">
        <w:rPr>
          <w:szCs w:val="24"/>
        </w:rPr>
        <w:t xml:space="preserve">ed </w:t>
      </w:r>
      <w:r w:rsidRPr="002558AD">
        <w:rPr>
          <w:szCs w:val="24"/>
        </w:rPr>
        <w:t>to qualify and select grant applications</w:t>
      </w:r>
      <w:r w:rsidR="003016BA" w:rsidRPr="002558AD">
        <w:rPr>
          <w:szCs w:val="24"/>
        </w:rPr>
        <w:t xml:space="preserve">.  The remaining forms are used </w:t>
      </w:r>
      <w:r w:rsidR="00016B08" w:rsidRPr="002558AD">
        <w:rPr>
          <w:szCs w:val="24"/>
        </w:rPr>
        <w:t xml:space="preserve">to </w:t>
      </w:r>
      <w:r w:rsidR="00E23F15" w:rsidRPr="002558AD">
        <w:rPr>
          <w:szCs w:val="24"/>
        </w:rPr>
        <w:t xml:space="preserve">report expenditures, request reimbursement and </w:t>
      </w:r>
      <w:r w:rsidR="00016B08" w:rsidRPr="002558AD">
        <w:rPr>
          <w:szCs w:val="24"/>
        </w:rPr>
        <w:t>monitor grantee performance</w:t>
      </w:r>
      <w:r w:rsidRPr="002558AD">
        <w:rPr>
          <w:szCs w:val="24"/>
        </w:rPr>
        <w:t xml:space="preserve"> (SF-425, </w:t>
      </w:r>
      <w:r w:rsidRPr="002558AD">
        <w:rPr>
          <w:szCs w:val="24"/>
        </w:rPr>
        <w:lastRenderedPageBreak/>
        <w:t>SF-270 and SF-271)</w:t>
      </w:r>
      <w:r w:rsidR="00016B08" w:rsidRPr="002558AD">
        <w:rPr>
          <w:szCs w:val="24"/>
        </w:rPr>
        <w:t xml:space="preserve">.  </w:t>
      </w:r>
      <w:r w:rsidR="005547E8" w:rsidRPr="002558AD">
        <w:rPr>
          <w:szCs w:val="24"/>
        </w:rPr>
        <w:t>The</w:t>
      </w:r>
      <w:r w:rsidR="002558AD" w:rsidRPr="002558AD">
        <w:rPr>
          <w:szCs w:val="24"/>
        </w:rPr>
        <w:t>se</w:t>
      </w:r>
      <w:r w:rsidR="005547E8" w:rsidRPr="002558AD">
        <w:rPr>
          <w:szCs w:val="24"/>
        </w:rPr>
        <w:t xml:space="preserve"> </w:t>
      </w:r>
      <w:r w:rsidR="002558AD" w:rsidRPr="002558AD">
        <w:rPr>
          <w:szCs w:val="24"/>
        </w:rPr>
        <w:t>forms</w:t>
      </w:r>
      <w:r w:rsidR="005547E8" w:rsidRPr="002558AD">
        <w:rPr>
          <w:szCs w:val="24"/>
        </w:rPr>
        <w:t xml:space="preserve"> are sent to DOT </w:t>
      </w:r>
      <w:r w:rsidR="002558AD" w:rsidRPr="002558AD">
        <w:rPr>
          <w:szCs w:val="24"/>
        </w:rPr>
        <w:t xml:space="preserve">program </w:t>
      </w:r>
      <w:r w:rsidR="005547E8" w:rsidRPr="002558AD">
        <w:rPr>
          <w:szCs w:val="24"/>
        </w:rPr>
        <w:t>office</w:t>
      </w:r>
      <w:r w:rsidR="002558AD" w:rsidRPr="002558AD">
        <w:rPr>
          <w:szCs w:val="24"/>
        </w:rPr>
        <w:t>s and the individual point of contact</w:t>
      </w:r>
      <w:r w:rsidR="005547E8" w:rsidRPr="002558AD">
        <w:rPr>
          <w:szCs w:val="24"/>
        </w:rPr>
        <w:t xml:space="preserve"> either by mail or email</w:t>
      </w:r>
      <w:r w:rsidR="00D748B0">
        <w:rPr>
          <w:szCs w:val="24"/>
        </w:rPr>
        <w:t xml:space="preserve"> and </w:t>
      </w:r>
      <w:r w:rsidR="005547E8" w:rsidRPr="002558AD">
        <w:rPr>
          <w:szCs w:val="24"/>
        </w:rPr>
        <w:t>are processed</w:t>
      </w:r>
      <w:r w:rsidR="00D748B0" w:rsidRPr="00D748B0">
        <w:rPr>
          <w:szCs w:val="24"/>
        </w:rPr>
        <w:t xml:space="preserve"> </w:t>
      </w:r>
      <w:r w:rsidR="00D748B0" w:rsidRPr="002558AD">
        <w:rPr>
          <w:szCs w:val="24"/>
        </w:rPr>
        <w:t>once received</w:t>
      </w:r>
      <w:r w:rsidR="002558AD" w:rsidRPr="002558AD">
        <w:rPr>
          <w:szCs w:val="24"/>
        </w:rPr>
        <w:t>.</w:t>
      </w:r>
    </w:p>
    <w:p w:rsidR="001D224D" w:rsidRPr="00981917" w:rsidRDefault="00A46ADB" w:rsidP="000A6210">
      <w:pPr>
        <w:widowControl w:val="0"/>
        <w:tabs>
          <w:tab w:val="left" w:pos="540"/>
        </w:tabs>
        <w:rPr>
          <w:b/>
          <w:szCs w:val="24"/>
        </w:rPr>
      </w:pPr>
      <w:r w:rsidRPr="00981917">
        <w:rPr>
          <w:b/>
          <w:szCs w:val="24"/>
        </w:rPr>
        <w:t xml:space="preserve"> </w:t>
      </w:r>
    </w:p>
    <w:p w:rsidR="001D224D" w:rsidRPr="00981917" w:rsidRDefault="001D224D" w:rsidP="000A6210">
      <w:pPr>
        <w:widowControl w:val="0"/>
        <w:tabs>
          <w:tab w:val="left" w:pos="540"/>
        </w:tabs>
        <w:rPr>
          <w:b/>
          <w:szCs w:val="24"/>
        </w:rPr>
      </w:pPr>
      <w:r w:rsidRPr="00981917">
        <w:rPr>
          <w:b/>
          <w:szCs w:val="24"/>
        </w:rPr>
        <w:t>3.</w:t>
      </w:r>
      <w:r w:rsidRPr="00981917">
        <w:rPr>
          <w:b/>
          <w:szCs w:val="24"/>
        </w:rPr>
        <w:tab/>
      </w:r>
      <w:r w:rsidR="00F45271" w:rsidRPr="00981917">
        <w:rPr>
          <w:b/>
          <w:szCs w:val="24"/>
          <w:u w:val="single"/>
        </w:rPr>
        <w:t>Extent of automated information collection</w:t>
      </w:r>
      <w:r w:rsidR="00F45271" w:rsidRPr="00981917">
        <w:rPr>
          <w:b/>
          <w:szCs w:val="24"/>
        </w:rPr>
        <w:t xml:space="preserve">.  </w:t>
      </w:r>
    </w:p>
    <w:p w:rsidR="001D224D" w:rsidRPr="00981917" w:rsidRDefault="001D224D" w:rsidP="000A6210">
      <w:pPr>
        <w:widowControl w:val="0"/>
        <w:tabs>
          <w:tab w:val="left" w:pos="540"/>
        </w:tabs>
        <w:rPr>
          <w:b/>
          <w:szCs w:val="24"/>
        </w:rPr>
      </w:pPr>
    </w:p>
    <w:p w:rsidR="001D224D" w:rsidRPr="001F711A" w:rsidRDefault="001F711A" w:rsidP="001F711A">
      <w:pPr>
        <w:widowControl w:val="0"/>
        <w:tabs>
          <w:tab w:val="left" w:pos="540"/>
        </w:tabs>
        <w:rPr>
          <w:szCs w:val="24"/>
        </w:rPr>
      </w:pPr>
      <w:r w:rsidRPr="001F711A">
        <w:rPr>
          <w:szCs w:val="24"/>
        </w:rPr>
        <w:t xml:space="preserve">The </w:t>
      </w:r>
      <w:r w:rsidR="00E53C24">
        <w:rPr>
          <w:szCs w:val="24"/>
        </w:rPr>
        <w:t xml:space="preserve">financial reporting </w:t>
      </w:r>
      <w:r w:rsidRPr="001F711A">
        <w:rPr>
          <w:szCs w:val="24"/>
        </w:rPr>
        <w:t>forms are government</w:t>
      </w:r>
      <w:r w:rsidR="00E53C24">
        <w:rPr>
          <w:szCs w:val="24"/>
        </w:rPr>
        <w:t>-</w:t>
      </w:r>
      <w:r w:rsidRPr="001F711A">
        <w:rPr>
          <w:szCs w:val="24"/>
        </w:rPr>
        <w:t>wide forms under the control of OMB.  OMB provides guidance to Federal agencies on the use of these forms, including the requirement to use a baseline annual information collection burden of 70 hours per grantee respondent.  Several ongoing Federal efforts, under the direction of OMB, are working on streamlining the forms and facilitating their use and storage, resulting in electronic information.  These forms</w:t>
      </w:r>
      <w:r w:rsidR="00736387">
        <w:rPr>
          <w:szCs w:val="24"/>
        </w:rPr>
        <w:t xml:space="preserve"> are available online from </w:t>
      </w:r>
      <w:r w:rsidR="00CB5473">
        <w:rPr>
          <w:szCs w:val="24"/>
        </w:rPr>
        <w:t xml:space="preserve">the </w:t>
      </w:r>
      <w:r w:rsidR="00736387">
        <w:rPr>
          <w:szCs w:val="24"/>
        </w:rPr>
        <w:t>OMB</w:t>
      </w:r>
      <w:r w:rsidRPr="001F711A">
        <w:rPr>
          <w:szCs w:val="24"/>
        </w:rPr>
        <w:t xml:space="preserve"> grants web page</w:t>
      </w:r>
      <w:r w:rsidR="00CB5473">
        <w:rPr>
          <w:szCs w:val="24"/>
        </w:rPr>
        <w:t xml:space="preserve"> at </w:t>
      </w:r>
      <w:r w:rsidR="00736387" w:rsidRPr="00D748B0">
        <w:rPr>
          <w:szCs w:val="24"/>
        </w:rPr>
        <w:t>http://www.whitehouse.gov/omb/grants_forms</w:t>
      </w:r>
      <w:r w:rsidR="00736387">
        <w:rPr>
          <w:szCs w:val="24"/>
        </w:rPr>
        <w:t xml:space="preserve"> as well as U.S. Department of Health and Human Services (HHS) </w:t>
      </w:r>
      <w:r w:rsidR="006621E3">
        <w:rPr>
          <w:szCs w:val="24"/>
        </w:rPr>
        <w:t>via</w:t>
      </w:r>
      <w:r w:rsidRPr="001F711A">
        <w:rPr>
          <w:szCs w:val="24"/>
        </w:rPr>
        <w:t xml:space="preserve"> </w:t>
      </w:r>
      <w:r w:rsidRPr="00D748B0">
        <w:rPr>
          <w:szCs w:val="24"/>
        </w:rPr>
        <w:t>www.grants.gov</w:t>
      </w:r>
      <w:r w:rsidRPr="001F711A">
        <w:rPr>
          <w:szCs w:val="24"/>
        </w:rPr>
        <w:t xml:space="preserve">.  </w:t>
      </w:r>
      <w:r w:rsidR="00D748B0">
        <w:rPr>
          <w:szCs w:val="24"/>
        </w:rPr>
        <w:t xml:space="preserve">85% of the forms are submitted electronically.  </w:t>
      </w:r>
      <w:r w:rsidR="00D748B0" w:rsidRPr="002558AD">
        <w:rPr>
          <w:szCs w:val="24"/>
        </w:rPr>
        <w:t xml:space="preserve">SF-424 is submitted through </w:t>
      </w:r>
      <w:r w:rsidR="00D748B0" w:rsidRPr="00D748B0">
        <w:rPr>
          <w:szCs w:val="24"/>
        </w:rPr>
        <w:t>www.grants.gov</w:t>
      </w:r>
      <w:r w:rsidR="00D748B0">
        <w:rPr>
          <w:szCs w:val="24"/>
        </w:rPr>
        <w:t xml:space="preserve"> and the remaining forms are submitted directly to the individual DOT program office either by mail or email.</w:t>
      </w:r>
    </w:p>
    <w:p w:rsidR="001F711A" w:rsidRPr="00981917" w:rsidRDefault="001F711A" w:rsidP="001F711A">
      <w:pPr>
        <w:widowControl w:val="0"/>
        <w:tabs>
          <w:tab w:val="left" w:pos="540"/>
        </w:tabs>
        <w:rPr>
          <w:b/>
          <w:szCs w:val="24"/>
        </w:rPr>
      </w:pPr>
    </w:p>
    <w:p w:rsidR="001D224D" w:rsidRPr="00981917" w:rsidRDefault="000A6210" w:rsidP="000A6210">
      <w:pPr>
        <w:widowControl w:val="0"/>
        <w:numPr>
          <w:ilvl w:val="0"/>
          <w:numId w:val="11"/>
        </w:numPr>
        <w:tabs>
          <w:tab w:val="clear" w:pos="720"/>
          <w:tab w:val="num" w:pos="-90"/>
          <w:tab w:val="left" w:pos="0"/>
          <w:tab w:val="left" w:pos="540"/>
        </w:tabs>
        <w:ind w:left="-90" w:firstLine="0"/>
        <w:rPr>
          <w:b/>
          <w:szCs w:val="24"/>
        </w:rPr>
      </w:pPr>
      <w:r w:rsidRPr="00981917">
        <w:rPr>
          <w:b/>
          <w:szCs w:val="24"/>
          <w:u w:val="single"/>
        </w:rPr>
        <w:t>Describe efforts to identify duplication.</w:t>
      </w:r>
      <w:r w:rsidRPr="00981917">
        <w:rPr>
          <w:b/>
          <w:szCs w:val="24"/>
        </w:rPr>
        <w:t xml:space="preserve">   </w:t>
      </w:r>
    </w:p>
    <w:p w:rsidR="00720D5B" w:rsidRPr="00981917" w:rsidRDefault="00720D5B" w:rsidP="00720D5B">
      <w:pPr>
        <w:widowControl w:val="0"/>
        <w:tabs>
          <w:tab w:val="left" w:pos="0"/>
          <w:tab w:val="left" w:pos="540"/>
        </w:tabs>
        <w:ind w:left="-90"/>
        <w:rPr>
          <w:b/>
          <w:szCs w:val="24"/>
          <w:u w:val="single"/>
        </w:rPr>
      </w:pPr>
    </w:p>
    <w:p w:rsidR="001F711A" w:rsidRPr="001F711A" w:rsidRDefault="00C10EC6" w:rsidP="001F711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There is no duplication of effort in regards to the process identified in item 2.</w:t>
      </w:r>
    </w:p>
    <w:p w:rsidR="001D224D" w:rsidRPr="00981917" w:rsidRDefault="001D224D" w:rsidP="000A6210">
      <w:pPr>
        <w:widowControl w:val="0"/>
        <w:tabs>
          <w:tab w:val="left" w:pos="540"/>
        </w:tabs>
        <w:ind w:left="720"/>
        <w:rPr>
          <w:szCs w:val="24"/>
        </w:rPr>
      </w:pPr>
      <w:r w:rsidRPr="00981917">
        <w:rPr>
          <w:szCs w:val="24"/>
        </w:rPr>
        <w:t xml:space="preserve">                      </w:t>
      </w:r>
    </w:p>
    <w:p w:rsidR="001D224D" w:rsidRDefault="000A6210" w:rsidP="001F711A">
      <w:pPr>
        <w:widowControl w:val="0"/>
        <w:numPr>
          <w:ilvl w:val="0"/>
          <w:numId w:val="11"/>
        </w:numPr>
        <w:tabs>
          <w:tab w:val="clear" w:pos="720"/>
          <w:tab w:val="num" w:pos="-90"/>
          <w:tab w:val="left" w:pos="540"/>
        </w:tabs>
        <w:ind w:left="0" w:firstLine="0"/>
        <w:rPr>
          <w:b/>
          <w:szCs w:val="24"/>
        </w:rPr>
      </w:pPr>
      <w:r w:rsidRPr="00981917">
        <w:rPr>
          <w:b/>
          <w:szCs w:val="24"/>
          <w:u w:val="single"/>
        </w:rPr>
        <w:t xml:space="preserve">Efforts to minimize the </w:t>
      </w:r>
      <w:r w:rsidR="00CB30D6" w:rsidRPr="00981917">
        <w:rPr>
          <w:b/>
          <w:szCs w:val="24"/>
          <w:u w:val="single"/>
        </w:rPr>
        <w:t>burden on</w:t>
      </w:r>
      <w:r w:rsidRPr="00981917">
        <w:rPr>
          <w:b/>
          <w:szCs w:val="24"/>
          <w:u w:val="single"/>
        </w:rPr>
        <w:t xml:space="preserve"> small businesses</w:t>
      </w:r>
      <w:r w:rsidRPr="00981917">
        <w:rPr>
          <w:szCs w:val="24"/>
        </w:rPr>
        <w:t xml:space="preserve">.  </w:t>
      </w:r>
    </w:p>
    <w:p w:rsidR="001F711A" w:rsidRDefault="001F711A" w:rsidP="001F711A">
      <w:pPr>
        <w:widowControl w:val="0"/>
        <w:tabs>
          <w:tab w:val="left" w:pos="540"/>
        </w:tabs>
        <w:rPr>
          <w:b/>
          <w:szCs w:val="24"/>
        </w:rPr>
      </w:pPr>
    </w:p>
    <w:p w:rsidR="001F711A" w:rsidRPr="00981917" w:rsidRDefault="001F711A" w:rsidP="006621E3">
      <w:pPr>
        <w:rPr>
          <w:b/>
          <w:szCs w:val="24"/>
        </w:rPr>
      </w:pPr>
      <w:r w:rsidRPr="001F711A">
        <w:rPr>
          <w:szCs w:val="24"/>
        </w:rPr>
        <w:t xml:space="preserve">The information </w:t>
      </w:r>
      <w:proofErr w:type="gramStart"/>
      <w:r w:rsidRPr="001F711A">
        <w:rPr>
          <w:szCs w:val="24"/>
        </w:rPr>
        <w:t>requirements pertain</w:t>
      </w:r>
      <w:r w:rsidR="005547E8">
        <w:rPr>
          <w:szCs w:val="24"/>
        </w:rPr>
        <w:t>s</w:t>
      </w:r>
      <w:proofErr w:type="gramEnd"/>
      <w:r w:rsidRPr="001F711A">
        <w:rPr>
          <w:szCs w:val="24"/>
        </w:rPr>
        <w:t xml:space="preserve"> to the few small businesses or other small entities that receive financial assistance from DOT.  However, OMB controls the info</w:t>
      </w:r>
      <w:r w:rsidR="005547E8">
        <w:rPr>
          <w:szCs w:val="24"/>
        </w:rPr>
        <w:t xml:space="preserve">rmation collection requirements </w:t>
      </w:r>
      <w:proofErr w:type="gramStart"/>
      <w:r w:rsidR="005547E8">
        <w:rPr>
          <w:szCs w:val="24"/>
        </w:rPr>
        <w:t>of  SF</w:t>
      </w:r>
      <w:proofErr w:type="gramEnd"/>
      <w:r w:rsidR="005547E8">
        <w:rPr>
          <w:szCs w:val="24"/>
        </w:rPr>
        <w:t>-424</w:t>
      </w:r>
      <w:r w:rsidR="006621E3">
        <w:rPr>
          <w:szCs w:val="24"/>
        </w:rPr>
        <w:t xml:space="preserve">, </w:t>
      </w:r>
      <w:r w:rsidR="005547E8">
        <w:rPr>
          <w:szCs w:val="24"/>
        </w:rPr>
        <w:t>SF-425</w:t>
      </w:r>
      <w:r w:rsidR="006621E3">
        <w:rPr>
          <w:szCs w:val="24"/>
        </w:rPr>
        <w:t xml:space="preserve">, </w:t>
      </w:r>
      <w:r w:rsidR="005547E8">
        <w:rPr>
          <w:szCs w:val="24"/>
        </w:rPr>
        <w:t>SF-270)</w:t>
      </w:r>
      <w:r w:rsidR="006621E3">
        <w:rPr>
          <w:szCs w:val="24"/>
        </w:rPr>
        <w:t xml:space="preserve">, </w:t>
      </w:r>
      <w:r w:rsidR="005547E8">
        <w:rPr>
          <w:szCs w:val="24"/>
        </w:rPr>
        <w:t xml:space="preserve">and </w:t>
      </w:r>
      <w:r w:rsidR="006621E3">
        <w:rPr>
          <w:szCs w:val="24"/>
        </w:rPr>
        <w:t>SF-271</w:t>
      </w:r>
      <w:r w:rsidR="00662EDA">
        <w:rPr>
          <w:szCs w:val="24"/>
        </w:rPr>
        <w:t>.</w:t>
      </w:r>
    </w:p>
    <w:p w:rsidR="00720D5B" w:rsidRPr="00981917" w:rsidRDefault="00720D5B" w:rsidP="00720D5B">
      <w:pPr>
        <w:widowControl w:val="0"/>
        <w:tabs>
          <w:tab w:val="left" w:pos="0"/>
          <w:tab w:val="left" w:pos="540"/>
        </w:tabs>
        <w:ind w:left="-90"/>
        <w:rPr>
          <w:szCs w:val="24"/>
        </w:rPr>
      </w:pPr>
    </w:p>
    <w:p w:rsidR="001D224D" w:rsidRPr="00981917" w:rsidRDefault="001D224D" w:rsidP="000A6210">
      <w:pPr>
        <w:widowControl w:val="0"/>
        <w:tabs>
          <w:tab w:val="left" w:pos="540"/>
        </w:tabs>
        <w:rPr>
          <w:b/>
          <w:szCs w:val="24"/>
        </w:rPr>
      </w:pPr>
      <w:r w:rsidRPr="00981917">
        <w:rPr>
          <w:b/>
          <w:szCs w:val="24"/>
        </w:rPr>
        <w:t>6.</w:t>
      </w:r>
      <w:r w:rsidRPr="00981917">
        <w:rPr>
          <w:b/>
          <w:szCs w:val="24"/>
        </w:rPr>
        <w:tab/>
      </w:r>
      <w:r w:rsidR="0014478D" w:rsidRPr="00981917">
        <w:rPr>
          <w:b/>
          <w:szCs w:val="24"/>
          <w:u w:val="single"/>
        </w:rPr>
        <w:t>Impact of less frequent collection of information</w:t>
      </w:r>
      <w:r w:rsidR="0014478D" w:rsidRPr="00981917">
        <w:rPr>
          <w:szCs w:val="24"/>
        </w:rPr>
        <w:t xml:space="preserve">.  </w:t>
      </w:r>
    </w:p>
    <w:p w:rsidR="001D224D" w:rsidRPr="00981917" w:rsidRDefault="001D224D" w:rsidP="000A6210">
      <w:pPr>
        <w:widowControl w:val="0"/>
        <w:tabs>
          <w:tab w:val="left" w:pos="540"/>
        </w:tabs>
        <w:rPr>
          <w:b/>
          <w:szCs w:val="24"/>
        </w:rPr>
      </w:pPr>
      <w:r w:rsidRPr="00981917">
        <w:rPr>
          <w:b/>
          <w:szCs w:val="24"/>
        </w:rPr>
        <w:tab/>
      </w:r>
    </w:p>
    <w:p w:rsidR="00743112" w:rsidRPr="001F711A" w:rsidRDefault="001F711A" w:rsidP="000A6210">
      <w:pPr>
        <w:widowControl w:val="0"/>
        <w:tabs>
          <w:tab w:val="left" w:pos="540"/>
        </w:tabs>
        <w:rPr>
          <w:szCs w:val="24"/>
        </w:rPr>
      </w:pPr>
      <w:r w:rsidRPr="001F711A">
        <w:rPr>
          <w:szCs w:val="24"/>
        </w:rPr>
        <w:t xml:space="preserve">Information collection requirements follow OMB </w:t>
      </w:r>
      <w:r w:rsidR="00662EDA">
        <w:rPr>
          <w:szCs w:val="24"/>
        </w:rPr>
        <w:t xml:space="preserve">guidelines </w:t>
      </w:r>
      <w:r w:rsidR="006621E3">
        <w:rPr>
          <w:szCs w:val="24"/>
        </w:rPr>
        <w:t>as prescribed in Circulars</w:t>
      </w:r>
      <w:r w:rsidR="00A90814">
        <w:rPr>
          <w:szCs w:val="24"/>
        </w:rPr>
        <w:t xml:space="preserve"> </w:t>
      </w:r>
      <w:proofErr w:type="gramStart"/>
      <w:r w:rsidR="00A90814">
        <w:rPr>
          <w:szCs w:val="24"/>
        </w:rPr>
        <w:t>A-</w:t>
      </w:r>
      <w:proofErr w:type="gramEnd"/>
      <w:r w:rsidR="00A90814">
        <w:rPr>
          <w:szCs w:val="24"/>
        </w:rPr>
        <w:t xml:space="preserve">102 and 2 CFR 215 (A-110).  These guidelines are maintained and updated by OMB.  </w:t>
      </w:r>
      <w:r w:rsidR="006621E3">
        <w:rPr>
          <w:szCs w:val="24"/>
        </w:rPr>
        <w:t xml:space="preserve">Federal agencies that do </w:t>
      </w:r>
      <w:r w:rsidR="00A90814">
        <w:rPr>
          <w:szCs w:val="24"/>
        </w:rPr>
        <w:t>not follow the guidelines are at risk of not providing adequate award oversight.  They</w:t>
      </w:r>
      <w:r w:rsidR="006621E3">
        <w:rPr>
          <w:szCs w:val="24"/>
        </w:rPr>
        <w:t xml:space="preserve"> are also subject </w:t>
      </w:r>
      <w:r w:rsidR="00A90814">
        <w:rPr>
          <w:szCs w:val="24"/>
        </w:rPr>
        <w:t xml:space="preserve">to </w:t>
      </w:r>
      <w:r w:rsidR="006621E3">
        <w:rPr>
          <w:szCs w:val="24"/>
        </w:rPr>
        <w:t xml:space="preserve">Office of Inspector General reviews that may find them </w:t>
      </w:r>
      <w:r w:rsidR="00A90814">
        <w:rPr>
          <w:szCs w:val="24"/>
        </w:rPr>
        <w:t xml:space="preserve">with federal guidance.  These offices that have unclosed audits are reported to </w:t>
      </w:r>
      <w:r w:rsidR="00C10EC6">
        <w:rPr>
          <w:szCs w:val="24"/>
        </w:rPr>
        <w:t xml:space="preserve">executive management and </w:t>
      </w:r>
      <w:r w:rsidR="00A90814">
        <w:rPr>
          <w:szCs w:val="24"/>
        </w:rPr>
        <w:t>Congress.</w:t>
      </w:r>
    </w:p>
    <w:p w:rsidR="001F711A" w:rsidRPr="00981917" w:rsidRDefault="001F711A" w:rsidP="000A6210">
      <w:pPr>
        <w:widowControl w:val="0"/>
        <w:tabs>
          <w:tab w:val="left" w:pos="540"/>
        </w:tabs>
        <w:rPr>
          <w:szCs w:val="24"/>
        </w:rPr>
      </w:pPr>
    </w:p>
    <w:p w:rsidR="001D224D" w:rsidRPr="00981917" w:rsidRDefault="001D224D" w:rsidP="00A0677C">
      <w:pPr>
        <w:widowControl w:val="0"/>
        <w:tabs>
          <w:tab w:val="left" w:pos="540"/>
        </w:tabs>
        <w:rPr>
          <w:szCs w:val="24"/>
        </w:rPr>
      </w:pPr>
      <w:r w:rsidRPr="00981917">
        <w:rPr>
          <w:b/>
          <w:szCs w:val="24"/>
        </w:rPr>
        <w:t>7.</w:t>
      </w:r>
      <w:r w:rsidRPr="00981917">
        <w:rPr>
          <w:b/>
          <w:szCs w:val="24"/>
        </w:rPr>
        <w:tab/>
      </w:r>
      <w:r w:rsidR="0014478D" w:rsidRPr="00981917">
        <w:rPr>
          <w:b/>
          <w:szCs w:val="24"/>
          <w:u w:val="single"/>
        </w:rPr>
        <w:t>Special Circumstances</w:t>
      </w:r>
      <w:r w:rsidR="0014478D" w:rsidRPr="00981917">
        <w:rPr>
          <w:b/>
          <w:szCs w:val="24"/>
        </w:rPr>
        <w:t xml:space="preserve">.  </w:t>
      </w:r>
    </w:p>
    <w:p w:rsidR="001F711A" w:rsidRPr="001F711A" w:rsidRDefault="001F711A" w:rsidP="001F711A">
      <w:pPr>
        <w:pStyle w:val="NormalWeb"/>
        <w:rPr>
          <w:rFonts w:ascii="Times New Roman" w:hAnsi="Times New Roman" w:cs="Times New Roman"/>
        </w:rPr>
      </w:pPr>
      <w:r w:rsidRPr="001F711A">
        <w:rPr>
          <w:rFonts w:ascii="Times New Roman" w:hAnsi="Times New Roman" w:cs="Times New Roman"/>
        </w:rPr>
        <w:t>The information collection is consistent with 5</w:t>
      </w:r>
      <w:r w:rsidR="00CE39FC">
        <w:rPr>
          <w:rFonts w:ascii="Times New Roman" w:hAnsi="Times New Roman" w:cs="Times New Roman"/>
        </w:rPr>
        <w:t xml:space="preserve"> </w:t>
      </w:r>
      <w:r w:rsidRPr="001F711A">
        <w:rPr>
          <w:rFonts w:ascii="Times New Roman" w:hAnsi="Times New Roman" w:cs="Times New Roman"/>
        </w:rPr>
        <w:t>CFR 1320.6 Public Protection.</w:t>
      </w:r>
    </w:p>
    <w:p w:rsidR="001D224D" w:rsidRPr="00981917" w:rsidRDefault="001D224D" w:rsidP="00492398">
      <w:pPr>
        <w:widowControl w:val="0"/>
        <w:tabs>
          <w:tab w:val="left" w:pos="540"/>
        </w:tabs>
        <w:rPr>
          <w:b/>
          <w:szCs w:val="24"/>
        </w:rPr>
      </w:pPr>
      <w:r w:rsidRPr="00981917">
        <w:rPr>
          <w:b/>
          <w:szCs w:val="24"/>
        </w:rPr>
        <w:t>8.</w:t>
      </w:r>
      <w:r w:rsidRPr="00981917">
        <w:rPr>
          <w:b/>
          <w:szCs w:val="24"/>
        </w:rPr>
        <w:tab/>
      </w:r>
      <w:r w:rsidR="0026419F" w:rsidRPr="00981917">
        <w:rPr>
          <w:b/>
          <w:szCs w:val="24"/>
          <w:u w:val="single"/>
        </w:rPr>
        <w:t>Compliance with 5 CFR 1320.8(d)</w:t>
      </w:r>
      <w:r w:rsidR="0026419F" w:rsidRPr="00981917">
        <w:rPr>
          <w:b/>
          <w:szCs w:val="24"/>
        </w:rPr>
        <w:t>.</w:t>
      </w:r>
      <w:r w:rsidR="0026419F" w:rsidRPr="00981917">
        <w:rPr>
          <w:szCs w:val="24"/>
        </w:rPr>
        <w:t xml:space="preserve">  </w:t>
      </w:r>
    </w:p>
    <w:p w:rsidR="001D224D" w:rsidRPr="00981917" w:rsidRDefault="001D224D" w:rsidP="00492398">
      <w:pPr>
        <w:widowControl w:val="0"/>
        <w:tabs>
          <w:tab w:val="left" w:pos="540"/>
        </w:tabs>
        <w:rPr>
          <w:szCs w:val="24"/>
        </w:rPr>
      </w:pPr>
    </w:p>
    <w:p w:rsidR="001D224D" w:rsidRPr="00CE39FC" w:rsidRDefault="001F711A" w:rsidP="000A6210">
      <w:pPr>
        <w:widowControl w:val="0"/>
        <w:tabs>
          <w:tab w:val="left" w:pos="540"/>
        </w:tabs>
        <w:rPr>
          <w:szCs w:val="24"/>
        </w:rPr>
      </w:pPr>
      <w:proofErr w:type="gramStart"/>
      <w:r w:rsidRPr="001F711A">
        <w:rPr>
          <w:szCs w:val="24"/>
        </w:rPr>
        <w:t xml:space="preserve">DOT </w:t>
      </w:r>
      <w:proofErr w:type="spellStart"/>
      <w:r w:rsidR="006621E3">
        <w:rPr>
          <w:szCs w:val="24"/>
        </w:rPr>
        <w:t>pubished</w:t>
      </w:r>
      <w:proofErr w:type="spellEnd"/>
      <w:r w:rsidR="006621E3">
        <w:rPr>
          <w:szCs w:val="24"/>
        </w:rPr>
        <w:t xml:space="preserve"> a </w:t>
      </w:r>
      <w:r w:rsidR="006621E3" w:rsidRPr="001F711A">
        <w:rPr>
          <w:szCs w:val="24"/>
        </w:rPr>
        <w:t>60</w:t>
      </w:r>
      <w:r w:rsidR="006621E3">
        <w:rPr>
          <w:szCs w:val="24"/>
        </w:rPr>
        <w:t>-</w:t>
      </w:r>
      <w:r w:rsidR="006621E3" w:rsidRPr="001F711A">
        <w:rPr>
          <w:szCs w:val="24"/>
        </w:rPr>
        <w:t xml:space="preserve">Day </w:t>
      </w:r>
      <w:r w:rsidR="006621E3">
        <w:rPr>
          <w:szCs w:val="24"/>
        </w:rPr>
        <w:t>n</w:t>
      </w:r>
      <w:r w:rsidR="006621E3" w:rsidRPr="001F711A">
        <w:rPr>
          <w:szCs w:val="24"/>
        </w:rPr>
        <w:t xml:space="preserve">otice </w:t>
      </w:r>
      <w:r w:rsidR="00F37A76" w:rsidRPr="001F711A">
        <w:rPr>
          <w:szCs w:val="24"/>
        </w:rPr>
        <w:t xml:space="preserve">in the Federal Register </w:t>
      </w:r>
      <w:r w:rsidR="00F37A76" w:rsidRPr="00961632">
        <w:rPr>
          <w:szCs w:val="24"/>
        </w:rPr>
        <w:t>on September 3, 2010</w:t>
      </w:r>
      <w:r w:rsidR="00F37A76">
        <w:rPr>
          <w:szCs w:val="24"/>
        </w:rPr>
        <w:t xml:space="preserve">, </w:t>
      </w:r>
      <w:r w:rsidRPr="001F711A">
        <w:rPr>
          <w:szCs w:val="24"/>
        </w:rPr>
        <w:t>solicit</w:t>
      </w:r>
      <w:r w:rsidR="00F37A76">
        <w:rPr>
          <w:szCs w:val="24"/>
        </w:rPr>
        <w:t xml:space="preserve">ing </w:t>
      </w:r>
      <w:r w:rsidRPr="001F711A">
        <w:rPr>
          <w:szCs w:val="24"/>
        </w:rPr>
        <w:t xml:space="preserve">comments </w:t>
      </w:r>
      <w:r w:rsidR="006621E3">
        <w:rPr>
          <w:szCs w:val="24"/>
        </w:rPr>
        <w:t xml:space="preserve">from the public </w:t>
      </w:r>
      <w:r w:rsidRPr="001F711A">
        <w:rPr>
          <w:szCs w:val="24"/>
        </w:rPr>
        <w:t xml:space="preserve">on </w:t>
      </w:r>
      <w:r w:rsidR="006621E3">
        <w:rPr>
          <w:szCs w:val="24"/>
        </w:rPr>
        <w:t xml:space="preserve">this </w:t>
      </w:r>
      <w:r w:rsidRPr="001F711A">
        <w:rPr>
          <w:szCs w:val="24"/>
        </w:rPr>
        <w:t xml:space="preserve">information collection </w:t>
      </w:r>
      <w:r w:rsidR="00F37A76">
        <w:rPr>
          <w:szCs w:val="24"/>
        </w:rPr>
        <w:t>(</w:t>
      </w:r>
      <w:r w:rsidR="00961632" w:rsidRPr="00961632">
        <w:rPr>
          <w:szCs w:val="24"/>
        </w:rPr>
        <w:t>75</w:t>
      </w:r>
      <w:r w:rsidR="00F37A76">
        <w:rPr>
          <w:szCs w:val="24"/>
        </w:rPr>
        <w:t xml:space="preserve"> FR</w:t>
      </w:r>
      <w:r w:rsidR="00C00AA7">
        <w:rPr>
          <w:szCs w:val="24"/>
        </w:rPr>
        <w:t xml:space="preserve"> </w:t>
      </w:r>
      <w:r w:rsidR="00961632" w:rsidRPr="00961632">
        <w:rPr>
          <w:szCs w:val="24"/>
        </w:rPr>
        <w:t>54215</w:t>
      </w:r>
      <w:r w:rsidR="00F37A76">
        <w:rPr>
          <w:szCs w:val="24"/>
        </w:rPr>
        <w:t>)</w:t>
      </w:r>
      <w:r w:rsidRPr="00961632">
        <w:rPr>
          <w:szCs w:val="24"/>
        </w:rPr>
        <w:t>.</w:t>
      </w:r>
      <w:proofErr w:type="gramEnd"/>
      <w:r w:rsidR="00CE39FC">
        <w:rPr>
          <w:szCs w:val="24"/>
        </w:rPr>
        <w:t xml:space="preserve">  No comments were received during the comment period. </w:t>
      </w:r>
    </w:p>
    <w:p w:rsidR="00F37A76" w:rsidRDefault="00F37A76" w:rsidP="00F37A76">
      <w:pPr>
        <w:pStyle w:val="ListParagraph"/>
        <w:widowControl w:val="0"/>
        <w:tabs>
          <w:tab w:val="left" w:pos="540"/>
        </w:tabs>
        <w:ind w:left="0"/>
        <w:rPr>
          <w:b/>
          <w:szCs w:val="24"/>
        </w:rPr>
      </w:pPr>
    </w:p>
    <w:p w:rsidR="001D224D" w:rsidRPr="00F37A76" w:rsidRDefault="0026419F" w:rsidP="00F37A76">
      <w:pPr>
        <w:pStyle w:val="ListParagraph"/>
        <w:widowControl w:val="0"/>
        <w:numPr>
          <w:ilvl w:val="0"/>
          <w:numId w:val="30"/>
        </w:numPr>
        <w:tabs>
          <w:tab w:val="clear" w:pos="720"/>
          <w:tab w:val="num" w:pos="540"/>
        </w:tabs>
        <w:ind w:left="0" w:firstLine="0"/>
        <w:rPr>
          <w:b/>
          <w:szCs w:val="24"/>
        </w:rPr>
      </w:pPr>
      <w:r w:rsidRPr="00F37A76">
        <w:rPr>
          <w:b/>
          <w:szCs w:val="24"/>
          <w:u w:val="single"/>
        </w:rPr>
        <w:t>Payment or gifts to respondents</w:t>
      </w:r>
      <w:r w:rsidR="001D224D" w:rsidRPr="00F37A76">
        <w:rPr>
          <w:b/>
          <w:szCs w:val="24"/>
        </w:rPr>
        <w:t>.</w:t>
      </w:r>
    </w:p>
    <w:p w:rsidR="001D224D" w:rsidRPr="00981917" w:rsidRDefault="001D224D" w:rsidP="000A6210">
      <w:pPr>
        <w:widowControl w:val="0"/>
        <w:tabs>
          <w:tab w:val="left" w:pos="540"/>
        </w:tabs>
        <w:ind w:left="720"/>
        <w:rPr>
          <w:szCs w:val="24"/>
        </w:rPr>
      </w:pPr>
    </w:p>
    <w:p w:rsidR="001D224D" w:rsidRPr="001F711A" w:rsidRDefault="001F711A" w:rsidP="000A6210">
      <w:pPr>
        <w:widowControl w:val="0"/>
        <w:tabs>
          <w:tab w:val="left" w:pos="540"/>
        </w:tabs>
        <w:rPr>
          <w:szCs w:val="24"/>
        </w:rPr>
      </w:pPr>
      <w:r>
        <w:rPr>
          <w:szCs w:val="24"/>
        </w:rPr>
        <w:t>Not applicable.</w:t>
      </w:r>
    </w:p>
    <w:p w:rsidR="00AA1704" w:rsidRPr="00981917" w:rsidRDefault="00AA1704" w:rsidP="000A6210">
      <w:pPr>
        <w:widowControl w:val="0"/>
        <w:tabs>
          <w:tab w:val="left" w:pos="540"/>
        </w:tabs>
        <w:rPr>
          <w:szCs w:val="24"/>
        </w:rPr>
      </w:pPr>
    </w:p>
    <w:p w:rsidR="001D224D" w:rsidRPr="00A0677C" w:rsidRDefault="0026419F" w:rsidP="00A0677C">
      <w:pPr>
        <w:pStyle w:val="ListParagraph"/>
        <w:widowControl w:val="0"/>
        <w:numPr>
          <w:ilvl w:val="0"/>
          <w:numId w:val="30"/>
        </w:numPr>
        <w:tabs>
          <w:tab w:val="left" w:pos="540"/>
        </w:tabs>
        <w:ind w:hanging="720"/>
        <w:rPr>
          <w:b/>
          <w:szCs w:val="24"/>
        </w:rPr>
      </w:pPr>
      <w:r w:rsidRPr="00A0677C">
        <w:rPr>
          <w:b/>
          <w:szCs w:val="24"/>
          <w:u w:val="single"/>
        </w:rPr>
        <w:t>Assurance of confidentiality</w:t>
      </w:r>
      <w:r w:rsidRPr="00A0677C">
        <w:rPr>
          <w:b/>
          <w:szCs w:val="24"/>
        </w:rPr>
        <w:t xml:space="preserve">.  </w:t>
      </w:r>
    </w:p>
    <w:p w:rsidR="00A0677C" w:rsidRPr="00A0677C" w:rsidRDefault="00A0677C" w:rsidP="00A0677C">
      <w:pPr>
        <w:widowControl w:val="0"/>
        <w:tabs>
          <w:tab w:val="left" w:pos="540"/>
        </w:tabs>
        <w:ind w:left="360"/>
        <w:rPr>
          <w:b/>
          <w:szCs w:val="24"/>
        </w:rPr>
      </w:pPr>
    </w:p>
    <w:p w:rsidR="001F711A" w:rsidRPr="001F711A" w:rsidRDefault="000105AA" w:rsidP="009302FD">
      <w:pPr>
        <w:autoSpaceDE w:val="0"/>
        <w:autoSpaceDN w:val="0"/>
        <w:adjustRightInd w:val="0"/>
      </w:pPr>
      <w:r>
        <w:t>Assurance of the not sharing proprietary</w:t>
      </w:r>
      <w:r w:rsidR="009302FD">
        <w:t xml:space="preserve"> information</w:t>
      </w:r>
      <w:r>
        <w:t xml:space="preserve"> is located in the Request for Application and is support </w:t>
      </w:r>
      <w:proofErr w:type="gramStart"/>
      <w:r>
        <w:t xml:space="preserve">by </w:t>
      </w:r>
      <w:r w:rsidR="009302FD">
        <w:t xml:space="preserve"> 44</w:t>
      </w:r>
      <w:proofErr w:type="gramEnd"/>
      <w:r w:rsidR="009302FD">
        <w:t xml:space="preserve"> U</w:t>
      </w:r>
      <w:r w:rsidR="00AF3B34">
        <w:t>.</w:t>
      </w:r>
      <w:r w:rsidR="009302FD">
        <w:t>S</w:t>
      </w:r>
      <w:r w:rsidR="00AF3B34">
        <w:t>.</w:t>
      </w:r>
      <w:r w:rsidR="009302FD">
        <w:t xml:space="preserve">C </w:t>
      </w:r>
      <w:r w:rsidR="00AF3B34">
        <w:t>§</w:t>
      </w:r>
      <w:r w:rsidR="009302FD">
        <w:t>3501</w:t>
      </w:r>
      <w:r w:rsidR="00AF3B34">
        <w:t xml:space="preserve"> Paperwork Reduction Act as well as  5 U.S.C</w:t>
      </w:r>
      <w:r w:rsidR="001F711A" w:rsidRPr="001F711A">
        <w:t>.</w:t>
      </w:r>
      <w:r w:rsidR="00AF3B34">
        <w:t xml:space="preserve"> §552a.</w:t>
      </w:r>
      <w:r w:rsidR="00EE7770" w:rsidRPr="00EE7770">
        <w:rPr>
          <w:rFonts w:ascii="Arial" w:hAnsi="Arial" w:cs="Arial"/>
          <w:szCs w:val="24"/>
        </w:rPr>
        <w:t xml:space="preserve"> </w:t>
      </w:r>
    </w:p>
    <w:p w:rsidR="001D224D" w:rsidRPr="00981917" w:rsidRDefault="001D224D" w:rsidP="000A6210">
      <w:pPr>
        <w:widowControl w:val="0"/>
        <w:tabs>
          <w:tab w:val="left" w:pos="540"/>
        </w:tabs>
        <w:rPr>
          <w:b/>
          <w:szCs w:val="24"/>
        </w:rPr>
      </w:pPr>
    </w:p>
    <w:p w:rsidR="001D224D" w:rsidRPr="00981917" w:rsidRDefault="001D224D" w:rsidP="00AA1704">
      <w:pPr>
        <w:widowControl w:val="0"/>
        <w:tabs>
          <w:tab w:val="left" w:pos="540"/>
        </w:tabs>
        <w:rPr>
          <w:b/>
          <w:szCs w:val="24"/>
        </w:rPr>
      </w:pPr>
      <w:r w:rsidRPr="00981917">
        <w:rPr>
          <w:b/>
          <w:szCs w:val="24"/>
        </w:rPr>
        <w:t>11.</w:t>
      </w:r>
      <w:r w:rsidRPr="00981917">
        <w:rPr>
          <w:b/>
          <w:szCs w:val="24"/>
        </w:rPr>
        <w:tab/>
      </w:r>
      <w:r w:rsidR="006C0638" w:rsidRPr="00981917">
        <w:rPr>
          <w:b/>
          <w:szCs w:val="24"/>
          <w:u w:val="single"/>
        </w:rPr>
        <w:t>Justification for collection of sensitive information</w:t>
      </w:r>
      <w:r w:rsidR="006C0638" w:rsidRPr="00981917">
        <w:rPr>
          <w:b/>
          <w:szCs w:val="24"/>
        </w:rPr>
        <w:t xml:space="preserve">.  </w:t>
      </w:r>
    </w:p>
    <w:p w:rsidR="001D224D" w:rsidRPr="00981917" w:rsidRDefault="001D224D" w:rsidP="000A6210">
      <w:pPr>
        <w:widowControl w:val="0"/>
        <w:tabs>
          <w:tab w:val="left" w:pos="540"/>
        </w:tabs>
        <w:rPr>
          <w:b/>
          <w:szCs w:val="24"/>
        </w:rPr>
      </w:pPr>
    </w:p>
    <w:p w:rsidR="005478A2" w:rsidRPr="005478A2" w:rsidRDefault="00310EB0" w:rsidP="005478A2">
      <w:pPr>
        <w:rPr>
          <w:szCs w:val="24"/>
        </w:rPr>
      </w:pPr>
      <w:r>
        <w:rPr>
          <w:szCs w:val="24"/>
        </w:rPr>
        <w:t xml:space="preserve">The agency does not collect </w:t>
      </w:r>
      <w:r w:rsidR="005478A2" w:rsidRPr="005478A2">
        <w:rPr>
          <w:szCs w:val="24"/>
        </w:rPr>
        <w:t xml:space="preserve">confidentiality </w:t>
      </w:r>
      <w:r>
        <w:rPr>
          <w:szCs w:val="24"/>
        </w:rPr>
        <w:t xml:space="preserve">information addressed in the </w:t>
      </w:r>
      <w:r w:rsidR="00AF3B34">
        <w:rPr>
          <w:szCs w:val="24"/>
        </w:rPr>
        <w:t>statement</w:t>
      </w:r>
      <w:r>
        <w:rPr>
          <w:szCs w:val="24"/>
        </w:rPr>
        <w:t>.</w:t>
      </w:r>
    </w:p>
    <w:p w:rsidR="00AA1704" w:rsidRPr="00981917" w:rsidRDefault="00AA1704" w:rsidP="000A6210">
      <w:pPr>
        <w:widowControl w:val="0"/>
        <w:tabs>
          <w:tab w:val="left" w:pos="540"/>
        </w:tabs>
        <w:rPr>
          <w:b/>
          <w:szCs w:val="24"/>
        </w:rPr>
      </w:pPr>
    </w:p>
    <w:p w:rsidR="0012012B" w:rsidRPr="00981917" w:rsidRDefault="001D224D" w:rsidP="00A0677C">
      <w:pPr>
        <w:widowControl w:val="0"/>
        <w:tabs>
          <w:tab w:val="left" w:pos="540"/>
        </w:tabs>
        <w:rPr>
          <w:b/>
          <w:szCs w:val="24"/>
        </w:rPr>
      </w:pPr>
      <w:r w:rsidRPr="00981917">
        <w:rPr>
          <w:b/>
          <w:szCs w:val="24"/>
        </w:rPr>
        <w:t>12.</w:t>
      </w:r>
      <w:r w:rsidRPr="00981917">
        <w:rPr>
          <w:b/>
          <w:szCs w:val="24"/>
        </w:rPr>
        <w:tab/>
      </w:r>
      <w:r w:rsidR="006C0638" w:rsidRPr="00981917">
        <w:rPr>
          <w:b/>
          <w:szCs w:val="24"/>
          <w:u w:val="single"/>
        </w:rPr>
        <w:t xml:space="preserve">Estimate of burden hours for information requested. </w:t>
      </w:r>
      <w:r w:rsidR="006C0638" w:rsidRPr="00981917">
        <w:rPr>
          <w:b/>
          <w:szCs w:val="24"/>
        </w:rPr>
        <w:t xml:space="preserve"> </w:t>
      </w:r>
    </w:p>
    <w:p w:rsidR="00AD05BD" w:rsidRPr="00981917" w:rsidRDefault="00AD05BD" w:rsidP="00AD05BD">
      <w:pPr>
        <w:widowControl w:val="0"/>
        <w:tabs>
          <w:tab w:val="left" w:pos="270"/>
          <w:tab w:val="left" w:pos="540"/>
        </w:tabs>
        <w:rPr>
          <w:b/>
          <w:szCs w:val="24"/>
        </w:rPr>
      </w:pPr>
    </w:p>
    <w:tbl>
      <w:tblPr>
        <w:tblStyle w:val="TableGrid"/>
        <w:tblW w:w="0" w:type="auto"/>
        <w:tblLook w:val="04A0"/>
      </w:tblPr>
      <w:tblGrid>
        <w:gridCol w:w="1626"/>
        <w:gridCol w:w="3072"/>
        <w:gridCol w:w="3240"/>
        <w:gridCol w:w="1638"/>
      </w:tblGrid>
      <w:tr w:rsidR="00AE0791" w:rsidTr="0081234E">
        <w:tc>
          <w:tcPr>
            <w:tcW w:w="1626" w:type="dxa"/>
            <w:shd w:val="clear" w:color="auto" w:fill="BFBFBF" w:themeFill="background1" w:themeFillShade="BF"/>
          </w:tcPr>
          <w:p w:rsidR="00AE0791" w:rsidRDefault="00AE0791" w:rsidP="002E6E1C">
            <w:pPr>
              <w:rPr>
                <w:szCs w:val="24"/>
              </w:rPr>
            </w:pPr>
          </w:p>
        </w:tc>
        <w:tc>
          <w:tcPr>
            <w:tcW w:w="3072" w:type="dxa"/>
            <w:shd w:val="clear" w:color="auto" w:fill="BFBFBF" w:themeFill="background1" w:themeFillShade="BF"/>
          </w:tcPr>
          <w:p w:rsidR="00AE0791" w:rsidRPr="0081234E" w:rsidRDefault="00AE0791" w:rsidP="002E6E1C">
            <w:pPr>
              <w:rPr>
                <w:szCs w:val="24"/>
                <w:u w:val="single"/>
              </w:rPr>
            </w:pPr>
            <w:r w:rsidRPr="0081234E">
              <w:rPr>
                <w:szCs w:val="24"/>
                <w:u w:val="single"/>
              </w:rPr>
              <w:t>State &amp; Local Governments</w:t>
            </w:r>
          </w:p>
        </w:tc>
        <w:tc>
          <w:tcPr>
            <w:tcW w:w="3240" w:type="dxa"/>
            <w:shd w:val="clear" w:color="auto" w:fill="BFBFBF" w:themeFill="background1" w:themeFillShade="BF"/>
          </w:tcPr>
          <w:p w:rsidR="00AE0791" w:rsidRPr="0081234E" w:rsidRDefault="00AE0791" w:rsidP="002E6E1C">
            <w:pPr>
              <w:rPr>
                <w:szCs w:val="24"/>
                <w:u w:val="single"/>
              </w:rPr>
            </w:pPr>
            <w:r w:rsidRPr="0081234E">
              <w:rPr>
                <w:szCs w:val="24"/>
                <w:u w:val="single"/>
              </w:rPr>
              <w:t>Institutions of Higher Education, Hospitals and Other Nonprofit Organizations</w:t>
            </w:r>
          </w:p>
        </w:tc>
        <w:tc>
          <w:tcPr>
            <w:tcW w:w="1638" w:type="dxa"/>
            <w:shd w:val="clear" w:color="auto" w:fill="BFBFBF" w:themeFill="background1" w:themeFillShade="BF"/>
          </w:tcPr>
          <w:p w:rsidR="00AE0791" w:rsidRPr="0081234E" w:rsidRDefault="00AE0791" w:rsidP="002E6E1C">
            <w:pPr>
              <w:rPr>
                <w:szCs w:val="24"/>
                <w:u w:val="single"/>
              </w:rPr>
            </w:pPr>
            <w:r w:rsidRPr="0081234E">
              <w:rPr>
                <w:szCs w:val="24"/>
                <w:u w:val="single"/>
              </w:rPr>
              <w:t>Total</w:t>
            </w:r>
          </w:p>
        </w:tc>
      </w:tr>
      <w:tr w:rsidR="00AE0791" w:rsidTr="0081234E">
        <w:tc>
          <w:tcPr>
            <w:tcW w:w="1626" w:type="dxa"/>
            <w:shd w:val="clear" w:color="auto" w:fill="auto"/>
          </w:tcPr>
          <w:p w:rsidR="00AE0791" w:rsidRDefault="00AE0791" w:rsidP="002E6E1C">
            <w:pPr>
              <w:rPr>
                <w:szCs w:val="24"/>
              </w:rPr>
            </w:pPr>
            <w:r>
              <w:rPr>
                <w:szCs w:val="24"/>
              </w:rPr>
              <w:t># of Respondents</w:t>
            </w:r>
          </w:p>
        </w:tc>
        <w:tc>
          <w:tcPr>
            <w:tcW w:w="3072" w:type="dxa"/>
          </w:tcPr>
          <w:p w:rsidR="00AE0791" w:rsidRDefault="00AE0791" w:rsidP="002E6E1C">
            <w:pPr>
              <w:rPr>
                <w:szCs w:val="24"/>
              </w:rPr>
            </w:pPr>
            <w:r>
              <w:rPr>
                <w:szCs w:val="24"/>
              </w:rPr>
              <w:t>2,495</w:t>
            </w:r>
          </w:p>
        </w:tc>
        <w:tc>
          <w:tcPr>
            <w:tcW w:w="3240" w:type="dxa"/>
          </w:tcPr>
          <w:p w:rsidR="00AE0791" w:rsidRDefault="008909EB" w:rsidP="002E6E1C">
            <w:pPr>
              <w:rPr>
                <w:szCs w:val="24"/>
              </w:rPr>
            </w:pPr>
            <w:r>
              <w:rPr>
                <w:szCs w:val="24"/>
              </w:rPr>
              <w:t>209</w:t>
            </w:r>
          </w:p>
        </w:tc>
        <w:tc>
          <w:tcPr>
            <w:tcW w:w="1638" w:type="dxa"/>
          </w:tcPr>
          <w:p w:rsidR="00AE0791" w:rsidRDefault="008909EB" w:rsidP="002E6E1C">
            <w:pPr>
              <w:rPr>
                <w:szCs w:val="24"/>
              </w:rPr>
            </w:pPr>
            <w:r>
              <w:rPr>
                <w:szCs w:val="24"/>
              </w:rPr>
              <w:t>2</w:t>
            </w:r>
            <w:r w:rsidR="00CB5473">
              <w:rPr>
                <w:szCs w:val="24"/>
              </w:rPr>
              <w:t>,</w:t>
            </w:r>
            <w:r>
              <w:rPr>
                <w:szCs w:val="24"/>
              </w:rPr>
              <w:t>704</w:t>
            </w:r>
          </w:p>
        </w:tc>
      </w:tr>
      <w:tr w:rsidR="00AE0791" w:rsidTr="0081234E">
        <w:tc>
          <w:tcPr>
            <w:tcW w:w="1626" w:type="dxa"/>
            <w:shd w:val="clear" w:color="auto" w:fill="auto"/>
          </w:tcPr>
          <w:p w:rsidR="00AE0791" w:rsidRDefault="00AE0791" w:rsidP="002E6E1C">
            <w:pPr>
              <w:rPr>
                <w:szCs w:val="24"/>
              </w:rPr>
            </w:pPr>
            <w:r>
              <w:rPr>
                <w:szCs w:val="24"/>
              </w:rPr>
              <w:t>Frequency</w:t>
            </w:r>
          </w:p>
        </w:tc>
        <w:tc>
          <w:tcPr>
            <w:tcW w:w="3072" w:type="dxa"/>
          </w:tcPr>
          <w:p w:rsidR="00AE0791" w:rsidRDefault="00AE0791" w:rsidP="002E6E1C">
            <w:pPr>
              <w:rPr>
                <w:szCs w:val="24"/>
              </w:rPr>
            </w:pPr>
            <w:r>
              <w:rPr>
                <w:szCs w:val="24"/>
              </w:rPr>
              <w:t>Quarterly</w:t>
            </w:r>
          </w:p>
        </w:tc>
        <w:tc>
          <w:tcPr>
            <w:tcW w:w="3240" w:type="dxa"/>
          </w:tcPr>
          <w:p w:rsidR="00AE0791" w:rsidRDefault="008909EB" w:rsidP="002E6E1C">
            <w:pPr>
              <w:rPr>
                <w:szCs w:val="24"/>
              </w:rPr>
            </w:pPr>
            <w:r>
              <w:rPr>
                <w:szCs w:val="24"/>
              </w:rPr>
              <w:t>Quarterly</w:t>
            </w:r>
          </w:p>
        </w:tc>
        <w:tc>
          <w:tcPr>
            <w:tcW w:w="1638" w:type="dxa"/>
          </w:tcPr>
          <w:p w:rsidR="00AE0791" w:rsidRDefault="008909EB" w:rsidP="002E6E1C">
            <w:pPr>
              <w:rPr>
                <w:szCs w:val="24"/>
              </w:rPr>
            </w:pPr>
            <w:r>
              <w:rPr>
                <w:szCs w:val="24"/>
              </w:rPr>
              <w:t>Quarterly</w:t>
            </w:r>
          </w:p>
        </w:tc>
      </w:tr>
      <w:tr w:rsidR="00AE0791" w:rsidTr="0081234E">
        <w:tc>
          <w:tcPr>
            <w:tcW w:w="1626" w:type="dxa"/>
            <w:shd w:val="clear" w:color="auto" w:fill="auto"/>
          </w:tcPr>
          <w:p w:rsidR="00AE0791" w:rsidRDefault="00AE0791" w:rsidP="002E6E1C">
            <w:pPr>
              <w:rPr>
                <w:szCs w:val="24"/>
              </w:rPr>
            </w:pPr>
            <w:r>
              <w:rPr>
                <w:szCs w:val="24"/>
              </w:rPr>
              <w:t>Burden per Respondent</w:t>
            </w:r>
          </w:p>
        </w:tc>
        <w:tc>
          <w:tcPr>
            <w:tcW w:w="3072" w:type="dxa"/>
            <w:shd w:val="clear" w:color="auto" w:fill="auto"/>
          </w:tcPr>
          <w:p w:rsidR="00AE0791" w:rsidRDefault="00CB5473" w:rsidP="002E6E1C">
            <w:pPr>
              <w:rPr>
                <w:szCs w:val="24"/>
              </w:rPr>
            </w:pPr>
            <w:r>
              <w:rPr>
                <w:szCs w:val="24"/>
              </w:rPr>
              <w:t>70 hours</w:t>
            </w:r>
          </w:p>
        </w:tc>
        <w:tc>
          <w:tcPr>
            <w:tcW w:w="3240" w:type="dxa"/>
            <w:shd w:val="clear" w:color="auto" w:fill="auto"/>
          </w:tcPr>
          <w:p w:rsidR="00AE0791" w:rsidRDefault="00CB5473" w:rsidP="002E6E1C">
            <w:pPr>
              <w:rPr>
                <w:szCs w:val="24"/>
              </w:rPr>
            </w:pPr>
            <w:r>
              <w:rPr>
                <w:szCs w:val="24"/>
              </w:rPr>
              <w:t>70 hours</w:t>
            </w:r>
          </w:p>
        </w:tc>
        <w:tc>
          <w:tcPr>
            <w:tcW w:w="1638" w:type="dxa"/>
          </w:tcPr>
          <w:p w:rsidR="00AE0791" w:rsidRDefault="00CB5473" w:rsidP="00CB5473">
            <w:pPr>
              <w:rPr>
                <w:szCs w:val="24"/>
              </w:rPr>
            </w:pPr>
            <w:r>
              <w:rPr>
                <w:szCs w:val="24"/>
              </w:rPr>
              <w:t>14</w:t>
            </w:r>
            <w:r w:rsidR="008909EB">
              <w:rPr>
                <w:szCs w:val="24"/>
              </w:rPr>
              <w:t>0 hours</w:t>
            </w:r>
          </w:p>
        </w:tc>
      </w:tr>
      <w:tr w:rsidR="00AE0791" w:rsidTr="0081234E">
        <w:tc>
          <w:tcPr>
            <w:tcW w:w="1626" w:type="dxa"/>
            <w:shd w:val="clear" w:color="auto" w:fill="auto"/>
          </w:tcPr>
          <w:p w:rsidR="00AE0791" w:rsidRDefault="00AE0791" w:rsidP="002E6E1C">
            <w:pPr>
              <w:rPr>
                <w:szCs w:val="24"/>
              </w:rPr>
            </w:pPr>
            <w:r>
              <w:rPr>
                <w:szCs w:val="24"/>
              </w:rPr>
              <w:t>Total Annual Burden</w:t>
            </w:r>
          </w:p>
        </w:tc>
        <w:tc>
          <w:tcPr>
            <w:tcW w:w="3072" w:type="dxa"/>
          </w:tcPr>
          <w:p w:rsidR="00AE0791" w:rsidRDefault="00AD5CA9" w:rsidP="002E6E1C">
            <w:pPr>
              <w:rPr>
                <w:szCs w:val="24"/>
              </w:rPr>
            </w:pPr>
            <w:r>
              <w:rPr>
                <w:szCs w:val="24"/>
              </w:rPr>
              <w:t>174,650</w:t>
            </w:r>
            <w:r w:rsidR="00C34F9B">
              <w:rPr>
                <w:szCs w:val="24"/>
              </w:rPr>
              <w:t xml:space="preserve"> hours</w:t>
            </w:r>
          </w:p>
        </w:tc>
        <w:tc>
          <w:tcPr>
            <w:tcW w:w="3240" w:type="dxa"/>
          </w:tcPr>
          <w:p w:rsidR="00AE0791" w:rsidRDefault="008909EB" w:rsidP="002E6E1C">
            <w:pPr>
              <w:rPr>
                <w:szCs w:val="24"/>
              </w:rPr>
            </w:pPr>
            <w:r>
              <w:rPr>
                <w:szCs w:val="24"/>
              </w:rPr>
              <w:t>14,630</w:t>
            </w:r>
            <w:r w:rsidR="00C34F9B">
              <w:rPr>
                <w:szCs w:val="24"/>
              </w:rPr>
              <w:t xml:space="preserve"> hours</w:t>
            </w:r>
          </w:p>
        </w:tc>
        <w:tc>
          <w:tcPr>
            <w:tcW w:w="1638" w:type="dxa"/>
          </w:tcPr>
          <w:p w:rsidR="00AE0791" w:rsidRDefault="008909EB" w:rsidP="002E6E1C">
            <w:pPr>
              <w:rPr>
                <w:szCs w:val="24"/>
              </w:rPr>
            </w:pPr>
            <w:r>
              <w:rPr>
                <w:szCs w:val="24"/>
              </w:rPr>
              <w:t>189,280 hours</w:t>
            </w:r>
          </w:p>
        </w:tc>
      </w:tr>
      <w:tr w:rsidR="00AE0791" w:rsidTr="0081234E">
        <w:tc>
          <w:tcPr>
            <w:tcW w:w="1626" w:type="dxa"/>
            <w:shd w:val="clear" w:color="auto" w:fill="auto"/>
          </w:tcPr>
          <w:p w:rsidR="00AE0791" w:rsidRDefault="00AE0791" w:rsidP="002E6E1C">
            <w:pPr>
              <w:rPr>
                <w:szCs w:val="24"/>
              </w:rPr>
            </w:pPr>
            <w:r>
              <w:rPr>
                <w:szCs w:val="24"/>
              </w:rPr>
              <w:t>Annual Costs to Respondent</w:t>
            </w:r>
          </w:p>
        </w:tc>
        <w:tc>
          <w:tcPr>
            <w:tcW w:w="3072" w:type="dxa"/>
          </w:tcPr>
          <w:p w:rsidR="00AE0791" w:rsidRDefault="00AE0791" w:rsidP="002E6E1C">
            <w:pPr>
              <w:rPr>
                <w:szCs w:val="24"/>
              </w:rPr>
            </w:pPr>
            <w:r>
              <w:rPr>
                <w:szCs w:val="24"/>
              </w:rPr>
              <w:t>$</w:t>
            </w:r>
            <w:r w:rsidR="008909EB">
              <w:rPr>
                <w:szCs w:val="24"/>
              </w:rPr>
              <w:t>26,148,598</w:t>
            </w:r>
          </w:p>
        </w:tc>
        <w:tc>
          <w:tcPr>
            <w:tcW w:w="3240" w:type="dxa"/>
          </w:tcPr>
          <w:p w:rsidR="00AE0791" w:rsidRDefault="008909EB" w:rsidP="002E6E1C">
            <w:pPr>
              <w:rPr>
                <w:szCs w:val="24"/>
              </w:rPr>
            </w:pPr>
            <w:r>
              <w:rPr>
                <w:szCs w:val="24"/>
              </w:rPr>
              <w:t>$2,190,404</w:t>
            </w:r>
          </w:p>
        </w:tc>
        <w:tc>
          <w:tcPr>
            <w:tcW w:w="1638" w:type="dxa"/>
          </w:tcPr>
          <w:p w:rsidR="00AE0791" w:rsidRDefault="00C34F9B" w:rsidP="002E6E1C">
            <w:pPr>
              <w:rPr>
                <w:szCs w:val="24"/>
              </w:rPr>
            </w:pPr>
            <w:r>
              <w:rPr>
                <w:szCs w:val="24"/>
              </w:rPr>
              <w:t>$</w:t>
            </w:r>
            <w:r w:rsidR="008909EB">
              <w:rPr>
                <w:szCs w:val="24"/>
              </w:rPr>
              <w:t>28,339,002</w:t>
            </w:r>
          </w:p>
        </w:tc>
      </w:tr>
    </w:tbl>
    <w:p w:rsidR="00984314" w:rsidRDefault="00984314" w:rsidP="005478A2">
      <w:pPr>
        <w:rPr>
          <w:szCs w:val="24"/>
        </w:rPr>
      </w:pPr>
    </w:p>
    <w:p w:rsidR="00CB5473" w:rsidRDefault="00CB5473" w:rsidP="00CB5473">
      <w:r w:rsidRPr="00235DC0">
        <w:rPr>
          <w:b/>
        </w:rPr>
        <w:t>Total # of respondents</w:t>
      </w:r>
      <w:r>
        <w:t>: 2,704 grantees</w:t>
      </w:r>
    </w:p>
    <w:p w:rsidR="00CB5473" w:rsidRDefault="00CB5473" w:rsidP="00CB5473">
      <w:r w:rsidRPr="00235DC0">
        <w:rPr>
          <w:b/>
        </w:rPr>
        <w:t>Estimated # of responses</w:t>
      </w:r>
      <w:r>
        <w:t>: 10,816</w:t>
      </w:r>
    </w:p>
    <w:p w:rsidR="00CB5473" w:rsidRDefault="00CB5473" w:rsidP="00CB5473">
      <w:r w:rsidRPr="00235DC0">
        <w:rPr>
          <w:b/>
        </w:rPr>
        <w:t xml:space="preserve">Estimated </w:t>
      </w:r>
      <w:r w:rsidR="0081234E">
        <w:rPr>
          <w:b/>
        </w:rPr>
        <w:t xml:space="preserve">Annual </w:t>
      </w:r>
      <w:r w:rsidRPr="00235DC0">
        <w:rPr>
          <w:b/>
        </w:rPr>
        <w:t>Burden per respondent</w:t>
      </w:r>
      <w:r>
        <w:t xml:space="preserve">: </w:t>
      </w:r>
      <w:r w:rsidR="0081234E">
        <w:t>70</w:t>
      </w:r>
      <w:r>
        <w:t xml:space="preserve"> hrs</w:t>
      </w:r>
    </w:p>
    <w:p w:rsidR="00CB5473" w:rsidRDefault="00CB5473" w:rsidP="00CB5473">
      <w:r w:rsidRPr="00235DC0">
        <w:rPr>
          <w:b/>
        </w:rPr>
        <w:t>Total Annual Burden Hours</w:t>
      </w:r>
      <w:r>
        <w:t>: 189,280 (2,704 respondents x 70 annual hours per respondent)</w:t>
      </w:r>
    </w:p>
    <w:p w:rsidR="00CB5473" w:rsidRDefault="00CB5473" w:rsidP="00CB5473">
      <w:pPr>
        <w:rPr>
          <w:szCs w:val="24"/>
        </w:rPr>
      </w:pPr>
    </w:p>
    <w:p w:rsidR="00E70EE8" w:rsidRPr="00E70EE8" w:rsidRDefault="00310EB0" w:rsidP="00E70EE8">
      <w:pPr>
        <w:rPr>
          <w:szCs w:val="24"/>
        </w:rPr>
      </w:pPr>
      <w:r w:rsidRPr="00E70EE8">
        <w:rPr>
          <w:szCs w:val="24"/>
        </w:rPr>
        <w:t>Data was captured from D</w:t>
      </w:r>
      <w:r w:rsidR="0081234E" w:rsidRPr="00E70EE8">
        <w:rPr>
          <w:szCs w:val="24"/>
        </w:rPr>
        <w:t xml:space="preserve">OT’s </w:t>
      </w:r>
      <w:r w:rsidRPr="00E70EE8">
        <w:rPr>
          <w:szCs w:val="24"/>
        </w:rPr>
        <w:t xml:space="preserve">Grants Information System concerning the number of grant awards and the associated monetary activity.  </w:t>
      </w:r>
      <w:r w:rsidR="0081234E" w:rsidRPr="00E70EE8">
        <w:rPr>
          <w:szCs w:val="24"/>
        </w:rPr>
        <w:t>S</w:t>
      </w:r>
      <w:r w:rsidRPr="00E70EE8">
        <w:rPr>
          <w:szCs w:val="24"/>
        </w:rPr>
        <w:t xml:space="preserve">ince </w:t>
      </w:r>
      <w:r w:rsidR="00D04A50" w:rsidRPr="00E70EE8">
        <w:rPr>
          <w:szCs w:val="24"/>
        </w:rPr>
        <w:t xml:space="preserve">the </w:t>
      </w:r>
      <w:r w:rsidR="000C7CD9">
        <w:rPr>
          <w:szCs w:val="24"/>
        </w:rPr>
        <w:t>2007</w:t>
      </w:r>
      <w:r w:rsidR="00D04A50" w:rsidRPr="00E70EE8">
        <w:rPr>
          <w:szCs w:val="24"/>
        </w:rPr>
        <w:t>submission</w:t>
      </w:r>
      <w:r w:rsidR="000C7CD9">
        <w:rPr>
          <w:szCs w:val="24"/>
        </w:rPr>
        <w:t>,</w:t>
      </w:r>
      <w:r w:rsidRPr="00E70EE8">
        <w:rPr>
          <w:szCs w:val="24"/>
        </w:rPr>
        <w:t xml:space="preserve"> DOT has had a 39% increase in grant activity. Therefore</w:t>
      </w:r>
      <w:r w:rsidR="000C7CD9">
        <w:rPr>
          <w:szCs w:val="24"/>
        </w:rPr>
        <w:t>,</w:t>
      </w:r>
      <w:r w:rsidRPr="00E70EE8">
        <w:rPr>
          <w:szCs w:val="24"/>
        </w:rPr>
        <w:t xml:space="preserve"> using </w:t>
      </w:r>
      <w:r w:rsidR="00D04A50" w:rsidRPr="00E70EE8">
        <w:rPr>
          <w:szCs w:val="24"/>
        </w:rPr>
        <w:t>2007 as a baseline</w:t>
      </w:r>
      <w:r w:rsidR="000C7CD9">
        <w:rPr>
          <w:szCs w:val="24"/>
        </w:rPr>
        <w:t xml:space="preserve"> </w:t>
      </w:r>
      <w:r w:rsidR="000C7CD9" w:rsidRPr="00E70EE8">
        <w:rPr>
          <w:szCs w:val="24"/>
        </w:rPr>
        <w:t>(136,150)</w:t>
      </w:r>
      <w:r w:rsidR="00D04A50" w:rsidRPr="00E70EE8">
        <w:rPr>
          <w:szCs w:val="24"/>
        </w:rPr>
        <w:t xml:space="preserve">, the 2010 </w:t>
      </w:r>
      <w:r w:rsidRPr="00E70EE8">
        <w:rPr>
          <w:szCs w:val="24"/>
        </w:rPr>
        <w:t xml:space="preserve">burden rate </w:t>
      </w:r>
      <w:r w:rsidR="0081234E" w:rsidRPr="00E70EE8">
        <w:rPr>
          <w:szCs w:val="24"/>
        </w:rPr>
        <w:t>(189,</w:t>
      </w:r>
      <w:r w:rsidR="00194A5D" w:rsidRPr="00E70EE8">
        <w:rPr>
          <w:szCs w:val="24"/>
        </w:rPr>
        <w:t xml:space="preserve">280) </w:t>
      </w:r>
      <w:r w:rsidRPr="00E70EE8">
        <w:rPr>
          <w:szCs w:val="24"/>
        </w:rPr>
        <w:t>reflects the 39% increase in activity</w:t>
      </w:r>
      <w:r w:rsidR="00D76BC7" w:rsidRPr="00E70EE8">
        <w:rPr>
          <w:szCs w:val="24"/>
        </w:rPr>
        <w:t xml:space="preserve"> and the combining of the data collection instruments </w:t>
      </w:r>
      <w:proofErr w:type="gramStart"/>
      <w:r w:rsidR="00D76BC7" w:rsidRPr="00E70EE8">
        <w:rPr>
          <w:szCs w:val="24"/>
        </w:rPr>
        <w:t>under</w:t>
      </w:r>
      <w:proofErr w:type="gramEnd"/>
      <w:r w:rsidR="00D76BC7" w:rsidRPr="00E70EE8">
        <w:rPr>
          <w:szCs w:val="24"/>
        </w:rPr>
        <w:t xml:space="preserve"> 2 CFR 215 (A-110) and OMB Circular A-102</w:t>
      </w:r>
      <w:r w:rsidRPr="00E70EE8">
        <w:rPr>
          <w:szCs w:val="24"/>
        </w:rPr>
        <w:t>.</w:t>
      </w:r>
      <w:r w:rsidR="00E70EE8" w:rsidRPr="00E70EE8">
        <w:rPr>
          <w:szCs w:val="24"/>
        </w:rPr>
        <w:t xml:space="preserve"> The number of hours used is based on the OMB baseline </w:t>
      </w:r>
      <w:r w:rsidR="000C7CD9">
        <w:rPr>
          <w:szCs w:val="24"/>
        </w:rPr>
        <w:t>of 70 burden hours per respondent</w:t>
      </w:r>
      <w:r w:rsidR="00E70EE8" w:rsidRPr="00E70EE8">
        <w:rPr>
          <w:szCs w:val="24"/>
        </w:rPr>
        <w:t>.</w:t>
      </w:r>
      <w:r w:rsidR="000C7CD9">
        <w:rPr>
          <w:szCs w:val="24"/>
        </w:rPr>
        <w:t xml:space="preserve"> </w:t>
      </w:r>
      <w:r w:rsidR="00E70EE8" w:rsidRPr="00E70EE8">
        <w:rPr>
          <w:szCs w:val="24"/>
        </w:rPr>
        <w:t xml:space="preserve"> The burden increase is also based on combining the two previous information collection</w:t>
      </w:r>
      <w:r w:rsidR="000C7CD9">
        <w:rPr>
          <w:szCs w:val="24"/>
        </w:rPr>
        <w:t>s</w:t>
      </w:r>
      <w:r w:rsidR="00E70EE8" w:rsidRPr="00E70EE8">
        <w:rPr>
          <w:szCs w:val="24"/>
        </w:rPr>
        <w:t xml:space="preserve"> approved in 2007.</w:t>
      </w:r>
    </w:p>
    <w:tbl>
      <w:tblPr>
        <w:tblW w:w="8890" w:type="dxa"/>
        <w:tblInd w:w="93" w:type="dxa"/>
        <w:tblLook w:val="04A0"/>
      </w:tblPr>
      <w:tblGrid>
        <w:gridCol w:w="828"/>
        <w:gridCol w:w="835"/>
        <w:gridCol w:w="242"/>
        <w:gridCol w:w="6985"/>
      </w:tblGrid>
      <w:tr w:rsidR="003C5241" w:rsidTr="003C5241">
        <w:trPr>
          <w:trHeight w:val="300"/>
        </w:trPr>
        <w:tc>
          <w:tcPr>
            <w:tcW w:w="828" w:type="dxa"/>
            <w:tcBorders>
              <w:top w:val="nil"/>
              <w:left w:val="nil"/>
              <w:bottom w:val="nil"/>
              <w:right w:val="nil"/>
            </w:tcBorders>
          </w:tcPr>
          <w:p w:rsidR="003C5241" w:rsidRDefault="003C5241">
            <w:pPr>
              <w:jc w:val="center"/>
              <w:rPr>
                <w:rFonts w:ascii="Calibri" w:hAnsi="Calibri"/>
                <w:b/>
                <w:bCs/>
                <w:color w:val="000000"/>
                <w:sz w:val="22"/>
                <w:szCs w:val="22"/>
              </w:rPr>
            </w:pPr>
          </w:p>
        </w:tc>
        <w:tc>
          <w:tcPr>
            <w:tcW w:w="835" w:type="dxa"/>
            <w:tcBorders>
              <w:top w:val="nil"/>
              <w:left w:val="nil"/>
              <w:bottom w:val="nil"/>
              <w:right w:val="nil"/>
            </w:tcBorders>
          </w:tcPr>
          <w:p w:rsidR="003C5241" w:rsidRDefault="003C5241">
            <w:pPr>
              <w:jc w:val="center"/>
              <w:rPr>
                <w:rFonts w:ascii="Calibri" w:hAnsi="Calibri"/>
                <w:b/>
                <w:bCs/>
                <w:color w:val="000000"/>
                <w:sz w:val="22"/>
                <w:szCs w:val="22"/>
              </w:rPr>
            </w:pPr>
          </w:p>
        </w:tc>
        <w:tc>
          <w:tcPr>
            <w:tcW w:w="242" w:type="dxa"/>
            <w:tcBorders>
              <w:top w:val="nil"/>
              <w:left w:val="nil"/>
              <w:bottom w:val="nil"/>
              <w:right w:val="nil"/>
            </w:tcBorders>
          </w:tcPr>
          <w:p w:rsidR="003C5241" w:rsidRDefault="003C5241">
            <w:pPr>
              <w:jc w:val="center"/>
              <w:rPr>
                <w:rFonts w:ascii="Calibri" w:hAnsi="Calibri"/>
                <w:b/>
                <w:bCs/>
                <w:color w:val="000000"/>
                <w:sz w:val="22"/>
                <w:szCs w:val="22"/>
              </w:rPr>
            </w:pPr>
          </w:p>
        </w:tc>
        <w:tc>
          <w:tcPr>
            <w:tcW w:w="6985" w:type="dxa"/>
            <w:tcBorders>
              <w:top w:val="nil"/>
              <w:left w:val="nil"/>
              <w:bottom w:val="nil"/>
              <w:right w:val="nil"/>
            </w:tcBorders>
            <w:shd w:val="clear" w:color="auto" w:fill="auto"/>
            <w:noWrap/>
            <w:vAlign w:val="bottom"/>
            <w:hideMark/>
          </w:tcPr>
          <w:p w:rsidR="003C5241" w:rsidRDefault="003C5241">
            <w:pPr>
              <w:jc w:val="center"/>
              <w:rPr>
                <w:rFonts w:ascii="Calibri" w:hAnsi="Calibri"/>
                <w:b/>
                <w:bCs/>
                <w:color w:val="000000"/>
                <w:sz w:val="22"/>
                <w:szCs w:val="22"/>
              </w:rPr>
            </w:pPr>
          </w:p>
        </w:tc>
      </w:tr>
    </w:tbl>
    <w:p w:rsidR="001D224D" w:rsidRDefault="001D224D" w:rsidP="00A63B31">
      <w:pPr>
        <w:widowControl w:val="0"/>
        <w:tabs>
          <w:tab w:val="left" w:pos="540"/>
        </w:tabs>
        <w:rPr>
          <w:b/>
          <w:szCs w:val="24"/>
        </w:rPr>
      </w:pPr>
      <w:r w:rsidRPr="00981917">
        <w:rPr>
          <w:b/>
          <w:szCs w:val="24"/>
        </w:rPr>
        <w:t>13.</w:t>
      </w:r>
      <w:r w:rsidRPr="00981917">
        <w:rPr>
          <w:b/>
          <w:szCs w:val="24"/>
        </w:rPr>
        <w:tab/>
      </w:r>
      <w:r w:rsidR="006C0638" w:rsidRPr="00981917">
        <w:rPr>
          <w:b/>
          <w:szCs w:val="24"/>
          <w:u w:val="single"/>
        </w:rPr>
        <w:t>Estimate of the total annual costs burden</w:t>
      </w:r>
      <w:r w:rsidR="006C0638" w:rsidRPr="00981917">
        <w:rPr>
          <w:b/>
          <w:szCs w:val="24"/>
        </w:rPr>
        <w:t xml:space="preserve">.  </w:t>
      </w:r>
    </w:p>
    <w:p w:rsidR="00CF556A" w:rsidRDefault="00CF556A" w:rsidP="00CF556A">
      <w:pPr>
        <w:widowControl w:val="0"/>
        <w:tabs>
          <w:tab w:val="left" w:pos="360"/>
          <w:tab w:val="left" w:pos="540"/>
        </w:tabs>
        <w:rPr>
          <w:b/>
          <w:szCs w:val="24"/>
        </w:rPr>
      </w:pPr>
    </w:p>
    <w:p w:rsidR="00E70EE8" w:rsidRDefault="00E70EE8" w:rsidP="00E70EE8">
      <w:r w:rsidRPr="00235DC0">
        <w:rPr>
          <w:b/>
        </w:rPr>
        <w:t>Total Annual Cost to Respondents</w:t>
      </w:r>
      <w:r>
        <w:t>: $28,339,002 (</w:t>
      </w:r>
      <w:r w:rsidR="00A63B31">
        <w:t>10,816 responses x 70 hours x $37.43</w:t>
      </w:r>
      <w:r>
        <w:t>)</w:t>
      </w:r>
      <w:r w:rsidR="00A63B31">
        <w:t xml:space="preserve">.  </w:t>
      </w:r>
    </w:p>
    <w:p w:rsidR="00E70EE8" w:rsidRDefault="00E70EE8" w:rsidP="00E70EE8"/>
    <w:p w:rsidR="00E70EE8" w:rsidRPr="00E70EE8" w:rsidRDefault="00E70EE8" w:rsidP="00E70EE8">
      <w:pPr>
        <w:rPr>
          <w:szCs w:val="24"/>
        </w:rPr>
      </w:pPr>
      <w:r w:rsidRPr="00E70EE8">
        <w:rPr>
          <w:szCs w:val="24"/>
        </w:rPr>
        <w:lastRenderedPageBreak/>
        <w:t>The hourly rate was estimated for a Federal GS-9, step 5 ($28.</w:t>
      </w:r>
      <w:r>
        <w:rPr>
          <w:szCs w:val="24"/>
        </w:rPr>
        <w:t>1</w:t>
      </w:r>
      <w:r w:rsidRPr="00E70EE8">
        <w:rPr>
          <w:szCs w:val="24"/>
        </w:rPr>
        <w:t>4) adjust</w:t>
      </w:r>
      <w:r>
        <w:rPr>
          <w:szCs w:val="24"/>
        </w:rPr>
        <w:t>ed by an overhead rate of 33%, w</w:t>
      </w:r>
      <w:r w:rsidRPr="00E70EE8">
        <w:rPr>
          <w:szCs w:val="24"/>
        </w:rPr>
        <w:t>hi</w:t>
      </w:r>
      <w:r>
        <w:rPr>
          <w:szCs w:val="24"/>
        </w:rPr>
        <w:t>ch</w:t>
      </w:r>
      <w:r w:rsidRPr="00E70EE8">
        <w:rPr>
          <w:szCs w:val="24"/>
        </w:rPr>
        <w:t xml:space="preserve"> provides an average hourly rate of $37.</w:t>
      </w:r>
      <w:r>
        <w:rPr>
          <w:szCs w:val="24"/>
        </w:rPr>
        <w:t>43</w:t>
      </w:r>
      <w:r w:rsidRPr="00E70EE8">
        <w:rPr>
          <w:szCs w:val="24"/>
        </w:rPr>
        <w:t>.  This was used for both grantee and Federal costs.</w:t>
      </w:r>
      <w:r w:rsidR="000C7CD9" w:rsidRPr="000C7CD9">
        <w:t xml:space="preserve"> </w:t>
      </w:r>
      <w:r w:rsidR="000C7CD9" w:rsidRPr="00CF556A">
        <w:t xml:space="preserve">There </w:t>
      </w:r>
      <w:r w:rsidR="000C7CD9">
        <w:t>are</w:t>
      </w:r>
      <w:r w:rsidR="000C7CD9" w:rsidRPr="00CF556A">
        <w:t xml:space="preserve"> no additional cost</w:t>
      </w:r>
      <w:r w:rsidR="000C7CD9">
        <w:t>s to the respondent</w:t>
      </w:r>
      <w:r w:rsidR="000C7CD9" w:rsidRPr="00CF556A">
        <w:t>.</w:t>
      </w:r>
    </w:p>
    <w:p w:rsidR="00CF556A" w:rsidRPr="00CF556A" w:rsidRDefault="00CF556A" w:rsidP="00CF556A">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1D224D" w:rsidRPr="00981917" w:rsidRDefault="001D224D" w:rsidP="000A6210">
      <w:pPr>
        <w:widowControl w:val="0"/>
        <w:tabs>
          <w:tab w:val="left" w:pos="540"/>
        </w:tabs>
        <w:rPr>
          <w:b/>
          <w:szCs w:val="24"/>
        </w:rPr>
      </w:pPr>
    </w:p>
    <w:p w:rsidR="001D224D" w:rsidRPr="00981917" w:rsidRDefault="001D224D" w:rsidP="006C0638">
      <w:pPr>
        <w:widowControl w:val="0"/>
        <w:tabs>
          <w:tab w:val="left" w:pos="540"/>
        </w:tabs>
        <w:rPr>
          <w:b/>
          <w:szCs w:val="24"/>
        </w:rPr>
      </w:pPr>
      <w:r w:rsidRPr="00981917">
        <w:rPr>
          <w:b/>
          <w:szCs w:val="24"/>
        </w:rPr>
        <w:t>14.</w:t>
      </w:r>
      <w:r w:rsidRPr="00981917">
        <w:rPr>
          <w:b/>
          <w:szCs w:val="24"/>
        </w:rPr>
        <w:tab/>
      </w:r>
      <w:r w:rsidR="006C0638" w:rsidRPr="00981917">
        <w:rPr>
          <w:b/>
          <w:szCs w:val="24"/>
          <w:u w:val="single"/>
        </w:rPr>
        <w:t>Estimates of costs to the Federal Government</w:t>
      </w:r>
      <w:r w:rsidR="006C0638" w:rsidRPr="00981917">
        <w:rPr>
          <w:b/>
          <w:szCs w:val="24"/>
        </w:rPr>
        <w:t xml:space="preserve">.  </w:t>
      </w:r>
    </w:p>
    <w:p w:rsidR="00CF556A" w:rsidRDefault="00CF556A" w:rsidP="00CF556A">
      <w:pPr>
        <w:widowControl w:val="0"/>
        <w:tabs>
          <w:tab w:val="left" w:pos="360"/>
          <w:tab w:val="left" w:pos="540"/>
        </w:tabs>
        <w:rPr>
          <w:szCs w:val="24"/>
        </w:rPr>
      </w:pPr>
    </w:p>
    <w:p w:rsidR="00E70EE8" w:rsidRDefault="00E70EE8" w:rsidP="00225376">
      <w:r w:rsidRPr="00235DC0">
        <w:rPr>
          <w:b/>
        </w:rPr>
        <w:t>Total Annual Cost to Federal Government</w:t>
      </w:r>
      <w:r>
        <w:t xml:space="preserve">: </w:t>
      </w:r>
      <w:r w:rsidR="00331FCC">
        <w:t>$10,121,072 (10,816 responses x 25 hours x $37.43 hourly rate)</w:t>
      </w:r>
      <w:r w:rsidR="00225376">
        <w:t xml:space="preserve">.  </w:t>
      </w:r>
    </w:p>
    <w:p w:rsidR="00E70EE8" w:rsidRDefault="00E70EE8" w:rsidP="00225376"/>
    <w:p w:rsidR="001D224D" w:rsidRDefault="00225376" w:rsidP="00225376">
      <w:r>
        <w:t>There are no additional costs to the Federal Government.</w:t>
      </w:r>
    </w:p>
    <w:p w:rsidR="000C7CD9" w:rsidRDefault="000C7CD9" w:rsidP="00225376"/>
    <w:p w:rsidR="000C7CD9" w:rsidRPr="00981917" w:rsidRDefault="000C7CD9" w:rsidP="00225376">
      <w:pPr>
        <w:rPr>
          <w:b/>
          <w:szCs w:val="24"/>
        </w:rPr>
      </w:pPr>
    </w:p>
    <w:p w:rsidR="006C0638" w:rsidRPr="00981917" w:rsidRDefault="006C0638" w:rsidP="000A6210">
      <w:pPr>
        <w:widowControl w:val="0"/>
        <w:tabs>
          <w:tab w:val="left" w:pos="540"/>
        </w:tabs>
        <w:rPr>
          <w:color w:val="FF0000"/>
          <w:szCs w:val="24"/>
        </w:rPr>
      </w:pPr>
    </w:p>
    <w:p w:rsidR="00F67FCC" w:rsidRDefault="00F67FCC" w:rsidP="00F67FCC">
      <w:pPr>
        <w:widowControl w:val="0"/>
        <w:numPr>
          <w:ilvl w:val="0"/>
          <w:numId w:val="10"/>
        </w:numPr>
        <w:tabs>
          <w:tab w:val="num" w:pos="0"/>
          <w:tab w:val="left" w:pos="540"/>
        </w:tabs>
        <w:ind w:left="0" w:firstLine="0"/>
        <w:rPr>
          <w:b/>
          <w:szCs w:val="24"/>
        </w:rPr>
      </w:pPr>
      <w:r w:rsidRPr="00225376">
        <w:rPr>
          <w:b/>
          <w:szCs w:val="24"/>
          <w:u w:val="single"/>
        </w:rPr>
        <w:t>Explanation of the program change or adjustments</w:t>
      </w:r>
      <w:r w:rsidRPr="00225376">
        <w:rPr>
          <w:b/>
          <w:szCs w:val="24"/>
        </w:rPr>
        <w:t xml:space="preserve">.  </w:t>
      </w:r>
    </w:p>
    <w:p w:rsidR="00225376" w:rsidRPr="00225376" w:rsidRDefault="00225376" w:rsidP="00225376">
      <w:pPr>
        <w:widowControl w:val="0"/>
        <w:tabs>
          <w:tab w:val="left" w:pos="540"/>
        </w:tabs>
        <w:rPr>
          <w:b/>
          <w:szCs w:val="24"/>
        </w:rPr>
      </w:pPr>
    </w:p>
    <w:p w:rsidR="003C59D0" w:rsidRDefault="00225376" w:rsidP="00CF55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The Department </w:t>
      </w:r>
      <w:r w:rsidR="000C7CD9">
        <w:rPr>
          <w:rFonts w:ascii="Times New Roman" w:hAnsi="Times New Roman"/>
          <w:color w:val="auto"/>
        </w:rPr>
        <w:t>request</w:t>
      </w:r>
      <w:r>
        <w:rPr>
          <w:rFonts w:ascii="Times New Roman" w:hAnsi="Times New Roman"/>
          <w:color w:val="auto"/>
        </w:rPr>
        <w:t xml:space="preserve">s to combine </w:t>
      </w:r>
      <w:r w:rsidRPr="00536D30">
        <w:rPr>
          <w:rFonts w:ascii="Times New Roman" w:hAnsi="Times New Roman"/>
          <w:color w:val="auto"/>
        </w:rPr>
        <w:t xml:space="preserve">two previously approved </w:t>
      </w:r>
      <w:r w:rsidR="003C59D0">
        <w:rPr>
          <w:rFonts w:ascii="Times New Roman" w:hAnsi="Times New Roman"/>
          <w:color w:val="auto"/>
        </w:rPr>
        <w:t>information collection</w:t>
      </w:r>
      <w:r>
        <w:rPr>
          <w:rFonts w:ascii="Times New Roman" w:hAnsi="Times New Roman"/>
          <w:color w:val="auto"/>
        </w:rPr>
        <w:t>s</w:t>
      </w:r>
      <w:r w:rsidRPr="00536D30">
        <w:rPr>
          <w:rFonts w:ascii="Times New Roman" w:hAnsi="Times New Roman"/>
          <w:color w:val="auto"/>
        </w:rPr>
        <w:t xml:space="preserve"> (OMB Control numbers 2105-0531 and 2105-0520) into OMB Control Number 2105-0520.</w:t>
      </w:r>
      <w:r>
        <w:rPr>
          <w:rFonts w:ascii="Times New Roman" w:hAnsi="Times New Roman"/>
          <w:color w:val="auto"/>
        </w:rPr>
        <w:t xml:space="preserve">  </w:t>
      </w:r>
      <w:r w:rsidR="00866699">
        <w:rPr>
          <w:rFonts w:ascii="Times New Roman" w:hAnsi="Times New Roman"/>
          <w:color w:val="auto"/>
        </w:rPr>
        <w:t xml:space="preserve">After careful review of the </w:t>
      </w:r>
      <w:r w:rsidR="003C59D0">
        <w:rPr>
          <w:rFonts w:ascii="Times New Roman" w:hAnsi="Times New Roman"/>
          <w:color w:val="auto"/>
        </w:rPr>
        <w:t>collection</w:t>
      </w:r>
      <w:r w:rsidR="00866699">
        <w:rPr>
          <w:rFonts w:ascii="Times New Roman" w:hAnsi="Times New Roman"/>
          <w:color w:val="auto"/>
        </w:rPr>
        <w:t xml:space="preserve">s, it was determined that the </w:t>
      </w:r>
      <w:r w:rsidR="003C59D0">
        <w:rPr>
          <w:rFonts w:ascii="Times New Roman" w:hAnsi="Times New Roman"/>
          <w:color w:val="auto"/>
        </w:rPr>
        <w:t xml:space="preserve">collected </w:t>
      </w:r>
      <w:r w:rsidR="00866699">
        <w:rPr>
          <w:rFonts w:ascii="Times New Roman" w:hAnsi="Times New Roman"/>
          <w:color w:val="auto"/>
        </w:rPr>
        <w:t xml:space="preserve">information </w:t>
      </w:r>
      <w:r w:rsidR="000C7CD9">
        <w:rPr>
          <w:rFonts w:ascii="Times New Roman" w:hAnsi="Times New Roman"/>
          <w:color w:val="auto"/>
        </w:rPr>
        <w:t>is</w:t>
      </w:r>
      <w:r w:rsidR="00866699">
        <w:rPr>
          <w:rFonts w:ascii="Times New Roman" w:hAnsi="Times New Roman"/>
          <w:color w:val="auto"/>
        </w:rPr>
        <w:t xml:space="preserve"> identical, with the exception of the guidance documents, and does not warrant individual collection requests.  </w:t>
      </w:r>
      <w:r w:rsidR="003C59D0">
        <w:rPr>
          <w:rFonts w:ascii="Times New Roman" w:hAnsi="Times New Roman"/>
          <w:color w:val="auto"/>
        </w:rPr>
        <w:t xml:space="preserve">The Department will submit a discontinue request for OMB 2105-0531 upon approval of this ICR.  </w:t>
      </w:r>
    </w:p>
    <w:p w:rsidR="003C59D0" w:rsidRDefault="003C59D0" w:rsidP="00CF55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866699" w:rsidRDefault="00225376" w:rsidP="00CF55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Additionally, </w:t>
      </w:r>
      <w:r w:rsidR="00866699">
        <w:rPr>
          <w:rFonts w:ascii="Times New Roman" w:hAnsi="Times New Roman"/>
          <w:color w:val="auto"/>
        </w:rPr>
        <w:t xml:space="preserve">the Department was required by </w:t>
      </w:r>
      <w:r>
        <w:rPr>
          <w:rFonts w:ascii="Times New Roman" w:hAnsi="Times New Roman"/>
          <w:color w:val="auto"/>
        </w:rPr>
        <w:t xml:space="preserve">OMB </w:t>
      </w:r>
      <w:r w:rsidR="00866699">
        <w:rPr>
          <w:rFonts w:ascii="Times New Roman" w:hAnsi="Times New Roman"/>
          <w:color w:val="auto"/>
        </w:rPr>
        <w:t xml:space="preserve">to </w:t>
      </w:r>
      <w:r>
        <w:rPr>
          <w:rFonts w:ascii="Times New Roman" w:hAnsi="Times New Roman"/>
          <w:color w:val="auto"/>
        </w:rPr>
        <w:t xml:space="preserve">begin using SF-425, </w:t>
      </w:r>
      <w:r w:rsidR="00866699">
        <w:rPr>
          <w:rFonts w:ascii="Times New Roman" w:hAnsi="Times New Roman"/>
          <w:color w:val="auto"/>
        </w:rPr>
        <w:t xml:space="preserve">in replacement of the financial reporting forms SF-269, SF-269A, SF-272 and SF-272A.  These forms were </w:t>
      </w:r>
      <w:r w:rsidR="002C79EE">
        <w:rPr>
          <w:rFonts w:ascii="Times New Roman" w:hAnsi="Times New Roman"/>
          <w:color w:val="auto"/>
        </w:rPr>
        <w:t>terminate</w:t>
      </w:r>
      <w:r w:rsidR="00866699">
        <w:rPr>
          <w:rFonts w:ascii="Times New Roman" w:hAnsi="Times New Roman"/>
          <w:color w:val="auto"/>
        </w:rPr>
        <w:t>d and the information contained in the forms w</w:t>
      </w:r>
      <w:r w:rsidR="000C7CD9">
        <w:rPr>
          <w:rFonts w:ascii="Times New Roman" w:hAnsi="Times New Roman"/>
          <w:color w:val="auto"/>
        </w:rPr>
        <w:t>as</w:t>
      </w:r>
      <w:r w:rsidR="00866699">
        <w:rPr>
          <w:rFonts w:ascii="Times New Roman" w:hAnsi="Times New Roman"/>
          <w:color w:val="auto"/>
        </w:rPr>
        <w:t xml:space="preserve"> consolidated in SF-425.</w:t>
      </w:r>
      <w:r w:rsidR="002C79EE" w:rsidRPr="002C79EE">
        <w:rPr>
          <w:rFonts w:ascii="Times New Roman" w:hAnsi="Times New Roman"/>
          <w:color w:val="auto"/>
        </w:rPr>
        <w:t xml:space="preserve"> </w:t>
      </w:r>
      <w:r w:rsidR="002C79EE">
        <w:rPr>
          <w:rFonts w:ascii="Times New Roman" w:hAnsi="Times New Roman"/>
          <w:color w:val="auto"/>
        </w:rPr>
        <w:t>DOT made the change to comply with OMB guidelines.</w:t>
      </w:r>
      <w:r w:rsidR="008E7D69" w:rsidRPr="008E7D69">
        <w:rPr>
          <w:rFonts w:ascii="Times New Roman" w:hAnsi="Times New Roman"/>
          <w:color w:val="auto"/>
        </w:rPr>
        <w:t xml:space="preserve"> </w:t>
      </w:r>
    </w:p>
    <w:p w:rsidR="00866699" w:rsidRDefault="00866699" w:rsidP="00CF55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2C79EE" w:rsidRDefault="00225376" w:rsidP="00CF55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Pr>
          <w:rFonts w:ascii="Times New Roman" w:hAnsi="Times New Roman"/>
          <w:color w:val="auto"/>
        </w:rPr>
        <w:t xml:space="preserve">Since the 2007 submission, the Department determined that there </w:t>
      </w:r>
      <w:r w:rsidR="002C79EE">
        <w:rPr>
          <w:rFonts w:ascii="Times New Roman" w:hAnsi="Times New Roman"/>
          <w:color w:val="auto"/>
        </w:rPr>
        <w:t xml:space="preserve">has been </w:t>
      </w:r>
      <w:r>
        <w:rPr>
          <w:rFonts w:ascii="Times New Roman" w:hAnsi="Times New Roman"/>
          <w:color w:val="auto"/>
        </w:rPr>
        <w:t>a 39% increase in the number of respondents and burden hours</w:t>
      </w:r>
      <w:r w:rsidR="003C59D0">
        <w:rPr>
          <w:rFonts w:ascii="Times New Roman" w:hAnsi="Times New Roman"/>
          <w:color w:val="auto"/>
        </w:rPr>
        <w:t xml:space="preserve"> and a 33% increase in costs</w:t>
      </w:r>
      <w:r w:rsidR="00FF14E0">
        <w:rPr>
          <w:rFonts w:ascii="Times New Roman" w:hAnsi="Times New Roman"/>
          <w:color w:val="auto"/>
        </w:rPr>
        <w:t xml:space="preserve"> this is due to the an increase in appropriations which included the $48 billion in American Recovery and Reinvestment Act</w:t>
      </w:r>
      <w:r w:rsidR="00F741DE">
        <w:rPr>
          <w:rFonts w:ascii="Times New Roman" w:hAnsi="Times New Roman"/>
          <w:color w:val="auto"/>
        </w:rPr>
        <w:t xml:space="preserve"> </w:t>
      </w:r>
      <w:r w:rsidR="00FF14E0">
        <w:rPr>
          <w:rFonts w:ascii="Times New Roman" w:hAnsi="Times New Roman"/>
          <w:color w:val="auto"/>
        </w:rPr>
        <w:t xml:space="preserve"> funding</w:t>
      </w:r>
      <w:r>
        <w:rPr>
          <w:rFonts w:ascii="Times New Roman" w:hAnsi="Times New Roman"/>
          <w:color w:val="auto"/>
        </w:rPr>
        <w:t>.  In 20</w:t>
      </w:r>
      <w:r w:rsidR="002C79EE">
        <w:rPr>
          <w:rFonts w:ascii="Times New Roman" w:hAnsi="Times New Roman"/>
          <w:color w:val="auto"/>
        </w:rPr>
        <w:t>0</w:t>
      </w:r>
      <w:r>
        <w:rPr>
          <w:rFonts w:ascii="Times New Roman" w:hAnsi="Times New Roman"/>
          <w:color w:val="auto"/>
        </w:rPr>
        <w:t>7, the Department estimated a</w:t>
      </w:r>
      <w:r w:rsidR="002C79EE">
        <w:rPr>
          <w:rFonts w:ascii="Times New Roman" w:hAnsi="Times New Roman"/>
          <w:color w:val="auto"/>
        </w:rPr>
        <w:t xml:space="preserve"> combined </w:t>
      </w:r>
      <w:r>
        <w:rPr>
          <w:rFonts w:ascii="Times New Roman" w:hAnsi="Times New Roman"/>
          <w:color w:val="auto"/>
        </w:rPr>
        <w:t>total of</w:t>
      </w:r>
      <w:r w:rsidR="002C79EE">
        <w:rPr>
          <w:rFonts w:ascii="Times New Roman" w:hAnsi="Times New Roman"/>
          <w:color w:val="auto"/>
        </w:rPr>
        <w:t xml:space="preserve"> 1,944 respondents and a combined total of 136,150 burden hours.  Based on historical data, the Department now estimates a combined total of 2,704 respondents and $189,280 burden hours. </w:t>
      </w:r>
      <w:r w:rsidR="003C59D0">
        <w:rPr>
          <w:rFonts w:ascii="Times New Roman" w:hAnsi="Times New Roman"/>
          <w:color w:val="auto"/>
        </w:rPr>
        <w:t>The estimated costs increased by 33% due to overhead expenses.</w:t>
      </w:r>
    </w:p>
    <w:p w:rsidR="002C79EE" w:rsidRDefault="002C79EE" w:rsidP="00CF55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1D224D" w:rsidRPr="00981917" w:rsidRDefault="001D224D" w:rsidP="007B68C6">
      <w:pPr>
        <w:widowControl w:val="0"/>
        <w:tabs>
          <w:tab w:val="left" w:pos="540"/>
        </w:tabs>
        <w:rPr>
          <w:b/>
          <w:szCs w:val="24"/>
        </w:rPr>
      </w:pPr>
      <w:r w:rsidRPr="00981917">
        <w:rPr>
          <w:b/>
          <w:szCs w:val="24"/>
        </w:rPr>
        <w:t>16.</w:t>
      </w:r>
      <w:r w:rsidRPr="00981917">
        <w:rPr>
          <w:b/>
          <w:szCs w:val="24"/>
        </w:rPr>
        <w:tab/>
      </w:r>
      <w:r w:rsidR="007B68C6" w:rsidRPr="00981917">
        <w:rPr>
          <w:b/>
          <w:szCs w:val="24"/>
          <w:u w:val="single"/>
        </w:rPr>
        <w:t>Publication of results of data collection</w:t>
      </w:r>
      <w:r w:rsidR="007B68C6" w:rsidRPr="00981917">
        <w:rPr>
          <w:b/>
          <w:szCs w:val="24"/>
        </w:rPr>
        <w:t xml:space="preserve">.  </w:t>
      </w:r>
    </w:p>
    <w:p w:rsidR="001D224D" w:rsidRPr="00981917" w:rsidRDefault="001D224D" w:rsidP="000A6210">
      <w:pPr>
        <w:widowControl w:val="0"/>
        <w:tabs>
          <w:tab w:val="left" w:pos="540"/>
        </w:tabs>
        <w:ind w:left="720"/>
        <w:rPr>
          <w:b/>
          <w:szCs w:val="24"/>
        </w:rPr>
      </w:pPr>
    </w:p>
    <w:p w:rsidR="00CF556A" w:rsidRPr="00CF556A" w:rsidRDefault="00CF556A" w:rsidP="00CF556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CF556A">
        <w:rPr>
          <w:rFonts w:ascii="Times New Roman" w:hAnsi="Times New Roman"/>
          <w:color w:val="auto"/>
        </w:rPr>
        <w:t>There are no plans to publish any of the information collected.</w:t>
      </w:r>
    </w:p>
    <w:p w:rsidR="007B68C6" w:rsidRPr="00981917" w:rsidRDefault="007B68C6" w:rsidP="000A6210">
      <w:pPr>
        <w:widowControl w:val="0"/>
        <w:tabs>
          <w:tab w:val="left" w:pos="540"/>
        </w:tabs>
        <w:rPr>
          <w:szCs w:val="24"/>
        </w:rPr>
      </w:pPr>
    </w:p>
    <w:p w:rsidR="001D224D" w:rsidRPr="00FF14E0" w:rsidRDefault="007B68C6" w:rsidP="00FF14E0">
      <w:pPr>
        <w:pStyle w:val="ListParagraph"/>
        <w:widowControl w:val="0"/>
        <w:numPr>
          <w:ilvl w:val="0"/>
          <w:numId w:val="31"/>
        </w:numPr>
        <w:tabs>
          <w:tab w:val="left" w:pos="540"/>
        </w:tabs>
        <w:ind w:left="540" w:hanging="540"/>
        <w:rPr>
          <w:b/>
          <w:szCs w:val="24"/>
        </w:rPr>
      </w:pPr>
      <w:r w:rsidRPr="00FF14E0">
        <w:rPr>
          <w:b/>
          <w:szCs w:val="24"/>
          <w:u w:val="single"/>
        </w:rPr>
        <w:t>Approval for not displaying the expiration date of OMB approval</w:t>
      </w:r>
      <w:r w:rsidRPr="00FF14E0">
        <w:rPr>
          <w:b/>
          <w:szCs w:val="24"/>
        </w:rPr>
        <w:t xml:space="preserve">.  </w:t>
      </w:r>
    </w:p>
    <w:p w:rsidR="00E80588" w:rsidRPr="00E80588" w:rsidRDefault="00E80588" w:rsidP="00E80588">
      <w:pPr>
        <w:pStyle w:val="ListParagraph"/>
        <w:widowControl w:val="0"/>
        <w:tabs>
          <w:tab w:val="left" w:pos="540"/>
        </w:tabs>
        <w:rPr>
          <w:b/>
          <w:szCs w:val="24"/>
        </w:rPr>
      </w:pPr>
    </w:p>
    <w:p w:rsidR="007B68C6" w:rsidRDefault="00CF556A" w:rsidP="000A6210">
      <w:pPr>
        <w:widowControl w:val="0"/>
        <w:tabs>
          <w:tab w:val="left" w:pos="540"/>
        </w:tabs>
      </w:pPr>
      <w:r w:rsidRPr="00CF556A">
        <w:t>DOT is not seeking approval to not display the collection expiration dates.</w:t>
      </w:r>
    </w:p>
    <w:p w:rsidR="00CF556A" w:rsidRPr="00CF556A" w:rsidRDefault="00CF556A" w:rsidP="000A6210">
      <w:pPr>
        <w:widowControl w:val="0"/>
        <w:tabs>
          <w:tab w:val="left" w:pos="540"/>
        </w:tabs>
        <w:rPr>
          <w:b/>
          <w:szCs w:val="24"/>
        </w:rPr>
      </w:pPr>
    </w:p>
    <w:p w:rsidR="001D224D" w:rsidRDefault="007B68C6" w:rsidP="007B68C6">
      <w:pPr>
        <w:widowControl w:val="0"/>
        <w:numPr>
          <w:ilvl w:val="0"/>
          <w:numId w:val="18"/>
        </w:numPr>
        <w:tabs>
          <w:tab w:val="clear" w:pos="900"/>
          <w:tab w:val="num" w:pos="0"/>
          <w:tab w:val="left" w:pos="540"/>
        </w:tabs>
        <w:ind w:left="0" w:firstLine="0"/>
        <w:rPr>
          <w:b/>
          <w:szCs w:val="24"/>
        </w:rPr>
      </w:pPr>
      <w:r w:rsidRPr="00981917">
        <w:rPr>
          <w:b/>
          <w:szCs w:val="24"/>
          <w:u w:val="single"/>
        </w:rPr>
        <w:t>Exceptions to the certification statement</w:t>
      </w:r>
      <w:r w:rsidRPr="00981917">
        <w:rPr>
          <w:b/>
          <w:szCs w:val="24"/>
        </w:rPr>
        <w:t xml:space="preserve">.  </w:t>
      </w:r>
    </w:p>
    <w:p w:rsidR="00CF556A" w:rsidRDefault="00CF556A" w:rsidP="00CF556A">
      <w:pPr>
        <w:rPr>
          <w:rFonts w:ascii="Arial" w:hAnsi="Arial" w:cs="Arial"/>
          <w:szCs w:val="24"/>
        </w:rPr>
      </w:pPr>
    </w:p>
    <w:p w:rsidR="00CF556A" w:rsidRPr="00CF556A" w:rsidRDefault="00CF556A" w:rsidP="00CF556A">
      <w:pPr>
        <w:rPr>
          <w:szCs w:val="24"/>
        </w:rPr>
      </w:pPr>
      <w:r w:rsidRPr="00CF556A">
        <w:rPr>
          <w:szCs w:val="24"/>
        </w:rPr>
        <w:lastRenderedPageBreak/>
        <w:t>There are no exceptions to the certification statement.</w:t>
      </w:r>
    </w:p>
    <w:p w:rsidR="00CF556A" w:rsidRPr="00981917" w:rsidRDefault="00CF556A" w:rsidP="00CF556A">
      <w:pPr>
        <w:widowControl w:val="0"/>
        <w:tabs>
          <w:tab w:val="left" w:pos="540"/>
        </w:tabs>
        <w:rPr>
          <w:b/>
          <w:szCs w:val="24"/>
        </w:rPr>
      </w:pPr>
      <w:r>
        <w:rPr>
          <w:b/>
          <w:szCs w:val="24"/>
          <w:u w:val="single"/>
        </w:rPr>
        <w:t xml:space="preserve"> </w:t>
      </w:r>
    </w:p>
    <w:p w:rsidR="00671D37" w:rsidRPr="00981917" w:rsidRDefault="00671D37" w:rsidP="00811808">
      <w:pPr>
        <w:widowControl w:val="0"/>
        <w:ind w:left="720"/>
        <w:rPr>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p w:rsidR="00A325F3" w:rsidRDefault="00A325F3" w:rsidP="007B68C6">
      <w:pPr>
        <w:widowControl w:val="0"/>
        <w:rPr>
          <w:b/>
          <w:szCs w:val="24"/>
        </w:rPr>
      </w:pPr>
    </w:p>
    <w:sectPr w:rsidR="00A325F3" w:rsidSect="00C00AA7">
      <w:headerReference w:type="even" r:id="rId11"/>
      <w:headerReference w:type="default" r:id="rId12"/>
      <w:footerReference w:type="even" r:id="rId13"/>
      <w:footerReference w:type="default" r:id="rId14"/>
      <w:footnotePr>
        <w:numFmt w:val="lowerLetter"/>
      </w:footnotePr>
      <w:endnotePr>
        <w:numFmt w:val="lowerLetter"/>
      </w:endnotePr>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B14" w:rsidRDefault="007C3B14">
      <w:r>
        <w:separator/>
      </w:r>
    </w:p>
  </w:endnote>
  <w:endnote w:type="continuationSeparator" w:id="0">
    <w:p w:rsidR="007C3B14" w:rsidRDefault="007C3B14">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E0" w:rsidRDefault="00AA4EE0">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E0" w:rsidRDefault="00AA4EE0">
    <w:pPr>
      <w:widowControl w:val="0"/>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B14" w:rsidRDefault="007C3B14">
      <w:r>
        <w:separator/>
      </w:r>
    </w:p>
  </w:footnote>
  <w:footnote w:type="continuationSeparator" w:id="0">
    <w:p w:rsidR="007C3B14" w:rsidRDefault="007C3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E0" w:rsidRDefault="006F7003" w:rsidP="00A40753">
    <w:pPr>
      <w:pStyle w:val="Header"/>
      <w:framePr w:wrap="around" w:vAnchor="text" w:hAnchor="margin" w:xAlign="center" w:y="1"/>
      <w:rPr>
        <w:rStyle w:val="PageNumber"/>
      </w:rPr>
    </w:pPr>
    <w:r>
      <w:rPr>
        <w:rStyle w:val="PageNumber"/>
      </w:rPr>
      <w:fldChar w:fldCharType="begin"/>
    </w:r>
    <w:r w:rsidR="00AA4EE0">
      <w:rPr>
        <w:rStyle w:val="PageNumber"/>
      </w:rPr>
      <w:instrText xml:space="preserve">PAGE  </w:instrText>
    </w:r>
    <w:r>
      <w:rPr>
        <w:rStyle w:val="PageNumber"/>
      </w:rPr>
      <w:fldChar w:fldCharType="separate"/>
    </w:r>
    <w:r w:rsidR="003E321F">
      <w:rPr>
        <w:rStyle w:val="PageNumber"/>
        <w:noProof/>
      </w:rPr>
      <w:t>2</w:t>
    </w:r>
    <w:r>
      <w:rPr>
        <w:rStyle w:val="PageNumber"/>
      </w:rPr>
      <w:fldChar w:fldCharType="end"/>
    </w:r>
  </w:p>
  <w:p w:rsidR="00AA4EE0" w:rsidRDefault="00AA4EE0">
    <w:pPr>
      <w:widowControl w:v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E0" w:rsidRDefault="006F7003" w:rsidP="00A40753">
    <w:pPr>
      <w:pStyle w:val="Header"/>
      <w:framePr w:wrap="around" w:vAnchor="text" w:hAnchor="margin" w:xAlign="center" w:y="1"/>
      <w:rPr>
        <w:rStyle w:val="PageNumber"/>
      </w:rPr>
    </w:pPr>
    <w:r>
      <w:rPr>
        <w:rStyle w:val="PageNumber"/>
      </w:rPr>
      <w:fldChar w:fldCharType="begin"/>
    </w:r>
    <w:r w:rsidR="00AA4EE0">
      <w:rPr>
        <w:rStyle w:val="PageNumber"/>
      </w:rPr>
      <w:instrText xml:space="preserve">PAGE  </w:instrText>
    </w:r>
    <w:r>
      <w:rPr>
        <w:rStyle w:val="PageNumber"/>
      </w:rPr>
      <w:fldChar w:fldCharType="separate"/>
    </w:r>
    <w:r w:rsidR="003E321F">
      <w:rPr>
        <w:rStyle w:val="PageNumber"/>
        <w:noProof/>
      </w:rPr>
      <w:t>5</w:t>
    </w:r>
    <w:r>
      <w:rPr>
        <w:rStyle w:val="PageNumber"/>
      </w:rPr>
      <w:fldChar w:fldCharType="end"/>
    </w:r>
  </w:p>
  <w:p w:rsidR="00AA4EE0" w:rsidRDefault="00AA4EE0">
    <w:pPr>
      <w:widowControl w:val="0"/>
    </w:pPr>
  </w:p>
  <w:p w:rsidR="00AA4EE0" w:rsidRDefault="00AA4EE0">
    <w:pPr>
      <w:widowContro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7933F84"/>
    <w:multiLevelType w:val="hybridMultilevel"/>
    <w:tmpl w:val="3904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F42925"/>
    <w:multiLevelType w:val="hybridMultilevel"/>
    <w:tmpl w:val="68D2D4CA"/>
    <w:lvl w:ilvl="0" w:tplc="EF9CCF0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F77339"/>
    <w:multiLevelType w:val="hybridMultilevel"/>
    <w:tmpl w:val="85162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18715436"/>
    <w:multiLevelType w:val="hybridMultilevel"/>
    <w:tmpl w:val="316C5E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1C66843"/>
    <w:multiLevelType w:val="hybridMultilevel"/>
    <w:tmpl w:val="4CD88A06"/>
    <w:lvl w:ilvl="0" w:tplc="AB8490D4">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33620183"/>
    <w:multiLevelType w:val="hybridMultilevel"/>
    <w:tmpl w:val="4E32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1E766A"/>
    <w:multiLevelType w:val="hybridMultilevel"/>
    <w:tmpl w:val="6EB8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4572DC"/>
    <w:multiLevelType w:val="hybridMultilevel"/>
    <w:tmpl w:val="F4A28D08"/>
    <w:lvl w:ilvl="0" w:tplc="0409000F">
      <w:start w:val="1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FE461D"/>
    <w:multiLevelType w:val="hybridMultilevel"/>
    <w:tmpl w:val="5EE8709C"/>
    <w:lvl w:ilvl="0" w:tplc="D47AC800">
      <w:start w:val="1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nsid w:val="41841460"/>
    <w:multiLevelType w:val="hybridMultilevel"/>
    <w:tmpl w:val="D8D05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7D5D7B"/>
    <w:multiLevelType w:val="hybridMultilevel"/>
    <w:tmpl w:val="28EC3730"/>
    <w:lvl w:ilvl="0" w:tplc="C83408E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CC427E1"/>
    <w:multiLevelType w:val="hybridMultilevel"/>
    <w:tmpl w:val="EE165D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5770F2"/>
    <w:multiLevelType w:val="hybridMultilevel"/>
    <w:tmpl w:val="59AE024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8"/>
  </w:num>
  <w:num w:numId="10">
    <w:abstractNumId w:val="22"/>
  </w:num>
  <w:num w:numId="11">
    <w:abstractNumId w:val="26"/>
  </w:num>
  <w:num w:numId="12">
    <w:abstractNumId w:val="8"/>
  </w:num>
  <w:num w:numId="13">
    <w:abstractNumId w:val="14"/>
  </w:num>
  <w:num w:numId="14">
    <w:abstractNumId w:val="18"/>
  </w:num>
  <w:num w:numId="15">
    <w:abstractNumId w:val="25"/>
  </w:num>
  <w:num w:numId="16">
    <w:abstractNumId w:val="16"/>
  </w:num>
  <w:num w:numId="17">
    <w:abstractNumId w:val="29"/>
  </w:num>
  <w:num w:numId="18">
    <w:abstractNumId w:val="20"/>
  </w:num>
  <w:num w:numId="19">
    <w:abstractNumId w:val="10"/>
  </w:num>
  <w:num w:numId="20">
    <w:abstractNumId w:val="30"/>
  </w:num>
  <w:num w:numId="21">
    <w:abstractNumId w:val="17"/>
  </w:num>
  <w:num w:numId="22">
    <w:abstractNumId w:val="27"/>
  </w:num>
  <w:num w:numId="23">
    <w:abstractNumId w:val="9"/>
  </w:num>
  <w:num w:numId="24">
    <w:abstractNumId w:val="19"/>
  </w:num>
  <w:num w:numId="25">
    <w:abstractNumId w:val="13"/>
  </w:num>
  <w:num w:numId="26">
    <w:abstractNumId w:val="24"/>
  </w:num>
  <w:num w:numId="27">
    <w:abstractNumId w:val="11"/>
  </w:num>
  <w:num w:numId="28">
    <w:abstractNumId w:val="21"/>
  </w:num>
  <w:num w:numId="29">
    <w:abstractNumId w:val="15"/>
  </w:num>
  <w:num w:numId="30">
    <w:abstractNumId w:val="12"/>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trackRevisions/>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F7389D"/>
    <w:rsid w:val="0000185B"/>
    <w:rsid w:val="000105AA"/>
    <w:rsid w:val="0001363C"/>
    <w:rsid w:val="00016B08"/>
    <w:rsid w:val="00016E42"/>
    <w:rsid w:val="00025366"/>
    <w:rsid w:val="00027E6E"/>
    <w:rsid w:val="00044C4B"/>
    <w:rsid w:val="00046647"/>
    <w:rsid w:val="000525A0"/>
    <w:rsid w:val="000673B2"/>
    <w:rsid w:val="000736A7"/>
    <w:rsid w:val="000738F3"/>
    <w:rsid w:val="0007609B"/>
    <w:rsid w:val="000773D0"/>
    <w:rsid w:val="00082B4A"/>
    <w:rsid w:val="00086A03"/>
    <w:rsid w:val="00087CC3"/>
    <w:rsid w:val="000907D5"/>
    <w:rsid w:val="0009490E"/>
    <w:rsid w:val="000A6210"/>
    <w:rsid w:val="000A6237"/>
    <w:rsid w:val="000A6651"/>
    <w:rsid w:val="000C1CDA"/>
    <w:rsid w:val="000C5B12"/>
    <w:rsid w:val="000C7CD9"/>
    <w:rsid w:val="000D16E2"/>
    <w:rsid w:val="000D2714"/>
    <w:rsid w:val="000D3A31"/>
    <w:rsid w:val="000E129F"/>
    <w:rsid w:val="000F02F0"/>
    <w:rsid w:val="000F1783"/>
    <w:rsid w:val="000F26F5"/>
    <w:rsid w:val="0010553F"/>
    <w:rsid w:val="00105786"/>
    <w:rsid w:val="00111C90"/>
    <w:rsid w:val="0012012B"/>
    <w:rsid w:val="00125C17"/>
    <w:rsid w:val="00143869"/>
    <w:rsid w:val="0014478D"/>
    <w:rsid w:val="00145724"/>
    <w:rsid w:val="00145EE7"/>
    <w:rsid w:val="00157189"/>
    <w:rsid w:val="001602BD"/>
    <w:rsid w:val="00162850"/>
    <w:rsid w:val="00192FE7"/>
    <w:rsid w:val="00194A5D"/>
    <w:rsid w:val="00194CD4"/>
    <w:rsid w:val="001A4B34"/>
    <w:rsid w:val="001B15DA"/>
    <w:rsid w:val="001B421C"/>
    <w:rsid w:val="001C48EF"/>
    <w:rsid w:val="001C56C9"/>
    <w:rsid w:val="001C5711"/>
    <w:rsid w:val="001D1C24"/>
    <w:rsid w:val="001D224D"/>
    <w:rsid w:val="001F680E"/>
    <w:rsid w:val="001F6DE6"/>
    <w:rsid w:val="001F711A"/>
    <w:rsid w:val="00214EA1"/>
    <w:rsid w:val="00216BBD"/>
    <w:rsid w:val="00220896"/>
    <w:rsid w:val="002231EF"/>
    <w:rsid w:val="00225376"/>
    <w:rsid w:val="00230DB5"/>
    <w:rsid w:val="00243260"/>
    <w:rsid w:val="00250CAF"/>
    <w:rsid w:val="00254AB4"/>
    <w:rsid w:val="0025583E"/>
    <w:rsid w:val="002558AD"/>
    <w:rsid w:val="00262265"/>
    <w:rsid w:val="0026368B"/>
    <w:rsid w:val="0026419F"/>
    <w:rsid w:val="00264923"/>
    <w:rsid w:val="00271E38"/>
    <w:rsid w:val="00282AD5"/>
    <w:rsid w:val="00282E6B"/>
    <w:rsid w:val="002843AF"/>
    <w:rsid w:val="00285BC2"/>
    <w:rsid w:val="002874C2"/>
    <w:rsid w:val="00290CB3"/>
    <w:rsid w:val="00291331"/>
    <w:rsid w:val="002929B0"/>
    <w:rsid w:val="0029371B"/>
    <w:rsid w:val="002958AA"/>
    <w:rsid w:val="002A1CB8"/>
    <w:rsid w:val="002A4DFE"/>
    <w:rsid w:val="002A5A16"/>
    <w:rsid w:val="002B54A1"/>
    <w:rsid w:val="002B6B54"/>
    <w:rsid w:val="002B7D25"/>
    <w:rsid w:val="002C79EE"/>
    <w:rsid w:val="002D2A3F"/>
    <w:rsid w:val="002E01F3"/>
    <w:rsid w:val="002E0312"/>
    <w:rsid w:val="002E154D"/>
    <w:rsid w:val="002E3119"/>
    <w:rsid w:val="002E76DF"/>
    <w:rsid w:val="002F283D"/>
    <w:rsid w:val="003016BA"/>
    <w:rsid w:val="0030347C"/>
    <w:rsid w:val="0030454E"/>
    <w:rsid w:val="0030713B"/>
    <w:rsid w:val="00310EB0"/>
    <w:rsid w:val="00311384"/>
    <w:rsid w:val="0031308A"/>
    <w:rsid w:val="00323F3E"/>
    <w:rsid w:val="00331FCC"/>
    <w:rsid w:val="0034019E"/>
    <w:rsid w:val="00342AD1"/>
    <w:rsid w:val="003520AC"/>
    <w:rsid w:val="003533E1"/>
    <w:rsid w:val="0035553B"/>
    <w:rsid w:val="00364904"/>
    <w:rsid w:val="00366EDD"/>
    <w:rsid w:val="00375982"/>
    <w:rsid w:val="003825DD"/>
    <w:rsid w:val="00383C3D"/>
    <w:rsid w:val="003848F8"/>
    <w:rsid w:val="00385DEC"/>
    <w:rsid w:val="0039412D"/>
    <w:rsid w:val="0039436D"/>
    <w:rsid w:val="00397165"/>
    <w:rsid w:val="00397F24"/>
    <w:rsid w:val="003A4F34"/>
    <w:rsid w:val="003A5F80"/>
    <w:rsid w:val="003C5241"/>
    <w:rsid w:val="003C59D0"/>
    <w:rsid w:val="003E2025"/>
    <w:rsid w:val="003E321F"/>
    <w:rsid w:val="003F21BC"/>
    <w:rsid w:val="003F7495"/>
    <w:rsid w:val="003F7601"/>
    <w:rsid w:val="00400889"/>
    <w:rsid w:val="00412866"/>
    <w:rsid w:val="00414833"/>
    <w:rsid w:val="004274E3"/>
    <w:rsid w:val="00427866"/>
    <w:rsid w:val="00431B7C"/>
    <w:rsid w:val="00443959"/>
    <w:rsid w:val="00447A44"/>
    <w:rsid w:val="004547EA"/>
    <w:rsid w:val="00463435"/>
    <w:rsid w:val="004722AC"/>
    <w:rsid w:val="0048262A"/>
    <w:rsid w:val="0048271C"/>
    <w:rsid w:val="004845F1"/>
    <w:rsid w:val="00490FF0"/>
    <w:rsid w:val="00492398"/>
    <w:rsid w:val="00493B61"/>
    <w:rsid w:val="004A133B"/>
    <w:rsid w:val="004A2D90"/>
    <w:rsid w:val="004B0581"/>
    <w:rsid w:val="004B41D5"/>
    <w:rsid w:val="004C0E2A"/>
    <w:rsid w:val="004C2F19"/>
    <w:rsid w:val="004C5215"/>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36D30"/>
    <w:rsid w:val="00542E46"/>
    <w:rsid w:val="005432AF"/>
    <w:rsid w:val="005478A2"/>
    <w:rsid w:val="0055023E"/>
    <w:rsid w:val="005547E8"/>
    <w:rsid w:val="00561E7E"/>
    <w:rsid w:val="00566FB5"/>
    <w:rsid w:val="00571076"/>
    <w:rsid w:val="00576631"/>
    <w:rsid w:val="00581334"/>
    <w:rsid w:val="0058459E"/>
    <w:rsid w:val="00590D1C"/>
    <w:rsid w:val="00591081"/>
    <w:rsid w:val="005A0377"/>
    <w:rsid w:val="005A5526"/>
    <w:rsid w:val="005A7AAA"/>
    <w:rsid w:val="005B0506"/>
    <w:rsid w:val="005B0EF8"/>
    <w:rsid w:val="005C1E2C"/>
    <w:rsid w:val="005E0EDE"/>
    <w:rsid w:val="005E3952"/>
    <w:rsid w:val="005F0AE8"/>
    <w:rsid w:val="00602613"/>
    <w:rsid w:val="006056C6"/>
    <w:rsid w:val="00607316"/>
    <w:rsid w:val="00620F79"/>
    <w:rsid w:val="00624048"/>
    <w:rsid w:val="006306BD"/>
    <w:rsid w:val="00636AA0"/>
    <w:rsid w:val="0064782C"/>
    <w:rsid w:val="00647958"/>
    <w:rsid w:val="0065710F"/>
    <w:rsid w:val="006621E3"/>
    <w:rsid w:val="00662EDA"/>
    <w:rsid w:val="00662FEA"/>
    <w:rsid w:val="00671D37"/>
    <w:rsid w:val="006726A6"/>
    <w:rsid w:val="00672790"/>
    <w:rsid w:val="00681E37"/>
    <w:rsid w:val="0068484D"/>
    <w:rsid w:val="00687C73"/>
    <w:rsid w:val="00690F3D"/>
    <w:rsid w:val="00691922"/>
    <w:rsid w:val="00693C31"/>
    <w:rsid w:val="006A0320"/>
    <w:rsid w:val="006B5210"/>
    <w:rsid w:val="006B749B"/>
    <w:rsid w:val="006C0638"/>
    <w:rsid w:val="006C1DBB"/>
    <w:rsid w:val="006D527E"/>
    <w:rsid w:val="006E25DB"/>
    <w:rsid w:val="006F7003"/>
    <w:rsid w:val="00702774"/>
    <w:rsid w:val="0070386C"/>
    <w:rsid w:val="00720D5B"/>
    <w:rsid w:val="0072371F"/>
    <w:rsid w:val="00724627"/>
    <w:rsid w:val="00731CCC"/>
    <w:rsid w:val="00731F93"/>
    <w:rsid w:val="00733E58"/>
    <w:rsid w:val="00736387"/>
    <w:rsid w:val="00743112"/>
    <w:rsid w:val="007513F9"/>
    <w:rsid w:val="00752227"/>
    <w:rsid w:val="00763417"/>
    <w:rsid w:val="007666F7"/>
    <w:rsid w:val="0078271D"/>
    <w:rsid w:val="00785360"/>
    <w:rsid w:val="00786565"/>
    <w:rsid w:val="00787F4D"/>
    <w:rsid w:val="00790443"/>
    <w:rsid w:val="00791079"/>
    <w:rsid w:val="007955BD"/>
    <w:rsid w:val="007975AF"/>
    <w:rsid w:val="007A11F2"/>
    <w:rsid w:val="007A2754"/>
    <w:rsid w:val="007B3022"/>
    <w:rsid w:val="007B6267"/>
    <w:rsid w:val="007B68C6"/>
    <w:rsid w:val="007C2F1C"/>
    <w:rsid w:val="007C3B14"/>
    <w:rsid w:val="007D7EDD"/>
    <w:rsid w:val="007E0401"/>
    <w:rsid w:val="007E2D7F"/>
    <w:rsid w:val="007E7F05"/>
    <w:rsid w:val="0080049A"/>
    <w:rsid w:val="00800FF7"/>
    <w:rsid w:val="00802D6E"/>
    <w:rsid w:val="0080405D"/>
    <w:rsid w:val="00810BF4"/>
    <w:rsid w:val="00811808"/>
    <w:rsid w:val="0081234E"/>
    <w:rsid w:val="00822686"/>
    <w:rsid w:val="00824623"/>
    <w:rsid w:val="00827A2E"/>
    <w:rsid w:val="00843930"/>
    <w:rsid w:val="00866699"/>
    <w:rsid w:val="008755DD"/>
    <w:rsid w:val="00877239"/>
    <w:rsid w:val="00884CD2"/>
    <w:rsid w:val="008909EB"/>
    <w:rsid w:val="008B1820"/>
    <w:rsid w:val="008B5371"/>
    <w:rsid w:val="008E08CF"/>
    <w:rsid w:val="008E7D69"/>
    <w:rsid w:val="009038BD"/>
    <w:rsid w:val="00910FC7"/>
    <w:rsid w:val="00912BA0"/>
    <w:rsid w:val="00926731"/>
    <w:rsid w:val="009302FD"/>
    <w:rsid w:val="0093512C"/>
    <w:rsid w:val="00936CC3"/>
    <w:rsid w:val="00936FE9"/>
    <w:rsid w:val="0094084B"/>
    <w:rsid w:val="00954038"/>
    <w:rsid w:val="00961632"/>
    <w:rsid w:val="009678C5"/>
    <w:rsid w:val="00970D00"/>
    <w:rsid w:val="00977EE8"/>
    <w:rsid w:val="00980DC2"/>
    <w:rsid w:val="00981917"/>
    <w:rsid w:val="00984314"/>
    <w:rsid w:val="009857FB"/>
    <w:rsid w:val="00990FC4"/>
    <w:rsid w:val="009914F8"/>
    <w:rsid w:val="00992FB8"/>
    <w:rsid w:val="00997784"/>
    <w:rsid w:val="00997834"/>
    <w:rsid w:val="009A3299"/>
    <w:rsid w:val="009B3673"/>
    <w:rsid w:val="009D7683"/>
    <w:rsid w:val="009E1D59"/>
    <w:rsid w:val="009E257C"/>
    <w:rsid w:val="009E26B1"/>
    <w:rsid w:val="009E2B72"/>
    <w:rsid w:val="009E49DB"/>
    <w:rsid w:val="009E4A89"/>
    <w:rsid w:val="009E6DB8"/>
    <w:rsid w:val="009F3D0A"/>
    <w:rsid w:val="009F4A38"/>
    <w:rsid w:val="00A0677C"/>
    <w:rsid w:val="00A1037E"/>
    <w:rsid w:val="00A17223"/>
    <w:rsid w:val="00A32459"/>
    <w:rsid w:val="00A325F3"/>
    <w:rsid w:val="00A32E48"/>
    <w:rsid w:val="00A333D0"/>
    <w:rsid w:val="00A3435C"/>
    <w:rsid w:val="00A37A22"/>
    <w:rsid w:val="00A40753"/>
    <w:rsid w:val="00A43426"/>
    <w:rsid w:val="00A45FCC"/>
    <w:rsid w:val="00A46ADB"/>
    <w:rsid w:val="00A614BB"/>
    <w:rsid w:val="00A63B31"/>
    <w:rsid w:val="00A63D7F"/>
    <w:rsid w:val="00A71EC0"/>
    <w:rsid w:val="00A75487"/>
    <w:rsid w:val="00A75790"/>
    <w:rsid w:val="00A81529"/>
    <w:rsid w:val="00A858BC"/>
    <w:rsid w:val="00A86046"/>
    <w:rsid w:val="00A9035F"/>
    <w:rsid w:val="00A90814"/>
    <w:rsid w:val="00A96C7B"/>
    <w:rsid w:val="00AA1704"/>
    <w:rsid w:val="00AA2D42"/>
    <w:rsid w:val="00AA47CB"/>
    <w:rsid w:val="00AA4EE0"/>
    <w:rsid w:val="00AB3D2D"/>
    <w:rsid w:val="00AB5155"/>
    <w:rsid w:val="00AB7AC4"/>
    <w:rsid w:val="00AC0FED"/>
    <w:rsid w:val="00AC512B"/>
    <w:rsid w:val="00AD05BD"/>
    <w:rsid w:val="00AD24E5"/>
    <w:rsid w:val="00AD3BB5"/>
    <w:rsid w:val="00AD5CA9"/>
    <w:rsid w:val="00AE0791"/>
    <w:rsid w:val="00AF0344"/>
    <w:rsid w:val="00AF2582"/>
    <w:rsid w:val="00AF3B34"/>
    <w:rsid w:val="00AF7CF8"/>
    <w:rsid w:val="00AF7D52"/>
    <w:rsid w:val="00B029B8"/>
    <w:rsid w:val="00B0326B"/>
    <w:rsid w:val="00B114B5"/>
    <w:rsid w:val="00B11502"/>
    <w:rsid w:val="00B15EA9"/>
    <w:rsid w:val="00B16A3B"/>
    <w:rsid w:val="00B217B0"/>
    <w:rsid w:val="00B2436D"/>
    <w:rsid w:val="00B34D95"/>
    <w:rsid w:val="00B40E11"/>
    <w:rsid w:val="00B623C2"/>
    <w:rsid w:val="00B67CA5"/>
    <w:rsid w:val="00B7377F"/>
    <w:rsid w:val="00B753FC"/>
    <w:rsid w:val="00B81722"/>
    <w:rsid w:val="00B967CD"/>
    <w:rsid w:val="00B97699"/>
    <w:rsid w:val="00BA0154"/>
    <w:rsid w:val="00BB1A46"/>
    <w:rsid w:val="00BD7C75"/>
    <w:rsid w:val="00BE18FD"/>
    <w:rsid w:val="00BE2A4F"/>
    <w:rsid w:val="00BE2C8F"/>
    <w:rsid w:val="00BF16E9"/>
    <w:rsid w:val="00C00AA7"/>
    <w:rsid w:val="00C0163B"/>
    <w:rsid w:val="00C03498"/>
    <w:rsid w:val="00C10EC6"/>
    <w:rsid w:val="00C212CB"/>
    <w:rsid w:val="00C2648A"/>
    <w:rsid w:val="00C314A7"/>
    <w:rsid w:val="00C3484D"/>
    <w:rsid w:val="00C34F9B"/>
    <w:rsid w:val="00C433E6"/>
    <w:rsid w:val="00C50B19"/>
    <w:rsid w:val="00C50BFC"/>
    <w:rsid w:val="00C56F3F"/>
    <w:rsid w:val="00C6441F"/>
    <w:rsid w:val="00C65AE6"/>
    <w:rsid w:val="00C67722"/>
    <w:rsid w:val="00C861B2"/>
    <w:rsid w:val="00C86674"/>
    <w:rsid w:val="00C95090"/>
    <w:rsid w:val="00C96B62"/>
    <w:rsid w:val="00CA2F8F"/>
    <w:rsid w:val="00CA5901"/>
    <w:rsid w:val="00CB1F75"/>
    <w:rsid w:val="00CB30D6"/>
    <w:rsid w:val="00CB5473"/>
    <w:rsid w:val="00CC4C8E"/>
    <w:rsid w:val="00CE14A5"/>
    <w:rsid w:val="00CE39FC"/>
    <w:rsid w:val="00CE48C3"/>
    <w:rsid w:val="00CE7782"/>
    <w:rsid w:val="00CF168D"/>
    <w:rsid w:val="00CF4CB1"/>
    <w:rsid w:val="00CF556A"/>
    <w:rsid w:val="00D04A50"/>
    <w:rsid w:val="00D05F3A"/>
    <w:rsid w:val="00D06745"/>
    <w:rsid w:val="00D14093"/>
    <w:rsid w:val="00D1476A"/>
    <w:rsid w:val="00D214A4"/>
    <w:rsid w:val="00D25907"/>
    <w:rsid w:val="00D25987"/>
    <w:rsid w:val="00D37B6D"/>
    <w:rsid w:val="00D404C6"/>
    <w:rsid w:val="00D46D10"/>
    <w:rsid w:val="00D50419"/>
    <w:rsid w:val="00D546F8"/>
    <w:rsid w:val="00D55503"/>
    <w:rsid w:val="00D7060E"/>
    <w:rsid w:val="00D7263D"/>
    <w:rsid w:val="00D748B0"/>
    <w:rsid w:val="00D759FC"/>
    <w:rsid w:val="00D76BC7"/>
    <w:rsid w:val="00D8068F"/>
    <w:rsid w:val="00D86FC6"/>
    <w:rsid w:val="00DA0408"/>
    <w:rsid w:val="00DA1B86"/>
    <w:rsid w:val="00DA2E75"/>
    <w:rsid w:val="00DB4683"/>
    <w:rsid w:val="00DB6E97"/>
    <w:rsid w:val="00DC04EE"/>
    <w:rsid w:val="00DD4518"/>
    <w:rsid w:val="00DE0132"/>
    <w:rsid w:val="00DE110A"/>
    <w:rsid w:val="00DE3587"/>
    <w:rsid w:val="00DE3BB2"/>
    <w:rsid w:val="00E03924"/>
    <w:rsid w:val="00E07CCF"/>
    <w:rsid w:val="00E11316"/>
    <w:rsid w:val="00E15198"/>
    <w:rsid w:val="00E16B93"/>
    <w:rsid w:val="00E215A6"/>
    <w:rsid w:val="00E23F15"/>
    <w:rsid w:val="00E25C4A"/>
    <w:rsid w:val="00E27B6B"/>
    <w:rsid w:val="00E31627"/>
    <w:rsid w:val="00E35C6E"/>
    <w:rsid w:val="00E3745C"/>
    <w:rsid w:val="00E37575"/>
    <w:rsid w:val="00E459F0"/>
    <w:rsid w:val="00E50617"/>
    <w:rsid w:val="00E50A59"/>
    <w:rsid w:val="00E50DA4"/>
    <w:rsid w:val="00E53C24"/>
    <w:rsid w:val="00E66A09"/>
    <w:rsid w:val="00E67ED3"/>
    <w:rsid w:val="00E70EE8"/>
    <w:rsid w:val="00E71925"/>
    <w:rsid w:val="00E76DB5"/>
    <w:rsid w:val="00E80588"/>
    <w:rsid w:val="00E80A8C"/>
    <w:rsid w:val="00EA0394"/>
    <w:rsid w:val="00EA4521"/>
    <w:rsid w:val="00EA4541"/>
    <w:rsid w:val="00EA591D"/>
    <w:rsid w:val="00EA7689"/>
    <w:rsid w:val="00EB4240"/>
    <w:rsid w:val="00EC23D6"/>
    <w:rsid w:val="00EC7D44"/>
    <w:rsid w:val="00ED24F2"/>
    <w:rsid w:val="00ED4F84"/>
    <w:rsid w:val="00EE1E06"/>
    <w:rsid w:val="00EE5390"/>
    <w:rsid w:val="00EE6BBC"/>
    <w:rsid w:val="00EE7770"/>
    <w:rsid w:val="00EF4FFB"/>
    <w:rsid w:val="00F03BBF"/>
    <w:rsid w:val="00F05C58"/>
    <w:rsid w:val="00F12098"/>
    <w:rsid w:val="00F138FF"/>
    <w:rsid w:val="00F24E7C"/>
    <w:rsid w:val="00F31288"/>
    <w:rsid w:val="00F37A76"/>
    <w:rsid w:val="00F415DF"/>
    <w:rsid w:val="00F422CF"/>
    <w:rsid w:val="00F42E08"/>
    <w:rsid w:val="00F45141"/>
    <w:rsid w:val="00F45271"/>
    <w:rsid w:val="00F4544F"/>
    <w:rsid w:val="00F45A57"/>
    <w:rsid w:val="00F567CF"/>
    <w:rsid w:val="00F57B41"/>
    <w:rsid w:val="00F67FCC"/>
    <w:rsid w:val="00F702C1"/>
    <w:rsid w:val="00F7389D"/>
    <w:rsid w:val="00F741DE"/>
    <w:rsid w:val="00F74A54"/>
    <w:rsid w:val="00F75AD0"/>
    <w:rsid w:val="00F75DB2"/>
    <w:rsid w:val="00F820EB"/>
    <w:rsid w:val="00F83CF4"/>
    <w:rsid w:val="00F90453"/>
    <w:rsid w:val="00FA67BC"/>
    <w:rsid w:val="00FA6919"/>
    <w:rsid w:val="00FC5765"/>
    <w:rsid w:val="00FD167E"/>
    <w:rsid w:val="00FE16F5"/>
    <w:rsid w:val="00FE1BFF"/>
    <w:rsid w:val="00FE477B"/>
    <w:rsid w:val="00FF14E0"/>
    <w:rsid w:val="00FF275A"/>
    <w:rsid w:val="00FF5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1C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rsid w:val="000C1CDA"/>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character" w:styleId="Hyperlink">
    <w:name w:val="Hyperlink"/>
    <w:basedOn w:val="DefaultParagraphFont"/>
    <w:rsid w:val="001F711A"/>
    <w:rPr>
      <w:color w:val="0000FF"/>
      <w:u w:val="single"/>
    </w:rPr>
  </w:style>
  <w:style w:type="paragraph" w:styleId="BodyText3">
    <w:name w:val="Body Text 3"/>
    <w:basedOn w:val="Normal"/>
    <w:link w:val="BodyText3Char"/>
    <w:rsid w:val="001F711A"/>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pPr>
    <w:rPr>
      <w:rFonts w:ascii="Letter Gothic 12cpi" w:hAnsi="Letter Gothic 12cpi"/>
      <w:color w:val="FF0000"/>
      <w:szCs w:val="24"/>
    </w:rPr>
  </w:style>
  <w:style w:type="character" w:customStyle="1" w:styleId="BodyText3Char">
    <w:name w:val="Body Text 3 Char"/>
    <w:basedOn w:val="DefaultParagraphFont"/>
    <w:link w:val="BodyText3"/>
    <w:rsid w:val="001F711A"/>
    <w:rPr>
      <w:rFonts w:ascii="Letter Gothic 12cpi" w:hAnsi="Letter Gothic 12cpi"/>
      <w:color w:val="FF0000"/>
      <w:sz w:val="24"/>
      <w:szCs w:val="24"/>
    </w:rPr>
  </w:style>
  <w:style w:type="paragraph" w:styleId="NormalWeb">
    <w:name w:val="Normal (Web)"/>
    <w:basedOn w:val="Normal"/>
    <w:uiPriority w:val="99"/>
    <w:rsid w:val="001F711A"/>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4C0E2A"/>
    <w:pPr>
      <w:ind w:left="720"/>
      <w:contextualSpacing/>
    </w:pPr>
  </w:style>
  <w:style w:type="table" w:styleId="TableGrid">
    <w:name w:val="Table Grid"/>
    <w:basedOn w:val="TableNormal"/>
    <w:rsid w:val="00C96B6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967913">
      <w:bodyDiv w:val="1"/>
      <w:marLeft w:val="0"/>
      <w:marRight w:val="0"/>
      <w:marTop w:val="0"/>
      <w:marBottom w:val="0"/>
      <w:divBdr>
        <w:top w:val="none" w:sz="0" w:space="0" w:color="auto"/>
        <w:left w:val="none" w:sz="0" w:space="0" w:color="auto"/>
        <w:bottom w:val="none" w:sz="0" w:space="0" w:color="auto"/>
        <w:right w:val="none" w:sz="0" w:space="0" w:color="auto"/>
      </w:divBdr>
    </w:div>
    <w:div w:id="451629038">
      <w:bodyDiv w:val="1"/>
      <w:marLeft w:val="0"/>
      <w:marRight w:val="0"/>
      <w:marTop w:val="0"/>
      <w:marBottom w:val="0"/>
      <w:divBdr>
        <w:top w:val="none" w:sz="0" w:space="0" w:color="auto"/>
        <w:left w:val="none" w:sz="0" w:space="0" w:color="auto"/>
        <w:bottom w:val="none" w:sz="0" w:space="0" w:color="auto"/>
        <w:right w:val="none" w:sz="0" w:space="0" w:color="auto"/>
      </w:divBdr>
    </w:div>
    <w:div w:id="762455410">
      <w:bodyDiv w:val="1"/>
      <w:marLeft w:val="0"/>
      <w:marRight w:val="0"/>
      <w:marTop w:val="0"/>
      <w:marBottom w:val="0"/>
      <w:divBdr>
        <w:top w:val="none" w:sz="0" w:space="0" w:color="auto"/>
        <w:left w:val="none" w:sz="0" w:space="0" w:color="auto"/>
        <w:bottom w:val="none" w:sz="0" w:space="0" w:color="auto"/>
        <w:right w:val="none" w:sz="0" w:space="0" w:color="auto"/>
      </w:divBdr>
    </w:div>
    <w:div w:id="8810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5BAD1D51F2D4784A0BCEDCA4D0BAE" ma:contentTypeVersion="0" ma:contentTypeDescription="Create a new document." ma:contentTypeScope="" ma:versionID="e8c4aa2f7db550b9821036d4b853dfa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6BB52-77B9-4332-845C-527C28FA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6A3870F4-5298-450F-B16F-6747F2022E7B}">
  <ds:schemaRefs>
    <ds:schemaRef ds:uri="http://schemas.microsoft.com/office/2006/metadata/properties"/>
  </ds:schemaRefs>
</ds:datastoreItem>
</file>

<file path=customXml/itemProps4.xml><?xml version="1.0" encoding="utf-8"?>
<ds:datastoreItem xmlns:ds="http://schemas.openxmlformats.org/officeDocument/2006/customXml" ds:itemID="{A75F46E7-D983-4CCA-B64B-992A23F5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USDOT User</cp:lastModifiedBy>
  <cp:revision>2</cp:revision>
  <cp:lastPrinted>2011-02-17T16:39:00Z</cp:lastPrinted>
  <dcterms:created xsi:type="dcterms:W3CDTF">2011-02-17T20:43:00Z</dcterms:created>
  <dcterms:modified xsi:type="dcterms:W3CDTF">2011-02-17T20:43:00Z</dcterms:modified>
</cp:coreProperties>
</file>