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B02" w:rsidRPr="006C39B3" w:rsidRDefault="00C00B02" w:rsidP="000E46A1">
      <w:pPr>
        <w:tabs>
          <w:tab w:val="center" w:pos="5400"/>
        </w:tabs>
        <w:jc w:val="center"/>
        <w:rPr>
          <w:rFonts w:ascii="Times New Roman" w:hAnsi="Times New Roman"/>
          <w:b/>
        </w:rPr>
      </w:pPr>
    </w:p>
    <w:p w:rsidR="00C00B02" w:rsidRPr="006C39B3" w:rsidRDefault="00C00B02" w:rsidP="000E46A1">
      <w:pPr>
        <w:tabs>
          <w:tab w:val="center" w:pos="5400"/>
        </w:tabs>
        <w:jc w:val="center"/>
        <w:rPr>
          <w:rFonts w:ascii="Times New Roman" w:hAnsi="Times New Roman"/>
          <w:b/>
        </w:rPr>
      </w:pPr>
    </w:p>
    <w:p w:rsidR="00C00B02" w:rsidRPr="006C39B3" w:rsidRDefault="00C00B02" w:rsidP="000E46A1">
      <w:pPr>
        <w:tabs>
          <w:tab w:val="center" w:pos="5400"/>
        </w:tabs>
        <w:jc w:val="center"/>
        <w:rPr>
          <w:rFonts w:ascii="Times New Roman" w:hAnsi="Times New Roman"/>
          <w:b/>
        </w:rPr>
      </w:pPr>
    </w:p>
    <w:p w:rsidR="00C00B02" w:rsidRPr="006C39B3" w:rsidRDefault="00C00B02" w:rsidP="000E46A1">
      <w:pPr>
        <w:tabs>
          <w:tab w:val="center" w:pos="5400"/>
        </w:tabs>
        <w:jc w:val="center"/>
        <w:rPr>
          <w:rFonts w:ascii="Times New Roman" w:hAnsi="Times New Roman"/>
          <w:b/>
        </w:rPr>
      </w:pPr>
    </w:p>
    <w:p w:rsidR="005255F1" w:rsidRPr="006C39B3" w:rsidRDefault="005255F1" w:rsidP="000E46A1">
      <w:pPr>
        <w:tabs>
          <w:tab w:val="center" w:pos="5400"/>
        </w:tabs>
        <w:jc w:val="center"/>
        <w:rPr>
          <w:rFonts w:ascii="Times New Roman" w:hAnsi="Times New Roman"/>
          <w:b/>
        </w:rPr>
      </w:pPr>
      <w:r w:rsidRPr="006C39B3">
        <w:rPr>
          <w:rFonts w:ascii="Times New Roman" w:hAnsi="Times New Roman"/>
          <w:b/>
        </w:rPr>
        <w:t>SUPPORTING STATEMENT</w:t>
      </w:r>
    </w:p>
    <w:p w:rsidR="005255F1" w:rsidRPr="006C39B3" w:rsidRDefault="005255F1" w:rsidP="006F3074">
      <w:pPr>
        <w:tabs>
          <w:tab w:val="center" w:pos="5400"/>
        </w:tabs>
        <w:jc w:val="center"/>
        <w:rPr>
          <w:rFonts w:ascii="Times New Roman" w:hAnsi="Times New Roman"/>
          <w:b/>
          <w:szCs w:val="24"/>
        </w:rPr>
      </w:pPr>
      <w:r w:rsidRPr="006C39B3">
        <w:rPr>
          <w:rFonts w:ascii="Times New Roman" w:hAnsi="Times New Roman"/>
          <w:b/>
          <w:szCs w:val="24"/>
        </w:rPr>
        <w:t>FOR OMB REVIEW OF EPA ICR No.</w:t>
      </w:r>
      <w:r w:rsidR="004D5B31" w:rsidRPr="006C39B3">
        <w:rPr>
          <w:rFonts w:ascii="Times New Roman" w:hAnsi="Times New Roman"/>
          <w:b/>
          <w:szCs w:val="24"/>
        </w:rPr>
        <w:t xml:space="preserve"> 2400.01</w:t>
      </w:r>
      <w:r w:rsidRPr="006C39B3">
        <w:rPr>
          <w:rFonts w:ascii="Times New Roman" w:hAnsi="Times New Roman"/>
          <w:b/>
          <w:szCs w:val="24"/>
        </w:rPr>
        <w:t>:</w:t>
      </w:r>
    </w:p>
    <w:p w:rsidR="005255F1" w:rsidRPr="006C39B3" w:rsidRDefault="005255F1" w:rsidP="000E46A1">
      <w:pPr>
        <w:jc w:val="center"/>
        <w:rPr>
          <w:rFonts w:ascii="Times New Roman" w:hAnsi="Times New Roman"/>
          <w:b/>
        </w:rPr>
      </w:pPr>
    </w:p>
    <w:p w:rsidR="00C00B02" w:rsidRPr="006C39B3" w:rsidRDefault="00C00B02" w:rsidP="005F2409">
      <w:pPr>
        <w:pStyle w:val="Title"/>
        <w:spacing w:before="0" w:after="0"/>
      </w:pPr>
      <w:r w:rsidRPr="006C39B3">
        <w:t>INFORMATION COLLECTION REQUEST FOR</w:t>
      </w:r>
      <w:r w:rsidR="006F3074" w:rsidRPr="006C39B3">
        <w:t xml:space="preserve"> </w:t>
      </w:r>
      <w:r w:rsidR="00ED03AF" w:rsidRPr="006C39B3">
        <w:t xml:space="preserve">SECONDARY ALUMINUM </w:t>
      </w:r>
      <w:r w:rsidR="005F2409" w:rsidRPr="006C39B3">
        <w:t>PRODUCTION</w:t>
      </w:r>
      <w:r w:rsidR="00FC66A9" w:rsidRPr="006C39B3">
        <w:t xml:space="preserve"> </w:t>
      </w:r>
      <w:r w:rsidR="00ED03AF" w:rsidRPr="006C39B3">
        <w:t>NA</w:t>
      </w:r>
      <w:r w:rsidR="00E103DB" w:rsidRPr="006C39B3">
        <w:t xml:space="preserve">TIONAL EMISSION STANDARDS FOR HAZARDOUS AIR POLLUTANTS (NESHAP) </w:t>
      </w:r>
      <w:r w:rsidR="00FC66A9" w:rsidRPr="006C39B3">
        <w:t>RISK AND TECHNOLOGY REVIEW</w:t>
      </w:r>
      <w:r w:rsidR="00333BA0" w:rsidRPr="006C39B3">
        <w:t xml:space="preserve"> (RTR)</w:t>
      </w: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tabs>
          <w:tab w:val="center" w:pos="5400"/>
        </w:tabs>
        <w:jc w:val="center"/>
        <w:rPr>
          <w:rFonts w:ascii="Times New Roman" w:hAnsi="Times New Roman"/>
        </w:rPr>
      </w:pPr>
      <w:r w:rsidRPr="006C39B3">
        <w:rPr>
          <w:rFonts w:ascii="Times New Roman" w:hAnsi="Times New Roman"/>
        </w:rPr>
        <w:t>Sector Policies and Programs Division</w:t>
      </w:r>
    </w:p>
    <w:p w:rsidR="005255F1" w:rsidRPr="006C39B3" w:rsidRDefault="005255F1" w:rsidP="000E46A1">
      <w:pPr>
        <w:tabs>
          <w:tab w:val="center" w:pos="5400"/>
        </w:tabs>
        <w:jc w:val="center"/>
        <w:rPr>
          <w:rFonts w:ascii="Times New Roman" w:hAnsi="Times New Roman"/>
        </w:rPr>
      </w:pPr>
      <w:smartTag w:uri="urn:schemas-microsoft-com:office:smarttags" w:element="country-region">
        <w:smartTag w:uri="urn:schemas-microsoft-com:office:smarttags" w:element="place">
          <w:r w:rsidRPr="006C39B3">
            <w:rPr>
              <w:rFonts w:ascii="Times New Roman" w:hAnsi="Times New Roman"/>
            </w:rPr>
            <w:t>U.S.</w:t>
          </w:r>
        </w:smartTag>
      </w:smartTag>
      <w:r w:rsidRPr="006C39B3">
        <w:rPr>
          <w:rFonts w:ascii="Times New Roman" w:hAnsi="Times New Roman"/>
        </w:rPr>
        <w:t xml:space="preserve"> Environmental Protection Agency</w:t>
      </w:r>
    </w:p>
    <w:p w:rsidR="005255F1" w:rsidRPr="006C39B3" w:rsidRDefault="005255F1" w:rsidP="000E46A1">
      <w:pPr>
        <w:tabs>
          <w:tab w:val="center" w:pos="5400"/>
        </w:tabs>
        <w:jc w:val="center"/>
        <w:rPr>
          <w:rFonts w:ascii="Times New Roman" w:hAnsi="Times New Roman"/>
        </w:rPr>
      </w:pPr>
      <w:smartTag w:uri="urn:schemas-microsoft-com:office:smarttags" w:element="place">
        <w:smartTag w:uri="urn:schemas-microsoft-com:office:smarttags" w:element="City">
          <w:r w:rsidRPr="006C39B3">
            <w:rPr>
              <w:rFonts w:ascii="Times New Roman" w:hAnsi="Times New Roman"/>
            </w:rPr>
            <w:t>Research Triangle Park</w:t>
          </w:r>
        </w:smartTag>
        <w:r w:rsidRPr="006C39B3">
          <w:rPr>
            <w:rFonts w:ascii="Times New Roman" w:hAnsi="Times New Roman"/>
          </w:rPr>
          <w:t xml:space="preserve">, </w:t>
        </w:r>
        <w:smartTag w:uri="urn:schemas-microsoft-com:office:smarttags" w:element="State">
          <w:r w:rsidRPr="006C39B3">
            <w:rPr>
              <w:rFonts w:ascii="Times New Roman" w:hAnsi="Times New Roman"/>
            </w:rPr>
            <w:t>North Carolina</w:t>
          </w:r>
        </w:smartTag>
        <w:r w:rsidR="006F3802" w:rsidRPr="006C39B3">
          <w:rPr>
            <w:rFonts w:ascii="Times New Roman" w:hAnsi="Times New Roman"/>
          </w:rPr>
          <w:t xml:space="preserve"> </w:t>
        </w:r>
        <w:smartTag w:uri="urn:schemas-microsoft-com:office:smarttags" w:element="PostalCode">
          <w:r w:rsidRPr="006C39B3">
            <w:rPr>
              <w:rFonts w:ascii="Times New Roman" w:hAnsi="Times New Roman"/>
            </w:rPr>
            <w:t>27711</w:t>
          </w:r>
        </w:smartTag>
      </w:smartTag>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5255F1" w:rsidP="000E46A1">
      <w:pPr>
        <w:rPr>
          <w:rFonts w:ascii="Times New Roman" w:hAnsi="Times New Roman"/>
        </w:rPr>
      </w:pPr>
    </w:p>
    <w:p w:rsidR="005255F1" w:rsidRPr="006C39B3" w:rsidRDefault="007E18D5" w:rsidP="008D79F7">
      <w:pPr>
        <w:tabs>
          <w:tab w:val="center" w:pos="5400"/>
        </w:tabs>
        <w:jc w:val="center"/>
        <w:rPr>
          <w:rFonts w:ascii="Times New Roman" w:hAnsi="Times New Roman"/>
        </w:rPr>
      </w:pPr>
      <w:r>
        <w:rPr>
          <w:rFonts w:ascii="Times New Roman" w:hAnsi="Times New Roman"/>
        </w:rPr>
        <w:t xml:space="preserve">January </w:t>
      </w:r>
      <w:r w:rsidR="00875999">
        <w:rPr>
          <w:rFonts w:ascii="Times New Roman" w:hAnsi="Times New Roman"/>
        </w:rPr>
        <w:t>18</w:t>
      </w:r>
      <w:r w:rsidR="00FC66A9" w:rsidRPr="006C39B3">
        <w:rPr>
          <w:rFonts w:ascii="Times New Roman" w:hAnsi="Times New Roman"/>
        </w:rPr>
        <w:t>, 201</w:t>
      </w:r>
      <w:r w:rsidR="00875999">
        <w:rPr>
          <w:rFonts w:ascii="Times New Roman" w:hAnsi="Times New Roman"/>
        </w:rPr>
        <w:t>1</w:t>
      </w:r>
    </w:p>
    <w:p w:rsidR="007E7915" w:rsidRPr="006C39B3" w:rsidRDefault="005255F1" w:rsidP="000E46A1">
      <w:pPr>
        <w:pStyle w:val="Title"/>
        <w:spacing w:before="0" w:after="0"/>
      </w:pPr>
      <w:r w:rsidRPr="006C39B3">
        <w:br w:type="page"/>
      </w:r>
      <w:r w:rsidR="007E7915" w:rsidRPr="006C39B3">
        <w:lastRenderedPageBreak/>
        <w:t>SUPPORTING STATEMENT</w:t>
      </w:r>
    </w:p>
    <w:p w:rsidR="00333BA0" w:rsidRPr="006C39B3" w:rsidRDefault="00333BA0" w:rsidP="005F2409">
      <w:pPr>
        <w:pStyle w:val="Title"/>
        <w:spacing w:before="0" w:after="0"/>
      </w:pPr>
      <w:bookmarkStart w:id="0" w:name="OLE_LINK1"/>
      <w:bookmarkStart w:id="1" w:name="OLE_LINK2"/>
      <w:r w:rsidRPr="006C39B3">
        <w:t xml:space="preserve">INFORMATION COLLECTION REQUEST FOR </w:t>
      </w:r>
      <w:r w:rsidR="002600EF">
        <w:t xml:space="preserve">NESHAP FOR </w:t>
      </w:r>
      <w:r w:rsidR="002600EF" w:rsidRPr="006C39B3">
        <w:t>SECONDARY ALUMINUM PRODUCTION</w:t>
      </w:r>
      <w:r w:rsidR="003C3550" w:rsidRPr="006C39B3">
        <w:t xml:space="preserve"> RESIDUAL </w:t>
      </w:r>
      <w:r w:rsidRPr="006C39B3">
        <w:t xml:space="preserve">RISK AND TECHNOLOGY REVIEW </w:t>
      </w:r>
      <w:r w:rsidR="002600EF">
        <w:t>(RTR)</w:t>
      </w:r>
    </w:p>
    <w:bookmarkEnd w:id="0"/>
    <w:bookmarkEnd w:id="1"/>
    <w:p w:rsidR="006F3802" w:rsidRPr="006C39B3" w:rsidRDefault="006F3802" w:rsidP="006F3802"/>
    <w:p w:rsidR="007E7915" w:rsidRPr="006C39B3" w:rsidRDefault="007E7915" w:rsidP="000E46A1">
      <w:pPr>
        <w:pStyle w:val="Heading1"/>
        <w:spacing w:before="0" w:after="0" w:line="360" w:lineRule="auto"/>
      </w:pPr>
      <w:r w:rsidRPr="006C39B3">
        <w:t>Part A of the Supporting Statement</w:t>
      </w:r>
    </w:p>
    <w:p w:rsidR="007E7915" w:rsidRPr="006C39B3" w:rsidRDefault="007E7915" w:rsidP="000E46A1">
      <w:pPr>
        <w:pStyle w:val="Heading2"/>
        <w:spacing w:before="0" w:line="360" w:lineRule="auto"/>
      </w:pPr>
      <w:r w:rsidRPr="006C39B3">
        <w:t>1.</w:t>
      </w:r>
      <w:r w:rsidRPr="006C39B3">
        <w:tab/>
        <w:t>Identification of the Information Collection</w:t>
      </w:r>
    </w:p>
    <w:p w:rsidR="007E7915" w:rsidRPr="006C39B3" w:rsidRDefault="007E7915" w:rsidP="000E46A1">
      <w:pPr>
        <w:pStyle w:val="Heading3"/>
        <w:spacing w:before="0" w:after="0" w:line="360" w:lineRule="auto"/>
      </w:pPr>
      <w:r w:rsidRPr="006C39B3">
        <w:t>(a)</w:t>
      </w:r>
      <w:r w:rsidRPr="006C39B3">
        <w:tab/>
        <w:t xml:space="preserve">Title of the Information Collection </w:t>
      </w:r>
    </w:p>
    <w:p w:rsidR="007E7915" w:rsidRPr="006C39B3" w:rsidRDefault="007E7915" w:rsidP="005F2409">
      <w:pPr>
        <w:pStyle w:val="Para"/>
        <w:spacing w:after="0" w:line="360" w:lineRule="auto"/>
      </w:pPr>
      <w:r w:rsidRPr="006C39B3">
        <w:t>“</w:t>
      </w:r>
      <w:r w:rsidR="002600EF">
        <w:t xml:space="preserve">NESHAP for </w:t>
      </w:r>
      <w:r w:rsidR="002600EF" w:rsidRPr="006C39B3">
        <w:t>Secondary Aluminum Production</w:t>
      </w:r>
      <w:r w:rsidR="00333BA0" w:rsidRPr="006C39B3">
        <w:t xml:space="preserve"> </w:t>
      </w:r>
      <w:r w:rsidR="003C3550" w:rsidRPr="006C39B3">
        <w:t xml:space="preserve">Residual </w:t>
      </w:r>
      <w:r w:rsidR="00333BA0" w:rsidRPr="006C39B3">
        <w:t>Risk and Technology Review (RTR)</w:t>
      </w:r>
      <w:r w:rsidRPr="006C39B3">
        <w:t xml:space="preserve">.” </w:t>
      </w:r>
      <w:r w:rsidR="004E4E84" w:rsidRPr="006C39B3">
        <w:t xml:space="preserve"> </w:t>
      </w:r>
      <w:r w:rsidR="00583562" w:rsidRPr="006C39B3">
        <w:t>This is a new information collection request (ICR)</w:t>
      </w:r>
      <w:r w:rsidR="00D63269">
        <w:t>.  The EPA ICR number is 2400</w:t>
      </w:r>
      <w:r w:rsidR="00583562" w:rsidRPr="006C39B3">
        <w:t>.</w:t>
      </w:r>
      <w:r w:rsidR="00D63269">
        <w:t>01 and the OMB Control number is 2060-NEW.</w:t>
      </w:r>
    </w:p>
    <w:p w:rsidR="007E7915" w:rsidRPr="006C39B3" w:rsidRDefault="00583562" w:rsidP="000E46A1">
      <w:pPr>
        <w:pStyle w:val="Heading3"/>
        <w:spacing w:before="0" w:after="0" w:line="360" w:lineRule="auto"/>
      </w:pPr>
      <w:r w:rsidRPr="006C39B3">
        <w:t>(b)</w:t>
      </w:r>
      <w:r w:rsidRPr="006C39B3">
        <w:tab/>
        <w:t>Short Characterization</w:t>
      </w:r>
    </w:p>
    <w:p w:rsidR="004D08F1" w:rsidRPr="006C39B3" w:rsidRDefault="007E7915" w:rsidP="008D79F7">
      <w:pPr>
        <w:pStyle w:val="Para"/>
        <w:spacing w:after="0" w:line="360" w:lineRule="auto"/>
      </w:pPr>
      <w:r w:rsidRPr="006C39B3">
        <w:t xml:space="preserve">This information collection is being conducted by EPA’s Office of Air and Radiation (OAR) to assist the </w:t>
      </w:r>
      <w:r w:rsidR="00D10E40" w:rsidRPr="006C39B3">
        <w:t xml:space="preserve">EPA </w:t>
      </w:r>
      <w:r w:rsidRPr="006C39B3">
        <w:t>Administrator, as required by section</w:t>
      </w:r>
      <w:r w:rsidR="00703228" w:rsidRPr="006C39B3">
        <w:t>s</w:t>
      </w:r>
      <w:r w:rsidR="008D79F7" w:rsidRPr="006C39B3">
        <w:t xml:space="preserve"> </w:t>
      </w:r>
      <w:r w:rsidRPr="006C39B3">
        <w:t>112(d)</w:t>
      </w:r>
      <w:r w:rsidR="008F4FC2" w:rsidRPr="006C39B3">
        <w:t>(6)</w:t>
      </w:r>
      <w:r w:rsidR="006F3802" w:rsidRPr="006C39B3">
        <w:t>, and 112(f)</w:t>
      </w:r>
      <w:r w:rsidR="00494AB9" w:rsidRPr="006C39B3">
        <w:t xml:space="preserve"> </w:t>
      </w:r>
      <w:r w:rsidRPr="006C39B3">
        <w:t>of the Clean Air Act</w:t>
      </w:r>
      <w:r w:rsidR="006F3802" w:rsidRPr="006C39B3">
        <w:t xml:space="preserve"> (CAA)</w:t>
      </w:r>
      <w:r w:rsidRPr="006C39B3">
        <w:t xml:space="preserve">, as amended, to </w:t>
      </w:r>
      <w:r w:rsidR="006F3802" w:rsidRPr="006C39B3">
        <w:t xml:space="preserve">determine the current affected population of </w:t>
      </w:r>
      <w:r w:rsidR="00AD2422" w:rsidRPr="006C39B3">
        <w:t xml:space="preserve">secondary aluminum </w:t>
      </w:r>
      <w:r w:rsidR="008F4FC2" w:rsidRPr="006C39B3">
        <w:t>production</w:t>
      </w:r>
      <w:r w:rsidR="004D7923" w:rsidRPr="006C39B3">
        <w:t xml:space="preserve"> processes</w:t>
      </w:r>
      <w:r w:rsidR="006F3802" w:rsidRPr="006C39B3">
        <w:t xml:space="preserve"> and to</w:t>
      </w:r>
      <w:r w:rsidR="00DF12A8" w:rsidRPr="006C39B3">
        <w:t xml:space="preserve"> reevaluate</w:t>
      </w:r>
      <w:r w:rsidR="00484ED7" w:rsidRPr="006C39B3">
        <w:t xml:space="preserve"> </w:t>
      </w:r>
      <w:r w:rsidRPr="006C39B3">
        <w:t>emission standard</w:t>
      </w:r>
      <w:r w:rsidR="00484ED7" w:rsidRPr="006C39B3">
        <w:t>s</w:t>
      </w:r>
      <w:r w:rsidRPr="006C39B3">
        <w:t xml:space="preserve"> for this source category</w:t>
      </w:r>
      <w:r w:rsidR="00EB3D76" w:rsidRPr="006C39B3">
        <w:t xml:space="preserve">. </w:t>
      </w:r>
      <w:r w:rsidR="004D08F1" w:rsidRPr="006C39B3">
        <w:t xml:space="preserve"> The information from this ICR would also be made available to the public.</w:t>
      </w:r>
    </w:p>
    <w:p w:rsidR="00573DDB" w:rsidRPr="006C39B3" w:rsidRDefault="00C1718A" w:rsidP="005F2409">
      <w:pPr>
        <w:pStyle w:val="Para"/>
        <w:spacing w:after="0" w:line="360" w:lineRule="auto"/>
      </w:pPr>
      <w:r w:rsidRPr="006C39B3">
        <w:t xml:space="preserve">This is a one-time information collection.  Currently, information necessary to identify </w:t>
      </w:r>
      <w:r w:rsidR="00315396" w:rsidRPr="006C39B3">
        <w:t xml:space="preserve">secondary aluminum </w:t>
      </w:r>
      <w:r w:rsidR="005F2409" w:rsidRPr="006C39B3">
        <w:t>production</w:t>
      </w:r>
      <w:r w:rsidR="00315396" w:rsidRPr="006C39B3">
        <w:t xml:space="preserve"> facilities is </w:t>
      </w:r>
      <w:r w:rsidRPr="006C39B3">
        <w:t>available from EPA’s National Emissions Inventory (NE</w:t>
      </w:r>
      <w:r w:rsidR="00BF55AD" w:rsidRPr="006C39B3">
        <w:t xml:space="preserve">I).  </w:t>
      </w:r>
      <w:r w:rsidR="00315396" w:rsidRPr="006C39B3">
        <w:t>T</w:t>
      </w:r>
      <w:r w:rsidR="00BF55AD" w:rsidRPr="006C39B3">
        <w:t xml:space="preserve">he </w:t>
      </w:r>
      <w:r w:rsidRPr="006C39B3">
        <w:t xml:space="preserve">NEI </w:t>
      </w:r>
      <w:r w:rsidR="00315396" w:rsidRPr="006C39B3">
        <w:t xml:space="preserve">does not </w:t>
      </w:r>
      <w:r w:rsidRPr="006C39B3">
        <w:t xml:space="preserve">contain </w:t>
      </w:r>
      <w:r w:rsidR="00E85AC2" w:rsidRPr="006C39B3">
        <w:t xml:space="preserve">all of </w:t>
      </w:r>
      <w:r w:rsidRPr="006C39B3">
        <w:t xml:space="preserve">the </w:t>
      </w:r>
      <w:r w:rsidR="008F4FC2" w:rsidRPr="006C39B3">
        <w:t xml:space="preserve">information </w:t>
      </w:r>
      <w:r w:rsidR="00DF12A8" w:rsidRPr="006C39B3">
        <w:t>(</w:t>
      </w:r>
      <w:r w:rsidR="00315396" w:rsidRPr="006C39B3">
        <w:t xml:space="preserve">equipment, </w:t>
      </w:r>
      <w:r w:rsidR="00DF12A8" w:rsidRPr="006C39B3">
        <w:t xml:space="preserve">capacity, materials processed, emissions collection and control systems, </w:t>
      </w:r>
      <w:r w:rsidR="004F2ADA" w:rsidRPr="006C39B3">
        <w:t xml:space="preserve">regulatory alternatives used, </w:t>
      </w:r>
      <w:r w:rsidR="00DF12A8" w:rsidRPr="006C39B3">
        <w:t>and emission test data)</w:t>
      </w:r>
      <w:r w:rsidR="007E18D5">
        <w:t xml:space="preserve"> </w:t>
      </w:r>
      <w:r w:rsidR="00DF12A8" w:rsidRPr="006C39B3">
        <w:t xml:space="preserve"> </w:t>
      </w:r>
      <w:r w:rsidRPr="006C39B3">
        <w:t>necessary to characte</w:t>
      </w:r>
      <w:r w:rsidR="00DF12A8" w:rsidRPr="006C39B3">
        <w:t xml:space="preserve">rize </w:t>
      </w:r>
      <w:r w:rsidR="00315396" w:rsidRPr="006C39B3">
        <w:t xml:space="preserve">secondary aluminum </w:t>
      </w:r>
      <w:r w:rsidR="005F2409" w:rsidRPr="006C39B3">
        <w:t>production</w:t>
      </w:r>
      <w:r w:rsidR="00315396" w:rsidRPr="006C39B3">
        <w:t xml:space="preserve"> </w:t>
      </w:r>
      <w:r w:rsidR="00DF12A8" w:rsidRPr="006C39B3">
        <w:t>NE</w:t>
      </w:r>
      <w:r w:rsidRPr="006C39B3">
        <w:t>S</w:t>
      </w:r>
      <w:r w:rsidR="00DF12A8" w:rsidRPr="006C39B3">
        <w:t>H</w:t>
      </w:r>
      <w:r w:rsidR="0015579A" w:rsidRPr="006C39B3">
        <w:t xml:space="preserve">AP affected sources </w:t>
      </w:r>
      <w:r w:rsidRPr="006C39B3">
        <w:t>for purposes of regulatory analyses.</w:t>
      </w:r>
      <w:r w:rsidR="00573DDB" w:rsidRPr="006C39B3">
        <w:t xml:space="preserve">  Although some of the needed information may be included in </w:t>
      </w:r>
      <w:r w:rsidR="000A0E2B" w:rsidRPr="006C39B3">
        <w:t xml:space="preserve">Title </w:t>
      </w:r>
      <w:r w:rsidR="00573DDB" w:rsidRPr="006C39B3">
        <w:t xml:space="preserve">V or </w:t>
      </w:r>
      <w:r w:rsidR="000A0E2B" w:rsidRPr="006C39B3">
        <w:t>s</w:t>
      </w:r>
      <w:r w:rsidR="00573DDB" w:rsidRPr="006C39B3">
        <w:t xml:space="preserve">tate air emission permits, </w:t>
      </w:r>
      <w:r w:rsidR="00563885" w:rsidRPr="006C39B3">
        <w:t>most</w:t>
      </w:r>
      <w:r w:rsidR="00573DDB" w:rsidRPr="006C39B3">
        <w:t xml:space="preserve"> permits do not contain all of the </w:t>
      </w:r>
      <w:r w:rsidR="008F4FC2" w:rsidRPr="006C39B3">
        <w:t xml:space="preserve">information </w:t>
      </w:r>
      <w:r w:rsidR="00573DDB" w:rsidRPr="006C39B3">
        <w:t>needed</w:t>
      </w:r>
      <w:r w:rsidR="00BF55AD" w:rsidRPr="006C39B3">
        <w:t xml:space="preserve"> and are not readily available from any single source</w:t>
      </w:r>
      <w:r w:rsidR="00573DDB" w:rsidRPr="006C39B3">
        <w:t>.</w:t>
      </w:r>
      <w:r w:rsidR="00BF55AD" w:rsidRPr="006C39B3">
        <w:t xml:space="preserve">  </w:t>
      </w:r>
      <w:r w:rsidR="00573DDB" w:rsidRPr="006C39B3">
        <w:t xml:space="preserve">Furthermore, there are no readily available sources for previously conducted </w:t>
      </w:r>
      <w:r w:rsidR="00563885" w:rsidRPr="006C39B3">
        <w:t xml:space="preserve">performance </w:t>
      </w:r>
      <w:r w:rsidR="00573DDB" w:rsidRPr="006C39B3">
        <w:t>test results that will</w:t>
      </w:r>
      <w:r w:rsidR="0015579A" w:rsidRPr="006C39B3">
        <w:t xml:space="preserve"> provide data for emissions of the</w:t>
      </w:r>
      <w:r w:rsidR="00573DDB" w:rsidRPr="006C39B3">
        <w:t xml:space="preserve"> variety of pollutants</w:t>
      </w:r>
      <w:r w:rsidR="0015579A" w:rsidRPr="006C39B3">
        <w:t xml:space="preserve"> under consideration</w:t>
      </w:r>
      <w:r w:rsidR="00573DDB" w:rsidRPr="006C39B3">
        <w:t>.  To obtain this information, EPA is soliciting information</w:t>
      </w:r>
      <w:r w:rsidR="00DF12A8" w:rsidRPr="006C39B3">
        <w:t xml:space="preserve"> with a survey</w:t>
      </w:r>
      <w:r w:rsidR="00BF55AD" w:rsidRPr="006C39B3">
        <w:t xml:space="preserve">, </w:t>
      </w:r>
      <w:r w:rsidR="00573DDB" w:rsidRPr="006C39B3">
        <w:t xml:space="preserve">under authority of CAA section 114, from all affected units.  EPA intends to </w:t>
      </w:r>
      <w:r w:rsidR="0015579A" w:rsidRPr="006C39B3">
        <w:t>administer</w:t>
      </w:r>
      <w:r w:rsidR="00573DDB" w:rsidRPr="006C39B3">
        <w:t xml:space="preserve"> the survey in electronic </w:t>
      </w:r>
      <w:r w:rsidR="0015579A" w:rsidRPr="006C39B3">
        <w:t xml:space="preserve">(spreadsheet) </w:t>
      </w:r>
      <w:r w:rsidR="00573DDB" w:rsidRPr="006C39B3">
        <w:t>format.  The survey will be s</w:t>
      </w:r>
      <w:r w:rsidR="0015579A" w:rsidRPr="006C39B3">
        <w:t>ent</w:t>
      </w:r>
      <w:r w:rsidR="00573DDB" w:rsidRPr="006C39B3">
        <w:t xml:space="preserve"> to all</w:t>
      </w:r>
      <w:r w:rsidR="00BF55AD" w:rsidRPr="006C39B3">
        <w:t xml:space="preserve"> </w:t>
      </w:r>
      <w:r w:rsidR="008F4CF6" w:rsidRPr="006C39B3">
        <w:t xml:space="preserve">companies that own or operate </w:t>
      </w:r>
      <w:r w:rsidR="00563885" w:rsidRPr="006C39B3">
        <w:t xml:space="preserve">secondary aluminum </w:t>
      </w:r>
      <w:r w:rsidR="00BF55AD" w:rsidRPr="006C39B3">
        <w:t>manufacturing facilities.</w:t>
      </w:r>
    </w:p>
    <w:p w:rsidR="008E4F95" w:rsidRPr="00702120" w:rsidRDefault="00BF55AD" w:rsidP="004C22EA">
      <w:pPr>
        <w:pStyle w:val="Para"/>
        <w:spacing w:after="0" w:line="360" w:lineRule="auto"/>
        <w:rPr>
          <w:szCs w:val="24"/>
        </w:rPr>
      </w:pPr>
      <w:r w:rsidRPr="006C39B3">
        <w:t xml:space="preserve">The </w:t>
      </w:r>
      <w:r w:rsidR="007E7915" w:rsidRPr="006C39B3">
        <w:t xml:space="preserve">EPA estimates the cost </w:t>
      </w:r>
      <w:r w:rsidR="00DF12A8" w:rsidRPr="006C39B3">
        <w:t xml:space="preserve">to industry </w:t>
      </w:r>
      <w:r w:rsidR="007E7915" w:rsidRPr="006C39B3">
        <w:t xml:space="preserve">of the </w:t>
      </w:r>
      <w:r w:rsidR="00AB597D" w:rsidRPr="006C39B3">
        <w:t>electronic information collection (</w:t>
      </w:r>
      <w:r w:rsidR="00DE66FE" w:rsidRPr="00702120">
        <w:rPr>
          <w:szCs w:val="24"/>
        </w:rPr>
        <w:t xml:space="preserve">gathering, entering, and </w:t>
      </w:r>
      <w:r w:rsidR="00353182" w:rsidRPr="00702120">
        <w:rPr>
          <w:szCs w:val="24"/>
        </w:rPr>
        <w:t>quality assuring</w:t>
      </w:r>
      <w:r w:rsidR="00596565" w:rsidRPr="00702120">
        <w:rPr>
          <w:szCs w:val="24"/>
        </w:rPr>
        <w:t xml:space="preserve"> (</w:t>
      </w:r>
      <w:r w:rsidR="00DE66FE" w:rsidRPr="00702120">
        <w:rPr>
          <w:szCs w:val="24"/>
        </w:rPr>
        <w:t>QA</w:t>
      </w:r>
      <w:r w:rsidR="00596565" w:rsidRPr="00702120">
        <w:rPr>
          <w:szCs w:val="24"/>
        </w:rPr>
        <w:t>)</w:t>
      </w:r>
      <w:r w:rsidR="00DE66FE" w:rsidRPr="00702120">
        <w:rPr>
          <w:szCs w:val="24"/>
        </w:rPr>
        <w:t xml:space="preserve"> of data </w:t>
      </w:r>
      <w:r w:rsidR="00C45830" w:rsidRPr="00702120">
        <w:rPr>
          <w:szCs w:val="24"/>
        </w:rPr>
        <w:t>submitted in response to the</w:t>
      </w:r>
      <w:r w:rsidR="007E7915" w:rsidRPr="00702120">
        <w:rPr>
          <w:szCs w:val="24"/>
        </w:rPr>
        <w:t xml:space="preserve"> survey</w:t>
      </w:r>
      <w:r w:rsidR="00AB597D" w:rsidRPr="00702120">
        <w:rPr>
          <w:szCs w:val="24"/>
        </w:rPr>
        <w:t>)</w:t>
      </w:r>
      <w:r w:rsidR="007E7915" w:rsidRPr="00702120">
        <w:rPr>
          <w:szCs w:val="24"/>
        </w:rPr>
        <w:t xml:space="preserve"> will </w:t>
      </w:r>
      <w:r w:rsidR="007E7915" w:rsidRPr="00702120">
        <w:rPr>
          <w:szCs w:val="24"/>
        </w:rPr>
        <w:lastRenderedPageBreak/>
        <w:t xml:space="preserve">be </w:t>
      </w:r>
      <w:r w:rsidR="00AA4A0C" w:rsidRPr="00702120">
        <w:rPr>
          <w:szCs w:val="24"/>
        </w:rPr>
        <w:t>3</w:t>
      </w:r>
      <w:r w:rsidR="004C22EA" w:rsidRPr="00702120">
        <w:rPr>
          <w:szCs w:val="24"/>
        </w:rPr>
        <w:t>2,529</w:t>
      </w:r>
      <w:r w:rsidR="000F2D84" w:rsidRPr="00702120">
        <w:rPr>
          <w:szCs w:val="24"/>
        </w:rPr>
        <w:t xml:space="preserve"> </w:t>
      </w:r>
      <w:r w:rsidR="007E7915" w:rsidRPr="00702120">
        <w:rPr>
          <w:szCs w:val="24"/>
        </w:rPr>
        <w:t>hours and $</w:t>
      </w:r>
      <w:r w:rsidR="00AA4A0C" w:rsidRPr="00702120">
        <w:rPr>
          <w:szCs w:val="24"/>
        </w:rPr>
        <w:t>3,</w:t>
      </w:r>
      <w:r w:rsidR="004C22EA" w:rsidRPr="00702120">
        <w:rPr>
          <w:szCs w:val="24"/>
        </w:rPr>
        <w:t>081,849</w:t>
      </w:r>
      <w:r w:rsidR="002073C2" w:rsidRPr="00702120">
        <w:rPr>
          <w:szCs w:val="24"/>
        </w:rPr>
        <w:t xml:space="preserve"> which includes $</w:t>
      </w:r>
      <w:r w:rsidR="004C22EA" w:rsidRPr="00702120">
        <w:rPr>
          <w:szCs w:val="24"/>
        </w:rPr>
        <w:t>5,076</w:t>
      </w:r>
      <w:r w:rsidR="002073C2" w:rsidRPr="00702120">
        <w:rPr>
          <w:szCs w:val="24"/>
        </w:rPr>
        <w:t xml:space="preserve"> in operation and maintenance (O&amp;M) costs for m</w:t>
      </w:r>
      <w:r w:rsidR="00BA28F7" w:rsidRPr="00702120">
        <w:rPr>
          <w:szCs w:val="24"/>
        </w:rPr>
        <w:t xml:space="preserve">ailing survey responses saved to compact disc </w:t>
      </w:r>
      <w:r w:rsidR="002073C2" w:rsidRPr="00702120">
        <w:rPr>
          <w:szCs w:val="24"/>
        </w:rPr>
        <w:t>to EPA</w:t>
      </w:r>
      <w:r w:rsidR="000F2D84" w:rsidRPr="00702120">
        <w:rPr>
          <w:szCs w:val="24"/>
        </w:rPr>
        <w:t>.</w:t>
      </w:r>
      <w:r w:rsidR="00AB597D" w:rsidRPr="00702120">
        <w:rPr>
          <w:szCs w:val="24"/>
        </w:rPr>
        <w:t xml:space="preserve">  </w:t>
      </w:r>
    </w:p>
    <w:p w:rsidR="007E7915" w:rsidRPr="00702120" w:rsidRDefault="007E7915" w:rsidP="000E46A1">
      <w:pPr>
        <w:pStyle w:val="Heading2"/>
        <w:spacing w:before="0" w:line="360" w:lineRule="auto"/>
        <w:rPr>
          <w:szCs w:val="24"/>
        </w:rPr>
      </w:pPr>
      <w:r w:rsidRPr="00702120">
        <w:rPr>
          <w:szCs w:val="24"/>
        </w:rPr>
        <w:t>2.</w:t>
      </w:r>
      <w:r w:rsidRPr="00702120">
        <w:rPr>
          <w:szCs w:val="24"/>
        </w:rPr>
        <w:tab/>
        <w:t>Nee</w:t>
      </w:r>
      <w:r w:rsidR="00596565" w:rsidRPr="00702120">
        <w:rPr>
          <w:szCs w:val="24"/>
        </w:rPr>
        <w:t>d for and Use of the Collection</w:t>
      </w:r>
    </w:p>
    <w:p w:rsidR="007E7915" w:rsidRPr="00702120" w:rsidRDefault="007E7915" w:rsidP="000E46A1">
      <w:pPr>
        <w:pStyle w:val="Heading3"/>
        <w:spacing w:before="0" w:after="0" w:line="360" w:lineRule="auto"/>
        <w:rPr>
          <w:szCs w:val="24"/>
        </w:rPr>
      </w:pPr>
      <w:r w:rsidRPr="00702120">
        <w:rPr>
          <w:szCs w:val="24"/>
        </w:rPr>
        <w:t>(a)</w:t>
      </w:r>
      <w:r w:rsidRPr="00702120">
        <w:rPr>
          <w:szCs w:val="24"/>
        </w:rPr>
        <w:tab/>
        <w:t>Ne</w:t>
      </w:r>
      <w:r w:rsidR="00596565" w:rsidRPr="00702120">
        <w:rPr>
          <w:szCs w:val="24"/>
        </w:rPr>
        <w:t>ed/Authority for the Collection</w:t>
      </w:r>
    </w:p>
    <w:p w:rsidR="005426E5" w:rsidRPr="00702120" w:rsidRDefault="00A502C5" w:rsidP="0022371F">
      <w:pPr>
        <w:pStyle w:val="Para"/>
        <w:spacing w:line="360" w:lineRule="auto"/>
        <w:rPr>
          <w:szCs w:val="24"/>
        </w:rPr>
      </w:pPr>
      <w:r w:rsidRPr="00702120">
        <w:rPr>
          <w:szCs w:val="24"/>
        </w:rPr>
        <w:t xml:space="preserve">The </w:t>
      </w:r>
      <w:r w:rsidR="00AA4A0C" w:rsidRPr="00702120">
        <w:rPr>
          <w:szCs w:val="24"/>
        </w:rPr>
        <w:t xml:space="preserve">secondary </w:t>
      </w:r>
      <w:r w:rsidR="00C32B3B" w:rsidRPr="00702120">
        <w:rPr>
          <w:szCs w:val="24"/>
        </w:rPr>
        <w:t>aluminum</w:t>
      </w:r>
      <w:r w:rsidRPr="00702120">
        <w:rPr>
          <w:szCs w:val="24"/>
        </w:rPr>
        <w:t xml:space="preserve"> </w:t>
      </w:r>
      <w:r w:rsidR="00AA4A0C" w:rsidRPr="00702120">
        <w:rPr>
          <w:szCs w:val="24"/>
        </w:rPr>
        <w:t>production</w:t>
      </w:r>
      <w:r w:rsidRPr="00702120">
        <w:rPr>
          <w:szCs w:val="24"/>
        </w:rPr>
        <w:t xml:space="preserve"> source category includes any </w:t>
      </w:r>
      <w:r w:rsidR="005426E5" w:rsidRPr="00702120">
        <w:rPr>
          <w:szCs w:val="24"/>
        </w:rPr>
        <w:t xml:space="preserve">establishment using clean charge, aluminum scrap, or dross from aluminum production, as the raw material and performing one or more of the following processes:  scrap shredding, scrap drying/delacquering/decoating, thermal chip drying, furnace operations (i.e., melting, holding, sweating, refining, fluxing, or alloying), recovery of aluminum from dross, in-line fluxing, or dross cooling.  A secondary aluminum production facility may be independent or part of a primary aluminum production facility.  For purposes of this subpart, aluminum die casting facilities, aluminum foundries, and aluminum extrusion facilities are not considered to be secondary aluminum production facilities if the only materials they melt are clean charge, customer returns, or internal scrap, and if they do not operate sweat furnaces, thermal chip dryers, or scrap dryers/delacquering kilns/decoating kilns.  </w:t>
      </w:r>
      <w:r w:rsidR="006A4B00" w:rsidRPr="00702120">
        <w:rPr>
          <w:szCs w:val="24"/>
        </w:rPr>
        <w:t xml:space="preserve">The federal emission standard that </w:t>
      </w:r>
      <w:r w:rsidR="005426E5" w:rsidRPr="00702120">
        <w:rPr>
          <w:szCs w:val="24"/>
        </w:rPr>
        <w:t>is</w:t>
      </w:r>
      <w:r w:rsidR="006A4B00" w:rsidRPr="00702120">
        <w:rPr>
          <w:szCs w:val="24"/>
        </w:rPr>
        <w:t xml:space="preserve"> the subject of this information collection i</w:t>
      </w:r>
      <w:r w:rsidR="005426E5" w:rsidRPr="00702120">
        <w:rPr>
          <w:szCs w:val="24"/>
        </w:rPr>
        <w:t xml:space="preserve">s </w:t>
      </w:r>
      <w:r w:rsidR="008F4CF6" w:rsidRPr="00702120">
        <w:rPr>
          <w:szCs w:val="24"/>
        </w:rPr>
        <w:t xml:space="preserve">the </w:t>
      </w:r>
      <w:r w:rsidR="00CD46E4" w:rsidRPr="00702120">
        <w:rPr>
          <w:szCs w:val="24"/>
        </w:rPr>
        <w:t>National Emission Standards for Hazardous Air Pollutants f</w:t>
      </w:r>
      <w:r w:rsidR="005426E5" w:rsidRPr="00702120">
        <w:rPr>
          <w:szCs w:val="24"/>
        </w:rPr>
        <w:t>o</w:t>
      </w:r>
      <w:r w:rsidR="00CD46E4" w:rsidRPr="00702120">
        <w:rPr>
          <w:szCs w:val="24"/>
        </w:rPr>
        <w:t>r</w:t>
      </w:r>
      <w:r w:rsidR="005426E5" w:rsidRPr="00702120">
        <w:rPr>
          <w:szCs w:val="24"/>
        </w:rPr>
        <w:t xml:space="preserve"> Secondary A</w:t>
      </w:r>
      <w:r w:rsidR="0022371F" w:rsidRPr="00702120">
        <w:rPr>
          <w:szCs w:val="24"/>
        </w:rPr>
        <w:t>l</w:t>
      </w:r>
      <w:r w:rsidR="005426E5" w:rsidRPr="00702120">
        <w:rPr>
          <w:szCs w:val="24"/>
        </w:rPr>
        <w:t>uminum Production</w:t>
      </w:r>
      <w:r w:rsidR="00CD46E4" w:rsidRPr="00702120">
        <w:rPr>
          <w:szCs w:val="24"/>
        </w:rPr>
        <w:t xml:space="preserve"> (40 CFR part 63, subpart </w:t>
      </w:r>
      <w:r w:rsidR="005426E5" w:rsidRPr="00702120">
        <w:rPr>
          <w:szCs w:val="24"/>
        </w:rPr>
        <w:t>RRR</w:t>
      </w:r>
      <w:r w:rsidR="00CD46E4" w:rsidRPr="00702120">
        <w:rPr>
          <w:szCs w:val="24"/>
        </w:rPr>
        <w:t>)</w:t>
      </w:r>
      <w:r w:rsidR="005426E5" w:rsidRPr="00702120">
        <w:rPr>
          <w:szCs w:val="24"/>
        </w:rPr>
        <w:t>.</w:t>
      </w:r>
    </w:p>
    <w:p w:rsidR="00F31CD4" w:rsidRPr="00702120" w:rsidRDefault="00F31CD4" w:rsidP="0022371F">
      <w:pPr>
        <w:pStyle w:val="Para"/>
        <w:spacing w:after="0" w:line="360" w:lineRule="auto"/>
        <w:rPr>
          <w:szCs w:val="24"/>
        </w:rPr>
      </w:pPr>
      <w:r w:rsidRPr="00702120">
        <w:rPr>
          <w:szCs w:val="24"/>
        </w:rPr>
        <w:t xml:space="preserve">The </w:t>
      </w:r>
      <w:r w:rsidR="008F4FC2" w:rsidRPr="00702120">
        <w:rPr>
          <w:szCs w:val="24"/>
        </w:rPr>
        <w:t xml:space="preserve">existing subpart RRR </w:t>
      </w:r>
      <w:r w:rsidRPr="00702120">
        <w:rPr>
          <w:szCs w:val="24"/>
        </w:rPr>
        <w:t xml:space="preserve">NESHAP regulates HAP emissions from </w:t>
      </w:r>
      <w:r w:rsidR="008F4CF6" w:rsidRPr="00702120">
        <w:rPr>
          <w:szCs w:val="24"/>
        </w:rPr>
        <w:t xml:space="preserve">facilities that are major sources of HAP that operate </w:t>
      </w:r>
      <w:r w:rsidR="005426E5" w:rsidRPr="00702120">
        <w:rPr>
          <w:szCs w:val="24"/>
        </w:rPr>
        <w:t xml:space="preserve">aluminum scrap shredders, thermal chip dryers, scrap dryers/delacquering kilns/decoating kilns, group 2 </w:t>
      </w:r>
      <w:r w:rsidR="00C32B3B" w:rsidRPr="00702120">
        <w:rPr>
          <w:szCs w:val="24"/>
        </w:rPr>
        <w:t>furnaces</w:t>
      </w:r>
      <w:r w:rsidR="0022371F" w:rsidRPr="00702120">
        <w:rPr>
          <w:szCs w:val="24"/>
        </w:rPr>
        <w:t>,</w:t>
      </w:r>
      <w:r w:rsidR="005426E5" w:rsidRPr="00702120">
        <w:rPr>
          <w:szCs w:val="24"/>
        </w:rPr>
        <w:t xml:space="preserve"> sweat furnaces, dross only furnaces, rotary dross coolers, and secondary aluminum processing units</w:t>
      </w:r>
      <w:r w:rsidR="008F4CF6" w:rsidRPr="00702120">
        <w:rPr>
          <w:szCs w:val="24"/>
        </w:rPr>
        <w:t xml:space="preserve"> </w:t>
      </w:r>
      <w:r w:rsidR="005426E5" w:rsidRPr="00702120">
        <w:rPr>
          <w:szCs w:val="24"/>
        </w:rPr>
        <w:t xml:space="preserve">(SAPUs).  SAPUs include group 1 </w:t>
      </w:r>
      <w:r w:rsidR="00C32B3B" w:rsidRPr="00702120">
        <w:rPr>
          <w:szCs w:val="24"/>
        </w:rPr>
        <w:t>furnaces</w:t>
      </w:r>
      <w:r w:rsidR="005426E5" w:rsidRPr="00702120">
        <w:rPr>
          <w:szCs w:val="24"/>
        </w:rPr>
        <w:t xml:space="preserve"> and in-line fluxers.  Area sources of HAP are regulated only with respect to emissions of dioxins/furans (D/F) from thermal chip dryers, scrap dryers/delacquering kilns/decoating kilns,</w:t>
      </w:r>
      <w:r w:rsidR="0022371F" w:rsidRPr="00702120">
        <w:rPr>
          <w:szCs w:val="24"/>
        </w:rPr>
        <w:t xml:space="preserve"> sweat furnaces, and SAPUs.</w:t>
      </w:r>
    </w:p>
    <w:p w:rsidR="00C41429" w:rsidRPr="006C39B3" w:rsidRDefault="00245DF7" w:rsidP="00913E78">
      <w:pPr>
        <w:pStyle w:val="Para"/>
        <w:spacing w:line="360" w:lineRule="auto"/>
      </w:pPr>
      <w:r w:rsidRPr="00702120">
        <w:rPr>
          <w:szCs w:val="24"/>
        </w:rPr>
        <w:t xml:space="preserve">Section 112(f)(2) of the CAA directs EPA to conduct risk assessments on each source category subject to maximum achievable control technology (MACT) standards and determine if additional standards are </w:t>
      </w:r>
      <w:r w:rsidR="00DF12A8" w:rsidRPr="00702120">
        <w:rPr>
          <w:szCs w:val="24"/>
        </w:rPr>
        <w:t>needed to reduce residual risks.</w:t>
      </w:r>
      <w:r w:rsidR="00702120" w:rsidRPr="00702120">
        <w:rPr>
          <w:szCs w:val="24"/>
        </w:rPr>
        <w:t xml:space="preserve"> </w:t>
      </w:r>
      <w:r w:rsidR="005D6A40" w:rsidRPr="00702120">
        <w:rPr>
          <w:szCs w:val="24"/>
        </w:rPr>
        <w:t xml:space="preserve"> </w:t>
      </w:r>
      <w:r w:rsidR="00DF12A8" w:rsidRPr="00702120">
        <w:rPr>
          <w:szCs w:val="24"/>
        </w:rPr>
        <w:t xml:space="preserve">The section 112(f)(2) residual risk review is </w:t>
      </w:r>
      <w:r w:rsidRPr="00702120">
        <w:rPr>
          <w:szCs w:val="24"/>
        </w:rPr>
        <w:t xml:space="preserve">to be done </w:t>
      </w:r>
      <w:r w:rsidR="008F4FC2" w:rsidRPr="00702120">
        <w:rPr>
          <w:szCs w:val="24"/>
        </w:rPr>
        <w:t xml:space="preserve">within </w:t>
      </w:r>
      <w:r w:rsidRPr="00702120">
        <w:rPr>
          <w:szCs w:val="24"/>
        </w:rPr>
        <w:t>8 years after promulgation.  Section 112(d)(6) of the CAA requires EPA to review and revise the MACT standards, as necessary, taking into account developments in practices, proc</w:t>
      </w:r>
      <w:r w:rsidR="00DF12A8" w:rsidRPr="00702120">
        <w:rPr>
          <w:szCs w:val="24"/>
        </w:rPr>
        <w:t>esses, and control technologies.</w:t>
      </w:r>
      <w:r w:rsidRPr="00702120">
        <w:rPr>
          <w:szCs w:val="24"/>
        </w:rPr>
        <w:t xml:space="preserve"> </w:t>
      </w:r>
      <w:r w:rsidR="00DF12A8" w:rsidRPr="00702120">
        <w:rPr>
          <w:szCs w:val="24"/>
        </w:rPr>
        <w:t xml:space="preserve"> The section 112(d)(6) technology review is </w:t>
      </w:r>
      <w:r w:rsidRPr="00702120">
        <w:rPr>
          <w:szCs w:val="24"/>
        </w:rPr>
        <w:t xml:space="preserve">to be done at least every 8 years.  </w:t>
      </w:r>
      <w:r w:rsidR="00CB1DDA" w:rsidRPr="00702120">
        <w:rPr>
          <w:szCs w:val="24"/>
        </w:rPr>
        <w:t>The NESHAP for</w:t>
      </w:r>
      <w:r w:rsidR="0022371F" w:rsidRPr="00702120">
        <w:rPr>
          <w:szCs w:val="24"/>
        </w:rPr>
        <w:t xml:space="preserve"> Secondary Aluminum Production (40 CFR part</w:t>
      </w:r>
      <w:r w:rsidR="0022371F" w:rsidRPr="006C39B3">
        <w:t xml:space="preserve"> </w:t>
      </w:r>
      <w:r w:rsidR="0022371F" w:rsidRPr="006C39B3">
        <w:lastRenderedPageBreak/>
        <w:t>63, subpart RRR)</w:t>
      </w:r>
      <w:r w:rsidR="00CB1DDA" w:rsidRPr="006C39B3">
        <w:t xml:space="preserve"> </w:t>
      </w:r>
      <w:r w:rsidR="004B5E34" w:rsidRPr="006C39B3">
        <w:t>was promulgated</w:t>
      </w:r>
      <w:r w:rsidR="00CB1DDA" w:rsidRPr="006C39B3">
        <w:t xml:space="preserve"> </w:t>
      </w:r>
      <w:r w:rsidR="0058639A">
        <w:t>o</w:t>
      </w:r>
      <w:r w:rsidR="004B5E34">
        <w:t xml:space="preserve">n </w:t>
      </w:r>
      <w:r w:rsidR="0058639A">
        <w:t xml:space="preserve">March 23, 2000.  Owners or operators of an existing affected source had to be in compliance by March 24, 2003.  The owner or operator of a new affected source </w:t>
      </w:r>
      <w:r w:rsidR="004103F0">
        <w:t>(</w:t>
      </w:r>
      <w:r w:rsidR="0058639A">
        <w:t>that commence</w:t>
      </w:r>
      <w:r w:rsidR="004103F0">
        <w:t>d</w:t>
      </w:r>
      <w:r w:rsidR="0058639A">
        <w:t xml:space="preserve"> construction or reconstruction after February 11, 1999</w:t>
      </w:r>
      <w:r w:rsidR="004103F0">
        <w:t>)</w:t>
      </w:r>
      <w:r w:rsidR="0058639A">
        <w:t xml:space="preserve"> must comply with the requirements of this subpart by March 23, 2000 or upon start-up, whichever is later</w:t>
      </w:r>
      <w:r w:rsidR="00CB1DDA" w:rsidRPr="006C39B3">
        <w:t>.</w:t>
      </w:r>
      <w:r w:rsidR="00BA28F7">
        <w:t xml:space="preserve">  Compliance reporting for the rule was first collected in 2003.</w:t>
      </w:r>
      <w:r w:rsidR="00503B0D" w:rsidRPr="006C39B3">
        <w:t xml:space="preserve">  </w:t>
      </w:r>
    </w:p>
    <w:p w:rsidR="00C9221B" w:rsidRPr="004103F0" w:rsidRDefault="00B8780F" w:rsidP="00702120">
      <w:pPr>
        <w:shd w:val="clear" w:color="auto" w:fill="FFFFFF"/>
        <w:spacing w:line="360" w:lineRule="auto"/>
        <w:ind w:firstLine="720"/>
        <w:rPr>
          <w:rFonts w:ascii="Times New Roman" w:hAnsi="Times New Roman"/>
          <w:szCs w:val="24"/>
        </w:rPr>
      </w:pPr>
      <w:r w:rsidRPr="00702120">
        <w:rPr>
          <w:rFonts w:ascii="Times New Roman" w:hAnsi="Times New Roman"/>
        </w:rPr>
        <w:t xml:space="preserve">The data used as the basis for the originally promulgated </w:t>
      </w:r>
      <w:r w:rsidR="00A213E5" w:rsidRPr="00702120">
        <w:rPr>
          <w:rFonts w:ascii="Times New Roman" w:hAnsi="Times New Roman"/>
        </w:rPr>
        <w:t xml:space="preserve">secondary aluminum production </w:t>
      </w:r>
      <w:r w:rsidRPr="00702120">
        <w:rPr>
          <w:rFonts w:ascii="Times New Roman" w:hAnsi="Times New Roman"/>
        </w:rPr>
        <w:t>NESHAP are over 15 years old.  The Agency is aware that significant changes have been made in the intervening years in the number of affected facilities, in industry ownership</w:t>
      </w:r>
      <w:r w:rsidR="00702120">
        <w:rPr>
          <w:rFonts w:ascii="Times New Roman" w:hAnsi="Times New Roman"/>
        </w:rPr>
        <w:t xml:space="preserve">, </w:t>
      </w:r>
      <w:r w:rsidRPr="00702120">
        <w:rPr>
          <w:rFonts w:ascii="Times New Roman" w:hAnsi="Times New Roman"/>
        </w:rPr>
        <w:t xml:space="preserve">practices, </w:t>
      </w:r>
      <w:r w:rsidR="00702120" w:rsidRPr="00702120">
        <w:rPr>
          <w:rFonts w:ascii="Times New Roman" w:hAnsi="Times New Roman"/>
        </w:rPr>
        <w:t>and in</w:t>
      </w:r>
      <w:r w:rsidRPr="00702120">
        <w:rPr>
          <w:rFonts w:ascii="Times New Roman" w:hAnsi="Times New Roman"/>
        </w:rPr>
        <w:t xml:space="preserve"> emission </w:t>
      </w:r>
      <w:r w:rsidR="00951386" w:rsidRPr="00702120">
        <w:rPr>
          <w:rFonts w:ascii="Times New Roman" w:hAnsi="Times New Roman"/>
        </w:rPr>
        <w:t xml:space="preserve">collection and </w:t>
      </w:r>
      <w:r w:rsidRPr="00702120">
        <w:rPr>
          <w:rFonts w:ascii="Times New Roman" w:hAnsi="Times New Roman"/>
        </w:rPr>
        <w:t>control configurations.  Further</w:t>
      </w:r>
      <w:r w:rsidR="00702120">
        <w:rPr>
          <w:rFonts w:ascii="Times New Roman" w:hAnsi="Times New Roman"/>
        </w:rPr>
        <w:t>more</w:t>
      </w:r>
      <w:r w:rsidRPr="00702120">
        <w:rPr>
          <w:rFonts w:ascii="Times New Roman" w:hAnsi="Times New Roman"/>
        </w:rPr>
        <w:t>, in light of the statutory requirements for reviewing emission standards under CAA section 112, the Agency has concluded that obtainin</w:t>
      </w:r>
      <w:r w:rsidRPr="00702120">
        <w:rPr>
          <w:rFonts w:ascii="Times New Roman" w:hAnsi="Times New Roman"/>
          <w:szCs w:val="24"/>
        </w:rPr>
        <w:t>g updated information will be</w:t>
      </w:r>
      <w:r w:rsidR="008D79F7" w:rsidRPr="00702120">
        <w:rPr>
          <w:rFonts w:ascii="Times New Roman" w:hAnsi="Times New Roman"/>
          <w:szCs w:val="24"/>
        </w:rPr>
        <w:t xml:space="preserve"> important</w:t>
      </w:r>
      <w:r w:rsidRPr="00702120">
        <w:rPr>
          <w:rFonts w:ascii="Times New Roman" w:hAnsi="Times New Roman"/>
          <w:szCs w:val="24"/>
        </w:rPr>
        <w:t xml:space="preserve"> to informing its decisions on the </w:t>
      </w:r>
      <w:r w:rsidR="00953B85" w:rsidRPr="00702120">
        <w:rPr>
          <w:rFonts w:ascii="Times New Roman" w:hAnsi="Times New Roman"/>
          <w:szCs w:val="24"/>
        </w:rPr>
        <w:t xml:space="preserve">secondary aluminum production </w:t>
      </w:r>
      <w:r w:rsidR="00CE727B" w:rsidRPr="00702120">
        <w:rPr>
          <w:rFonts w:ascii="Times New Roman" w:hAnsi="Times New Roman"/>
          <w:szCs w:val="24"/>
        </w:rPr>
        <w:t>NESHAP RTR</w:t>
      </w:r>
      <w:r w:rsidRPr="00702120">
        <w:rPr>
          <w:rFonts w:ascii="Times New Roman" w:hAnsi="Times New Roman"/>
          <w:szCs w:val="24"/>
        </w:rPr>
        <w:t>.</w:t>
      </w:r>
      <w:r w:rsidR="00C41429" w:rsidRPr="00702120">
        <w:rPr>
          <w:rFonts w:ascii="Times New Roman" w:hAnsi="Times New Roman"/>
          <w:szCs w:val="24"/>
        </w:rPr>
        <w:t xml:space="preserve">  </w:t>
      </w:r>
      <w:r w:rsidR="004103F0" w:rsidRPr="004103F0">
        <w:rPr>
          <w:rFonts w:ascii="Times New Roman" w:hAnsi="Times New Roman"/>
          <w:szCs w:val="24"/>
        </w:rPr>
        <w:t xml:space="preserve">Data received by EPA </w:t>
      </w:r>
      <w:r w:rsidR="004103F0">
        <w:rPr>
          <w:rFonts w:ascii="Times New Roman" w:hAnsi="Times New Roman"/>
          <w:szCs w:val="24"/>
        </w:rPr>
        <w:t xml:space="preserve">for compliance purposes </w:t>
      </w:r>
      <w:r w:rsidR="00913E78">
        <w:rPr>
          <w:rFonts w:ascii="Times New Roman" w:hAnsi="Times New Roman"/>
          <w:szCs w:val="24"/>
        </w:rPr>
        <w:t xml:space="preserve">(e. g. periodic performance test </w:t>
      </w:r>
      <w:r w:rsidR="002A6D07">
        <w:rPr>
          <w:rFonts w:ascii="Times New Roman" w:hAnsi="Times New Roman"/>
          <w:szCs w:val="24"/>
        </w:rPr>
        <w:t>reports</w:t>
      </w:r>
      <w:r w:rsidR="00913E78">
        <w:rPr>
          <w:rFonts w:ascii="Times New Roman" w:hAnsi="Times New Roman"/>
          <w:szCs w:val="24"/>
        </w:rPr>
        <w:t xml:space="preserve"> from major sources) </w:t>
      </w:r>
      <w:r w:rsidR="004103F0">
        <w:rPr>
          <w:rFonts w:ascii="Times New Roman" w:hAnsi="Times New Roman"/>
          <w:szCs w:val="24"/>
        </w:rPr>
        <w:t xml:space="preserve">typically do not include data required for residual risk assessment including stack heights, </w:t>
      </w:r>
      <w:r w:rsidR="00913E78">
        <w:rPr>
          <w:rFonts w:ascii="Times New Roman" w:hAnsi="Times New Roman"/>
          <w:szCs w:val="24"/>
        </w:rPr>
        <w:t xml:space="preserve">detailed </w:t>
      </w:r>
      <w:r w:rsidR="004103F0">
        <w:rPr>
          <w:rFonts w:ascii="Times New Roman" w:hAnsi="Times New Roman"/>
          <w:szCs w:val="24"/>
        </w:rPr>
        <w:t xml:space="preserve">stack (and other discharge point) locations, </w:t>
      </w:r>
      <w:r w:rsidR="00844B80">
        <w:rPr>
          <w:rFonts w:ascii="Times New Roman" w:hAnsi="Times New Roman"/>
          <w:szCs w:val="24"/>
        </w:rPr>
        <w:t xml:space="preserve">average </w:t>
      </w:r>
      <w:r w:rsidR="002A6D07">
        <w:rPr>
          <w:rFonts w:ascii="Times New Roman" w:hAnsi="Times New Roman"/>
          <w:szCs w:val="24"/>
        </w:rPr>
        <w:t>throughputs</w:t>
      </w:r>
      <w:r w:rsidR="00844B80">
        <w:rPr>
          <w:rFonts w:ascii="Times New Roman" w:hAnsi="Times New Roman"/>
          <w:szCs w:val="24"/>
        </w:rPr>
        <w:t xml:space="preserve"> (as opposed to throughputs under test conditions), capture system descriptions, average flux rates (as opposed to flux rates under test conditions</w:t>
      </w:r>
      <w:r w:rsidR="00913E78">
        <w:rPr>
          <w:rFonts w:ascii="Times New Roman" w:hAnsi="Times New Roman"/>
          <w:szCs w:val="24"/>
        </w:rPr>
        <w:t>)</w:t>
      </w:r>
      <w:r w:rsidR="00844B80">
        <w:rPr>
          <w:rFonts w:ascii="Times New Roman" w:hAnsi="Times New Roman"/>
          <w:szCs w:val="24"/>
        </w:rPr>
        <w:t>, and other information</w:t>
      </w:r>
      <w:r w:rsidR="00913E78">
        <w:rPr>
          <w:rFonts w:ascii="Times New Roman" w:hAnsi="Times New Roman"/>
          <w:szCs w:val="24"/>
        </w:rPr>
        <w:t xml:space="preserve"> necessary for technology review.  </w:t>
      </w:r>
      <w:r w:rsidR="00844B80">
        <w:rPr>
          <w:rFonts w:ascii="Times New Roman" w:hAnsi="Times New Roman"/>
          <w:szCs w:val="24"/>
        </w:rPr>
        <w:t xml:space="preserve"> </w:t>
      </w:r>
      <w:r w:rsidR="004103F0">
        <w:rPr>
          <w:rFonts w:ascii="Times New Roman" w:hAnsi="Times New Roman"/>
          <w:szCs w:val="24"/>
        </w:rPr>
        <w:t xml:space="preserve"> </w:t>
      </w:r>
      <w:r w:rsidR="004103F0" w:rsidRPr="004103F0">
        <w:rPr>
          <w:rFonts w:ascii="Times New Roman" w:hAnsi="Times New Roman"/>
          <w:szCs w:val="24"/>
        </w:rPr>
        <w:t xml:space="preserve"> </w:t>
      </w:r>
    </w:p>
    <w:p w:rsidR="00C9221B" w:rsidRPr="00C9221B" w:rsidRDefault="00C9221B" w:rsidP="00913E78">
      <w:pPr>
        <w:shd w:val="clear" w:color="auto" w:fill="FFFFFF"/>
        <w:spacing w:after="120" w:line="360" w:lineRule="auto"/>
        <w:ind w:firstLine="720"/>
        <w:rPr>
          <w:rFonts w:ascii="Times New Roman" w:hAnsi="Times New Roman"/>
          <w:szCs w:val="24"/>
        </w:rPr>
      </w:pPr>
      <w:r w:rsidRPr="004103F0">
        <w:rPr>
          <w:rFonts w:ascii="Times New Roman" w:hAnsi="Times New Roman"/>
          <w:szCs w:val="24"/>
        </w:rPr>
        <w:t xml:space="preserve">During the RTR </w:t>
      </w:r>
      <w:r w:rsidR="002A6D07" w:rsidRPr="004103F0">
        <w:rPr>
          <w:rFonts w:ascii="Times New Roman" w:hAnsi="Times New Roman"/>
          <w:szCs w:val="24"/>
        </w:rPr>
        <w:t>assessment</w:t>
      </w:r>
      <w:r w:rsidRPr="004103F0">
        <w:rPr>
          <w:rFonts w:ascii="Times New Roman" w:hAnsi="Times New Roman"/>
          <w:szCs w:val="24"/>
        </w:rPr>
        <w:t xml:space="preserve"> process, in addition to conducting source category risk assessments, EPA also examines the risks from the entire “facility,” where the “facility” includes all HAP-emitting operations within a contiguous area and under common control.  In other words, for each facility, EPA examines the risks due to HAP emissions not only from the source category of interest, but also due to HAP emissions from all other emission sources at the facility. </w:t>
      </w:r>
      <w:r w:rsidR="00702120">
        <w:rPr>
          <w:rFonts w:ascii="Times New Roman" w:hAnsi="Times New Roman"/>
          <w:szCs w:val="24"/>
        </w:rPr>
        <w:t xml:space="preserve"> </w:t>
      </w:r>
      <w:r w:rsidRPr="004103F0">
        <w:rPr>
          <w:rFonts w:ascii="Times New Roman" w:hAnsi="Times New Roman"/>
          <w:szCs w:val="24"/>
        </w:rPr>
        <w:t>F</w:t>
      </w:r>
      <w:r w:rsidRPr="00C9221B">
        <w:rPr>
          <w:rFonts w:ascii="Times New Roman" w:hAnsi="Times New Roman"/>
          <w:szCs w:val="24"/>
        </w:rPr>
        <w:t xml:space="preserve">or these facility-wide risk analyses, the modeled source category risks are compared to the facility-wide risks to determine the portion of facility-wide risks that can be attributed to the secondary aluminum production source category, and to ultimately determine whether additional controls may be needed on secondary aluminum processes in order to address the cumulative risks associated with facility-wide emissions. </w:t>
      </w:r>
      <w:r w:rsidR="00A81959">
        <w:rPr>
          <w:rFonts w:ascii="Times New Roman" w:hAnsi="Times New Roman"/>
          <w:szCs w:val="24"/>
        </w:rPr>
        <w:t xml:space="preserve"> </w:t>
      </w:r>
      <w:r w:rsidRPr="00C9221B">
        <w:rPr>
          <w:rFonts w:ascii="Times New Roman" w:hAnsi="Times New Roman"/>
          <w:szCs w:val="24"/>
        </w:rPr>
        <w:t xml:space="preserve">We are requesting facility-wide HAP emissions data in order to improve the accuracy of these facility-wide risk analyses. </w:t>
      </w:r>
      <w:r w:rsidR="00A81959">
        <w:rPr>
          <w:rFonts w:ascii="Times New Roman" w:hAnsi="Times New Roman"/>
          <w:szCs w:val="24"/>
        </w:rPr>
        <w:t xml:space="preserve"> </w:t>
      </w:r>
      <w:r w:rsidRPr="00C9221B">
        <w:rPr>
          <w:rFonts w:ascii="Times New Roman" w:hAnsi="Times New Roman"/>
          <w:szCs w:val="24"/>
        </w:rPr>
        <w:t>The facility-wide risk analyses are also used to inform our understanding of the potential for any HAP-related environmental justice issues that might be associated with each category as require</w:t>
      </w:r>
      <w:r w:rsidR="00A81959">
        <w:rPr>
          <w:rFonts w:ascii="Times New Roman" w:hAnsi="Times New Roman"/>
          <w:szCs w:val="24"/>
        </w:rPr>
        <w:t xml:space="preserve">d under Executive Order 12898.  </w:t>
      </w:r>
      <w:r w:rsidRPr="00C9221B">
        <w:rPr>
          <w:rFonts w:ascii="Times New Roman" w:hAnsi="Times New Roman"/>
          <w:szCs w:val="24"/>
        </w:rPr>
        <w:t xml:space="preserve">To do this, EPA evaluates the distribution of significant HAP-related </w:t>
      </w:r>
      <w:r w:rsidRPr="00A81959">
        <w:rPr>
          <w:rFonts w:ascii="Times New Roman" w:hAnsi="Times New Roman"/>
          <w:szCs w:val="24"/>
        </w:rPr>
        <w:lastRenderedPageBreak/>
        <w:t xml:space="preserve">cancer and non-cancer risks across different social, demographic, and economic groups within the populations living near the facilities where these source categories are located. </w:t>
      </w:r>
      <w:r w:rsidR="00A81959" w:rsidRPr="00A81959">
        <w:rPr>
          <w:rFonts w:ascii="Times New Roman" w:hAnsi="Times New Roman"/>
          <w:szCs w:val="24"/>
        </w:rPr>
        <w:t xml:space="preserve"> </w:t>
      </w:r>
      <w:r w:rsidR="00913E78" w:rsidRPr="00A81959">
        <w:rPr>
          <w:rFonts w:ascii="Times New Roman" w:hAnsi="Times New Roman"/>
        </w:rPr>
        <w:t xml:space="preserve">Emissions of HAPs not regulated under the existing NESHAP (e. g. emissions of </w:t>
      </w:r>
      <w:r w:rsidR="00A81959" w:rsidRPr="00A81959">
        <w:rPr>
          <w:rFonts w:ascii="Times New Roman" w:hAnsi="Times New Roman"/>
        </w:rPr>
        <w:t xml:space="preserve">additional </w:t>
      </w:r>
      <w:r w:rsidR="00913E78" w:rsidRPr="00A81959">
        <w:rPr>
          <w:rFonts w:ascii="Times New Roman" w:hAnsi="Times New Roman"/>
        </w:rPr>
        <w:t xml:space="preserve">HAP other than D/F from area sources subject to D/F emission limitations) and emissions of HAP from collocated affected sources not regulated under the </w:t>
      </w:r>
      <w:r w:rsidR="002A6D07" w:rsidRPr="00A81959">
        <w:rPr>
          <w:rFonts w:ascii="Times New Roman" w:hAnsi="Times New Roman"/>
        </w:rPr>
        <w:t>secondary</w:t>
      </w:r>
      <w:r w:rsidR="00913E78" w:rsidRPr="00A81959">
        <w:rPr>
          <w:rFonts w:ascii="Times New Roman" w:hAnsi="Times New Roman"/>
        </w:rPr>
        <w:t xml:space="preserve"> aluminum production NESHAP contribute to facility-wide risk.</w:t>
      </w:r>
      <w:r w:rsidRPr="00C9221B">
        <w:rPr>
          <w:rFonts w:ascii="Times New Roman" w:hAnsi="Times New Roman"/>
          <w:szCs w:val="24"/>
        </w:rPr>
        <w:t xml:space="preserve"> </w:t>
      </w:r>
    </w:p>
    <w:p w:rsidR="000B39A6" w:rsidRPr="006C39B3" w:rsidRDefault="004F2ADA" w:rsidP="008D79F7">
      <w:pPr>
        <w:pStyle w:val="Para"/>
        <w:spacing w:line="360" w:lineRule="auto"/>
      </w:pPr>
      <w:r w:rsidRPr="006C39B3">
        <w:t xml:space="preserve">Information collected </w:t>
      </w:r>
      <w:r w:rsidR="00A6052A" w:rsidRPr="006C39B3">
        <w:t xml:space="preserve">directly </w:t>
      </w:r>
      <w:r w:rsidRPr="006C39B3">
        <w:t xml:space="preserve">from </w:t>
      </w:r>
      <w:r w:rsidR="00057FE6" w:rsidRPr="006C39B3">
        <w:t xml:space="preserve">companies </w:t>
      </w:r>
      <w:r w:rsidR="00C96156" w:rsidRPr="006C39B3">
        <w:t xml:space="preserve">owning or operating </w:t>
      </w:r>
      <w:r w:rsidR="00057FE6" w:rsidRPr="006C39B3">
        <w:t>secondary aluminum production facilities</w:t>
      </w:r>
      <w:r w:rsidRPr="006C39B3">
        <w:t xml:space="preserve"> will have the greatest practical utility for purposes of performing the RTR as information from the affected industry will contain the most up-to-date, accurate, and reliable equipment and operational data</w:t>
      </w:r>
      <w:r w:rsidR="00EC4D0A" w:rsidRPr="006C39B3">
        <w:t xml:space="preserve"> for each </w:t>
      </w:r>
      <w:r w:rsidR="00057FE6" w:rsidRPr="006C39B3">
        <w:t>facility</w:t>
      </w:r>
      <w:r w:rsidR="00B65BA9" w:rsidRPr="006C39B3">
        <w:t xml:space="preserve">.  </w:t>
      </w:r>
      <w:r w:rsidR="00296403" w:rsidRPr="006C39B3">
        <w:rPr>
          <w:bCs/>
        </w:rPr>
        <w:t>At present, EPA has facility-wide data in the National Emissions Inventory</w:t>
      </w:r>
      <w:r w:rsidR="0088695E">
        <w:rPr>
          <w:bCs/>
        </w:rPr>
        <w:t xml:space="preserve"> for </w:t>
      </w:r>
      <w:r w:rsidR="0038184F">
        <w:rPr>
          <w:bCs/>
        </w:rPr>
        <w:t>2005</w:t>
      </w:r>
      <w:r w:rsidR="0038184F" w:rsidRPr="006C39B3">
        <w:rPr>
          <w:bCs/>
        </w:rPr>
        <w:t>;</w:t>
      </w:r>
      <w:r w:rsidR="00296403" w:rsidRPr="006C39B3">
        <w:rPr>
          <w:bCs/>
        </w:rPr>
        <w:t xml:space="preserve"> however some of these data may be missing, erroneous or not representative of current emissions.  </w:t>
      </w:r>
      <w:r w:rsidR="00B65BA9" w:rsidRPr="006C39B3">
        <w:t xml:space="preserve">The ICR will request information for </w:t>
      </w:r>
      <w:r w:rsidR="000A0E2B" w:rsidRPr="006C39B3">
        <w:t xml:space="preserve">current equipment information and </w:t>
      </w:r>
      <w:r w:rsidR="00546F41" w:rsidRPr="006C39B3">
        <w:t>emissions from the most recent years of production</w:t>
      </w:r>
      <w:r w:rsidR="00EC4D0A" w:rsidRPr="006C39B3">
        <w:t xml:space="preserve">, and therefore, will not suffer from </w:t>
      </w:r>
      <w:r w:rsidR="00D67E98" w:rsidRPr="006C39B3">
        <w:t xml:space="preserve">the considerable </w:t>
      </w:r>
      <w:r w:rsidR="00CB060B" w:rsidRPr="006C39B3">
        <w:t xml:space="preserve">“lag </w:t>
      </w:r>
      <w:r w:rsidRPr="006C39B3">
        <w:t xml:space="preserve">time” </w:t>
      </w:r>
      <w:r w:rsidR="00D67E98" w:rsidRPr="006C39B3">
        <w:t xml:space="preserve">that can be </w:t>
      </w:r>
      <w:r w:rsidRPr="006C39B3">
        <w:t>associated with different permit review cycles</w:t>
      </w:r>
      <w:r w:rsidR="00EC4D0A" w:rsidRPr="006C39B3">
        <w:t xml:space="preserve"> (e.g., where the currently available inventory does not yet reflect recent changes in equipment).</w:t>
      </w:r>
      <w:r w:rsidR="00226443" w:rsidRPr="006C39B3">
        <w:rPr>
          <w:rStyle w:val="FootnoteReference"/>
        </w:rPr>
        <w:footnoteReference w:id="1"/>
      </w:r>
    </w:p>
    <w:p w:rsidR="00B8780F" w:rsidRPr="006C39B3" w:rsidRDefault="00B8780F" w:rsidP="00B8780F">
      <w:pPr>
        <w:pStyle w:val="Para"/>
        <w:spacing w:after="0" w:line="360" w:lineRule="auto"/>
      </w:pPr>
      <w:r w:rsidRPr="006C39B3">
        <w:t>CAA section 114(a) states that the Administrator may require any owner or operator su</w:t>
      </w:r>
      <w:r w:rsidR="00AA1DD1" w:rsidRPr="006C39B3">
        <w:t>bject to any requirement of the</w:t>
      </w:r>
      <w:r w:rsidRPr="006C39B3">
        <w:t xml:space="preserve"> Act to:</w:t>
      </w:r>
    </w:p>
    <w:p w:rsidR="00B8780F" w:rsidRPr="006C39B3" w:rsidRDefault="00B8780F" w:rsidP="00B8780F">
      <w:pPr>
        <w:pStyle w:val="ICRQuote"/>
        <w:spacing w:after="0"/>
        <w:ind w:left="720" w:right="720"/>
        <w:rPr>
          <w:sz w:val="24"/>
          <w:szCs w:val="24"/>
        </w:rPr>
      </w:pPr>
      <w:r w:rsidRPr="006C39B3">
        <w:rPr>
          <w:sz w:val="24"/>
          <w:szCs w:val="24"/>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8A7D3A" w:rsidRPr="006C39B3" w:rsidRDefault="008A7D3A" w:rsidP="000E46A1">
      <w:pPr>
        <w:pStyle w:val="Heading3"/>
        <w:spacing w:before="0" w:after="0" w:line="360" w:lineRule="auto"/>
      </w:pPr>
    </w:p>
    <w:p w:rsidR="007E7915" w:rsidRPr="006C39B3" w:rsidRDefault="008C11FA" w:rsidP="000E46A1">
      <w:pPr>
        <w:pStyle w:val="Heading3"/>
        <w:spacing w:before="0" w:after="0" w:line="360" w:lineRule="auto"/>
      </w:pPr>
      <w:r w:rsidRPr="006C39B3">
        <w:t>(b)</w:t>
      </w:r>
      <w:r w:rsidRPr="006C39B3">
        <w:tab/>
        <w:t>Use/Users of the Data</w:t>
      </w:r>
    </w:p>
    <w:p w:rsidR="00D177E7" w:rsidRPr="006C39B3" w:rsidRDefault="00B80CB8" w:rsidP="00AB28BA">
      <w:pPr>
        <w:pStyle w:val="Para"/>
        <w:spacing w:after="0" w:line="360" w:lineRule="auto"/>
      </w:pPr>
      <w:r w:rsidRPr="006C39B3">
        <w:t xml:space="preserve">As mentioned previously, the data used for the originally promulgated NESHAP are </w:t>
      </w:r>
      <w:r w:rsidR="00AB28BA" w:rsidRPr="006C39B3">
        <w:t xml:space="preserve">incomplete, </w:t>
      </w:r>
      <w:r w:rsidR="00664870" w:rsidRPr="006C39B3">
        <w:t>ou</w:t>
      </w:r>
      <w:r w:rsidRPr="006C39B3">
        <w:t xml:space="preserve">tdated and do not </w:t>
      </w:r>
      <w:r w:rsidR="00664870" w:rsidRPr="006C39B3">
        <w:t xml:space="preserve">adequately </w:t>
      </w:r>
      <w:r w:rsidRPr="006C39B3">
        <w:t xml:space="preserve">reflect changes in emissions collection and control </w:t>
      </w:r>
      <w:r w:rsidRPr="006C39B3">
        <w:lastRenderedPageBreak/>
        <w:t>configurations that have occurred since promulgation of the MACT standard</w:t>
      </w:r>
      <w:r w:rsidR="00E11680" w:rsidRPr="006C39B3">
        <w:t>s.  The MACT standards contain</w:t>
      </w:r>
      <w:r w:rsidRPr="006C39B3">
        <w:t xml:space="preserve"> a number of compliance alternatives to allow for a variety of equipment configurations </w:t>
      </w:r>
      <w:r w:rsidR="00945FE6" w:rsidRPr="006C39B3">
        <w:t xml:space="preserve">and process changes </w:t>
      </w:r>
      <w:r w:rsidRPr="006C39B3">
        <w:t>to be used in meeting the emission standards</w:t>
      </w:r>
      <w:r w:rsidR="00665F7D" w:rsidRPr="006C39B3">
        <w:t>.</w:t>
      </w:r>
      <w:r w:rsidR="00945FE6" w:rsidRPr="006C39B3">
        <w:t xml:space="preserve">  At present, t</w:t>
      </w:r>
      <w:r w:rsidR="00665F7D" w:rsidRPr="006C39B3">
        <w:t xml:space="preserve">he EPA does not </w:t>
      </w:r>
      <w:r w:rsidR="00960B5B" w:rsidRPr="006C39B3">
        <w:t xml:space="preserve">have a </w:t>
      </w:r>
      <w:r w:rsidR="00F77FE0" w:rsidRPr="006C39B3">
        <w:t>database</w:t>
      </w:r>
      <w:r w:rsidR="00945FE6" w:rsidRPr="006C39B3">
        <w:t xml:space="preserve"> reflecting the post-MACT configuration</w:t>
      </w:r>
      <w:r w:rsidR="00541AA6" w:rsidRPr="006C39B3">
        <w:t>s</w:t>
      </w:r>
      <w:r w:rsidR="00945FE6" w:rsidRPr="006C39B3">
        <w:t xml:space="preserve"> </w:t>
      </w:r>
      <w:r w:rsidR="00664870" w:rsidRPr="006C39B3">
        <w:t>of secondary</w:t>
      </w:r>
      <w:r w:rsidR="00AB28BA" w:rsidRPr="006C39B3">
        <w:t xml:space="preserve"> aluminum </w:t>
      </w:r>
      <w:r w:rsidR="008F4FC2" w:rsidRPr="006C39B3">
        <w:t>production</w:t>
      </w:r>
      <w:r w:rsidR="00AB28BA" w:rsidRPr="006C39B3">
        <w:t xml:space="preserve"> affected sources</w:t>
      </w:r>
      <w:r w:rsidR="00945FE6" w:rsidRPr="006C39B3">
        <w:t xml:space="preserve"> and </w:t>
      </w:r>
      <w:r w:rsidR="00E11680" w:rsidRPr="006C39B3">
        <w:t xml:space="preserve">air pollution </w:t>
      </w:r>
      <w:r w:rsidR="00945FE6" w:rsidRPr="006C39B3">
        <w:t>control systems.</w:t>
      </w:r>
      <w:r w:rsidR="00E11680" w:rsidRPr="006C39B3">
        <w:t xml:space="preserve">  It is essential for the EPA to have updated information to use in the regulatory analyses required under CAA sections 112(d) and 112(f)(2). </w:t>
      </w:r>
      <w:r w:rsidR="00147B13">
        <w:t xml:space="preserve"> </w:t>
      </w:r>
      <w:r w:rsidR="00147B13" w:rsidRPr="00A81959">
        <w:t xml:space="preserve">In some cases (e. g. alternate </w:t>
      </w:r>
      <w:r w:rsidR="002A6D07" w:rsidRPr="00A81959">
        <w:t>emission</w:t>
      </w:r>
      <w:r w:rsidR="00147B13" w:rsidRPr="00A81959">
        <w:t xml:space="preserve"> limits for scrap dryers/ delacquering kilns decoating kilns) the characteristics of the emissions control system affect the allowable emissions and thus influence the residual risk.</w:t>
      </w:r>
      <w:r w:rsidR="00147B13">
        <w:t xml:space="preserve"> </w:t>
      </w:r>
      <w:r w:rsidR="00E11680" w:rsidRPr="006C39B3">
        <w:t xml:space="preserve"> </w:t>
      </w:r>
      <w:r w:rsidR="00960B5B" w:rsidRPr="006C39B3">
        <w:t xml:space="preserve">The data would also allow the Agency to evaluate compliance options for startup and shutdown periods.  </w:t>
      </w:r>
    </w:p>
    <w:p w:rsidR="00D177E7" w:rsidRPr="006C39B3" w:rsidRDefault="007E7915" w:rsidP="00147B13">
      <w:pPr>
        <w:pStyle w:val="Para"/>
        <w:spacing w:after="0" w:line="360" w:lineRule="auto"/>
      </w:pPr>
      <w:r w:rsidRPr="006C39B3">
        <w:t xml:space="preserve">The data collected will be used to </w:t>
      </w:r>
      <w:r w:rsidR="00D4265C" w:rsidRPr="006C39B3">
        <w:t xml:space="preserve">update </w:t>
      </w:r>
      <w:r w:rsidR="00951386" w:rsidRPr="006C39B3">
        <w:t xml:space="preserve">facility information and </w:t>
      </w:r>
      <w:r w:rsidR="00D4265C" w:rsidRPr="006C39B3">
        <w:t xml:space="preserve">equipment </w:t>
      </w:r>
      <w:r w:rsidR="00951386" w:rsidRPr="006C39B3">
        <w:t>configuration</w:t>
      </w:r>
      <w:r w:rsidR="00D4265C" w:rsidRPr="006C39B3">
        <w:t>,</w:t>
      </w:r>
      <w:r w:rsidR="00951386" w:rsidRPr="006C39B3">
        <w:t xml:space="preserve"> develop new estimates of the population of affected units, </w:t>
      </w:r>
      <w:r w:rsidR="00D177E7" w:rsidRPr="006C39B3">
        <w:t xml:space="preserve">and </w:t>
      </w:r>
      <w:r w:rsidR="00951386" w:rsidRPr="006C39B3">
        <w:t xml:space="preserve">identify the control measures and emission limits </w:t>
      </w:r>
      <w:r w:rsidR="00541AA6" w:rsidRPr="006C39B3">
        <w:t>being used</w:t>
      </w:r>
      <w:r w:rsidR="00951386" w:rsidRPr="006C39B3">
        <w:t xml:space="preserve"> for compliance with </w:t>
      </w:r>
      <w:r w:rsidR="00541AA6" w:rsidRPr="006C39B3">
        <w:t xml:space="preserve">the </w:t>
      </w:r>
      <w:r w:rsidR="00951386" w:rsidRPr="006C39B3">
        <w:t xml:space="preserve">existing </w:t>
      </w:r>
      <w:r w:rsidR="00C96156" w:rsidRPr="006C39B3">
        <w:t>NESHAP</w:t>
      </w:r>
      <w:r w:rsidR="00D177E7" w:rsidRPr="006C39B3">
        <w:t xml:space="preserve">.  This information, along with </w:t>
      </w:r>
      <w:r w:rsidR="00951386" w:rsidRPr="006C39B3">
        <w:t>existing permitted emission limits</w:t>
      </w:r>
      <w:r w:rsidR="00D177E7" w:rsidRPr="006C39B3">
        <w:t xml:space="preserve"> will be used to establish a baseline for purposes of the regulatory reviews.  </w:t>
      </w:r>
      <w:r w:rsidR="00147B13" w:rsidRPr="00A81959">
        <w:t xml:space="preserve">Emission limits applicable to secondary aluminum processing units (SAPUs) and scrap dryers/ delacquering kilns/ decoating kilns are variable, and </w:t>
      </w:r>
      <w:r w:rsidR="00271D96">
        <w:t>information on current emission</w:t>
      </w:r>
      <w:r w:rsidR="00147B13" w:rsidRPr="00A81959">
        <w:t xml:space="preserve"> limits will improve allowable emission estimates.  </w:t>
      </w:r>
      <w:r w:rsidR="00D177E7" w:rsidRPr="00A81959">
        <w:t>The</w:t>
      </w:r>
      <w:r w:rsidR="00D177E7" w:rsidRPr="006C39B3">
        <w:t xml:space="preserve"> emissions test data collected will be used to verify the performance of </w:t>
      </w:r>
      <w:r w:rsidR="00EB649C" w:rsidRPr="006C39B3">
        <w:t xml:space="preserve">existing </w:t>
      </w:r>
      <w:r w:rsidR="00D177E7" w:rsidRPr="006C39B3">
        <w:t xml:space="preserve">control measures, examine variability in emissions, </w:t>
      </w:r>
      <w:r w:rsidR="00A21FF2" w:rsidRPr="006C39B3">
        <w:t xml:space="preserve">evaluate emission limits, </w:t>
      </w:r>
      <w:r w:rsidR="00D177E7" w:rsidRPr="006C39B3">
        <w:t xml:space="preserve">and </w:t>
      </w:r>
      <w:r w:rsidR="00A21FF2" w:rsidRPr="006C39B3">
        <w:t xml:space="preserve">to </w:t>
      </w:r>
      <w:r w:rsidR="00D177E7" w:rsidRPr="006C39B3">
        <w:t xml:space="preserve">determine the performance of superior control measures </w:t>
      </w:r>
      <w:r w:rsidR="00C96156" w:rsidRPr="006C39B3">
        <w:t xml:space="preserve">that may be </w:t>
      </w:r>
      <w:r w:rsidR="00D177E7" w:rsidRPr="006C39B3">
        <w:t>considered for purposes of reducing residual risk</w:t>
      </w:r>
      <w:r w:rsidR="00EB649C" w:rsidRPr="006C39B3">
        <w:t>.</w:t>
      </w:r>
      <w:r w:rsidR="00A21FF2" w:rsidRPr="006C39B3">
        <w:t xml:space="preserve">  Emissions data </w:t>
      </w:r>
      <w:r w:rsidR="00C96156" w:rsidRPr="006C39B3">
        <w:t xml:space="preserve">may </w:t>
      </w:r>
      <w:r w:rsidR="00A21FF2" w:rsidRPr="006C39B3">
        <w:t xml:space="preserve">also </w:t>
      </w:r>
      <w:r w:rsidR="00F66777" w:rsidRPr="006C39B3">
        <w:t>be used along with process and emission unit details to consider subcategories for further regulation and to estimate the environmental and cost impacts associated with any regulatory options considered.</w:t>
      </w:r>
      <w:r w:rsidR="00960B5B" w:rsidRPr="006C39B3">
        <w:t xml:space="preserve">  </w:t>
      </w:r>
    </w:p>
    <w:p w:rsidR="00BC1D3D" w:rsidRPr="006C39B3" w:rsidRDefault="00BC1D3D" w:rsidP="00B87CE1">
      <w:pPr>
        <w:pStyle w:val="Para"/>
        <w:spacing w:after="0" w:line="360" w:lineRule="auto"/>
      </w:pPr>
      <w:r w:rsidRPr="006C39B3">
        <w:t>In addition to informing the RTR regulatory analyses</w:t>
      </w:r>
      <w:r w:rsidR="005D6F13" w:rsidRPr="006C39B3">
        <w:t xml:space="preserve"> for the</w:t>
      </w:r>
      <w:r w:rsidR="00B87CE1" w:rsidRPr="006C39B3">
        <w:t xml:space="preserve"> secondary aluminum production industry</w:t>
      </w:r>
      <w:r w:rsidRPr="006C39B3">
        <w:t xml:space="preserve">, it is EPA’s intent that the </w:t>
      </w:r>
      <w:r w:rsidR="00EC00A7" w:rsidRPr="006C39B3">
        <w:t xml:space="preserve">NATA </w:t>
      </w:r>
      <w:r w:rsidRPr="006C39B3">
        <w:t xml:space="preserve">NEI updates </w:t>
      </w:r>
      <w:r w:rsidR="005D6F13" w:rsidRPr="006C39B3">
        <w:t xml:space="preserve">supplied through this information collection </w:t>
      </w:r>
      <w:r w:rsidRPr="006C39B3">
        <w:t xml:space="preserve">be used in future versions of the </w:t>
      </w:r>
      <w:r w:rsidR="00106F98" w:rsidRPr="006C39B3">
        <w:t xml:space="preserve">NATA </w:t>
      </w:r>
      <w:r w:rsidRPr="006C39B3">
        <w:t>NEI and its successor, the Emissions Inventory System (EIS).  The NEI is used by EPA, States, and the public for a variety of purposes</w:t>
      </w:r>
      <w:r w:rsidR="005D6F13" w:rsidRPr="006C39B3">
        <w:t xml:space="preserve"> including tracking of national trends in emissions of criteria and hazardous air pollutants.  More information in the NEI can be found at http://www.epa.gov/air/data/neidb.html.</w:t>
      </w:r>
    </w:p>
    <w:p w:rsidR="00BC1D3D" w:rsidRPr="006C39B3" w:rsidRDefault="00955E3B" w:rsidP="00B87CE1">
      <w:pPr>
        <w:pStyle w:val="Para"/>
        <w:spacing w:after="0" w:line="360" w:lineRule="auto"/>
      </w:pPr>
      <w:r w:rsidRPr="006C39B3">
        <w:t xml:space="preserve">The non-confidential information collected with this ICR would also be available to the public, including </w:t>
      </w:r>
      <w:r w:rsidR="00B87CE1" w:rsidRPr="006C39B3">
        <w:t>aluminum</w:t>
      </w:r>
      <w:r w:rsidRPr="006C39B3">
        <w:t xml:space="preserve"> industry trade groups that may find the information useful for their </w:t>
      </w:r>
      <w:r w:rsidRPr="006C39B3">
        <w:lastRenderedPageBreak/>
        <w:t>ongoing data gathering, analyses, and publications.</w:t>
      </w:r>
      <w:r w:rsidR="008B435E" w:rsidRPr="006C39B3">
        <w:t xml:space="preserve">  In addition, such trade groups may wish to use the data collected to review and verify EPA’s regulatory conclusions. </w:t>
      </w:r>
    </w:p>
    <w:p w:rsidR="007E7915" w:rsidRPr="006C39B3" w:rsidRDefault="007E7915" w:rsidP="000E46A1">
      <w:pPr>
        <w:pStyle w:val="Heading2"/>
        <w:spacing w:before="0" w:line="360" w:lineRule="auto"/>
      </w:pPr>
      <w:r w:rsidRPr="006C39B3">
        <w:t>3.</w:t>
      </w:r>
      <w:r w:rsidRPr="006C39B3">
        <w:tab/>
        <w:t xml:space="preserve">Non-duplication, Consultations, and Other Collection Criteria </w:t>
      </w:r>
    </w:p>
    <w:p w:rsidR="007E7915" w:rsidRPr="006C39B3" w:rsidRDefault="007E7915" w:rsidP="000E46A1">
      <w:pPr>
        <w:pStyle w:val="Heading3"/>
        <w:spacing w:before="0" w:after="0" w:line="360" w:lineRule="auto"/>
      </w:pPr>
      <w:r w:rsidRPr="006C39B3">
        <w:t>(a)</w:t>
      </w:r>
      <w:r w:rsidRPr="006C39B3">
        <w:tab/>
        <w:t xml:space="preserve">Non-duplication </w:t>
      </w:r>
    </w:p>
    <w:p w:rsidR="00EA2618" w:rsidRPr="006C39B3" w:rsidRDefault="00C26BF9" w:rsidP="003A505A">
      <w:pPr>
        <w:pStyle w:val="Para"/>
        <w:spacing w:after="0" w:line="360" w:lineRule="auto"/>
      </w:pPr>
      <w:r w:rsidRPr="006C39B3">
        <w:t>The Agency recognizes</w:t>
      </w:r>
      <w:r w:rsidR="00703A52" w:rsidRPr="006C39B3">
        <w:t xml:space="preserve"> that some of the information requested in the information collection effort may already be included in the submittals made by individual companies, pursuant to </w:t>
      </w:r>
      <w:r w:rsidR="008C11FA" w:rsidRPr="006C39B3">
        <w:t>S</w:t>
      </w:r>
      <w:r w:rsidR="00703A52" w:rsidRPr="006C39B3">
        <w:t>tate and national emission inventories, oper</w:t>
      </w:r>
      <w:r w:rsidR="00893D5A" w:rsidRPr="006C39B3">
        <w:t xml:space="preserve">ating permit applications, </w:t>
      </w:r>
      <w:r w:rsidR="00703A52" w:rsidRPr="006C39B3">
        <w:t>initial notification forms</w:t>
      </w:r>
      <w:r w:rsidR="00893D5A" w:rsidRPr="006C39B3">
        <w:t>, and compliance reports</w:t>
      </w:r>
      <w:r w:rsidR="00EB3D76" w:rsidRPr="006C39B3">
        <w:t xml:space="preserve">. </w:t>
      </w:r>
      <w:r w:rsidR="00130C78" w:rsidRPr="006C39B3">
        <w:t xml:space="preserve"> </w:t>
      </w:r>
      <w:r w:rsidR="005379D7" w:rsidRPr="006C39B3">
        <w:t>However, the complete extent of the data fields requested under this survey is not available in a</w:t>
      </w:r>
      <w:r w:rsidR="00395112" w:rsidRPr="006C39B3">
        <w:t>ny consistent or</w:t>
      </w:r>
      <w:r w:rsidR="005379D7" w:rsidRPr="006C39B3">
        <w:t xml:space="preserve"> usable format</w:t>
      </w:r>
      <w:r w:rsidR="00EB3D76" w:rsidRPr="006C39B3">
        <w:t xml:space="preserve">. </w:t>
      </w:r>
      <w:r w:rsidR="00130C78" w:rsidRPr="006C39B3">
        <w:t xml:space="preserve"> </w:t>
      </w:r>
      <w:r w:rsidR="00893D5A" w:rsidRPr="006C39B3">
        <w:t xml:space="preserve">Additionally, these sources do not provide detailed emissions test data.  </w:t>
      </w:r>
      <w:r w:rsidR="00764F6D" w:rsidRPr="006C39B3">
        <w:t>As mentioned previously, there is a lag time associated with State and national emission inventories, and permit review cycles.  There is also a lag time associated with obtaining emission test reports from State agencies (i.e., agencies may be reluctant to release emission test results they have not yet processed</w:t>
      </w:r>
      <w:r w:rsidR="00764F6D" w:rsidRPr="005A0DAD">
        <w:t xml:space="preserve">).  </w:t>
      </w:r>
      <w:r w:rsidR="006E43A7" w:rsidRPr="005A0DAD">
        <w:t>Agency resources vary greatly from state to state, as</w:t>
      </w:r>
      <w:r w:rsidR="003A505A" w:rsidRPr="005A0DAD">
        <w:t xml:space="preserve"> does</w:t>
      </w:r>
      <w:r w:rsidR="006E43A7" w:rsidRPr="005A0DAD">
        <w:t xml:space="preserve"> </w:t>
      </w:r>
      <w:r w:rsidR="003A505A" w:rsidRPr="005A0DAD">
        <w:t>the ease of locating and retrieving these reports</w:t>
      </w:r>
      <w:r w:rsidR="006E43A7" w:rsidRPr="005A0DAD">
        <w:t xml:space="preserve">.  </w:t>
      </w:r>
      <w:r w:rsidR="00764F6D" w:rsidRPr="005A0DAD">
        <w:t>The</w:t>
      </w:r>
      <w:r w:rsidR="00764F6D" w:rsidRPr="006C39B3">
        <w:t xml:space="preserve"> EPA’s proposed information collection seeks up-to-date equipment configuration and operational data for the </w:t>
      </w:r>
      <w:r w:rsidR="00590D48" w:rsidRPr="006C39B3">
        <w:t xml:space="preserve">most recent years of production.  </w:t>
      </w:r>
      <w:r w:rsidR="005379D7" w:rsidRPr="006C39B3">
        <w:t xml:space="preserve">Although some </w:t>
      </w:r>
      <w:r w:rsidR="008C11FA" w:rsidRPr="006C39B3">
        <w:t>S</w:t>
      </w:r>
      <w:r w:rsidR="005379D7" w:rsidRPr="006C39B3">
        <w:t xml:space="preserve">tate permits are provided to the public as searchable </w:t>
      </w:r>
      <w:r w:rsidR="002C1285" w:rsidRPr="006C39B3">
        <w:t>portable document format files (</w:t>
      </w:r>
      <w:r w:rsidR="005379D7" w:rsidRPr="006C39B3">
        <w:t>pdfs</w:t>
      </w:r>
      <w:r w:rsidR="002C1285" w:rsidRPr="006C39B3">
        <w:t>)</w:t>
      </w:r>
      <w:r w:rsidR="005379D7" w:rsidRPr="006C39B3">
        <w:t xml:space="preserve">, many </w:t>
      </w:r>
      <w:r w:rsidR="008C11FA" w:rsidRPr="006C39B3">
        <w:t>S</w:t>
      </w:r>
      <w:r w:rsidR="005379D7" w:rsidRPr="006C39B3">
        <w:t>tates do not provide electronic versions of their issued Title V permits</w:t>
      </w:r>
      <w:r w:rsidR="00EB3D76" w:rsidRPr="006C39B3">
        <w:t xml:space="preserve">. </w:t>
      </w:r>
      <w:r w:rsidR="00893D5A" w:rsidRPr="006C39B3">
        <w:t xml:space="preserve"> </w:t>
      </w:r>
      <w:r w:rsidR="005379D7" w:rsidRPr="006C39B3">
        <w:t>Even when the permit</w:t>
      </w:r>
      <w:r w:rsidR="00395112" w:rsidRPr="006C39B3">
        <w:t xml:space="preserve"> is available, </w:t>
      </w:r>
      <w:r w:rsidR="005379D7" w:rsidRPr="006C39B3">
        <w:t xml:space="preserve">the unit-specific operating data </w:t>
      </w:r>
      <w:r w:rsidR="008C11FA" w:rsidRPr="006C39B3">
        <w:t>are</w:t>
      </w:r>
      <w:r w:rsidR="00985BE4" w:rsidRPr="006C39B3">
        <w:t xml:space="preserve"> </w:t>
      </w:r>
      <w:r w:rsidR="00395112" w:rsidRPr="006C39B3">
        <w:t xml:space="preserve">often not </w:t>
      </w:r>
      <w:r w:rsidR="00985BE4" w:rsidRPr="006C39B3">
        <w:t>contained within the permit</w:t>
      </w:r>
      <w:r w:rsidR="00EB3D76" w:rsidRPr="006C39B3">
        <w:t xml:space="preserve">. </w:t>
      </w:r>
      <w:r w:rsidR="00130C78" w:rsidRPr="006C39B3">
        <w:t xml:space="preserve"> </w:t>
      </w:r>
      <w:r w:rsidR="005379D7" w:rsidRPr="006C39B3">
        <w:t xml:space="preserve">Some of the initial notifications </w:t>
      </w:r>
      <w:r w:rsidR="00893D5A" w:rsidRPr="006C39B3">
        <w:t xml:space="preserve">and compliance reports </w:t>
      </w:r>
      <w:r w:rsidR="005379D7" w:rsidRPr="006C39B3">
        <w:t xml:space="preserve">submitted are available in hard-copy only, whereas only the facility-level </w:t>
      </w:r>
      <w:r w:rsidR="005379D7" w:rsidRPr="00B855D0">
        <w:t xml:space="preserve">information (facility name, location, contact) is available in an electronic </w:t>
      </w:r>
      <w:r w:rsidR="00B115CC" w:rsidRPr="00B855D0">
        <w:t>format</w:t>
      </w:r>
      <w:r w:rsidR="00EB3D76" w:rsidRPr="00B855D0">
        <w:t xml:space="preserve">. </w:t>
      </w:r>
      <w:r w:rsidR="00130C78" w:rsidRPr="00B855D0">
        <w:t xml:space="preserve"> </w:t>
      </w:r>
      <w:bookmarkStart w:id="2" w:name="OLE_LINK3"/>
      <w:bookmarkStart w:id="3" w:name="OLE_LINK4"/>
      <w:r w:rsidR="00893D5A" w:rsidRPr="00B855D0">
        <w:t xml:space="preserve">In order to address </w:t>
      </w:r>
      <w:r w:rsidR="00BD2A31" w:rsidRPr="00B855D0">
        <w:t xml:space="preserve">startup and shutdown </w:t>
      </w:r>
      <w:r w:rsidR="00893D5A" w:rsidRPr="00B855D0">
        <w:t xml:space="preserve">issues, the Agency obtained </w:t>
      </w:r>
      <w:r w:rsidR="006E43A7" w:rsidRPr="00B855D0">
        <w:t xml:space="preserve">three Startup, Shutdown </w:t>
      </w:r>
      <w:r w:rsidR="00893D5A" w:rsidRPr="00B855D0">
        <w:t xml:space="preserve">and </w:t>
      </w:r>
      <w:r w:rsidR="006E43A7" w:rsidRPr="00B855D0">
        <w:t xml:space="preserve">Malfunction plans and </w:t>
      </w:r>
      <w:r w:rsidR="00893D5A" w:rsidRPr="00B855D0">
        <w:t>found the</w:t>
      </w:r>
      <w:r w:rsidR="006E43A7" w:rsidRPr="00B855D0">
        <w:t>m</w:t>
      </w:r>
      <w:r w:rsidR="00893D5A" w:rsidRPr="00B855D0">
        <w:t xml:space="preserve"> to contain</w:t>
      </w:r>
      <w:r w:rsidR="008C48B7" w:rsidRPr="00B855D0">
        <w:t xml:space="preserve"> a</w:t>
      </w:r>
      <w:r w:rsidR="00893D5A" w:rsidRPr="00B855D0">
        <w:t xml:space="preserve"> widely </w:t>
      </w:r>
      <w:r w:rsidR="00B855D0">
        <w:t>variety</w:t>
      </w:r>
      <w:r w:rsidR="00893D5A" w:rsidRPr="00B855D0">
        <w:t xml:space="preserve"> of detail.</w:t>
      </w:r>
      <w:r w:rsidR="008C48B7" w:rsidRPr="00B855D0">
        <w:t xml:space="preserve"> </w:t>
      </w:r>
      <w:r w:rsidR="00B855D0">
        <w:t xml:space="preserve"> </w:t>
      </w:r>
      <w:r w:rsidR="006E43A7" w:rsidRPr="005A0DAD">
        <w:t xml:space="preserve">Semi-annual compliance reports contain almost </w:t>
      </w:r>
      <w:r w:rsidR="00B855D0" w:rsidRPr="005A0DAD">
        <w:t>no</w:t>
      </w:r>
      <w:r w:rsidR="006E43A7" w:rsidRPr="005A0DAD">
        <w:t xml:space="preserve"> information for periods in which no deviations occurred. </w:t>
      </w:r>
      <w:r w:rsidR="008C48B7" w:rsidRPr="005A0DAD">
        <w:t xml:space="preserve"> </w:t>
      </w:r>
      <w:r w:rsidR="006E43A7" w:rsidRPr="005A0DAD">
        <w:t>Va</w:t>
      </w:r>
      <w:r w:rsidR="00985BE4" w:rsidRPr="005A0DAD">
        <w:t>riation in the level of detail of permits and compliance reports means that it would be extremely</w:t>
      </w:r>
      <w:r w:rsidR="00764F6D" w:rsidRPr="005A0DAD">
        <w:t xml:space="preserve"> </w:t>
      </w:r>
      <w:r w:rsidR="00985BE4" w:rsidRPr="005A0DAD">
        <w:t>time consuming</w:t>
      </w:r>
      <w:r w:rsidR="00AA7F71" w:rsidRPr="005A0DAD">
        <w:t xml:space="preserve"> </w:t>
      </w:r>
      <w:r w:rsidR="00985BE4" w:rsidRPr="005A0DAD">
        <w:t xml:space="preserve">for the Agency to </w:t>
      </w:r>
      <w:r w:rsidR="00B855D0" w:rsidRPr="005A0DAD">
        <w:t>obtain</w:t>
      </w:r>
      <w:r w:rsidR="00985BE4" w:rsidRPr="005A0DAD">
        <w:t xml:space="preserve"> the level of process detail needed for regulatory analyses from existing documents (assuming that these documents were readily available to EPA)</w:t>
      </w:r>
      <w:r w:rsidR="00AA7F71" w:rsidRPr="005A0DAD">
        <w:t xml:space="preserve">, and that </w:t>
      </w:r>
      <w:r w:rsidR="00764F6D" w:rsidRPr="005A0DAD">
        <w:t xml:space="preserve">significant </w:t>
      </w:r>
      <w:r w:rsidR="00AA7F71" w:rsidRPr="005A0DAD">
        <w:t>data gaps would remain even after data from existing documents were compiled</w:t>
      </w:r>
      <w:r w:rsidR="00985BE4" w:rsidRPr="005A0DAD">
        <w:t>.</w:t>
      </w:r>
      <w:r w:rsidR="00764F6D" w:rsidRPr="005A0DAD">
        <w:t xml:space="preserve">  </w:t>
      </w:r>
      <w:r w:rsidR="008C48B7" w:rsidRPr="005A0DAD">
        <w:t xml:space="preserve">Emissions test reports are often retained as hard copies by State agencies and thus are not readily available for all </w:t>
      </w:r>
      <w:r w:rsidR="00BD2A31" w:rsidRPr="005A0DAD">
        <w:t>facilities</w:t>
      </w:r>
      <w:r w:rsidR="008C48B7" w:rsidRPr="005A0DAD">
        <w:t>.</w:t>
      </w:r>
      <w:bookmarkEnd w:id="2"/>
      <w:bookmarkEnd w:id="3"/>
      <w:r w:rsidR="008C48B7" w:rsidRPr="006C39B3">
        <w:t xml:space="preserve">  </w:t>
      </w:r>
      <w:r w:rsidR="00285216" w:rsidRPr="006C39B3">
        <w:t xml:space="preserve">  </w:t>
      </w:r>
    </w:p>
    <w:p w:rsidR="0025154C" w:rsidRPr="006C39B3" w:rsidRDefault="007A68DA" w:rsidP="00BD2A31">
      <w:pPr>
        <w:pStyle w:val="Para"/>
        <w:spacing w:after="0" w:line="360" w:lineRule="auto"/>
      </w:pPr>
      <w:r w:rsidRPr="006C39B3">
        <w:lastRenderedPageBreak/>
        <w:t xml:space="preserve">To summarize, </w:t>
      </w:r>
      <w:r w:rsidR="00395112" w:rsidRPr="006C39B3">
        <w:t xml:space="preserve">the </w:t>
      </w:r>
      <w:r w:rsidRPr="006C39B3">
        <w:t>i</w:t>
      </w:r>
      <w:r w:rsidR="005379D7" w:rsidRPr="006C39B3">
        <w:t xml:space="preserve">nformation requested </w:t>
      </w:r>
      <w:r w:rsidR="00395112" w:rsidRPr="006C39B3">
        <w:t>relevant</w:t>
      </w:r>
      <w:r w:rsidR="005379D7" w:rsidRPr="006C39B3">
        <w:t xml:space="preserve"> to </w:t>
      </w:r>
      <w:r w:rsidR="00893D5A" w:rsidRPr="006C39B3">
        <w:t xml:space="preserve">the </w:t>
      </w:r>
      <w:r w:rsidR="00EA2618" w:rsidRPr="006C39B3">
        <w:t>current (post-MACT) equipment</w:t>
      </w:r>
      <w:r w:rsidR="00893D5A" w:rsidRPr="006C39B3">
        <w:t xml:space="preserve"> </w:t>
      </w:r>
      <w:r w:rsidR="00EA2618" w:rsidRPr="006C39B3">
        <w:t>configuration and operation</w:t>
      </w:r>
      <w:r w:rsidR="00893D5A" w:rsidRPr="006C39B3">
        <w:t xml:space="preserve">, </w:t>
      </w:r>
      <w:r w:rsidR="00EA2618" w:rsidRPr="006C39B3">
        <w:t xml:space="preserve">regulatory alternatives, </w:t>
      </w:r>
      <w:r w:rsidR="005379D7" w:rsidRPr="006C39B3">
        <w:t xml:space="preserve">emissions data, and effectiveness of various control </w:t>
      </w:r>
      <w:r w:rsidR="008C48B7" w:rsidRPr="006C39B3">
        <w:t>systems</w:t>
      </w:r>
      <w:r w:rsidR="005379D7" w:rsidRPr="006C39B3">
        <w:t xml:space="preserve"> at removing HAP is not </w:t>
      </w:r>
      <w:r w:rsidRPr="006C39B3">
        <w:t xml:space="preserve">readily </w:t>
      </w:r>
      <w:r w:rsidR="005379D7" w:rsidRPr="006C39B3">
        <w:t>available from other sources</w:t>
      </w:r>
      <w:r w:rsidR="0025154C" w:rsidRPr="006C39B3">
        <w:t xml:space="preserve">.  In the absence of an industry data collection, the EPA would be forced to </w:t>
      </w:r>
      <w:r w:rsidRPr="006C39B3">
        <w:t xml:space="preserve">try an </w:t>
      </w:r>
      <w:r w:rsidR="0025154C" w:rsidRPr="006C39B3">
        <w:t xml:space="preserve">obtain permits, compliance reports, and emissions test reports from States; extract information from these reports (which </w:t>
      </w:r>
      <w:r w:rsidRPr="006C39B3">
        <w:t xml:space="preserve">vary in </w:t>
      </w:r>
      <w:r w:rsidR="0025154C" w:rsidRPr="006C39B3">
        <w:t xml:space="preserve">detail); and then to fill data gaps where information is not available </w:t>
      </w:r>
      <w:r w:rsidR="00375307" w:rsidRPr="006C39B3">
        <w:t xml:space="preserve">from the reports obtained.  This </w:t>
      </w:r>
      <w:r w:rsidR="0025154C" w:rsidRPr="006C39B3">
        <w:t xml:space="preserve">process of </w:t>
      </w:r>
      <w:r w:rsidR="00375307" w:rsidRPr="006C39B3">
        <w:t xml:space="preserve">acquiring and </w:t>
      </w:r>
      <w:r w:rsidR="0025154C" w:rsidRPr="006C39B3">
        <w:t>mining data from existing</w:t>
      </w:r>
      <w:r w:rsidR="00375307" w:rsidRPr="006C39B3">
        <w:t xml:space="preserve"> reports would require more time than an industry data collection, and</w:t>
      </w:r>
      <w:r w:rsidR="00395112" w:rsidRPr="006C39B3">
        <w:t xml:space="preserve"> ultimately</w:t>
      </w:r>
      <w:r w:rsidR="00375307" w:rsidRPr="006C39B3">
        <w:t xml:space="preserve"> </w:t>
      </w:r>
      <w:r w:rsidR="00395112" w:rsidRPr="006C39B3">
        <w:t xml:space="preserve">can be expected to </w:t>
      </w:r>
      <w:r w:rsidR="00375307" w:rsidRPr="006C39B3">
        <w:t xml:space="preserve">yield incomplete information. </w:t>
      </w:r>
      <w:r w:rsidRPr="006C39B3">
        <w:t xml:space="preserve"> Information collected </w:t>
      </w:r>
      <w:r w:rsidR="00395112" w:rsidRPr="006C39B3">
        <w:t xml:space="preserve">directly </w:t>
      </w:r>
      <w:r w:rsidRPr="006C39B3">
        <w:t xml:space="preserve">from </w:t>
      </w:r>
      <w:r w:rsidR="00BD2A31" w:rsidRPr="006C39B3">
        <w:t>companies operating secondary aluminum production processes</w:t>
      </w:r>
      <w:r w:rsidR="00395112" w:rsidRPr="006C39B3">
        <w:t xml:space="preserve"> </w:t>
      </w:r>
      <w:r w:rsidRPr="006C39B3">
        <w:t xml:space="preserve">would provide the most timely and complete post-MACT data set with </w:t>
      </w:r>
      <w:r w:rsidR="00395112" w:rsidRPr="006C39B3">
        <w:t xml:space="preserve">the </w:t>
      </w:r>
      <w:r w:rsidRPr="006C39B3">
        <w:t xml:space="preserve">greatest practical utility for purposes of performing the </w:t>
      </w:r>
      <w:r w:rsidR="006B52D3" w:rsidRPr="006C39B3">
        <w:t xml:space="preserve">RTR </w:t>
      </w:r>
      <w:r w:rsidRPr="006C39B3">
        <w:t>reviews</w:t>
      </w:r>
      <w:r w:rsidR="006B52D3" w:rsidRPr="006C39B3">
        <w:t xml:space="preserve"> that are due to be completed under CAA sections 112(d) and (f)(2)</w:t>
      </w:r>
      <w:r w:rsidRPr="006C39B3">
        <w:t xml:space="preserve">.  </w:t>
      </w:r>
    </w:p>
    <w:p w:rsidR="007E7915" w:rsidRPr="006C39B3" w:rsidRDefault="007E7915" w:rsidP="000E46A1">
      <w:pPr>
        <w:pStyle w:val="Heading3"/>
        <w:spacing w:before="0" w:after="0" w:line="360" w:lineRule="auto"/>
      </w:pPr>
      <w:r w:rsidRPr="006C39B3">
        <w:t>(b)</w:t>
      </w:r>
      <w:r w:rsidRPr="006C39B3">
        <w:tab/>
        <w:t>Public Notice Required</w:t>
      </w:r>
      <w:r w:rsidR="008C11FA" w:rsidRPr="006C39B3">
        <w:t xml:space="preserve"> Prior to ICR Submission to OMB</w:t>
      </w:r>
    </w:p>
    <w:p w:rsidR="007E7915" w:rsidRPr="006C39B3" w:rsidRDefault="002600EF" w:rsidP="000E46A1">
      <w:pPr>
        <w:pStyle w:val="Para"/>
        <w:spacing w:after="0" w:line="360" w:lineRule="auto"/>
      </w:pPr>
      <w:r>
        <w:t xml:space="preserve">EPA published a Federal Register notice </w:t>
      </w:r>
      <w:r w:rsidR="000A2A2A">
        <w:t xml:space="preserve">(75 FR 43521) </w:t>
      </w:r>
      <w:r>
        <w:t xml:space="preserve">soliciting public comment on </w:t>
      </w:r>
      <w:r w:rsidR="000A2A2A">
        <w:t xml:space="preserve">this proposed collection.  EPA received </w:t>
      </w:r>
      <w:r w:rsidR="005654CD">
        <w:t>one comment.  A response to comment document has been included with this submittal.</w:t>
      </w:r>
    </w:p>
    <w:p w:rsidR="007E7915" w:rsidRPr="006C39B3" w:rsidRDefault="007E7915" w:rsidP="00C5678E">
      <w:pPr>
        <w:pStyle w:val="Heading3"/>
        <w:spacing w:before="0" w:after="0" w:line="360" w:lineRule="auto"/>
        <w:rPr>
          <w:i w:val="0"/>
          <w:iCs/>
        </w:rPr>
      </w:pPr>
      <w:r w:rsidRPr="006C39B3">
        <w:t>(c)</w:t>
      </w:r>
      <w:r w:rsidRPr="006C39B3">
        <w:tab/>
        <w:t>Consultations</w:t>
      </w:r>
      <w:r w:rsidR="004C20C4" w:rsidRPr="006C39B3">
        <w:rPr>
          <w:i w:val="0"/>
          <w:iCs/>
        </w:rPr>
        <w:t xml:space="preserve"> </w:t>
      </w:r>
    </w:p>
    <w:p w:rsidR="00A1211E" w:rsidRPr="006C39B3" w:rsidRDefault="00C67893" w:rsidP="006E43A7">
      <w:pPr>
        <w:pStyle w:val="Para"/>
        <w:spacing w:line="360" w:lineRule="auto"/>
      </w:pPr>
      <w:r w:rsidRPr="006C39B3">
        <w:t>F</w:t>
      </w:r>
      <w:r w:rsidR="00C5678E" w:rsidRPr="006C39B3">
        <w:t>eedback</w:t>
      </w:r>
      <w:r w:rsidR="00A1211E" w:rsidRPr="006C39B3">
        <w:t xml:space="preserve"> was received from the </w:t>
      </w:r>
      <w:r w:rsidR="00D51CF1" w:rsidRPr="006C39B3">
        <w:t xml:space="preserve">Aluminum Association </w:t>
      </w:r>
      <w:r w:rsidR="00C5678E" w:rsidRPr="006C39B3">
        <w:t xml:space="preserve">regarding the scope of </w:t>
      </w:r>
      <w:r w:rsidR="006B0BA1" w:rsidRPr="006C39B3">
        <w:t xml:space="preserve">the </w:t>
      </w:r>
      <w:r w:rsidR="00BD2A31" w:rsidRPr="006C39B3">
        <w:t>secondary aluminum production industry survey</w:t>
      </w:r>
      <w:r w:rsidR="00756663">
        <w:t xml:space="preserve"> and those comments can be found in the docket</w:t>
      </w:r>
      <w:r w:rsidR="00A1211E" w:rsidRPr="006C39B3">
        <w:t>.</w:t>
      </w:r>
      <w:r w:rsidR="00756663">
        <w:t xml:space="preserve">  We also solicited comment from</w:t>
      </w:r>
      <w:r w:rsidR="00756663" w:rsidRPr="006C39B3">
        <w:t xml:space="preserve"> the Institute of Scrap Recycling Industries</w:t>
      </w:r>
      <w:r w:rsidR="00756663">
        <w:t>, but received none.</w:t>
      </w:r>
      <w:r w:rsidR="00A1211E" w:rsidRPr="006C39B3">
        <w:t xml:space="preserve">  </w:t>
      </w:r>
      <w:r w:rsidR="009D5390" w:rsidRPr="006C39B3">
        <w:t>An</w:t>
      </w:r>
      <w:r w:rsidR="00C5678E" w:rsidRPr="006C39B3">
        <w:t xml:space="preserve"> opportunity for detailed</w:t>
      </w:r>
      <w:r w:rsidR="009D5390" w:rsidRPr="006C39B3">
        <w:t xml:space="preserve"> comment</w:t>
      </w:r>
      <w:r w:rsidR="00C5678E" w:rsidRPr="006C39B3">
        <w:t>s</w:t>
      </w:r>
      <w:r w:rsidR="009D5390" w:rsidRPr="006C39B3">
        <w:t xml:space="preserve"> </w:t>
      </w:r>
      <w:r w:rsidR="00496CDB" w:rsidRPr="006C39B3">
        <w:t xml:space="preserve">on the electronic survey </w:t>
      </w:r>
      <w:r w:rsidR="006E43A7">
        <w:t>was</w:t>
      </w:r>
      <w:r w:rsidR="009D5390" w:rsidRPr="006C39B3">
        <w:t xml:space="preserve"> provided by the </w:t>
      </w:r>
      <w:r w:rsidR="009D5390" w:rsidRPr="006C39B3">
        <w:rPr>
          <w:i/>
        </w:rPr>
        <w:t>Federal Register</w:t>
      </w:r>
      <w:r w:rsidR="009D5390" w:rsidRPr="006C39B3">
        <w:t xml:space="preserve"> notice concerning the availability of the ICR for public review and comment.</w:t>
      </w:r>
    </w:p>
    <w:p w:rsidR="007E7915" w:rsidRPr="006C39B3" w:rsidRDefault="007E7915" w:rsidP="000E46A1">
      <w:pPr>
        <w:pStyle w:val="Heading3"/>
        <w:spacing w:before="0" w:after="0" w:line="360" w:lineRule="auto"/>
      </w:pPr>
      <w:r w:rsidRPr="006C39B3">
        <w:t>(d)</w:t>
      </w:r>
      <w:r w:rsidRPr="006C39B3">
        <w:tab/>
        <w:t>Effe</w:t>
      </w:r>
      <w:r w:rsidR="009F1063" w:rsidRPr="006C39B3">
        <w:t>cts of Less Frequent Collection</w:t>
      </w:r>
    </w:p>
    <w:p w:rsidR="00C5678E" w:rsidRPr="006C39B3" w:rsidRDefault="00E85AC2" w:rsidP="00410C0F">
      <w:pPr>
        <w:pStyle w:val="Para"/>
        <w:spacing w:after="0" w:line="360" w:lineRule="auto"/>
      </w:pPr>
      <w:r w:rsidRPr="006C39B3">
        <w:t>EPA expects the information requested in this survey to be a one-time effort</w:t>
      </w:r>
      <w:r w:rsidR="00756663">
        <w:t>, and thus, it is not relevant to discuss less frequent collection</w:t>
      </w:r>
      <w:r w:rsidRPr="006C39B3">
        <w:t>.</w:t>
      </w:r>
    </w:p>
    <w:p w:rsidR="007E7915" w:rsidRPr="006C39B3" w:rsidRDefault="00E85AC2" w:rsidP="000E46A1">
      <w:pPr>
        <w:pStyle w:val="Heading3"/>
        <w:spacing w:before="0" w:after="0" w:line="360" w:lineRule="auto"/>
      </w:pPr>
      <w:r w:rsidRPr="006C39B3">
        <w:t xml:space="preserve"> </w:t>
      </w:r>
      <w:r w:rsidR="009F1063" w:rsidRPr="006C39B3">
        <w:t>(e)</w:t>
      </w:r>
      <w:r w:rsidR="009F1063" w:rsidRPr="006C39B3">
        <w:tab/>
        <w:t>General Guidelines</w:t>
      </w:r>
    </w:p>
    <w:p w:rsidR="00F911C1" w:rsidRPr="006C39B3" w:rsidRDefault="00064BBA" w:rsidP="000E46A1">
      <w:pPr>
        <w:pStyle w:val="Heading3"/>
        <w:spacing w:before="0" w:after="0" w:line="360" w:lineRule="auto"/>
        <w:rPr>
          <w:i w:val="0"/>
          <w:szCs w:val="24"/>
        </w:rPr>
      </w:pPr>
      <w:r w:rsidRPr="006C39B3">
        <w:rPr>
          <w:i w:val="0"/>
          <w:szCs w:val="24"/>
        </w:rPr>
        <w:tab/>
      </w:r>
      <w:r w:rsidR="006B0BA1" w:rsidRPr="006C39B3">
        <w:rPr>
          <w:i w:val="0"/>
          <w:szCs w:val="24"/>
        </w:rPr>
        <w:t>None of these reporting or recordkeeping requirements violate any of the regulations established by OMB at 5 CFR part 1320, section 1320.5</w:t>
      </w:r>
    </w:p>
    <w:p w:rsidR="00545C71" w:rsidRPr="006C39B3" w:rsidRDefault="006B0BA1" w:rsidP="000E46A1">
      <w:pPr>
        <w:pStyle w:val="Heading3"/>
        <w:spacing w:before="0" w:after="0" w:line="360" w:lineRule="auto"/>
      </w:pPr>
      <w:r w:rsidRPr="006C39B3" w:rsidDel="006B0BA1">
        <w:rPr>
          <w:szCs w:val="24"/>
        </w:rPr>
        <w:t xml:space="preserve"> </w:t>
      </w:r>
      <w:r w:rsidR="00545C71" w:rsidRPr="006C39B3">
        <w:t>(f)</w:t>
      </w:r>
      <w:r w:rsidR="00545C71" w:rsidRPr="006C39B3">
        <w:tab/>
        <w:t>Confidentiality</w:t>
      </w:r>
    </w:p>
    <w:p w:rsidR="00545C71" w:rsidRPr="006C39B3" w:rsidRDefault="00545C71" w:rsidP="00484625">
      <w:pPr>
        <w:pStyle w:val="Para"/>
        <w:spacing w:after="0" w:line="360" w:lineRule="auto"/>
      </w:pPr>
      <w:r w:rsidRPr="006C39B3">
        <w:t xml:space="preserve">Respondents will be required to respond under the authority of </w:t>
      </w:r>
      <w:r w:rsidR="009F1063" w:rsidRPr="006C39B3">
        <w:t xml:space="preserve">CAA </w:t>
      </w:r>
      <w:r w:rsidRPr="006C39B3">
        <w:t xml:space="preserve">section 114. </w:t>
      </w:r>
      <w:r w:rsidR="00715FD3" w:rsidRPr="006C39B3">
        <w:t xml:space="preserve"> </w:t>
      </w:r>
      <w:r w:rsidRPr="006C39B3">
        <w:t xml:space="preserve">If a respondent believes that disclosure of certain information requested would compromise a trade </w:t>
      </w:r>
      <w:r w:rsidRPr="006C39B3">
        <w:lastRenderedPageBreak/>
        <w:t>secret, it should be clearly identified as such and will be treated as confidential until and unless it is determined in accordance with established EPA procedure as set forth in 40 CFR Part 2 not to be entitled to confidential treatment</w:t>
      </w:r>
      <w:r w:rsidR="00EB3D76" w:rsidRPr="006C39B3">
        <w:t xml:space="preserve">. </w:t>
      </w:r>
      <w:r w:rsidR="00715FD3" w:rsidRPr="006C39B3">
        <w:t xml:space="preserve"> </w:t>
      </w:r>
      <w:r w:rsidRPr="006C39B3">
        <w:t>All information submitted to the Agency for which a claim of confidentiality is made will be safeguarded according to the Agency policies set forth in Title 40, Chapter 1, Part 2, Subpart B–Confidentiality of Business Information (see 40 CFR 2)</w:t>
      </w:r>
      <w:r w:rsidR="00EB3D76" w:rsidRPr="006C39B3">
        <w:t xml:space="preserve">. </w:t>
      </w:r>
      <w:r w:rsidR="00715FD3" w:rsidRPr="006C39B3">
        <w:t xml:space="preserve"> </w:t>
      </w:r>
      <w:r w:rsidRPr="006C39B3">
        <w:t>Any information subsequently determined to constitute a trade secret will be protected under 18 U.S.C. 1905</w:t>
      </w:r>
      <w:r w:rsidR="00EB3D76" w:rsidRPr="006C39B3">
        <w:t xml:space="preserve">. </w:t>
      </w:r>
      <w:r w:rsidR="00715FD3" w:rsidRPr="006C39B3">
        <w:t xml:space="preserve"> </w:t>
      </w:r>
      <w:r w:rsidRPr="006C39B3">
        <w:t>If no claim of confidentiality accompanies the information when it is received by EPA, it may be made available to the public without further notice (40 CFR 2.203, September 1, 1976)</w:t>
      </w:r>
      <w:r w:rsidR="00EB3D76" w:rsidRPr="006C39B3">
        <w:t xml:space="preserve">. </w:t>
      </w:r>
      <w:r w:rsidR="00715FD3" w:rsidRPr="006C39B3">
        <w:t xml:space="preserve"> </w:t>
      </w:r>
      <w:r w:rsidRPr="006C39B3">
        <w:t xml:space="preserve">Because </w:t>
      </w:r>
      <w:r w:rsidR="009F1063" w:rsidRPr="006C39B3">
        <w:t xml:space="preserve">CAA </w:t>
      </w:r>
      <w:r w:rsidRPr="006C39B3">
        <w:t>section 114(c) exempts emission data from claims of confidentiality, the emission data provided may be made available to the public</w:t>
      </w:r>
      <w:r w:rsidR="00EB3D76" w:rsidRPr="006C39B3">
        <w:t xml:space="preserve">. </w:t>
      </w:r>
      <w:r w:rsidR="00C45830" w:rsidRPr="006C39B3">
        <w:t xml:space="preserve"> </w:t>
      </w:r>
      <w:r w:rsidRPr="006C39B3">
        <w:t>Therefore, emissions data should not be marked confidential</w:t>
      </w:r>
      <w:r w:rsidR="00EB3D76" w:rsidRPr="006C39B3">
        <w:t xml:space="preserve">. </w:t>
      </w:r>
      <w:r w:rsidR="00C45830" w:rsidRPr="006C39B3">
        <w:t xml:space="preserve"> </w:t>
      </w:r>
      <w:r w:rsidRPr="006C39B3">
        <w:t>A definition of what EPA considers emissions data is provided in 40 CFR 2.301(a)(2)(i).</w:t>
      </w:r>
    </w:p>
    <w:p w:rsidR="00545C71" w:rsidRPr="006C39B3" w:rsidRDefault="00EA039D" w:rsidP="00EA039D">
      <w:pPr>
        <w:pStyle w:val="Heading3"/>
        <w:keepNext w:val="0"/>
        <w:spacing w:before="0" w:after="0" w:line="360" w:lineRule="auto"/>
      </w:pPr>
      <w:r w:rsidRPr="006C39B3">
        <w:t xml:space="preserve"> </w:t>
      </w:r>
      <w:r w:rsidR="00545C71" w:rsidRPr="006C39B3">
        <w:t>(g)</w:t>
      </w:r>
      <w:r w:rsidR="00545C71" w:rsidRPr="006C39B3">
        <w:tab/>
        <w:t>Sensitive questions</w:t>
      </w:r>
      <w:r w:rsidRPr="006C39B3">
        <w:t xml:space="preserve"> </w:t>
      </w:r>
    </w:p>
    <w:p w:rsidR="00545C71" w:rsidRPr="006C39B3" w:rsidRDefault="00292C54" w:rsidP="000E46A1">
      <w:pPr>
        <w:pStyle w:val="Para"/>
        <w:spacing w:after="0" w:line="360" w:lineRule="auto"/>
      </w:pPr>
      <w:r w:rsidRPr="006C39B3">
        <w:t>This section is not applicable because this ICR will not involve matter of a sensitive nature</w:t>
      </w:r>
      <w:r w:rsidR="00545C71" w:rsidRPr="006C39B3">
        <w:t>.</w:t>
      </w:r>
    </w:p>
    <w:p w:rsidR="00545C71" w:rsidRPr="006C39B3" w:rsidRDefault="00545C71" w:rsidP="000E46A1">
      <w:pPr>
        <w:pStyle w:val="Heading2"/>
        <w:spacing w:before="0" w:line="360" w:lineRule="auto"/>
      </w:pPr>
      <w:r w:rsidRPr="006C39B3">
        <w:t>4.</w:t>
      </w:r>
      <w:r w:rsidRPr="006C39B3">
        <w:tab/>
        <w:t>The Respondents and the Information Requested</w:t>
      </w:r>
    </w:p>
    <w:p w:rsidR="00545C71" w:rsidRPr="006C39B3" w:rsidRDefault="00545C71" w:rsidP="000E46A1">
      <w:pPr>
        <w:pStyle w:val="Heading3"/>
        <w:keepNext w:val="0"/>
        <w:spacing w:before="0" w:after="0" w:line="360" w:lineRule="auto"/>
      </w:pPr>
      <w:r w:rsidRPr="006C39B3">
        <w:t>(a)</w:t>
      </w:r>
      <w:r w:rsidRPr="006C39B3">
        <w:tab/>
        <w:t>Respondents/NAICS Codes.</w:t>
      </w:r>
    </w:p>
    <w:p w:rsidR="00C84A04" w:rsidRPr="006C39B3" w:rsidRDefault="009B6F03" w:rsidP="00722CC0">
      <w:pPr>
        <w:pStyle w:val="Para"/>
        <w:spacing w:after="0" w:line="360" w:lineRule="auto"/>
      </w:pPr>
      <w:r w:rsidRPr="006C39B3">
        <w:t xml:space="preserve">Respondents affected by this action </w:t>
      </w:r>
      <w:r w:rsidR="002A240D" w:rsidRPr="006C39B3">
        <w:t xml:space="preserve">are </w:t>
      </w:r>
      <w:r w:rsidRPr="006C39B3">
        <w:t>owners/operators of</w:t>
      </w:r>
      <w:r w:rsidR="00410C0F" w:rsidRPr="006C39B3">
        <w:t xml:space="preserve"> secondary aluminum production facilities.  </w:t>
      </w:r>
      <w:r w:rsidR="00C84A04" w:rsidRPr="006C39B3">
        <w:t xml:space="preserve">In the </w:t>
      </w:r>
      <w:smartTag w:uri="urn:schemas-microsoft-com:office:smarttags" w:element="country-region">
        <w:smartTag w:uri="urn:schemas-microsoft-com:office:smarttags" w:element="place">
          <w:r w:rsidR="00C84A04" w:rsidRPr="006C39B3">
            <w:t>U.S.</w:t>
          </w:r>
        </w:smartTag>
      </w:smartTag>
      <w:r w:rsidR="00C84A04" w:rsidRPr="006C39B3">
        <w:t xml:space="preserve">, there are </w:t>
      </w:r>
      <w:r w:rsidR="00D41CDB" w:rsidRPr="006C39B3">
        <w:t>approximately 4</w:t>
      </w:r>
      <w:r w:rsidR="00722CC0">
        <w:t>23</w:t>
      </w:r>
      <w:r w:rsidR="00D41CDB" w:rsidRPr="006C39B3">
        <w:t xml:space="preserve"> secondary aluminum </w:t>
      </w:r>
      <w:r w:rsidR="00C32B3B" w:rsidRPr="006C39B3">
        <w:t>production</w:t>
      </w:r>
      <w:r w:rsidR="00D41CDB" w:rsidRPr="006C39B3">
        <w:t xml:space="preserve"> facilities including approximately 100 major sources of HAP and 3</w:t>
      </w:r>
      <w:r w:rsidR="00722CC0">
        <w:t>23</w:t>
      </w:r>
      <w:r w:rsidR="00D41CDB" w:rsidRPr="006C39B3">
        <w:t xml:space="preserve"> area sources of HAP.  Major sources are currently regulated for emissions </w:t>
      </w:r>
      <w:r w:rsidR="0079043D" w:rsidRPr="006C39B3">
        <w:t xml:space="preserve">of </w:t>
      </w:r>
      <w:r w:rsidR="00D41CDB" w:rsidRPr="006C39B3">
        <w:t xml:space="preserve">particulate matter (PM) as a surrogate for particulate metal HAP, hydrogen chloride, dioxins and furans (D/F), and total hydrocarbon (THC) as a surrogate for organic HAP other than D/F.  Area sources are regulated only for D/F. </w:t>
      </w:r>
    </w:p>
    <w:p w:rsidR="00267C04" w:rsidRPr="006C39B3" w:rsidRDefault="00D41CDB" w:rsidP="007F4775">
      <w:pPr>
        <w:pStyle w:val="Para"/>
        <w:spacing w:after="0" w:line="360" w:lineRule="auto"/>
        <w:ind w:firstLine="0"/>
      </w:pPr>
      <w:r w:rsidRPr="006C39B3">
        <w:t xml:space="preserve">Approximately 200 companies operate secondary aluminum production </w:t>
      </w:r>
      <w:r w:rsidR="00C32B3B" w:rsidRPr="006C39B3">
        <w:t>facilities</w:t>
      </w:r>
      <w:r w:rsidRPr="006C39B3">
        <w:t xml:space="preserve"> with</w:t>
      </w:r>
      <w:r w:rsidR="00302B12" w:rsidRPr="006C39B3">
        <w:t xml:space="preserve"> an average of </w:t>
      </w:r>
      <w:r w:rsidRPr="006C39B3">
        <w:t xml:space="preserve">approximately two </w:t>
      </w:r>
      <w:r w:rsidR="00C32B3B" w:rsidRPr="006C39B3">
        <w:t>facilities</w:t>
      </w:r>
      <w:r w:rsidRPr="006C39B3">
        <w:t xml:space="preserve"> per company.  </w:t>
      </w:r>
    </w:p>
    <w:p w:rsidR="00B101D8" w:rsidRPr="006C39B3" w:rsidRDefault="00545C71" w:rsidP="007F4775">
      <w:pPr>
        <w:pStyle w:val="Para"/>
        <w:spacing w:after="0" w:line="360" w:lineRule="auto"/>
        <w:ind w:firstLine="0"/>
        <w:rPr>
          <w:szCs w:val="24"/>
        </w:rPr>
      </w:pPr>
      <w:r w:rsidRPr="006C39B3">
        <w:t xml:space="preserve">The North American Industry Classification System (NAICS) codes for respondents affected by the </w:t>
      </w:r>
      <w:r w:rsidR="00774379" w:rsidRPr="006C39B3">
        <w:t>information collection</w:t>
      </w:r>
      <w:r w:rsidRPr="006C39B3">
        <w:t xml:space="preserve"> </w:t>
      </w:r>
      <w:r w:rsidR="00B101D8" w:rsidRPr="006C39B3">
        <w:t xml:space="preserve">include </w:t>
      </w:r>
      <w:r w:rsidR="00D41CDB" w:rsidRPr="006C39B3">
        <w:t xml:space="preserve">331314 for secondary smelting and alloying of aluminum as well as secondary aluminum production facilities </w:t>
      </w:r>
      <w:r w:rsidR="000155F4" w:rsidRPr="006C39B3">
        <w:t xml:space="preserve">that are </w:t>
      </w:r>
      <w:r w:rsidR="00D41CDB" w:rsidRPr="006C39B3">
        <w:t>collocated</w:t>
      </w:r>
      <w:r w:rsidR="000155F4" w:rsidRPr="006C39B3">
        <w:t xml:space="preserve"> at primary aluminum production facilities (331312); aluminum sheet, plate and foil manufacturing facilities (331315); aluminum extruded product manufacturing facilities (331316); other aluminum rolling and drawing facilities (331319); aluminum die casting facilities (</w:t>
      </w:r>
      <w:r w:rsidR="007F4775" w:rsidRPr="006C39B3">
        <w:t>331</w:t>
      </w:r>
      <w:r w:rsidR="000155F4" w:rsidRPr="006C39B3">
        <w:t xml:space="preserve">521); aluminum foundry </w:t>
      </w:r>
      <w:r w:rsidR="000155F4" w:rsidRPr="006C39B3">
        <w:lastRenderedPageBreak/>
        <w:t>facilities (331524)</w:t>
      </w:r>
      <w:r w:rsidR="00E312B3" w:rsidRPr="006C39B3">
        <w:t xml:space="preserve">; and </w:t>
      </w:r>
      <w:r w:rsidR="00064BBA" w:rsidRPr="006C39B3">
        <w:t>sweat furnaces which can be included in various NAICS categories including</w:t>
      </w:r>
      <w:r w:rsidR="00267C04" w:rsidRPr="006C39B3">
        <w:t>,</w:t>
      </w:r>
      <w:r w:rsidR="00064BBA" w:rsidRPr="006C39B3">
        <w:t xml:space="preserve"> but not lim</w:t>
      </w:r>
      <w:r w:rsidR="00092FB3" w:rsidRPr="006C39B3">
        <w:t>i</w:t>
      </w:r>
      <w:r w:rsidR="00064BBA" w:rsidRPr="006C39B3">
        <w:t xml:space="preserve">ted to, </w:t>
      </w:r>
      <w:r w:rsidR="00E312B3" w:rsidRPr="006C39B3">
        <w:t>56292</w:t>
      </w:r>
      <w:r w:rsidR="00DA13D7" w:rsidRPr="006C39B3">
        <w:t>0</w:t>
      </w:r>
      <w:r w:rsidR="00092FB3" w:rsidRPr="006C39B3">
        <w:t>,</w:t>
      </w:r>
      <w:r w:rsidR="000155F4" w:rsidRPr="006C39B3">
        <w:t xml:space="preserve">  </w:t>
      </w:r>
      <w:r w:rsidR="00CE6AAE" w:rsidRPr="006C39B3">
        <w:rPr>
          <w:szCs w:val="24"/>
        </w:rPr>
        <w:t xml:space="preserve">493110, 811490, 423320, 423930, 423120, 423140, 339999, </w:t>
      </w:r>
      <w:r w:rsidR="00267C04" w:rsidRPr="006C39B3">
        <w:rPr>
          <w:szCs w:val="24"/>
        </w:rPr>
        <w:t xml:space="preserve">and </w:t>
      </w:r>
      <w:r w:rsidR="00CE6AAE" w:rsidRPr="006C39B3">
        <w:rPr>
          <w:szCs w:val="24"/>
        </w:rPr>
        <w:t>488410.</w:t>
      </w:r>
    </w:p>
    <w:p w:rsidR="00EC5106" w:rsidRPr="006C39B3" w:rsidRDefault="00D67E79" w:rsidP="0047553C">
      <w:pPr>
        <w:pStyle w:val="Heading3"/>
        <w:spacing w:before="0" w:after="0" w:line="360" w:lineRule="auto"/>
      </w:pPr>
      <w:r w:rsidRPr="006C39B3">
        <w:t>(b)</w:t>
      </w:r>
      <w:r w:rsidRPr="006C39B3">
        <w:tab/>
        <w:t>Information Collected</w:t>
      </w:r>
      <w:r w:rsidR="006050BB" w:rsidRPr="006C39B3">
        <w:t xml:space="preserve">   </w:t>
      </w:r>
    </w:p>
    <w:p w:rsidR="00EC15D8" w:rsidRPr="006C39B3" w:rsidRDefault="002815B8" w:rsidP="00015873">
      <w:pPr>
        <w:spacing w:line="360" w:lineRule="auto"/>
        <w:ind w:firstLine="720"/>
        <w:rPr>
          <w:rFonts w:ascii="Times New Roman" w:hAnsi="Times New Roman"/>
          <w:szCs w:val="24"/>
        </w:rPr>
      </w:pPr>
      <w:r w:rsidRPr="006C39B3">
        <w:rPr>
          <w:rFonts w:ascii="Times New Roman" w:hAnsi="Times New Roman"/>
          <w:i/>
        </w:rPr>
        <w:t>(i)</w:t>
      </w:r>
      <w:r w:rsidRPr="006C39B3">
        <w:rPr>
          <w:rFonts w:ascii="Times New Roman" w:hAnsi="Times New Roman"/>
          <w:i/>
        </w:rPr>
        <w:tab/>
        <w:t>Data Items.</w:t>
      </w:r>
      <w:r w:rsidRPr="006C39B3">
        <w:rPr>
          <w:rFonts w:ascii="Times New Roman" w:hAnsi="Times New Roman"/>
          <w:iCs/>
        </w:rPr>
        <w:t xml:space="preserve">  </w:t>
      </w:r>
      <w:r w:rsidR="00DE6621" w:rsidRPr="006C39B3">
        <w:rPr>
          <w:rFonts w:ascii="Times New Roman" w:hAnsi="Times New Roman"/>
          <w:iCs/>
        </w:rPr>
        <w:t xml:space="preserve">Each owner/operator of each </w:t>
      </w:r>
      <w:r w:rsidR="00E312B3" w:rsidRPr="006C39B3">
        <w:rPr>
          <w:rFonts w:ascii="Times New Roman" w:hAnsi="Times New Roman"/>
          <w:iCs/>
        </w:rPr>
        <w:t xml:space="preserve">secondary aluminum production facility </w:t>
      </w:r>
      <w:r w:rsidR="00DE6621" w:rsidRPr="006C39B3">
        <w:rPr>
          <w:rFonts w:ascii="Times New Roman" w:hAnsi="Times New Roman"/>
          <w:iCs/>
        </w:rPr>
        <w:t>will be required to complete a</w:t>
      </w:r>
      <w:r w:rsidR="002C5D24" w:rsidRPr="006C39B3">
        <w:rPr>
          <w:rFonts w:ascii="Times New Roman" w:hAnsi="Times New Roman"/>
          <w:iCs/>
        </w:rPr>
        <w:t>n electronic</w:t>
      </w:r>
      <w:r w:rsidR="00DE6621" w:rsidRPr="006C39B3">
        <w:rPr>
          <w:rFonts w:ascii="Times New Roman" w:hAnsi="Times New Roman"/>
          <w:iCs/>
        </w:rPr>
        <w:t xml:space="preserve"> survey that </w:t>
      </w:r>
      <w:r w:rsidR="005116B3" w:rsidRPr="006C39B3">
        <w:rPr>
          <w:rFonts w:ascii="Times New Roman" w:hAnsi="Times New Roman"/>
          <w:iCs/>
        </w:rPr>
        <w:t>contains s</w:t>
      </w:r>
      <w:r w:rsidR="00284F63" w:rsidRPr="006C39B3">
        <w:rPr>
          <w:rFonts w:ascii="Times New Roman" w:hAnsi="Times New Roman"/>
          <w:iCs/>
        </w:rPr>
        <w:t xml:space="preserve">everal components.  </w:t>
      </w:r>
      <w:r w:rsidR="000F55F0" w:rsidRPr="006C39B3">
        <w:rPr>
          <w:rFonts w:ascii="Times New Roman" w:hAnsi="Times New Roman"/>
          <w:szCs w:val="24"/>
        </w:rPr>
        <w:t xml:space="preserve">The draft electronic survey is a Microsoft Excel spreadsheet file that is divided into </w:t>
      </w:r>
      <w:r w:rsidR="00E312B3" w:rsidRPr="006C39B3">
        <w:rPr>
          <w:rFonts w:ascii="Times New Roman" w:hAnsi="Times New Roman"/>
          <w:szCs w:val="24"/>
        </w:rPr>
        <w:t>two</w:t>
      </w:r>
      <w:r w:rsidR="000F55F0" w:rsidRPr="006C39B3">
        <w:rPr>
          <w:rFonts w:ascii="Times New Roman" w:hAnsi="Times New Roman"/>
          <w:szCs w:val="24"/>
        </w:rPr>
        <w:t xml:space="preserve"> worksheets (“tabs” within the spreadsheet).  </w:t>
      </w:r>
      <w:r w:rsidR="00E312B3" w:rsidRPr="006C39B3">
        <w:rPr>
          <w:rFonts w:ascii="Times New Roman" w:hAnsi="Times New Roman"/>
          <w:szCs w:val="24"/>
        </w:rPr>
        <w:t xml:space="preserve">Respondents that own or operate major sources of HAP will be required to complete the major source tab.  Respondents that own or operate area sources of HAP will be required to complete the area source tab.  </w:t>
      </w:r>
      <w:r w:rsidR="00E312B3" w:rsidRPr="00C73E87">
        <w:rPr>
          <w:rFonts w:ascii="Times New Roman" w:hAnsi="Times New Roman"/>
          <w:szCs w:val="24"/>
        </w:rPr>
        <w:t xml:space="preserve">Respondents will also </w:t>
      </w:r>
      <w:r w:rsidR="007F339C" w:rsidRPr="00C73E87">
        <w:rPr>
          <w:rFonts w:ascii="Times New Roman" w:hAnsi="Times New Roman"/>
          <w:szCs w:val="24"/>
        </w:rPr>
        <w:t>be asked</w:t>
      </w:r>
      <w:r w:rsidR="00801C4D" w:rsidRPr="00C73E87">
        <w:rPr>
          <w:rFonts w:ascii="Times New Roman" w:hAnsi="Times New Roman"/>
          <w:szCs w:val="24"/>
        </w:rPr>
        <w:t xml:space="preserve"> to supply plant schematics; title V permits; operating permits; permit applications; performance test</w:t>
      </w:r>
      <w:r w:rsidR="00801C4D" w:rsidRPr="006C39B3">
        <w:rPr>
          <w:rFonts w:ascii="Times New Roman" w:hAnsi="Times New Roman"/>
          <w:szCs w:val="24"/>
        </w:rPr>
        <w:t xml:space="preserve"> reports; emission inventory reports; copies of consent decrees or orders affecting their plants; notices of operating violations; startup, shutdown and malfunction plans; and site-specific operating, maintenance and monitoring plans.   Respondents will also be required to correct, update or complete a table of data for their plants </w:t>
      </w:r>
      <w:r w:rsidR="00015873" w:rsidRPr="006C39B3">
        <w:rPr>
          <w:rFonts w:ascii="Times New Roman" w:hAnsi="Times New Roman"/>
          <w:szCs w:val="24"/>
        </w:rPr>
        <w:t>for inclusion</w:t>
      </w:r>
      <w:r w:rsidR="00801C4D" w:rsidRPr="006C39B3">
        <w:rPr>
          <w:rFonts w:ascii="Times New Roman" w:hAnsi="Times New Roman"/>
          <w:szCs w:val="24"/>
        </w:rPr>
        <w:t xml:space="preserve"> in the </w:t>
      </w:r>
      <w:r w:rsidR="00106F98" w:rsidRPr="006C39B3">
        <w:rPr>
          <w:rFonts w:ascii="Times New Roman" w:hAnsi="Times New Roman"/>
          <w:szCs w:val="24"/>
        </w:rPr>
        <w:t xml:space="preserve">NATA </w:t>
      </w:r>
      <w:r w:rsidR="00801C4D" w:rsidRPr="006C39B3">
        <w:rPr>
          <w:rFonts w:ascii="Times New Roman" w:hAnsi="Times New Roman"/>
          <w:szCs w:val="24"/>
        </w:rPr>
        <w:t xml:space="preserve">NEI. </w:t>
      </w:r>
      <w:r w:rsidR="007F339C" w:rsidRPr="006C39B3">
        <w:rPr>
          <w:rFonts w:ascii="Times New Roman" w:hAnsi="Times New Roman"/>
          <w:szCs w:val="24"/>
        </w:rPr>
        <w:t xml:space="preserve"> </w:t>
      </w:r>
    </w:p>
    <w:p w:rsidR="00563BDD" w:rsidRPr="006C39B3" w:rsidRDefault="005E69B0" w:rsidP="00302B12">
      <w:pPr>
        <w:spacing w:line="360" w:lineRule="auto"/>
        <w:ind w:firstLine="720"/>
        <w:rPr>
          <w:rFonts w:ascii="Times New Roman" w:hAnsi="Times New Roman"/>
          <w:iCs/>
        </w:rPr>
      </w:pPr>
      <w:r w:rsidRPr="006C39B3">
        <w:rPr>
          <w:rFonts w:ascii="Times New Roman" w:hAnsi="Times New Roman"/>
          <w:iCs/>
        </w:rPr>
        <w:t xml:space="preserve">Although a large amount of information is needed for regulatory review of the NESHAP, the EPA has designed the </w:t>
      </w:r>
      <w:r w:rsidR="00801C4D" w:rsidRPr="006C39B3">
        <w:rPr>
          <w:rFonts w:ascii="Times New Roman" w:hAnsi="Times New Roman"/>
          <w:iCs/>
        </w:rPr>
        <w:t xml:space="preserve">secondary aluminum production </w:t>
      </w:r>
      <w:r w:rsidRPr="006C39B3">
        <w:rPr>
          <w:rFonts w:ascii="Times New Roman" w:hAnsi="Times New Roman"/>
          <w:iCs/>
        </w:rPr>
        <w:t xml:space="preserve">information collection in a way to minimize the burden associated supplying and processing this information. </w:t>
      </w:r>
      <w:r w:rsidR="00D8295E" w:rsidRPr="006C39B3">
        <w:rPr>
          <w:rFonts w:ascii="Times New Roman" w:hAnsi="Times New Roman"/>
          <w:iCs/>
        </w:rPr>
        <w:t xml:space="preserve"> T</w:t>
      </w:r>
      <w:r w:rsidRPr="006C39B3">
        <w:rPr>
          <w:rFonts w:ascii="Times New Roman" w:hAnsi="Times New Roman"/>
          <w:iCs/>
        </w:rPr>
        <w:t>h</w:t>
      </w:r>
      <w:r w:rsidR="00D8295E" w:rsidRPr="006C39B3">
        <w:rPr>
          <w:rFonts w:ascii="Times New Roman" w:hAnsi="Times New Roman"/>
          <w:iCs/>
        </w:rPr>
        <w:t xml:space="preserve">e EPA will </w:t>
      </w:r>
      <w:r w:rsidRPr="006C39B3">
        <w:rPr>
          <w:rFonts w:ascii="Times New Roman" w:hAnsi="Times New Roman"/>
          <w:iCs/>
        </w:rPr>
        <w:t xml:space="preserve">pre-populate survey spreadsheets </w:t>
      </w:r>
      <w:r w:rsidR="00D8295E" w:rsidRPr="006C39B3">
        <w:rPr>
          <w:rFonts w:ascii="Times New Roman" w:hAnsi="Times New Roman"/>
          <w:iCs/>
        </w:rPr>
        <w:t>with</w:t>
      </w:r>
      <w:r w:rsidRPr="006C39B3">
        <w:rPr>
          <w:rFonts w:ascii="Times New Roman" w:hAnsi="Times New Roman"/>
          <w:iCs/>
        </w:rPr>
        <w:t xml:space="preserve"> each </w:t>
      </w:r>
      <w:r w:rsidR="00801C4D" w:rsidRPr="006C39B3">
        <w:rPr>
          <w:rFonts w:ascii="Times New Roman" w:hAnsi="Times New Roman"/>
          <w:iCs/>
        </w:rPr>
        <w:t xml:space="preserve">facility's </w:t>
      </w:r>
      <w:r w:rsidRPr="006C39B3">
        <w:rPr>
          <w:rFonts w:ascii="Times New Roman" w:hAnsi="Times New Roman"/>
          <w:iCs/>
        </w:rPr>
        <w:t xml:space="preserve">2005 NATA NEI data set </w:t>
      </w:r>
      <w:r w:rsidR="00D8295E" w:rsidRPr="006C39B3">
        <w:rPr>
          <w:rFonts w:ascii="Times New Roman" w:hAnsi="Times New Roman"/>
          <w:iCs/>
        </w:rPr>
        <w:t xml:space="preserve">to be </w:t>
      </w:r>
      <w:r w:rsidRPr="006C39B3">
        <w:rPr>
          <w:rFonts w:ascii="Times New Roman" w:hAnsi="Times New Roman"/>
          <w:iCs/>
        </w:rPr>
        <w:t>review</w:t>
      </w:r>
      <w:r w:rsidR="00D8295E" w:rsidRPr="006C39B3">
        <w:rPr>
          <w:rFonts w:ascii="Times New Roman" w:hAnsi="Times New Roman"/>
          <w:iCs/>
        </w:rPr>
        <w:t>ed</w:t>
      </w:r>
      <w:r w:rsidRPr="006C39B3">
        <w:rPr>
          <w:rFonts w:ascii="Times New Roman" w:hAnsi="Times New Roman"/>
          <w:iCs/>
        </w:rPr>
        <w:t xml:space="preserve"> (thereby reducing respondent burden to locate and import their </w:t>
      </w:r>
      <w:r w:rsidR="00801C4D" w:rsidRPr="006C39B3">
        <w:rPr>
          <w:rFonts w:ascii="Times New Roman" w:hAnsi="Times New Roman"/>
          <w:iCs/>
        </w:rPr>
        <w:t>facility</w:t>
      </w:r>
      <w:r w:rsidRPr="006C39B3">
        <w:rPr>
          <w:rFonts w:ascii="Times New Roman" w:hAnsi="Times New Roman"/>
          <w:iCs/>
        </w:rPr>
        <w:t>’s NEI data).</w:t>
      </w:r>
      <w:r w:rsidR="009F26DA" w:rsidRPr="006C39B3">
        <w:rPr>
          <w:rFonts w:ascii="Times New Roman" w:hAnsi="Times New Roman"/>
          <w:iCs/>
        </w:rPr>
        <w:t xml:space="preserve">  </w:t>
      </w:r>
      <w:r w:rsidR="00015873" w:rsidRPr="006C39B3">
        <w:rPr>
          <w:rFonts w:ascii="Times New Roman" w:hAnsi="Times New Roman"/>
          <w:iCs/>
        </w:rPr>
        <w:t xml:space="preserve">For facilities that are not presently included in the </w:t>
      </w:r>
      <w:r w:rsidR="00106F98" w:rsidRPr="006C39B3">
        <w:rPr>
          <w:rFonts w:ascii="Times New Roman" w:hAnsi="Times New Roman"/>
          <w:iCs/>
        </w:rPr>
        <w:t xml:space="preserve">NATA </w:t>
      </w:r>
      <w:r w:rsidR="00015873" w:rsidRPr="006C39B3">
        <w:rPr>
          <w:rFonts w:ascii="Times New Roman" w:hAnsi="Times New Roman"/>
          <w:iCs/>
        </w:rPr>
        <w:t xml:space="preserve">NEI, respondents will be provided with a blank spreadsheet in which to enter data.  </w:t>
      </w:r>
      <w:r w:rsidR="00027CB4" w:rsidRPr="006C39B3">
        <w:rPr>
          <w:rFonts w:ascii="Times New Roman" w:hAnsi="Times New Roman"/>
          <w:iCs/>
        </w:rPr>
        <w:t xml:space="preserve">The </w:t>
      </w:r>
      <w:r w:rsidR="00C163D3" w:rsidRPr="006C39B3">
        <w:rPr>
          <w:rFonts w:ascii="Times New Roman" w:hAnsi="Times New Roman"/>
          <w:iCs/>
        </w:rPr>
        <w:t>secondary aluminum production</w:t>
      </w:r>
      <w:r w:rsidR="00027CB4" w:rsidRPr="006C39B3">
        <w:rPr>
          <w:rFonts w:ascii="Times New Roman" w:hAnsi="Times New Roman"/>
          <w:iCs/>
        </w:rPr>
        <w:t xml:space="preserve"> information collection is being administered in spreadsheet form (as opposed to data base </w:t>
      </w:r>
      <w:r w:rsidR="00080C1A" w:rsidRPr="006C39B3">
        <w:rPr>
          <w:rFonts w:ascii="Times New Roman" w:hAnsi="Times New Roman"/>
          <w:iCs/>
        </w:rPr>
        <w:t>software</w:t>
      </w:r>
      <w:r w:rsidR="00027CB4" w:rsidRPr="006C39B3">
        <w:rPr>
          <w:rFonts w:ascii="Times New Roman" w:hAnsi="Times New Roman"/>
          <w:iCs/>
        </w:rPr>
        <w:t>) because respondents are likely to be more familiar with sprea</w:t>
      </w:r>
      <w:r w:rsidR="00C163D3" w:rsidRPr="006C39B3">
        <w:rPr>
          <w:rFonts w:ascii="Times New Roman" w:hAnsi="Times New Roman"/>
          <w:iCs/>
        </w:rPr>
        <w:t>dsheet use than with data bases</w:t>
      </w:r>
      <w:r w:rsidR="00027CB4" w:rsidRPr="006C39B3">
        <w:rPr>
          <w:rFonts w:ascii="Times New Roman" w:hAnsi="Times New Roman"/>
          <w:iCs/>
        </w:rPr>
        <w:t xml:space="preserve"> and</w:t>
      </w:r>
      <w:r w:rsidR="00C163D3" w:rsidRPr="006C39B3">
        <w:rPr>
          <w:rFonts w:ascii="Times New Roman" w:hAnsi="Times New Roman"/>
          <w:iCs/>
        </w:rPr>
        <w:t>,</w:t>
      </w:r>
      <w:r w:rsidR="00027CB4" w:rsidRPr="006C39B3">
        <w:rPr>
          <w:rFonts w:ascii="Times New Roman" w:hAnsi="Times New Roman"/>
          <w:iCs/>
        </w:rPr>
        <w:t xml:space="preserve"> </w:t>
      </w:r>
      <w:r w:rsidR="00C163D3" w:rsidRPr="006C39B3">
        <w:rPr>
          <w:rFonts w:ascii="Times New Roman" w:hAnsi="Times New Roman"/>
          <w:iCs/>
        </w:rPr>
        <w:t>following QA,</w:t>
      </w:r>
      <w:r w:rsidR="00D8295E" w:rsidRPr="006C39B3">
        <w:rPr>
          <w:rFonts w:ascii="Times New Roman" w:hAnsi="Times New Roman"/>
          <w:iCs/>
        </w:rPr>
        <w:t xml:space="preserve"> </w:t>
      </w:r>
      <w:r w:rsidR="00027CB4" w:rsidRPr="006C39B3">
        <w:rPr>
          <w:rFonts w:ascii="Times New Roman" w:hAnsi="Times New Roman"/>
          <w:iCs/>
        </w:rPr>
        <w:t>data from the Excel spreadsheet rows can be readily imported into Access data base software for use by the Agency</w:t>
      </w:r>
      <w:r w:rsidR="00080C1A" w:rsidRPr="006C39B3">
        <w:rPr>
          <w:rFonts w:ascii="Times New Roman" w:hAnsi="Times New Roman"/>
          <w:iCs/>
        </w:rPr>
        <w:t xml:space="preserve"> (eliminating the </w:t>
      </w:r>
      <w:r w:rsidR="00D06835" w:rsidRPr="006C39B3">
        <w:rPr>
          <w:rFonts w:ascii="Times New Roman" w:hAnsi="Times New Roman"/>
          <w:iCs/>
        </w:rPr>
        <w:t>time required</w:t>
      </w:r>
      <w:r w:rsidR="00080C1A" w:rsidRPr="006C39B3">
        <w:rPr>
          <w:rFonts w:ascii="Times New Roman" w:hAnsi="Times New Roman"/>
          <w:iCs/>
        </w:rPr>
        <w:t xml:space="preserve"> for EPA to key-enter data)</w:t>
      </w:r>
      <w:r w:rsidR="00027CB4" w:rsidRPr="006C39B3">
        <w:rPr>
          <w:rFonts w:ascii="Times New Roman" w:hAnsi="Times New Roman"/>
          <w:iCs/>
        </w:rPr>
        <w:t>.</w:t>
      </w:r>
      <w:r w:rsidR="00D31FA9" w:rsidRPr="006C39B3">
        <w:rPr>
          <w:rFonts w:ascii="Times New Roman" w:hAnsi="Times New Roman"/>
          <w:iCs/>
        </w:rPr>
        <w:t xml:space="preserve">  The </w:t>
      </w:r>
      <w:r w:rsidR="00C163D3" w:rsidRPr="006C39B3">
        <w:rPr>
          <w:rFonts w:ascii="Times New Roman" w:hAnsi="Times New Roman"/>
          <w:iCs/>
        </w:rPr>
        <w:t xml:space="preserve">secondary aluminum production </w:t>
      </w:r>
      <w:r w:rsidR="00D31FA9" w:rsidRPr="006C39B3">
        <w:rPr>
          <w:rFonts w:ascii="Times New Roman" w:hAnsi="Times New Roman"/>
          <w:iCs/>
        </w:rPr>
        <w:t xml:space="preserve">spreadsheets will be provided to </w:t>
      </w:r>
      <w:r w:rsidR="00C163D3" w:rsidRPr="006C39B3">
        <w:rPr>
          <w:rFonts w:ascii="Times New Roman" w:hAnsi="Times New Roman"/>
          <w:iCs/>
        </w:rPr>
        <w:t>owners and operators</w:t>
      </w:r>
      <w:r w:rsidR="00D31FA9" w:rsidRPr="006C39B3">
        <w:rPr>
          <w:rFonts w:ascii="Times New Roman" w:hAnsi="Times New Roman"/>
          <w:iCs/>
        </w:rPr>
        <w:t xml:space="preserve"> on a </w:t>
      </w:r>
      <w:r w:rsidR="00C163D3" w:rsidRPr="006C39B3">
        <w:rPr>
          <w:rFonts w:ascii="Times New Roman" w:hAnsi="Times New Roman"/>
          <w:iCs/>
        </w:rPr>
        <w:t xml:space="preserve">compact disk </w:t>
      </w:r>
      <w:r w:rsidR="00D31FA9" w:rsidRPr="006C39B3">
        <w:rPr>
          <w:rFonts w:ascii="Times New Roman" w:hAnsi="Times New Roman"/>
          <w:iCs/>
        </w:rPr>
        <w:t xml:space="preserve">which respondents can use to save and submit their </w:t>
      </w:r>
      <w:r w:rsidR="00302B12" w:rsidRPr="006C39B3">
        <w:rPr>
          <w:rFonts w:ascii="Times New Roman" w:hAnsi="Times New Roman"/>
          <w:iCs/>
        </w:rPr>
        <w:t xml:space="preserve">survey spreadsheets and other materials such as </w:t>
      </w:r>
      <w:r w:rsidR="00D31FA9" w:rsidRPr="006C39B3">
        <w:rPr>
          <w:rFonts w:ascii="Times New Roman" w:hAnsi="Times New Roman"/>
          <w:iCs/>
        </w:rPr>
        <w:t>electronic copies of flow diagrams</w:t>
      </w:r>
      <w:r w:rsidR="00302B12" w:rsidRPr="006C39B3">
        <w:rPr>
          <w:rFonts w:ascii="Times New Roman" w:hAnsi="Times New Roman"/>
          <w:iCs/>
        </w:rPr>
        <w:t xml:space="preserve"> and</w:t>
      </w:r>
      <w:r w:rsidR="00D31FA9" w:rsidRPr="006C39B3">
        <w:rPr>
          <w:rFonts w:ascii="Times New Roman" w:hAnsi="Times New Roman"/>
          <w:iCs/>
        </w:rPr>
        <w:t xml:space="preserve"> emission test reports.</w:t>
      </w:r>
      <w:r w:rsidR="00563BDD" w:rsidRPr="006C39B3">
        <w:rPr>
          <w:rFonts w:ascii="Times New Roman" w:hAnsi="Times New Roman"/>
          <w:iCs/>
        </w:rPr>
        <w:t xml:space="preserve">  The burden associated with collection of emissions test data has be</w:t>
      </w:r>
      <w:r w:rsidR="00C163D3" w:rsidRPr="006C39B3">
        <w:rPr>
          <w:rFonts w:ascii="Times New Roman" w:hAnsi="Times New Roman"/>
          <w:iCs/>
        </w:rPr>
        <w:t xml:space="preserve">en </w:t>
      </w:r>
      <w:r w:rsidR="00563BDD" w:rsidRPr="006C39B3">
        <w:rPr>
          <w:rFonts w:ascii="Times New Roman" w:hAnsi="Times New Roman"/>
          <w:iCs/>
        </w:rPr>
        <w:t xml:space="preserve">reduced in several ways:  </w:t>
      </w:r>
    </w:p>
    <w:p w:rsidR="00563BDD" w:rsidRPr="00D9191C" w:rsidRDefault="00563BDD" w:rsidP="00C163D3">
      <w:pPr>
        <w:ind w:left="1080" w:hanging="360"/>
        <w:rPr>
          <w:rFonts w:ascii="Times New Roman" w:hAnsi="Times New Roman"/>
          <w:iCs/>
          <w:szCs w:val="24"/>
        </w:rPr>
      </w:pPr>
      <w:r w:rsidRPr="006C39B3">
        <w:rPr>
          <w:rFonts w:ascii="Times New Roman" w:hAnsi="Times New Roman"/>
          <w:iCs/>
        </w:rPr>
        <w:lastRenderedPageBreak/>
        <w:t>(1)</w:t>
      </w:r>
      <w:r w:rsidR="00C163D3" w:rsidRPr="006C39B3">
        <w:rPr>
          <w:rFonts w:ascii="Times New Roman" w:hAnsi="Times New Roman"/>
          <w:iCs/>
        </w:rPr>
        <w:t xml:space="preserve"> Area sources of HAP are being asked to respond to a shortened worksheet that </w:t>
      </w:r>
      <w:r w:rsidR="00C32B3B" w:rsidRPr="006C39B3">
        <w:rPr>
          <w:rFonts w:ascii="Times New Roman" w:hAnsi="Times New Roman"/>
          <w:iCs/>
        </w:rPr>
        <w:t>addresses</w:t>
      </w:r>
      <w:r w:rsidR="00C163D3" w:rsidRPr="006C39B3">
        <w:rPr>
          <w:rFonts w:ascii="Times New Roman" w:hAnsi="Times New Roman"/>
          <w:iCs/>
        </w:rPr>
        <w:t xml:space="preserve"> affected source</w:t>
      </w:r>
      <w:r w:rsidR="00FB0E8F" w:rsidRPr="006C39B3">
        <w:rPr>
          <w:rFonts w:ascii="Times New Roman" w:hAnsi="Times New Roman"/>
          <w:iCs/>
        </w:rPr>
        <w:t>s</w:t>
      </w:r>
      <w:r w:rsidR="00C163D3" w:rsidRPr="006C39B3">
        <w:rPr>
          <w:rFonts w:ascii="Times New Roman" w:hAnsi="Times New Roman"/>
          <w:iCs/>
        </w:rPr>
        <w:t xml:space="preserve"> that are regulated under the NESHAP</w:t>
      </w:r>
      <w:r w:rsidR="00FB0E8F" w:rsidRPr="006C39B3">
        <w:rPr>
          <w:rFonts w:ascii="Times New Roman" w:hAnsi="Times New Roman"/>
          <w:iCs/>
        </w:rPr>
        <w:t xml:space="preserve"> and other sources of HAP emissions</w:t>
      </w:r>
      <w:r w:rsidR="00C163D3" w:rsidRPr="00D9191C">
        <w:rPr>
          <w:rFonts w:ascii="Times New Roman" w:hAnsi="Times New Roman"/>
          <w:iCs/>
          <w:szCs w:val="24"/>
        </w:rPr>
        <w:t>.</w:t>
      </w:r>
      <w:r w:rsidR="00BB580F" w:rsidRPr="00D9191C">
        <w:rPr>
          <w:rFonts w:ascii="Times New Roman" w:hAnsi="Times New Roman"/>
          <w:iCs/>
          <w:szCs w:val="24"/>
        </w:rPr>
        <w:t xml:space="preserve">  </w:t>
      </w:r>
      <w:r w:rsidR="00BB580F" w:rsidRPr="00D9191C">
        <w:rPr>
          <w:rFonts w:ascii="Times New Roman" w:hAnsi="Times New Roman"/>
          <w:bCs/>
          <w:szCs w:val="24"/>
        </w:rPr>
        <w:t>The worksheet contains separate tabs for area sources and major sources which are clearly marked and described in the instructions.</w:t>
      </w:r>
      <w:r w:rsidR="008C57C6" w:rsidRPr="00D9191C">
        <w:rPr>
          <w:rFonts w:ascii="Times New Roman" w:hAnsi="Times New Roman"/>
          <w:iCs/>
          <w:szCs w:val="24"/>
        </w:rPr>
        <w:t xml:space="preserve"> </w:t>
      </w:r>
      <w:r w:rsidR="004E45AA" w:rsidRPr="00D9191C">
        <w:rPr>
          <w:rFonts w:ascii="Times New Roman" w:hAnsi="Times New Roman"/>
          <w:iCs/>
          <w:szCs w:val="24"/>
        </w:rPr>
        <w:t xml:space="preserve">  </w:t>
      </w:r>
      <w:r w:rsidR="00684F3C" w:rsidRPr="00D9191C">
        <w:rPr>
          <w:rFonts w:ascii="Times New Roman" w:hAnsi="Times New Roman"/>
          <w:iCs/>
          <w:szCs w:val="24"/>
        </w:rPr>
        <w:t xml:space="preserve">  </w:t>
      </w:r>
    </w:p>
    <w:p w:rsidR="00985D65" w:rsidRPr="006C39B3" w:rsidRDefault="00563BDD" w:rsidP="00C163D3">
      <w:pPr>
        <w:ind w:left="1080" w:hanging="360"/>
        <w:rPr>
          <w:rFonts w:ascii="Times New Roman" w:hAnsi="Times New Roman"/>
          <w:iCs/>
        </w:rPr>
      </w:pPr>
      <w:r w:rsidRPr="006C39B3">
        <w:rPr>
          <w:rFonts w:ascii="Times New Roman" w:hAnsi="Times New Roman"/>
          <w:iCs/>
        </w:rPr>
        <w:t xml:space="preserve">(2) </w:t>
      </w:r>
      <w:r w:rsidR="004E45AA" w:rsidRPr="006C39B3">
        <w:rPr>
          <w:rFonts w:ascii="Times New Roman" w:hAnsi="Times New Roman"/>
          <w:iCs/>
        </w:rPr>
        <w:t xml:space="preserve">Data are being requested for </w:t>
      </w:r>
      <w:r w:rsidR="00D06835" w:rsidRPr="006C39B3">
        <w:rPr>
          <w:rFonts w:ascii="Times New Roman" w:hAnsi="Times New Roman"/>
          <w:iCs/>
        </w:rPr>
        <w:t xml:space="preserve">the </w:t>
      </w:r>
      <w:r w:rsidRPr="006C39B3">
        <w:rPr>
          <w:rFonts w:ascii="Times New Roman" w:hAnsi="Times New Roman"/>
          <w:iCs/>
        </w:rPr>
        <w:t>HAP surrogates defined in the MACT standards</w:t>
      </w:r>
      <w:r w:rsidR="00FB0E8F" w:rsidRPr="006C39B3">
        <w:rPr>
          <w:rFonts w:ascii="Times New Roman" w:hAnsi="Times New Roman"/>
          <w:iCs/>
        </w:rPr>
        <w:t xml:space="preserve"> and any available data related to </w:t>
      </w:r>
      <w:r w:rsidR="00D06835" w:rsidRPr="006C39B3">
        <w:rPr>
          <w:rFonts w:ascii="Times New Roman" w:hAnsi="Times New Roman"/>
          <w:iCs/>
        </w:rPr>
        <w:t>speciated HAP</w:t>
      </w:r>
      <w:r w:rsidR="00C163D3" w:rsidRPr="006C39B3">
        <w:rPr>
          <w:rFonts w:ascii="Times New Roman" w:hAnsi="Times New Roman"/>
          <w:iCs/>
        </w:rPr>
        <w:t>.</w:t>
      </w:r>
    </w:p>
    <w:p w:rsidR="00563BDD" w:rsidRPr="006C39B3" w:rsidRDefault="0049352A" w:rsidP="00C163D3">
      <w:pPr>
        <w:ind w:left="1080" w:hanging="360"/>
        <w:rPr>
          <w:rFonts w:ascii="Times New Roman" w:hAnsi="Times New Roman"/>
          <w:iCs/>
        </w:rPr>
      </w:pPr>
      <w:r w:rsidRPr="006C39B3">
        <w:rPr>
          <w:rFonts w:ascii="Times New Roman" w:hAnsi="Times New Roman"/>
          <w:iCs/>
        </w:rPr>
        <w:t>(</w:t>
      </w:r>
      <w:r w:rsidR="00C163D3" w:rsidRPr="006C39B3">
        <w:rPr>
          <w:rFonts w:ascii="Times New Roman" w:hAnsi="Times New Roman"/>
          <w:iCs/>
        </w:rPr>
        <w:t>3</w:t>
      </w:r>
      <w:r w:rsidRPr="006C39B3">
        <w:rPr>
          <w:rFonts w:ascii="Times New Roman" w:hAnsi="Times New Roman"/>
          <w:iCs/>
        </w:rPr>
        <w:t>) Respondents may provide electronic or hard copy emissions test reports, whichever they find to be less burdensome.</w:t>
      </w:r>
    </w:p>
    <w:p w:rsidR="00C163D3" w:rsidRPr="006C39B3" w:rsidRDefault="00C163D3" w:rsidP="00302B12">
      <w:pPr>
        <w:ind w:left="1080" w:hanging="360"/>
        <w:rPr>
          <w:rFonts w:ascii="Times New Roman" w:hAnsi="Times New Roman"/>
          <w:iCs/>
        </w:rPr>
      </w:pPr>
      <w:r w:rsidRPr="006C39B3">
        <w:rPr>
          <w:rFonts w:ascii="Times New Roman" w:hAnsi="Times New Roman"/>
          <w:iCs/>
        </w:rPr>
        <w:t xml:space="preserve">(4) Respondents </w:t>
      </w:r>
      <w:r w:rsidR="00FB0E8F" w:rsidRPr="006C39B3">
        <w:rPr>
          <w:rFonts w:ascii="Times New Roman" w:hAnsi="Times New Roman"/>
          <w:iCs/>
        </w:rPr>
        <w:t xml:space="preserve">are </w:t>
      </w:r>
      <w:r w:rsidR="0012791B" w:rsidRPr="006C39B3">
        <w:rPr>
          <w:rFonts w:ascii="Times New Roman" w:hAnsi="Times New Roman"/>
          <w:iCs/>
        </w:rPr>
        <w:t xml:space="preserve">being </w:t>
      </w:r>
      <w:r w:rsidR="00FB0E8F" w:rsidRPr="006C39B3">
        <w:rPr>
          <w:rFonts w:ascii="Times New Roman" w:hAnsi="Times New Roman"/>
          <w:iCs/>
        </w:rPr>
        <w:t xml:space="preserve">asked to </w:t>
      </w:r>
      <w:r w:rsidRPr="006C39B3">
        <w:rPr>
          <w:rFonts w:ascii="Times New Roman" w:hAnsi="Times New Roman"/>
          <w:iCs/>
        </w:rPr>
        <w:t xml:space="preserve">transmit the responses (except for confidential business information) </w:t>
      </w:r>
      <w:r w:rsidR="00C32B3B" w:rsidRPr="006C39B3">
        <w:rPr>
          <w:rFonts w:ascii="Times New Roman" w:hAnsi="Times New Roman"/>
          <w:iCs/>
        </w:rPr>
        <w:t>electronically</w:t>
      </w:r>
      <w:r w:rsidRPr="006C39B3">
        <w:rPr>
          <w:rFonts w:ascii="Times New Roman" w:hAnsi="Times New Roman"/>
          <w:iCs/>
        </w:rPr>
        <w:t>.</w:t>
      </w:r>
    </w:p>
    <w:p w:rsidR="00770CD6" w:rsidRPr="006C39B3" w:rsidRDefault="00770CD6" w:rsidP="00770CD6">
      <w:pPr>
        <w:rPr>
          <w:rFonts w:ascii="Times New Roman" w:hAnsi="Times New Roman"/>
          <w:iCs/>
        </w:rPr>
      </w:pPr>
    </w:p>
    <w:p w:rsidR="00201077" w:rsidRPr="006C39B3" w:rsidRDefault="004F582E" w:rsidP="002815B8">
      <w:pPr>
        <w:spacing w:line="360" w:lineRule="auto"/>
        <w:ind w:firstLine="720"/>
        <w:rPr>
          <w:rFonts w:ascii="Times New Roman" w:hAnsi="Times New Roman"/>
          <w:i/>
          <w:iCs/>
        </w:rPr>
      </w:pPr>
      <w:r w:rsidRPr="006C39B3">
        <w:rPr>
          <w:rFonts w:ascii="Times New Roman" w:hAnsi="Times New Roman"/>
          <w:i/>
          <w:iCs/>
        </w:rPr>
        <w:t>(</w:t>
      </w:r>
      <w:r w:rsidR="002815B8" w:rsidRPr="006C39B3">
        <w:rPr>
          <w:rFonts w:ascii="Times New Roman" w:hAnsi="Times New Roman"/>
          <w:i/>
          <w:iCs/>
        </w:rPr>
        <w:t>ii</w:t>
      </w:r>
      <w:r w:rsidR="00D67E79" w:rsidRPr="006C39B3">
        <w:rPr>
          <w:rFonts w:ascii="Times New Roman" w:hAnsi="Times New Roman"/>
          <w:i/>
          <w:iCs/>
        </w:rPr>
        <w:t>)</w:t>
      </w:r>
      <w:r w:rsidR="00D67E79" w:rsidRPr="006C39B3">
        <w:rPr>
          <w:rFonts w:ascii="Times New Roman" w:hAnsi="Times New Roman"/>
          <w:i/>
          <w:iCs/>
        </w:rPr>
        <w:tab/>
        <w:t>Respondent Activities</w:t>
      </w:r>
      <w:r w:rsidR="00EB3D76" w:rsidRPr="006C39B3">
        <w:rPr>
          <w:rFonts w:ascii="Times New Roman" w:hAnsi="Times New Roman"/>
          <w:i/>
          <w:iCs/>
        </w:rPr>
        <w:t xml:space="preserve">. </w:t>
      </w:r>
      <w:r w:rsidR="00704741" w:rsidRPr="006C39B3">
        <w:rPr>
          <w:rFonts w:ascii="Times New Roman" w:hAnsi="Times New Roman"/>
          <w:i/>
          <w:iCs/>
        </w:rPr>
        <w:t xml:space="preserve"> </w:t>
      </w:r>
      <w:r w:rsidR="00201077" w:rsidRPr="006C39B3">
        <w:rPr>
          <w:rFonts w:ascii="Times New Roman" w:hAnsi="Times New Roman"/>
          <w:iCs/>
        </w:rPr>
        <w:t xml:space="preserve">The activities a respondent must undertake to fulfill the requirements of the information collection are presented in </w:t>
      </w:r>
      <w:r w:rsidR="00DB0F9F" w:rsidRPr="006C39B3">
        <w:rPr>
          <w:rFonts w:ascii="Times New Roman" w:hAnsi="Times New Roman"/>
          <w:iCs/>
        </w:rPr>
        <w:t>Attachment 2</w:t>
      </w:r>
      <w:r w:rsidR="00EB3D76" w:rsidRPr="006C39B3">
        <w:rPr>
          <w:rFonts w:ascii="Times New Roman" w:hAnsi="Times New Roman"/>
          <w:iCs/>
        </w:rPr>
        <w:t xml:space="preserve">. </w:t>
      </w:r>
      <w:r w:rsidR="00704741" w:rsidRPr="006C39B3">
        <w:rPr>
          <w:rFonts w:ascii="Times New Roman" w:hAnsi="Times New Roman"/>
          <w:iCs/>
        </w:rPr>
        <w:t xml:space="preserve"> </w:t>
      </w:r>
      <w:r w:rsidR="00201077" w:rsidRPr="006C39B3">
        <w:rPr>
          <w:rFonts w:ascii="Times New Roman" w:hAnsi="Times New Roman"/>
          <w:iCs/>
        </w:rPr>
        <w:t xml:space="preserve">These include:  i) read instructions; </w:t>
      </w:r>
      <w:r w:rsidR="00421051" w:rsidRPr="006C39B3">
        <w:rPr>
          <w:rFonts w:ascii="Times New Roman" w:hAnsi="Times New Roman"/>
          <w:iCs/>
        </w:rPr>
        <w:t xml:space="preserve">ii) provide information on each affected source through electronic survey; and iii) submit </w:t>
      </w:r>
      <w:r w:rsidR="008517EC" w:rsidRPr="006C39B3">
        <w:rPr>
          <w:rFonts w:ascii="Times New Roman" w:hAnsi="Times New Roman"/>
          <w:iCs/>
        </w:rPr>
        <w:t xml:space="preserve">hard or electronic </w:t>
      </w:r>
      <w:r w:rsidR="00421051" w:rsidRPr="006C39B3">
        <w:rPr>
          <w:rFonts w:ascii="Times New Roman" w:hAnsi="Times New Roman"/>
          <w:iCs/>
        </w:rPr>
        <w:t xml:space="preserve">copies of </w:t>
      </w:r>
      <w:r w:rsidR="005F0F13" w:rsidRPr="006C39B3">
        <w:rPr>
          <w:rFonts w:ascii="Times New Roman" w:hAnsi="Times New Roman"/>
          <w:iCs/>
        </w:rPr>
        <w:t xml:space="preserve">flow diagrams, </w:t>
      </w:r>
      <w:r w:rsidR="00421051" w:rsidRPr="006C39B3">
        <w:rPr>
          <w:rFonts w:ascii="Times New Roman" w:hAnsi="Times New Roman"/>
          <w:iCs/>
        </w:rPr>
        <w:t>previous emission test reports</w:t>
      </w:r>
      <w:r w:rsidR="005F0F13" w:rsidRPr="006C39B3">
        <w:rPr>
          <w:rFonts w:ascii="Times New Roman" w:hAnsi="Times New Roman"/>
          <w:iCs/>
        </w:rPr>
        <w:t>, and available CEMS or COMS data</w:t>
      </w:r>
      <w:r w:rsidR="00421051" w:rsidRPr="006C39B3">
        <w:rPr>
          <w:rFonts w:ascii="Times New Roman" w:hAnsi="Times New Roman"/>
          <w:iCs/>
        </w:rPr>
        <w:t>.</w:t>
      </w:r>
    </w:p>
    <w:p w:rsidR="00DF46AC" w:rsidRPr="006C39B3" w:rsidRDefault="00DF46AC" w:rsidP="000E46A1">
      <w:pPr>
        <w:pStyle w:val="Heading2"/>
        <w:spacing w:before="0" w:line="360" w:lineRule="auto"/>
      </w:pPr>
      <w:r w:rsidRPr="006C39B3">
        <w:t>5.</w:t>
      </w:r>
      <w:r w:rsidRPr="006C39B3">
        <w:tab/>
        <w:t>The Information Collected</w:t>
      </w:r>
      <w:r w:rsidR="0002577A" w:rsidRPr="006C39B3">
        <w:t xml:space="preserve"> </w:t>
      </w:r>
      <w:r w:rsidRPr="006C39B3">
        <w:t>–</w:t>
      </w:r>
      <w:r w:rsidR="0002577A" w:rsidRPr="006C39B3">
        <w:t xml:space="preserve"> </w:t>
      </w:r>
      <w:r w:rsidRPr="006C39B3">
        <w:t>Agency Activities, Collection Methodology, and Information Management</w:t>
      </w:r>
    </w:p>
    <w:p w:rsidR="00DF46AC" w:rsidRPr="006C39B3" w:rsidRDefault="00DF46AC" w:rsidP="000E46A1">
      <w:pPr>
        <w:pStyle w:val="Heading3"/>
        <w:spacing w:before="0" w:after="0" w:line="360" w:lineRule="auto"/>
      </w:pPr>
      <w:r w:rsidRPr="006C39B3">
        <w:t>(a)</w:t>
      </w:r>
      <w:r w:rsidRPr="006C39B3">
        <w:tab/>
        <w:t>Agency Activities</w:t>
      </w:r>
    </w:p>
    <w:p w:rsidR="00DD16EB" w:rsidRPr="006C39B3" w:rsidRDefault="001A6008" w:rsidP="00A05ACA">
      <w:pPr>
        <w:pStyle w:val="Para"/>
        <w:spacing w:line="360" w:lineRule="auto"/>
      </w:pPr>
      <w:r w:rsidRPr="006C39B3">
        <w:t xml:space="preserve">A list of activities required of the EPA is provided in </w:t>
      </w:r>
      <w:r w:rsidR="00DB0F9F" w:rsidRPr="006C39B3">
        <w:t>Attachment 3</w:t>
      </w:r>
      <w:r w:rsidR="00EB3D76" w:rsidRPr="006C39B3">
        <w:t xml:space="preserve">. </w:t>
      </w:r>
      <w:r w:rsidR="00704741" w:rsidRPr="006C39B3">
        <w:t xml:space="preserve"> </w:t>
      </w:r>
      <w:r w:rsidR="003C6FD9" w:rsidRPr="006C39B3">
        <w:t>These include: i) de</w:t>
      </w:r>
      <w:r w:rsidR="00DD16EB" w:rsidRPr="006C39B3">
        <w:t>velop electronic questionnaire</w:t>
      </w:r>
      <w:r w:rsidR="002A1E4D" w:rsidRPr="006C39B3">
        <w:t xml:space="preserve"> </w:t>
      </w:r>
      <w:r w:rsidR="00DD16EB" w:rsidRPr="006C39B3">
        <w:t xml:space="preserve">and packages for </w:t>
      </w:r>
      <w:r w:rsidR="00F77FE0" w:rsidRPr="006C39B3">
        <w:t>mail out</w:t>
      </w:r>
      <w:r w:rsidR="00DD16EB" w:rsidRPr="006C39B3">
        <w:t xml:space="preserve">; ii) </w:t>
      </w:r>
      <w:r w:rsidR="00A05ACA" w:rsidRPr="006C39B3">
        <w:t>answer respondent questions</w:t>
      </w:r>
      <w:r w:rsidR="00DD16EB" w:rsidRPr="006C39B3">
        <w:t>; iii) review and analyze responses and emissions data; and iv) analyze requests for confidentiality.</w:t>
      </w:r>
    </w:p>
    <w:p w:rsidR="00782661" w:rsidRPr="006C39B3" w:rsidRDefault="00DD16EB" w:rsidP="000E46A1">
      <w:pPr>
        <w:pStyle w:val="Heading3"/>
        <w:spacing w:before="0" w:after="0" w:line="360" w:lineRule="auto"/>
      </w:pPr>
      <w:r w:rsidRPr="006C39B3">
        <w:t xml:space="preserve"> </w:t>
      </w:r>
      <w:r w:rsidR="00782661" w:rsidRPr="006C39B3">
        <w:t>(b)</w:t>
      </w:r>
      <w:r w:rsidR="00782661" w:rsidRPr="006C39B3">
        <w:tab/>
        <w:t>Collection Methodology and Management</w:t>
      </w:r>
    </w:p>
    <w:p w:rsidR="00565B23" w:rsidRPr="006C39B3" w:rsidRDefault="00782661" w:rsidP="00302B12">
      <w:pPr>
        <w:pStyle w:val="Para"/>
        <w:spacing w:after="0" w:line="360" w:lineRule="auto"/>
      </w:pPr>
      <w:r w:rsidRPr="006C39B3">
        <w:t xml:space="preserve">In collecting and analyzing the information associated with this ICR, EPA will use personal computers and applicable </w:t>
      </w:r>
      <w:r w:rsidR="00C01C4D" w:rsidRPr="006C39B3">
        <w:t xml:space="preserve">spreadsheet and </w:t>
      </w:r>
      <w:r w:rsidRPr="006C39B3">
        <w:t>database software</w:t>
      </w:r>
      <w:r w:rsidR="00EB3D76" w:rsidRPr="006C39B3">
        <w:t xml:space="preserve">. </w:t>
      </w:r>
      <w:r w:rsidR="00704741" w:rsidRPr="006C39B3">
        <w:t xml:space="preserve"> </w:t>
      </w:r>
      <w:r w:rsidR="00565B23" w:rsidRPr="006C39B3">
        <w:t xml:space="preserve">To better facilitate uniformity in the format of the requested data, and, thus, increase the ease of database entry, standardized survey questions, example responses, and Excel spreadsheet forms will be distributed to respondents.  </w:t>
      </w:r>
      <w:r w:rsidRPr="006C39B3">
        <w:t>EPA will ensure the accuracy and completeness of the collected information by reviewing each submittal</w:t>
      </w:r>
      <w:r w:rsidR="00EB3D76" w:rsidRPr="006C39B3">
        <w:t xml:space="preserve">. </w:t>
      </w:r>
      <w:r w:rsidR="00704741" w:rsidRPr="006C39B3">
        <w:t xml:space="preserve"> </w:t>
      </w:r>
      <w:r w:rsidR="00565B23" w:rsidRPr="006C39B3">
        <w:t xml:space="preserve">Flow diagrams may be used to answer any questions revealed during quality assurance (QA) of each submittal.  The EPA may place follow-up calls to </w:t>
      </w:r>
      <w:r w:rsidR="00A05ACA" w:rsidRPr="006C39B3">
        <w:t>respondents</w:t>
      </w:r>
      <w:r w:rsidR="00565B23" w:rsidRPr="006C39B3">
        <w:t xml:space="preserve"> should questions remain after reviewing all materials submitted.  Following QA of each submittal, the spreadsheet information from each </w:t>
      </w:r>
      <w:r w:rsidR="00A05ACA" w:rsidRPr="006C39B3">
        <w:t>facility</w:t>
      </w:r>
      <w:r w:rsidR="00565B23" w:rsidRPr="006C39B3">
        <w:t xml:space="preserve"> will be uploaded into an Access data base for further analysis.  </w:t>
      </w:r>
      <w:r w:rsidR="00302B12" w:rsidRPr="006C39B3">
        <w:t>Portions of s</w:t>
      </w:r>
      <w:r w:rsidR="00565B23" w:rsidRPr="006C39B3">
        <w:t xml:space="preserve">urvey responses claimed as CBI will be housed in a separate data base from the non-CBI survey responses.  In addition, a copy of the </w:t>
      </w:r>
      <w:r w:rsidR="00106F98" w:rsidRPr="006C39B3">
        <w:t xml:space="preserve">NATA </w:t>
      </w:r>
      <w:r w:rsidR="00565B23" w:rsidRPr="006C39B3">
        <w:t xml:space="preserve">NEI updates submitted will be routed for inclusion in EPA’s residual risk input data base, and for </w:t>
      </w:r>
      <w:r w:rsidR="00565B23" w:rsidRPr="006C39B3">
        <w:lastRenderedPageBreak/>
        <w:t xml:space="preserve">inclusion in future versions of the </w:t>
      </w:r>
      <w:r w:rsidR="00106F98" w:rsidRPr="006C39B3">
        <w:t xml:space="preserve">NATA </w:t>
      </w:r>
      <w:r w:rsidR="00565B23" w:rsidRPr="006C39B3">
        <w:t>NEI and its successor, the Em</w:t>
      </w:r>
      <w:r w:rsidR="00D1062B" w:rsidRPr="006C39B3">
        <w:t xml:space="preserve">issions Inventory System (EIS).  </w:t>
      </w:r>
      <w:r w:rsidR="00163AAC" w:rsidRPr="006C39B3">
        <w:t xml:space="preserve">Emissions test </w:t>
      </w:r>
      <w:r w:rsidR="00550ACA" w:rsidRPr="006C39B3">
        <w:t xml:space="preserve">report </w:t>
      </w:r>
      <w:r w:rsidR="00163AAC" w:rsidRPr="006C39B3">
        <w:t>data will be entered into a data base by EPA (or EPA contractor personnel) familiar with extract</w:t>
      </w:r>
      <w:r w:rsidR="00550ACA" w:rsidRPr="006C39B3">
        <w:t>in</w:t>
      </w:r>
      <w:r w:rsidR="00A05ACA" w:rsidRPr="006C39B3">
        <w:t xml:space="preserve">g test data from test reports. </w:t>
      </w:r>
      <w:r w:rsidR="00D1062B" w:rsidRPr="006C39B3">
        <w:t xml:space="preserve">The resulting data bases will be QA’d prior to and as part of </w:t>
      </w:r>
      <w:r w:rsidR="005C1135" w:rsidRPr="006C39B3">
        <w:t>regulatory</w:t>
      </w:r>
      <w:r w:rsidR="00D1062B" w:rsidRPr="006C39B3">
        <w:t xml:space="preserve"> analyses.</w:t>
      </w:r>
    </w:p>
    <w:p w:rsidR="00782661" w:rsidRPr="006C39B3" w:rsidRDefault="00F03E7E" w:rsidP="000E46A1">
      <w:pPr>
        <w:pStyle w:val="Heading3"/>
        <w:spacing w:before="0" w:after="0" w:line="360" w:lineRule="auto"/>
      </w:pPr>
      <w:r w:rsidRPr="006C39B3">
        <w:t xml:space="preserve"> </w:t>
      </w:r>
      <w:r w:rsidR="00B66A69" w:rsidRPr="006C39B3">
        <w:t>(c)</w:t>
      </w:r>
      <w:r w:rsidR="00B66A69" w:rsidRPr="006C39B3">
        <w:tab/>
        <w:t>Small Entity Flexibility</w:t>
      </w:r>
    </w:p>
    <w:p w:rsidR="00782661" w:rsidRPr="006C39B3" w:rsidRDefault="00782661" w:rsidP="00A05ACA">
      <w:pPr>
        <w:pStyle w:val="Para"/>
        <w:spacing w:after="0" w:line="360" w:lineRule="auto"/>
      </w:pPr>
      <w:r w:rsidRPr="006C39B3">
        <w:t xml:space="preserve">All respondents required to comply with the </w:t>
      </w:r>
      <w:r w:rsidR="00A05ACA" w:rsidRPr="006C39B3">
        <w:t xml:space="preserve">secondary aluminum </w:t>
      </w:r>
      <w:r w:rsidR="00C32B3B" w:rsidRPr="006C39B3">
        <w:t>production</w:t>
      </w:r>
      <w:r w:rsidR="00A05ACA" w:rsidRPr="006C39B3">
        <w:t xml:space="preserve"> survey</w:t>
      </w:r>
      <w:r w:rsidRPr="006C39B3">
        <w:t xml:space="preserve"> will be subject to the same requirements</w:t>
      </w:r>
      <w:r w:rsidR="00EB3D76" w:rsidRPr="006C39B3">
        <w:t xml:space="preserve">. </w:t>
      </w:r>
      <w:r w:rsidR="00704741" w:rsidRPr="006C39B3">
        <w:t xml:space="preserve"> </w:t>
      </w:r>
      <w:r w:rsidRPr="006C39B3">
        <w:t xml:space="preserve">EPA expects that </w:t>
      </w:r>
      <w:r w:rsidR="00A05ACA" w:rsidRPr="006C39B3">
        <w:t xml:space="preserve">half </w:t>
      </w:r>
      <w:r w:rsidRPr="006C39B3">
        <w:t>of the re</w:t>
      </w:r>
      <w:r w:rsidR="00CD3FE9" w:rsidRPr="006C39B3">
        <w:t xml:space="preserve">spondents may be small entities.  Small entities are likely to be </w:t>
      </w:r>
      <w:r w:rsidR="00A05ACA" w:rsidRPr="006C39B3">
        <w:t xml:space="preserve">area </w:t>
      </w:r>
      <w:r w:rsidR="00C32B3B" w:rsidRPr="006C39B3">
        <w:t>sources</w:t>
      </w:r>
      <w:r w:rsidR="00A05ACA" w:rsidRPr="006C39B3">
        <w:t xml:space="preserve">.  </w:t>
      </w:r>
      <w:r w:rsidR="00344B7B" w:rsidRPr="006C39B3">
        <w:t xml:space="preserve">Small entities and other </w:t>
      </w:r>
      <w:r w:rsidR="00A05ACA" w:rsidRPr="006C39B3">
        <w:t>companies</w:t>
      </w:r>
      <w:r w:rsidR="00CD3FE9" w:rsidRPr="006C39B3">
        <w:t xml:space="preserve"> </w:t>
      </w:r>
      <w:r w:rsidR="00A05ACA" w:rsidRPr="006C39B3">
        <w:t xml:space="preserve">that </w:t>
      </w:r>
      <w:r w:rsidR="000F47EE" w:rsidRPr="006C39B3">
        <w:t xml:space="preserve">own and/or operate facilities that </w:t>
      </w:r>
      <w:r w:rsidR="00A05ACA" w:rsidRPr="006C39B3">
        <w:t>are not major</w:t>
      </w:r>
      <w:r w:rsidR="00CD3FE9" w:rsidRPr="006C39B3">
        <w:t xml:space="preserve"> sources of HAP emissions </w:t>
      </w:r>
      <w:r w:rsidR="0090118F" w:rsidRPr="006C39B3">
        <w:t>(i.e</w:t>
      </w:r>
      <w:r w:rsidR="00344B7B" w:rsidRPr="006C39B3">
        <w:t>., area sources)</w:t>
      </w:r>
      <w:r w:rsidR="00A05ACA" w:rsidRPr="006C39B3">
        <w:t xml:space="preserve"> will have fewer affected sources per facility and fewer data (because area sources are regulated only for D/F)</w:t>
      </w:r>
      <w:r w:rsidR="00344B7B" w:rsidRPr="006C39B3">
        <w:t>.</w:t>
      </w:r>
      <w:r w:rsidR="00C75E60" w:rsidRPr="006C39B3">
        <w:t xml:space="preserve">  Even if </w:t>
      </w:r>
      <w:r w:rsidR="00A05ACA" w:rsidRPr="006C39B3">
        <w:t xml:space="preserve">they are </w:t>
      </w:r>
      <w:r w:rsidR="00344B7B" w:rsidRPr="006C39B3">
        <w:t>major source</w:t>
      </w:r>
      <w:r w:rsidR="00C75E60" w:rsidRPr="006C39B3">
        <w:t>s</w:t>
      </w:r>
      <w:r w:rsidR="00344B7B" w:rsidRPr="006C39B3">
        <w:t xml:space="preserve"> of HAP emissions, s</w:t>
      </w:r>
      <w:r w:rsidR="00CD3FE9" w:rsidRPr="006C39B3">
        <w:t xml:space="preserve">mall entities </w:t>
      </w:r>
      <w:r w:rsidR="00344B7B" w:rsidRPr="006C39B3">
        <w:t xml:space="preserve">would </w:t>
      </w:r>
      <w:r w:rsidR="00CD3FE9" w:rsidRPr="006C39B3">
        <w:t>have fewer portions of the survey to complete</w:t>
      </w:r>
      <w:r w:rsidR="00A05ACA" w:rsidRPr="006C39B3">
        <w:t>,</w:t>
      </w:r>
      <w:r w:rsidR="00CD3FE9" w:rsidRPr="006C39B3">
        <w:t xml:space="preserve"> as their operations </w:t>
      </w:r>
      <w:r w:rsidR="005F3FCC" w:rsidRPr="006C39B3">
        <w:t>would likely be</w:t>
      </w:r>
      <w:r w:rsidR="00CD3FE9" w:rsidRPr="006C39B3">
        <w:t xml:space="preserve"> less extensive.</w:t>
      </w:r>
      <w:r w:rsidR="00344B7B" w:rsidRPr="006C39B3">
        <w:t xml:space="preserve">  </w:t>
      </w:r>
      <w:r w:rsidRPr="006C39B3">
        <w:t xml:space="preserve">The Agency also </w:t>
      </w:r>
      <w:r w:rsidR="00715FD3" w:rsidRPr="006C39B3">
        <w:t xml:space="preserve">plans </w:t>
      </w:r>
      <w:r w:rsidRPr="006C39B3">
        <w:t>to use an electro</w:t>
      </w:r>
      <w:r w:rsidR="001D27A9" w:rsidRPr="006C39B3">
        <w:t>nic format of the questionnaire</w:t>
      </w:r>
      <w:r w:rsidRPr="006C39B3">
        <w:t xml:space="preserve"> in order to reduce the burden and improve the data accuracy from all respondents, including small entities</w:t>
      </w:r>
      <w:r w:rsidR="00EB3D76" w:rsidRPr="006C39B3">
        <w:t xml:space="preserve">. </w:t>
      </w:r>
      <w:r w:rsidR="00704741" w:rsidRPr="006C39B3">
        <w:t xml:space="preserve"> </w:t>
      </w:r>
      <w:r w:rsidRPr="006C39B3">
        <w:t xml:space="preserve">In addition, the survey will contain </w:t>
      </w:r>
      <w:r w:rsidR="00960B45" w:rsidRPr="006C39B3">
        <w:t>a question</w:t>
      </w:r>
      <w:r w:rsidRPr="006C39B3">
        <w:t xml:space="preserve"> to determine the small entity status of a facility</w:t>
      </w:r>
      <w:r w:rsidR="00EB3D76" w:rsidRPr="006C39B3">
        <w:t xml:space="preserve">. </w:t>
      </w:r>
      <w:r w:rsidR="00704741" w:rsidRPr="006C39B3">
        <w:t xml:space="preserve"> </w:t>
      </w:r>
      <w:r w:rsidR="00960B45" w:rsidRPr="006C39B3">
        <w:t>This question</w:t>
      </w:r>
      <w:r w:rsidRPr="006C39B3">
        <w:t xml:space="preserve"> will help to identify, quantify, and minimize the burden on small entities during the rulemaking process.</w:t>
      </w:r>
      <w:r w:rsidR="00CD3FE9" w:rsidRPr="006C39B3">
        <w:t xml:space="preserve">  </w:t>
      </w:r>
    </w:p>
    <w:p w:rsidR="00782661" w:rsidRPr="006C39B3" w:rsidRDefault="005037A9" w:rsidP="000E46A1">
      <w:pPr>
        <w:pStyle w:val="Heading3"/>
        <w:spacing w:before="0" w:after="0" w:line="360" w:lineRule="auto"/>
      </w:pPr>
      <w:r w:rsidRPr="006C39B3">
        <w:t>(d)</w:t>
      </w:r>
      <w:r w:rsidRPr="006C39B3">
        <w:tab/>
        <w:t>Collection Schedule</w:t>
      </w:r>
    </w:p>
    <w:p w:rsidR="00782661" w:rsidRPr="006C39B3" w:rsidRDefault="00782661" w:rsidP="000F47EE">
      <w:pPr>
        <w:pStyle w:val="Para"/>
        <w:spacing w:after="0" w:line="360" w:lineRule="auto"/>
        <w:rPr>
          <w:strike/>
        </w:rPr>
      </w:pPr>
      <w:r w:rsidRPr="006C39B3">
        <w:t>EP</w:t>
      </w:r>
      <w:r w:rsidR="00C75E60" w:rsidRPr="006C39B3">
        <w:t xml:space="preserve">A anticipates issuing the </w:t>
      </w:r>
      <w:r w:rsidR="005037A9" w:rsidRPr="006C39B3">
        <w:t>CAA s</w:t>
      </w:r>
      <w:r w:rsidRPr="006C39B3">
        <w:t xml:space="preserve">ection 114 letters </w:t>
      </w:r>
      <w:r w:rsidR="005F3FCC" w:rsidRPr="006C39B3">
        <w:t xml:space="preserve">by </w:t>
      </w:r>
      <w:r w:rsidR="000F47EE" w:rsidRPr="006C39B3">
        <w:t>late</w:t>
      </w:r>
      <w:r w:rsidR="005F3FCC" w:rsidRPr="006C39B3">
        <w:t>-</w:t>
      </w:r>
      <w:r w:rsidR="00A17BC1" w:rsidRPr="006C39B3">
        <w:t>2010</w:t>
      </w:r>
      <w:r w:rsidR="00EB3D76" w:rsidRPr="006C39B3">
        <w:t xml:space="preserve">. </w:t>
      </w:r>
      <w:r w:rsidR="00E41674" w:rsidRPr="006C39B3">
        <w:t xml:space="preserve"> </w:t>
      </w:r>
      <w:r w:rsidRPr="006C39B3">
        <w:t xml:space="preserve">These </w:t>
      </w:r>
      <w:r w:rsidR="005037A9" w:rsidRPr="006C39B3">
        <w:t xml:space="preserve">CAA </w:t>
      </w:r>
      <w:r w:rsidRPr="006C39B3">
        <w:t>section 114 letters would require the owner/operator of each</w:t>
      </w:r>
      <w:r w:rsidR="00D50B74" w:rsidRPr="006C39B3">
        <w:t xml:space="preserve"> </w:t>
      </w:r>
      <w:r w:rsidR="00A05ACA" w:rsidRPr="006C39B3">
        <w:t xml:space="preserve">secondary aluminum production facility </w:t>
      </w:r>
      <w:r w:rsidRPr="006C39B3">
        <w:t xml:space="preserve">to complete the </w:t>
      </w:r>
      <w:r w:rsidR="00A05ACA" w:rsidRPr="006C39B3">
        <w:t xml:space="preserve">secondary aluminum production facility </w:t>
      </w:r>
      <w:r w:rsidR="00C75E60" w:rsidRPr="006C39B3">
        <w:t xml:space="preserve">survey spreadsheet (including </w:t>
      </w:r>
      <w:r w:rsidR="00106F98" w:rsidRPr="006C39B3">
        <w:t xml:space="preserve">NATA </w:t>
      </w:r>
      <w:r w:rsidR="00C75E60" w:rsidRPr="006C39B3">
        <w:t xml:space="preserve">NEI update) </w:t>
      </w:r>
      <w:r w:rsidR="005F3FCC" w:rsidRPr="006C39B3">
        <w:t>an</w:t>
      </w:r>
      <w:r w:rsidR="00C75E60" w:rsidRPr="006C39B3">
        <w:t xml:space="preserve">d submit emissions test data </w:t>
      </w:r>
      <w:r w:rsidR="005F3FCC" w:rsidRPr="006C39B3">
        <w:t>w</w:t>
      </w:r>
      <w:r w:rsidRPr="006C39B3">
        <w:t xml:space="preserve">ithin </w:t>
      </w:r>
      <w:r w:rsidR="00C13067" w:rsidRPr="006C39B3">
        <w:t>60 days</w:t>
      </w:r>
      <w:r w:rsidRPr="006C39B3">
        <w:t xml:space="preserve"> of receipt of the survey</w:t>
      </w:r>
      <w:r w:rsidR="00EB3D76" w:rsidRPr="006C39B3">
        <w:t xml:space="preserve">. </w:t>
      </w:r>
      <w:r w:rsidR="00E41674" w:rsidRPr="006C39B3">
        <w:t xml:space="preserve"> </w:t>
      </w:r>
      <w:r w:rsidRPr="006C39B3">
        <w:t>EPA will compile and analyze survey response data</w:t>
      </w:r>
      <w:r w:rsidR="00A4192D" w:rsidRPr="006C39B3">
        <w:t xml:space="preserve"> upon receipt</w:t>
      </w:r>
      <w:r w:rsidR="00EB3D76" w:rsidRPr="006C39B3">
        <w:t>.</w:t>
      </w:r>
    </w:p>
    <w:p w:rsidR="006050BB" w:rsidRPr="006C39B3" w:rsidRDefault="006050BB" w:rsidP="006050BB">
      <w:pPr>
        <w:pStyle w:val="Heading2"/>
        <w:spacing w:before="0" w:line="360" w:lineRule="auto"/>
      </w:pPr>
      <w:r w:rsidRPr="006C39B3">
        <w:t>6.</w:t>
      </w:r>
      <w:r w:rsidRPr="006C39B3">
        <w:tab/>
        <w:t>Estimating the Burden and Cost of the Collection</w:t>
      </w:r>
      <w:r w:rsidR="00684F3C">
        <w:t xml:space="preserve">  </w:t>
      </w:r>
    </w:p>
    <w:p w:rsidR="000A2C38" w:rsidRPr="006C39B3" w:rsidRDefault="000A2C38" w:rsidP="00A17BC1">
      <w:pPr>
        <w:pStyle w:val="Heading3"/>
        <w:spacing w:before="0" w:after="0" w:line="360" w:lineRule="auto"/>
      </w:pPr>
      <w:r w:rsidRPr="006C39B3">
        <w:t>(</w:t>
      </w:r>
      <w:r w:rsidR="006050BB" w:rsidRPr="006C39B3">
        <w:t>a</w:t>
      </w:r>
      <w:r w:rsidRPr="006C39B3">
        <w:t>)</w:t>
      </w:r>
      <w:r w:rsidRPr="006C39B3">
        <w:tab/>
        <w:t xml:space="preserve">Estimating Respondent </w:t>
      </w:r>
      <w:r w:rsidR="006050BB" w:rsidRPr="006C39B3">
        <w:t xml:space="preserve">Burden and </w:t>
      </w:r>
      <w:r w:rsidRPr="006C39B3">
        <w:t>Costs</w:t>
      </w:r>
    </w:p>
    <w:p w:rsidR="000A2C38" w:rsidRPr="006C39B3" w:rsidRDefault="000A2C38" w:rsidP="00A4192D">
      <w:pPr>
        <w:pStyle w:val="Para"/>
        <w:spacing w:line="360" w:lineRule="auto"/>
      </w:pPr>
      <w:r w:rsidRPr="006C39B3">
        <w:t>Attachment</w:t>
      </w:r>
      <w:r w:rsidR="00F65F1D" w:rsidRPr="006C39B3">
        <w:t xml:space="preserve"> </w:t>
      </w:r>
      <w:r w:rsidR="00E25E95" w:rsidRPr="006C39B3">
        <w:t>2</w:t>
      </w:r>
      <w:r w:rsidR="00A17BC1" w:rsidRPr="006C39B3">
        <w:t xml:space="preserve"> </w:t>
      </w:r>
      <w:r w:rsidRPr="006C39B3">
        <w:t>presents estimated costs for the required data collection activities</w:t>
      </w:r>
      <w:r w:rsidR="00EB3D76" w:rsidRPr="006C39B3">
        <w:t xml:space="preserve">. </w:t>
      </w:r>
      <w:r w:rsidR="00603A15" w:rsidRPr="006C39B3">
        <w:t xml:space="preserve"> </w:t>
      </w:r>
      <w:r w:rsidRPr="006C39B3">
        <w:t>Labor rates and associated costs are based on Bureau of Labor Statistics (BLS) data</w:t>
      </w:r>
      <w:r w:rsidR="00EB3D76" w:rsidRPr="006C39B3">
        <w:t xml:space="preserve">. </w:t>
      </w:r>
      <w:r w:rsidR="00603A15" w:rsidRPr="006C39B3">
        <w:t xml:space="preserve"> </w:t>
      </w:r>
      <w:r w:rsidRPr="006C39B3">
        <w:t xml:space="preserve">Technical, management, and clerical average hourly rates for private industry workers and were taken from the United States Department of Labor, Bureau of Labor Statistics, </w:t>
      </w:r>
      <w:r w:rsidR="00A4192D" w:rsidRPr="006C39B3">
        <w:t>Se</w:t>
      </w:r>
      <w:r w:rsidR="00D621F1" w:rsidRPr="006C39B3">
        <w:t>p</w:t>
      </w:r>
      <w:r w:rsidR="00A4192D" w:rsidRPr="006C39B3">
        <w:t>tember</w:t>
      </w:r>
      <w:r w:rsidR="00926941" w:rsidRPr="006C39B3">
        <w:t xml:space="preserve"> 2009</w:t>
      </w:r>
      <w:r w:rsidRPr="006C39B3">
        <w:t xml:space="preserve">, “Table 2. Civilian Workers, by occupational and industry group,” available at </w:t>
      </w:r>
      <w:hyperlink r:id="rId8" w:history="1">
        <w:r w:rsidRPr="006C39B3">
          <w:rPr>
            <w:rStyle w:val="Hyperlink"/>
            <w:color w:val="auto"/>
            <w:szCs w:val="24"/>
            <w:u w:val="none"/>
          </w:rPr>
          <w:t>www.bls.gov/news.release/ecec.t02.htm</w:t>
        </w:r>
      </w:hyperlink>
      <w:r w:rsidR="00EB3D76" w:rsidRPr="006C39B3">
        <w:t xml:space="preserve">. </w:t>
      </w:r>
      <w:r w:rsidR="00603A15" w:rsidRPr="006C39B3">
        <w:t xml:space="preserve"> </w:t>
      </w:r>
      <w:r w:rsidRPr="006C39B3">
        <w:t xml:space="preserve">Wages for occupational groups are used as the basis </w:t>
      </w:r>
      <w:r w:rsidRPr="006C39B3">
        <w:lastRenderedPageBreak/>
        <w:t>for the labor rates with a total compensation of $46.</w:t>
      </w:r>
      <w:r w:rsidR="00A4192D" w:rsidRPr="006C39B3">
        <w:t>76</w:t>
      </w:r>
      <w:r w:rsidR="005037A9" w:rsidRPr="006C39B3">
        <w:t xml:space="preserve"> per hour for technical, $5</w:t>
      </w:r>
      <w:r w:rsidR="00804740" w:rsidRPr="006C39B3">
        <w:t>4</w:t>
      </w:r>
      <w:r w:rsidR="005037A9" w:rsidRPr="006C39B3">
        <w:t>.</w:t>
      </w:r>
      <w:r w:rsidR="00A4192D" w:rsidRPr="006C39B3">
        <w:t>52</w:t>
      </w:r>
      <w:r w:rsidR="005037A9" w:rsidRPr="006C39B3">
        <w:t xml:space="preserve"> </w:t>
      </w:r>
      <w:r w:rsidR="00A4192D" w:rsidRPr="006C39B3">
        <w:t>per hour for managerial, and $23</w:t>
      </w:r>
      <w:r w:rsidRPr="006C39B3">
        <w:t>.</w:t>
      </w:r>
      <w:r w:rsidR="00A4192D" w:rsidRPr="006C39B3">
        <w:t>11</w:t>
      </w:r>
      <w:r w:rsidRPr="006C39B3">
        <w:t xml:space="preserve"> per hour for clerical</w:t>
      </w:r>
      <w:r w:rsidR="00EB3D76" w:rsidRPr="006C39B3">
        <w:t xml:space="preserve">. </w:t>
      </w:r>
      <w:r w:rsidR="00603A15" w:rsidRPr="006C39B3">
        <w:t xml:space="preserve"> </w:t>
      </w:r>
      <w:r w:rsidRPr="006C39B3">
        <w:t>These rates represent salaries plus fringe benefits and do not include the cost of overhead</w:t>
      </w:r>
      <w:r w:rsidR="00EB3D76" w:rsidRPr="006C39B3">
        <w:t xml:space="preserve">. </w:t>
      </w:r>
      <w:r w:rsidR="00603A15" w:rsidRPr="006C39B3">
        <w:t xml:space="preserve"> </w:t>
      </w:r>
      <w:r w:rsidRPr="006C39B3">
        <w:t>An overhead rate of 110 percent is used to account for these costs</w:t>
      </w:r>
      <w:r w:rsidR="00EB3D76" w:rsidRPr="006C39B3">
        <w:t xml:space="preserve">. </w:t>
      </w:r>
      <w:r w:rsidR="00603A15" w:rsidRPr="006C39B3">
        <w:t xml:space="preserve"> </w:t>
      </w:r>
      <w:r w:rsidRPr="006C39B3">
        <w:t>The fully-burdened hourly wage rates used to represent respondent labor costs are: technical at $9</w:t>
      </w:r>
      <w:r w:rsidR="00A4192D" w:rsidRPr="006C39B3">
        <w:t>8.20</w:t>
      </w:r>
      <w:r w:rsidRPr="006C39B3">
        <w:t>, management at $11</w:t>
      </w:r>
      <w:r w:rsidR="00804740" w:rsidRPr="006C39B3">
        <w:t>4</w:t>
      </w:r>
      <w:r w:rsidRPr="006C39B3">
        <w:t>.</w:t>
      </w:r>
      <w:r w:rsidR="00A4192D" w:rsidRPr="006C39B3">
        <w:t>49</w:t>
      </w:r>
      <w:r w:rsidRPr="006C39B3">
        <w:t>, and clerical at $4</w:t>
      </w:r>
      <w:r w:rsidR="00A4192D" w:rsidRPr="006C39B3">
        <w:t>8.53</w:t>
      </w:r>
      <w:r w:rsidRPr="006C39B3">
        <w:t>.</w:t>
      </w:r>
      <w:r w:rsidR="00201737" w:rsidRPr="006C39B3">
        <w:t xml:space="preserve">  These estimates represent the one-time burden that will be incurred by the recipients.</w:t>
      </w:r>
    </w:p>
    <w:p w:rsidR="000A2C38" w:rsidRPr="006C39B3" w:rsidRDefault="000A2C38" w:rsidP="000E46A1">
      <w:pPr>
        <w:pStyle w:val="Heading3"/>
        <w:spacing w:before="0" w:after="0" w:line="360" w:lineRule="auto"/>
      </w:pPr>
      <w:r w:rsidRPr="006C39B3">
        <w:t>(</w:t>
      </w:r>
      <w:r w:rsidR="00B450C7" w:rsidRPr="006C39B3">
        <w:t>b</w:t>
      </w:r>
      <w:r w:rsidRPr="006C39B3">
        <w:t>)</w:t>
      </w:r>
      <w:r w:rsidRPr="006C39B3">
        <w:tab/>
        <w:t>Estimating Agency Burden and Costs</w:t>
      </w:r>
    </w:p>
    <w:p w:rsidR="000A2C38" w:rsidRPr="006C39B3" w:rsidRDefault="000A2C38" w:rsidP="00DB7554">
      <w:pPr>
        <w:pStyle w:val="Para"/>
        <w:spacing w:after="0" w:line="360" w:lineRule="auto"/>
      </w:pPr>
      <w:r w:rsidRPr="006C39B3">
        <w:t xml:space="preserve">The costs </w:t>
      </w:r>
      <w:r w:rsidR="008878BC" w:rsidRPr="006C39B3">
        <w:t>the</w:t>
      </w:r>
      <w:r w:rsidRPr="006C39B3">
        <w:t xml:space="preserve"> Federal Government would incur are presented in Attachment </w:t>
      </w:r>
      <w:r w:rsidR="00F65F1D" w:rsidRPr="006C39B3">
        <w:t>3</w:t>
      </w:r>
      <w:r w:rsidR="00EB3D76" w:rsidRPr="006C39B3">
        <w:t xml:space="preserve">. </w:t>
      </w:r>
      <w:r w:rsidR="00603A15" w:rsidRPr="006C39B3">
        <w:t xml:space="preserve"> </w:t>
      </w:r>
      <w:r w:rsidRPr="006C39B3">
        <w:t>The Agency labor rates are from the Office of Personnel Management (OPM) 200</w:t>
      </w:r>
      <w:r w:rsidR="0042533D" w:rsidRPr="006C39B3">
        <w:t>9</w:t>
      </w:r>
      <w:r w:rsidRPr="006C39B3">
        <w:t xml:space="preserve"> General Schedule which excludes locality rates of pay</w:t>
      </w:r>
      <w:r w:rsidR="00EB3D76" w:rsidRPr="006C39B3">
        <w:t xml:space="preserve">. </w:t>
      </w:r>
      <w:r w:rsidR="00603A15" w:rsidRPr="006C39B3">
        <w:t xml:space="preserve"> </w:t>
      </w:r>
      <w:r w:rsidRPr="006C39B3">
        <w:t>These rates can b</w:t>
      </w:r>
      <w:r w:rsidR="00C81A73" w:rsidRPr="006C39B3">
        <w:t>e obtained from Salary Table 2010</w:t>
      </w:r>
      <w:r w:rsidRPr="006C39B3">
        <w:t xml:space="preserve">-GS, available on the OPM website at </w:t>
      </w:r>
      <w:r w:rsidR="00C81A73" w:rsidRPr="006C39B3">
        <w:fldChar w:fldCharType="begin"/>
      </w:r>
      <w:r w:rsidR="00C81A73" w:rsidRPr="006C39B3">
        <w:instrText xml:space="preserve"> HYPERLINK "http://www.opm.gov/oca/10tables/html/gs_h.asp" </w:instrText>
      </w:r>
      <w:r w:rsidR="00C81A73" w:rsidRPr="006C39B3">
        <w:fldChar w:fldCharType="separate"/>
      </w:r>
      <w:r w:rsidR="00C81A73" w:rsidRPr="006C39B3">
        <w:rPr>
          <w:rStyle w:val="Hyperlink"/>
          <w:color w:val="auto"/>
        </w:rPr>
        <w:t>www.opm.gov/oca/10t</w:t>
      </w:r>
      <w:r w:rsidR="00C81A73" w:rsidRPr="006C39B3">
        <w:rPr>
          <w:rStyle w:val="Hyperlink"/>
          <w:color w:val="auto"/>
        </w:rPr>
        <w:t>ables/html/gs_h.asp</w:t>
      </w:r>
      <w:r w:rsidR="00C81A73" w:rsidRPr="006C39B3">
        <w:fldChar w:fldCharType="end"/>
      </w:r>
      <w:r w:rsidR="00EB3D76" w:rsidRPr="006C39B3">
        <w:t xml:space="preserve">. </w:t>
      </w:r>
      <w:r w:rsidR="00DB7554" w:rsidRPr="006C39B3">
        <w:t xml:space="preserve"> </w:t>
      </w:r>
      <w:r w:rsidRPr="006C39B3">
        <w:t>The government employee labor rates are $16</w:t>
      </w:r>
      <w:r w:rsidR="0042533D" w:rsidRPr="006C39B3">
        <w:t>.</w:t>
      </w:r>
      <w:r w:rsidR="00C81A73" w:rsidRPr="006C39B3">
        <w:t>28</w:t>
      </w:r>
      <w:r w:rsidRPr="006C39B3">
        <w:t xml:space="preserve"> per hour for clerical (GS-</w:t>
      </w:r>
      <w:r w:rsidR="0042533D" w:rsidRPr="006C39B3">
        <w:t>7</w:t>
      </w:r>
      <w:r w:rsidRPr="006C39B3">
        <w:t xml:space="preserve">, Step </w:t>
      </w:r>
      <w:r w:rsidR="0042533D" w:rsidRPr="006C39B3">
        <w:t>1</w:t>
      </w:r>
      <w:r w:rsidRPr="006C39B3">
        <w:t>), $</w:t>
      </w:r>
      <w:r w:rsidR="00C81A73" w:rsidRPr="006C39B3">
        <w:t>34.3</w:t>
      </w:r>
      <w:r w:rsidR="0042533D" w:rsidRPr="006C39B3">
        <w:t>4</w:t>
      </w:r>
      <w:r w:rsidRPr="006C39B3">
        <w:t xml:space="preserve"> for technical (GS-1</w:t>
      </w:r>
      <w:r w:rsidR="0042533D" w:rsidRPr="006C39B3">
        <w:t>3</w:t>
      </w:r>
      <w:r w:rsidRPr="006C39B3">
        <w:t>, Step 1), and $</w:t>
      </w:r>
      <w:r w:rsidR="00C81A73" w:rsidRPr="006C39B3">
        <w:t>47.74</w:t>
      </w:r>
      <w:r w:rsidRPr="006C39B3">
        <w:t xml:space="preserve"> for managerial (GS-1</w:t>
      </w:r>
      <w:r w:rsidR="0042533D" w:rsidRPr="006C39B3">
        <w:t>5</w:t>
      </w:r>
      <w:r w:rsidRPr="006C39B3">
        <w:t xml:space="preserve">, Step </w:t>
      </w:r>
      <w:r w:rsidR="0042533D" w:rsidRPr="006C39B3">
        <w:t>1</w:t>
      </w:r>
      <w:r w:rsidRPr="006C39B3">
        <w:t>)</w:t>
      </w:r>
      <w:r w:rsidR="00EB3D76" w:rsidRPr="006C39B3">
        <w:t xml:space="preserve">. </w:t>
      </w:r>
      <w:r w:rsidR="00603A15" w:rsidRPr="006C39B3">
        <w:t xml:space="preserve"> </w:t>
      </w:r>
      <w:r w:rsidRPr="006C39B3">
        <w:t>These rates were increased by 60 percent to include fringe benefits and overhead</w:t>
      </w:r>
      <w:r w:rsidR="00EB3D76" w:rsidRPr="006C39B3">
        <w:t xml:space="preserve">. </w:t>
      </w:r>
      <w:r w:rsidR="00603A15" w:rsidRPr="006C39B3">
        <w:t xml:space="preserve"> </w:t>
      </w:r>
      <w:r w:rsidRPr="006C39B3">
        <w:t>The fully-burdened wage rates used to represent Agency labor costs are: clerical at $</w:t>
      </w:r>
      <w:r w:rsidR="00C81A73" w:rsidRPr="006C39B3">
        <w:t>26.05</w:t>
      </w:r>
      <w:r w:rsidRPr="006C39B3">
        <w:t>, technical at $</w:t>
      </w:r>
      <w:r w:rsidR="00C81A73" w:rsidRPr="006C39B3">
        <w:t>54.9</w:t>
      </w:r>
      <w:r w:rsidR="0042533D" w:rsidRPr="006C39B3">
        <w:t>4</w:t>
      </w:r>
      <w:r w:rsidRPr="006C39B3">
        <w:t>, and managerial at $</w:t>
      </w:r>
      <w:r w:rsidR="00C81A73" w:rsidRPr="006C39B3">
        <w:t>76.38</w:t>
      </w:r>
      <w:r w:rsidR="0042533D" w:rsidRPr="006C39B3">
        <w:t>.</w:t>
      </w:r>
    </w:p>
    <w:p w:rsidR="0042533D" w:rsidRPr="006C39B3" w:rsidRDefault="000336F7" w:rsidP="00B450C7">
      <w:pPr>
        <w:pStyle w:val="Heading3"/>
        <w:spacing w:before="0" w:after="0" w:line="360" w:lineRule="auto"/>
      </w:pPr>
      <w:r w:rsidRPr="006C39B3">
        <w:t>(</w:t>
      </w:r>
      <w:r w:rsidR="00B450C7" w:rsidRPr="006C39B3">
        <w:t>c</w:t>
      </w:r>
      <w:r w:rsidRPr="006C39B3">
        <w:t>)</w:t>
      </w:r>
      <w:r w:rsidRPr="006C39B3">
        <w:tab/>
        <w:t>Estimating the Respondent Universe and Total Burden and Costs</w:t>
      </w:r>
    </w:p>
    <w:p w:rsidR="00445FA1" w:rsidRPr="006C39B3" w:rsidRDefault="000F2844" w:rsidP="00BB580F">
      <w:pPr>
        <w:pStyle w:val="Para"/>
        <w:spacing w:line="360" w:lineRule="auto"/>
        <w:rPr>
          <w:iCs/>
        </w:rPr>
      </w:pPr>
      <w:r w:rsidRPr="006C39B3">
        <w:t xml:space="preserve">Estimates based </w:t>
      </w:r>
      <w:r w:rsidR="00A05ACA" w:rsidRPr="006C39B3">
        <w:t xml:space="preserve">on </w:t>
      </w:r>
      <w:r w:rsidR="008B14FA" w:rsidRPr="006C39B3">
        <w:t xml:space="preserve">previous surveys of the industry and review of operating permits </w:t>
      </w:r>
      <w:r w:rsidRPr="006C39B3">
        <w:t xml:space="preserve">indicate that the </w:t>
      </w:r>
      <w:r w:rsidR="00437861" w:rsidRPr="006C39B3">
        <w:t xml:space="preserve">potential respondent universe consists of </w:t>
      </w:r>
      <w:r w:rsidR="0019575E" w:rsidRPr="006C39B3">
        <w:t>4</w:t>
      </w:r>
      <w:r w:rsidR="00BB580F">
        <w:t>23</w:t>
      </w:r>
      <w:r w:rsidR="008B14FA" w:rsidRPr="006C39B3">
        <w:t xml:space="preserve"> facilities</w:t>
      </w:r>
      <w:r w:rsidR="00437861" w:rsidRPr="006C39B3">
        <w:t>.</w:t>
      </w:r>
      <w:r w:rsidR="00A3507D" w:rsidRPr="006C39B3">
        <w:t xml:space="preserve"> </w:t>
      </w:r>
      <w:r w:rsidR="005232BA" w:rsidRPr="006C39B3">
        <w:t>A</w:t>
      </w:r>
      <w:r w:rsidR="00A3507D" w:rsidRPr="006C39B3">
        <w:t xml:space="preserve">ll </w:t>
      </w:r>
      <w:r w:rsidR="0019575E" w:rsidRPr="006C39B3">
        <w:t>4</w:t>
      </w:r>
      <w:r w:rsidR="00BB580F">
        <w:t>23</w:t>
      </w:r>
      <w:r w:rsidR="008B14FA" w:rsidRPr="006C39B3">
        <w:t xml:space="preserve"> of these </w:t>
      </w:r>
      <w:r w:rsidR="0019575E" w:rsidRPr="006C39B3">
        <w:t>facilit</w:t>
      </w:r>
      <w:r w:rsidR="008B14FA" w:rsidRPr="006C39B3">
        <w:t xml:space="preserve">ies </w:t>
      </w:r>
      <w:r w:rsidR="00A3507D" w:rsidRPr="006C39B3">
        <w:t>will be re</w:t>
      </w:r>
      <w:r w:rsidR="00794C57" w:rsidRPr="006C39B3">
        <w:t>quired to complete some portion</w:t>
      </w:r>
      <w:r w:rsidR="00A3507D" w:rsidRPr="006C39B3">
        <w:t xml:space="preserve"> of the electronic survey</w:t>
      </w:r>
      <w:r w:rsidR="008B14FA" w:rsidRPr="006C39B3">
        <w:t xml:space="preserve">.  </w:t>
      </w:r>
      <w:r w:rsidR="00501D52" w:rsidRPr="006C39B3">
        <w:rPr>
          <w:iCs/>
        </w:rPr>
        <w:t xml:space="preserve">The government burden estimate provided in Attachment 3 assumes that 5 percent of </w:t>
      </w:r>
      <w:r w:rsidR="008B14FA" w:rsidRPr="006C39B3">
        <w:rPr>
          <w:iCs/>
        </w:rPr>
        <w:t xml:space="preserve">the respondents will not be subject to the NESHAP.  </w:t>
      </w:r>
      <w:r w:rsidR="008D12AA" w:rsidRPr="006C39B3">
        <w:rPr>
          <w:iCs/>
        </w:rPr>
        <w:t>However,</w:t>
      </w:r>
      <w:r w:rsidR="008935A8" w:rsidRPr="006C39B3">
        <w:rPr>
          <w:iCs/>
        </w:rPr>
        <w:t xml:space="preserve"> it is not </w:t>
      </w:r>
      <w:r w:rsidR="008D12AA" w:rsidRPr="006C39B3">
        <w:rPr>
          <w:iCs/>
        </w:rPr>
        <w:t>known</w:t>
      </w:r>
      <w:r w:rsidR="008935A8" w:rsidRPr="006C39B3">
        <w:rPr>
          <w:iCs/>
        </w:rPr>
        <w:t xml:space="preserve"> </w:t>
      </w:r>
      <w:r w:rsidR="00501D52" w:rsidRPr="006C39B3">
        <w:rPr>
          <w:iCs/>
        </w:rPr>
        <w:t xml:space="preserve">how many of these claims will be valid so </w:t>
      </w:r>
      <w:r w:rsidR="008935A8" w:rsidRPr="006C39B3">
        <w:rPr>
          <w:iCs/>
        </w:rPr>
        <w:t xml:space="preserve">all </w:t>
      </w:r>
      <w:r w:rsidR="008B14FA" w:rsidRPr="006C39B3">
        <w:rPr>
          <w:iCs/>
        </w:rPr>
        <w:t xml:space="preserve">respondents </w:t>
      </w:r>
      <w:r w:rsidR="008935A8" w:rsidRPr="006C39B3">
        <w:rPr>
          <w:iCs/>
        </w:rPr>
        <w:t>are included in the burden estimate for respondents (in Attachment 2)</w:t>
      </w:r>
      <w:r w:rsidR="008D12AA" w:rsidRPr="006C39B3">
        <w:rPr>
          <w:iCs/>
        </w:rPr>
        <w:t>.</w:t>
      </w:r>
      <w:r w:rsidR="002D2F57" w:rsidRPr="006C39B3">
        <w:rPr>
          <w:iCs/>
        </w:rPr>
        <w:t xml:space="preserve">  Attachment 2 lists the various portions of the survey in detail</w:t>
      </w:r>
      <w:r w:rsidR="008B14FA" w:rsidRPr="006C39B3">
        <w:rPr>
          <w:iCs/>
        </w:rPr>
        <w:t xml:space="preserve">. </w:t>
      </w:r>
      <w:r w:rsidR="002D2F57" w:rsidRPr="006C39B3">
        <w:rPr>
          <w:iCs/>
        </w:rPr>
        <w:t xml:space="preserve"> </w:t>
      </w:r>
    </w:p>
    <w:p w:rsidR="000336F7" w:rsidRPr="006C39B3" w:rsidRDefault="00B50934" w:rsidP="00B450C7">
      <w:pPr>
        <w:pStyle w:val="Heading3"/>
        <w:spacing w:before="0" w:after="0" w:line="360" w:lineRule="auto"/>
      </w:pPr>
      <w:r w:rsidRPr="006C39B3">
        <w:t xml:space="preserve"> </w:t>
      </w:r>
      <w:r w:rsidR="000336F7" w:rsidRPr="006C39B3">
        <w:t>(</w:t>
      </w:r>
      <w:r w:rsidR="00B450C7" w:rsidRPr="006C39B3">
        <w:t>d</w:t>
      </w:r>
      <w:r w:rsidR="000336F7" w:rsidRPr="006C39B3">
        <w:t>)</w:t>
      </w:r>
      <w:r w:rsidR="000336F7" w:rsidRPr="006C39B3">
        <w:tab/>
        <w:t xml:space="preserve">Bottom Line Burden Hours </w:t>
      </w:r>
      <w:r w:rsidR="005037A9" w:rsidRPr="006C39B3">
        <w:t>and Costs Tables</w:t>
      </w:r>
    </w:p>
    <w:p w:rsidR="00CC75F2" w:rsidRDefault="00FF4E04" w:rsidP="00CC75F2">
      <w:pPr>
        <w:pStyle w:val="Para"/>
        <w:spacing w:after="0" w:line="360" w:lineRule="auto"/>
      </w:pPr>
      <w:r w:rsidRPr="006C39B3">
        <w:rPr>
          <w:i/>
          <w:iCs/>
        </w:rPr>
        <w:t>(i)</w:t>
      </w:r>
      <w:r w:rsidRPr="006C39B3">
        <w:rPr>
          <w:i/>
          <w:iCs/>
        </w:rPr>
        <w:tab/>
      </w:r>
      <w:r w:rsidR="000336F7" w:rsidRPr="006C39B3">
        <w:rPr>
          <w:i/>
          <w:iCs/>
        </w:rPr>
        <w:t>Respondent tally</w:t>
      </w:r>
      <w:r w:rsidR="00EB3D76" w:rsidRPr="006C39B3">
        <w:rPr>
          <w:i/>
          <w:iCs/>
        </w:rPr>
        <w:t xml:space="preserve">. </w:t>
      </w:r>
      <w:r w:rsidR="00603A15" w:rsidRPr="006C39B3">
        <w:rPr>
          <w:i/>
          <w:iCs/>
        </w:rPr>
        <w:t xml:space="preserve"> </w:t>
      </w:r>
      <w:r w:rsidR="000336F7" w:rsidRPr="006C39B3">
        <w:t xml:space="preserve">The bottom line industry burden hours and costs, presented in </w:t>
      </w:r>
      <w:r w:rsidRPr="006C39B3">
        <w:t>Attachment</w:t>
      </w:r>
      <w:r w:rsidR="00E25E95" w:rsidRPr="006C39B3">
        <w:t xml:space="preserve"> 2</w:t>
      </w:r>
      <w:r w:rsidR="00F66DCE" w:rsidRPr="006C39B3">
        <w:t>,</w:t>
      </w:r>
      <w:r w:rsidR="000336F7" w:rsidRPr="006C39B3">
        <w:t xml:space="preserve"> are calculated by summing the person-hours column and by summing the cost column</w:t>
      </w:r>
      <w:r w:rsidR="00EB3D76" w:rsidRPr="006C39B3">
        <w:t xml:space="preserve">. </w:t>
      </w:r>
      <w:r w:rsidR="00603A15" w:rsidRPr="006C39B3">
        <w:t xml:space="preserve"> </w:t>
      </w:r>
      <w:r w:rsidR="000336F7" w:rsidRPr="0005625E">
        <w:t>The burden and cost to the industry is</w:t>
      </w:r>
      <w:r w:rsidR="008B14FA" w:rsidRPr="0005625E">
        <w:t xml:space="preserve"> </w:t>
      </w:r>
      <w:r w:rsidR="004C22EA" w:rsidRPr="0005625E">
        <w:t>32,529</w:t>
      </w:r>
      <w:r w:rsidR="00561629" w:rsidRPr="0005625E">
        <w:t xml:space="preserve"> hours and $3,</w:t>
      </w:r>
      <w:r w:rsidR="004C22EA" w:rsidRPr="0005625E">
        <w:t>081,849</w:t>
      </w:r>
      <w:r w:rsidR="00561629" w:rsidRPr="0005625E">
        <w:t xml:space="preserve">.  </w:t>
      </w:r>
      <w:r w:rsidR="002073C2" w:rsidRPr="0005625E">
        <w:t>No capital</w:t>
      </w:r>
      <w:r w:rsidR="002073C2" w:rsidRPr="006C39B3">
        <w:t xml:space="preserve"> or </w:t>
      </w:r>
      <w:r w:rsidR="001F4F5C" w:rsidRPr="006C39B3">
        <w:t>annualized</w:t>
      </w:r>
      <w:r w:rsidR="002073C2" w:rsidRPr="006C39B3">
        <w:t xml:space="preserve"> </w:t>
      </w:r>
      <w:r w:rsidR="001F4F5C" w:rsidRPr="006C39B3">
        <w:t>costs are applicable because this is a one-time submittal.</w:t>
      </w:r>
      <w:r w:rsidR="002073C2" w:rsidRPr="006C39B3">
        <w:t xml:space="preserve">  O&amp;M costs of </w:t>
      </w:r>
      <w:r w:rsidR="00561629" w:rsidRPr="006C39B3">
        <w:t>$</w:t>
      </w:r>
      <w:r w:rsidR="00BB580F">
        <w:t>5076</w:t>
      </w:r>
      <w:r w:rsidR="00561629" w:rsidRPr="006C39B3">
        <w:t xml:space="preserve">.00 </w:t>
      </w:r>
      <w:r w:rsidR="002073C2" w:rsidRPr="006C39B3">
        <w:t>are estimated for postage to mail in the survey response to EPA</w:t>
      </w:r>
      <w:r w:rsidR="00CC75F2">
        <w:t>.</w:t>
      </w:r>
      <w:r w:rsidR="0005625E" w:rsidRPr="006C39B3" w:rsidDel="0005625E">
        <w:t xml:space="preserve"> </w:t>
      </w:r>
    </w:p>
    <w:p w:rsidR="000336F7" w:rsidRPr="006C39B3" w:rsidRDefault="00F66DCE" w:rsidP="00CC75F2">
      <w:pPr>
        <w:pStyle w:val="Para"/>
        <w:spacing w:after="0" w:line="360" w:lineRule="auto"/>
      </w:pPr>
      <w:r w:rsidRPr="006C39B3">
        <w:rPr>
          <w:i/>
          <w:iCs/>
        </w:rPr>
        <w:t>(ii)</w:t>
      </w:r>
      <w:r w:rsidRPr="006C39B3">
        <w:rPr>
          <w:i/>
          <w:iCs/>
        </w:rPr>
        <w:tab/>
      </w:r>
      <w:r w:rsidR="000336F7" w:rsidRPr="006C39B3">
        <w:rPr>
          <w:i/>
          <w:iCs/>
        </w:rPr>
        <w:t>Agency tally</w:t>
      </w:r>
      <w:r w:rsidR="00EB3D76" w:rsidRPr="006C39B3">
        <w:rPr>
          <w:i/>
          <w:iCs/>
        </w:rPr>
        <w:t xml:space="preserve">. </w:t>
      </w:r>
      <w:r w:rsidR="000336F7" w:rsidRPr="006C39B3">
        <w:t xml:space="preserve">The bottom line Agency burden and cost, presented in Attachment </w:t>
      </w:r>
      <w:r w:rsidR="00E25E95" w:rsidRPr="006C39B3">
        <w:t>3</w:t>
      </w:r>
      <w:r w:rsidR="000336F7" w:rsidRPr="006C39B3">
        <w:rPr>
          <w:spacing w:val="-2"/>
        </w:rPr>
        <w:t xml:space="preserve"> is calculated in the same manner as the industry burden and cost</w:t>
      </w:r>
      <w:r w:rsidR="00EB3D76" w:rsidRPr="006C39B3">
        <w:rPr>
          <w:spacing w:val="-2"/>
        </w:rPr>
        <w:t xml:space="preserve">. </w:t>
      </w:r>
      <w:r w:rsidR="00903CCC" w:rsidRPr="006C39B3">
        <w:rPr>
          <w:spacing w:val="-2"/>
        </w:rPr>
        <w:t xml:space="preserve"> </w:t>
      </w:r>
      <w:r w:rsidR="000336F7" w:rsidRPr="006C39B3">
        <w:rPr>
          <w:spacing w:val="-2"/>
        </w:rPr>
        <w:t xml:space="preserve">The estimated burden </w:t>
      </w:r>
      <w:r w:rsidR="000336F7" w:rsidRPr="006C39B3">
        <w:t xml:space="preserve">and cost </w:t>
      </w:r>
      <w:r w:rsidR="000336F7" w:rsidRPr="0005625E">
        <w:lastRenderedPageBreak/>
        <w:t>are</w:t>
      </w:r>
      <w:r w:rsidR="00561629" w:rsidRPr="0005625E">
        <w:t xml:space="preserve"> </w:t>
      </w:r>
      <w:r w:rsidR="002A249F" w:rsidRPr="0005625E">
        <w:t>2,</w:t>
      </w:r>
      <w:r w:rsidR="004C22EA" w:rsidRPr="0005625E">
        <w:t>290</w:t>
      </w:r>
      <w:r w:rsidR="002A249F" w:rsidRPr="0005625E">
        <w:t xml:space="preserve"> </w:t>
      </w:r>
      <w:r w:rsidR="00BD6E65" w:rsidRPr="0005625E">
        <w:t>hours and $</w:t>
      </w:r>
      <w:r w:rsidR="00F77FE0" w:rsidRPr="0005625E">
        <w:t>1</w:t>
      </w:r>
      <w:r w:rsidR="004C22EA" w:rsidRPr="0005625E">
        <w:t>22,221</w:t>
      </w:r>
      <w:r w:rsidR="00F77FE0" w:rsidRPr="0005625E">
        <w:t xml:space="preserve">, </w:t>
      </w:r>
      <w:r w:rsidR="002600EF" w:rsidRPr="0005625E">
        <w:t>plus</w:t>
      </w:r>
      <w:r w:rsidR="00BD6E65" w:rsidRPr="0005625E">
        <w:t xml:space="preserve"> $</w:t>
      </w:r>
      <w:r w:rsidR="004C22EA" w:rsidRPr="0005625E">
        <w:t>7,280</w:t>
      </w:r>
      <w:r w:rsidR="00BD6E65" w:rsidRPr="0005625E">
        <w:t xml:space="preserve"> in O &amp; M costs </w:t>
      </w:r>
      <w:r w:rsidR="000336F7" w:rsidRPr="0005625E">
        <w:t xml:space="preserve">to send </w:t>
      </w:r>
      <w:r w:rsidR="005037A9" w:rsidRPr="0005625E">
        <w:t>CAA s</w:t>
      </w:r>
      <w:r w:rsidR="000336F7" w:rsidRPr="0005625E">
        <w:t>ection 114 letters to all</w:t>
      </w:r>
      <w:r w:rsidR="000336F7" w:rsidRPr="006C39B3">
        <w:t xml:space="preserve"> respondents with electronic return receipt</w:t>
      </w:r>
      <w:r w:rsidR="008C212B" w:rsidRPr="006C39B3">
        <w:t xml:space="preserve"> and a </w:t>
      </w:r>
      <w:r w:rsidR="00BD6E65" w:rsidRPr="006C39B3">
        <w:t xml:space="preserve">compact disk </w:t>
      </w:r>
      <w:r w:rsidR="008C212B" w:rsidRPr="006C39B3">
        <w:t xml:space="preserve">containing </w:t>
      </w:r>
      <w:r w:rsidR="00BD6E65" w:rsidRPr="006C39B3">
        <w:t xml:space="preserve">the electronic spreadsheet, </w:t>
      </w:r>
      <w:r w:rsidR="008C212B" w:rsidRPr="006C39B3">
        <w:t xml:space="preserve">pre-populated </w:t>
      </w:r>
      <w:r w:rsidR="00106F98" w:rsidRPr="006C39B3">
        <w:t xml:space="preserve">NATA </w:t>
      </w:r>
      <w:r w:rsidR="00BD6E65" w:rsidRPr="006C39B3">
        <w:t xml:space="preserve">NEI </w:t>
      </w:r>
      <w:r w:rsidR="008C212B" w:rsidRPr="006C39B3">
        <w:t>spreadsheets</w:t>
      </w:r>
      <w:r w:rsidR="006D4EAC" w:rsidRPr="006C39B3">
        <w:t>, questionnaire printing costs, and computer storage of data received</w:t>
      </w:r>
      <w:r w:rsidR="000336F7" w:rsidRPr="006C39B3">
        <w:t>.</w:t>
      </w:r>
    </w:p>
    <w:p w:rsidR="002E07AC" w:rsidRPr="006C39B3" w:rsidRDefault="002E07AC" w:rsidP="000E46A1">
      <w:pPr>
        <w:pStyle w:val="Para"/>
        <w:spacing w:after="0" w:line="360" w:lineRule="auto"/>
      </w:pPr>
      <w:r w:rsidRPr="006C39B3">
        <w:rPr>
          <w:i/>
          <w:iCs/>
        </w:rPr>
        <w:t>(iii)</w:t>
      </w:r>
      <w:r w:rsidRPr="006C39B3">
        <w:rPr>
          <w:i/>
          <w:iCs/>
        </w:rPr>
        <w:tab/>
        <w:t>The complex collection</w:t>
      </w:r>
      <w:r w:rsidR="00EB3D76" w:rsidRPr="006C39B3">
        <w:rPr>
          <w:i/>
          <w:iCs/>
        </w:rPr>
        <w:t xml:space="preserve">. </w:t>
      </w:r>
      <w:r w:rsidR="00603A15" w:rsidRPr="006C39B3">
        <w:rPr>
          <w:i/>
          <w:iCs/>
        </w:rPr>
        <w:t xml:space="preserve"> </w:t>
      </w:r>
      <w:r w:rsidRPr="006C39B3">
        <w:t>This ICR is a simple collection; therefore</w:t>
      </w:r>
      <w:r w:rsidR="000925E6" w:rsidRPr="006C39B3">
        <w:t>,</w:t>
      </w:r>
      <w:r w:rsidRPr="006C39B3">
        <w:t xml:space="preserve"> this section does not apply.</w:t>
      </w:r>
    </w:p>
    <w:p w:rsidR="002E07AC" w:rsidRPr="006C39B3" w:rsidRDefault="002E07AC" w:rsidP="000E46A1">
      <w:pPr>
        <w:pStyle w:val="Para"/>
        <w:spacing w:after="0" w:line="360" w:lineRule="auto"/>
      </w:pPr>
      <w:r w:rsidRPr="006C39B3">
        <w:rPr>
          <w:i/>
          <w:iCs/>
        </w:rPr>
        <w:t>(iv)</w:t>
      </w:r>
      <w:r w:rsidRPr="006C39B3">
        <w:rPr>
          <w:i/>
          <w:iCs/>
        </w:rPr>
        <w:tab/>
        <w:t>Variations in the annual bottom line</w:t>
      </w:r>
      <w:r w:rsidR="00EB3D76" w:rsidRPr="006C39B3">
        <w:rPr>
          <w:i/>
          <w:iCs/>
        </w:rPr>
        <w:t xml:space="preserve">. </w:t>
      </w:r>
      <w:r w:rsidR="00603A15" w:rsidRPr="006C39B3">
        <w:rPr>
          <w:i/>
          <w:iCs/>
        </w:rPr>
        <w:t xml:space="preserve"> </w:t>
      </w:r>
      <w:r w:rsidRPr="006C39B3">
        <w:t>This section does not apply as this is a one</w:t>
      </w:r>
      <w:r w:rsidRPr="006C39B3">
        <w:softHyphen/>
        <w:t>time collection.</w:t>
      </w:r>
    </w:p>
    <w:p w:rsidR="002E07AC" w:rsidRPr="006C39B3" w:rsidRDefault="002E07AC" w:rsidP="000E46A1">
      <w:pPr>
        <w:pStyle w:val="Heading3"/>
        <w:spacing w:before="0" w:after="0" w:line="360" w:lineRule="auto"/>
        <w:rPr>
          <w:u w:val="single"/>
        </w:rPr>
      </w:pPr>
      <w:r w:rsidRPr="006C39B3">
        <w:t>(</w:t>
      </w:r>
      <w:r w:rsidR="00B450C7" w:rsidRPr="006C39B3">
        <w:t>e</w:t>
      </w:r>
      <w:r w:rsidRPr="006C39B3">
        <w:t>)</w:t>
      </w:r>
      <w:r w:rsidRPr="006C39B3">
        <w:tab/>
        <w:t>Reasons for Change in Burden</w:t>
      </w:r>
    </w:p>
    <w:p w:rsidR="005A1326" w:rsidRPr="006C39B3" w:rsidRDefault="005A1326" w:rsidP="005A1326">
      <w:pPr>
        <w:pStyle w:val="Heading3"/>
        <w:spacing w:line="360" w:lineRule="auto"/>
        <w:ind w:firstLine="720"/>
        <w:rPr>
          <w:rFonts w:eastAsia="Calibri"/>
          <w:bCs w:val="0"/>
          <w:i w:val="0"/>
          <w:szCs w:val="20"/>
        </w:rPr>
      </w:pPr>
      <w:r w:rsidRPr="006C39B3">
        <w:rPr>
          <w:rFonts w:eastAsia="Calibri"/>
          <w:bCs w:val="0"/>
          <w:i w:val="0"/>
          <w:szCs w:val="20"/>
        </w:rPr>
        <w:t xml:space="preserve">This is the initial estimation of burden for this information collection; therefore, this section does not apply. </w:t>
      </w:r>
    </w:p>
    <w:p w:rsidR="002E07AC" w:rsidRPr="006C39B3" w:rsidRDefault="002E07AC" w:rsidP="005A1326">
      <w:pPr>
        <w:pStyle w:val="Heading3"/>
        <w:spacing w:line="360" w:lineRule="auto"/>
      </w:pPr>
      <w:r w:rsidRPr="006C39B3">
        <w:t>(</w:t>
      </w:r>
      <w:r w:rsidR="00B450C7" w:rsidRPr="006C39B3">
        <w:t>f</w:t>
      </w:r>
      <w:r w:rsidRPr="006C39B3">
        <w:t>)</w:t>
      </w:r>
      <w:r w:rsidRPr="006C39B3">
        <w:tab/>
        <w:t>Burden Statement</w:t>
      </w:r>
    </w:p>
    <w:p w:rsidR="002E07AC" w:rsidRDefault="00DA462F" w:rsidP="004C22EA">
      <w:pPr>
        <w:pStyle w:val="Para"/>
        <w:spacing w:after="0" w:line="360" w:lineRule="auto"/>
      </w:pPr>
      <w:r>
        <w:t xml:space="preserve">The annual public reporting and recordkeeping burden for this collection of information </w:t>
      </w:r>
      <w:r w:rsidRPr="0005625E">
        <w:t xml:space="preserve">is estimated to average </w:t>
      </w:r>
      <w:r w:rsidR="004C22EA" w:rsidRPr="0005625E">
        <w:t>77</w:t>
      </w:r>
      <w:r w:rsidRPr="0005625E">
        <w:t xml:space="preserve"> </w:t>
      </w:r>
      <w:r w:rsidRPr="0005625E">
        <w:rPr>
          <w:color w:val="000000"/>
        </w:rPr>
        <w:t xml:space="preserve">hours per response.  </w:t>
      </w:r>
      <w:r w:rsidR="002E07AC" w:rsidRPr="0005625E">
        <w:t>Burden means the total time, effort, or financial</w:t>
      </w:r>
      <w:r w:rsidR="002E07AC" w:rsidRPr="006C39B3">
        <w:t xml:space="preserve"> resources expended by persons to generate, maintain, retain, or disclose or provide information to or for a Federal agency</w:t>
      </w:r>
      <w:r w:rsidR="00EB3D76" w:rsidRPr="006C39B3">
        <w:t xml:space="preserve">. </w:t>
      </w:r>
      <w:r w:rsidR="00603A15" w:rsidRPr="006C39B3">
        <w:t xml:space="preserve"> </w:t>
      </w:r>
      <w:r w:rsidR="002E07AC" w:rsidRPr="006C39B3">
        <w:t xml:space="preserve">This includes the time needed to review instructions; develop, acquire, install, and utilize technology and systems for the purposes of collecting, validating, and verifying </w:t>
      </w:r>
      <w:r w:rsidR="002E07AC" w:rsidRPr="006C39B3">
        <w:rPr>
          <w:spacing w:val="-2"/>
        </w:rPr>
        <w:t>information, processing and maintaining information, and disclosing and providing information;</w:t>
      </w:r>
      <w:r w:rsidR="002E07AC" w:rsidRPr="006C39B3">
        <w:t xml:space="preserve"> </w:t>
      </w:r>
      <w:r w:rsidR="002E07AC" w:rsidRPr="006C39B3">
        <w:rPr>
          <w:spacing w:val="-2"/>
        </w:rPr>
        <w:t>adjust the existing ways to comply with any previously applicable instructions and requirements;</w:t>
      </w:r>
      <w:r w:rsidR="002E07AC" w:rsidRPr="006C39B3">
        <w:t xml:space="preserve"> </w:t>
      </w:r>
      <w:r w:rsidR="002E07AC" w:rsidRPr="006C39B3">
        <w:rPr>
          <w:spacing w:val="-2"/>
        </w:rPr>
        <w:t>train personnel to be able to respond to a collection of information; search data sources; complete</w:t>
      </w:r>
      <w:r w:rsidR="002E07AC" w:rsidRPr="006C39B3">
        <w:t xml:space="preserve"> </w:t>
      </w:r>
      <w:r w:rsidR="002E07AC" w:rsidRPr="006C39B3">
        <w:rPr>
          <w:spacing w:val="-2"/>
        </w:rPr>
        <w:t>and review the collection of information; and transmit or otherwise disclose the information</w:t>
      </w:r>
      <w:r w:rsidR="00EB3D76" w:rsidRPr="006C39B3">
        <w:rPr>
          <w:spacing w:val="-2"/>
        </w:rPr>
        <w:t xml:space="preserve">. </w:t>
      </w:r>
      <w:r w:rsidR="00603A15" w:rsidRPr="006C39B3">
        <w:rPr>
          <w:spacing w:val="-2"/>
        </w:rPr>
        <w:t xml:space="preserve"> </w:t>
      </w:r>
      <w:r w:rsidR="002E07AC" w:rsidRPr="006C39B3">
        <w:rPr>
          <w:spacing w:val="-2"/>
        </w:rPr>
        <w:t>An</w:t>
      </w:r>
      <w:r w:rsidR="002E07AC" w:rsidRPr="006C39B3">
        <w:t xml:space="preserve"> agency may not conduct or sponsor, and a person is not required to respond to, a collection of </w:t>
      </w:r>
      <w:r w:rsidR="002E07AC" w:rsidRPr="006C39B3">
        <w:rPr>
          <w:spacing w:val="-2"/>
        </w:rPr>
        <w:t>information unless it displays a currently valid OMB control number</w:t>
      </w:r>
      <w:r w:rsidR="00EB3D76" w:rsidRPr="006C39B3">
        <w:rPr>
          <w:spacing w:val="-2"/>
        </w:rPr>
        <w:t xml:space="preserve">. </w:t>
      </w:r>
      <w:r w:rsidR="00603A15" w:rsidRPr="006C39B3">
        <w:rPr>
          <w:spacing w:val="-2"/>
        </w:rPr>
        <w:t xml:space="preserve"> </w:t>
      </w:r>
      <w:r w:rsidR="002E07AC" w:rsidRPr="006C39B3">
        <w:rPr>
          <w:spacing w:val="-2"/>
        </w:rPr>
        <w:t>The OMB control numbers</w:t>
      </w:r>
      <w:r w:rsidR="000925E6" w:rsidRPr="006C39B3">
        <w:t xml:space="preserve"> for EPA’</w:t>
      </w:r>
      <w:r w:rsidR="002E07AC" w:rsidRPr="006C39B3">
        <w:t>s regulations are listed in 40 CFR part 9 and 48 CFR chapter 15.</w:t>
      </w:r>
    </w:p>
    <w:p w:rsidR="00DA462F" w:rsidRDefault="00DA462F" w:rsidP="000E46A1">
      <w:pPr>
        <w:pStyle w:val="Para"/>
        <w:spacing w:after="0" w:line="360" w:lineRule="auto"/>
      </w:pPr>
      <w:r>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DA462F">
        <w:rPr>
          <w:bCs/>
          <w:szCs w:val="24"/>
        </w:rPr>
        <w:t>EPA-HQ-OAR-2010-0469</w:t>
      </w:r>
      <w:r>
        <w:rPr>
          <w:color w:val="0F0F0F"/>
          <w:szCs w:val="24"/>
        </w:rPr>
        <w:t xml:space="preserve">, which is available for online viewing at </w:t>
      </w:r>
      <w:hyperlink r:id="rId9" w:history="1">
        <w:r w:rsidRPr="00C968CF">
          <w:rPr>
            <w:rStyle w:val="Hyperlink"/>
            <w:szCs w:val="24"/>
          </w:rPr>
          <w:t>www.regulations.gov</w:t>
        </w:r>
      </w:hyperlink>
      <w:r>
        <w:rPr>
          <w:color w:val="0F0F0F"/>
          <w:szCs w:val="24"/>
        </w:rPr>
        <w:t xml:space="preserve">, or in person viewing at the Air and Radiation Docket in the EPA Docket Center (EPA/DC), EPA West, Room 3334, 1301 Constitution Avenue, NW, Washington, D.C.  </w:t>
      </w:r>
      <w:r>
        <w:rPr>
          <w:color w:val="0F0F0F"/>
          <w:szCs w:val="24"/>
        </w:rPr>
        <w:lastRenderedPageBreak/>
        <w:t xml:space="preserve">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szCs w:val="24"/>
            </w:rPr>
            <w:t>725 17th Street, NW</w:t>
          </w:r>
        </w:smartTag>
        <w:r>
          <w:rPr>
            <w:color w:val="0F0F0F"/>
            <w:szCs w:val="24"/>
          </w:rPr>
          <w:t xml:space="preserve">, </w:t>
        </w:r>
        <w:smartTag w:uri="urn:schemas-microsoft-com:office:smarttags" w:element="City">
          <w:r>
            <w:rPr>
              <w:color w:val="0F0F0F"/>
              <w:szCs w:val="24"/>
            </w:rPr>
            <w:t>Washington</w:t>
          </w:r>
        </w:smartTag>
        <w:r>
          <w:rPr>
            <w:color w:val="0F0F0F"/>
            <w:szCs w:val="24"/>
          </w:rPr>
          <w:t xml:space="preserve">, </w:t>
        </w:r>
        <w:smartTag w:uri="urn:schemas-microsoft-com:office:smarttags" w:element="State">
          <w:r>
            <w:rPr>
              <w:color w:val="0F0F0F"/>
              <w:szCs w:val="24"/>
            </w:rPr>
            <w:t>D.C.</w:t>
          </w:r>
        </w:smartTag>
        <w:r>
          <w:rPr>
            <w:color w:val="0F0F0F"/>
            <w:szCs w:val="24"/>
          </w:rPr>
          <w:t xml:space="preserve"> </w:t>
        </w:r>
        <w:smartTag w:uri="urn:schemas-microsoft-com:office:smarttags" w:element="PostalCode">
          <w:r>
            <w:rPr>
              <w:color w:val="0F0F0F"/>
              <w:szCs w:val="24"/>
            </w:rPr>
            <w:t>20503</w:t>
          </w:r>
        </w:smartTag>
      </w:smartTag>
      <w:r>
        <w:rPr>
          <w:color w:val="0F0F0F"/>
          <w:szCs w:val="24"/>
        </w:rPr>
        <w:t>, Attention: Desk Officer for EPA.  Please include the EPA Docket ID</w:t>
      </w:r>
      <w:r>
        <w:rPr>
          <w:rFonts w:ascii="Courier New" w:hAnsi="Courier New" w:cs="Courier New"/>
          <w:color w:val="0F0F0F"/>
          <w:szCs w:val="24"/>
        </w:rPr>
        <w:t xml:space="preserve"> </w:t>
      </w:r>
      <w:r>
        <w:rPr>
          <w:color w:val="0F0F0F"/>
          <w:szCs w:val="24"/>
        </w:rPr>
        <w:t xml:space="preserve">Number </w:t>
      </w:r>
      <w:r w:rsidRPr="00DA462F">
        <w:rPr>
          <w:bCs/>
          <w:szCs w:val="24"/>
        </w:rPr>
        <w:t>EPA-HQ-OAR-2010-0469</w:t>
      </w:r>
      <w:r>
        <w:rPr>
          <w:color w:val="0F0F0F"/>
          <w:szCs w:val="24"/>
        </w:rPr>
        <w:t xml:space="preserve"> and OMB Control Number </w:t>
      </w:r>
      <w:r w:rsidRPr="00DA462F">
        <w:rPr>
          <w:szCs w:val="24"/>
        </w:rPr>
        <w:t>2060-NEW</w:t>
      </w:r>
      <w:r>
        <w:rPr>
          <w:color w:val="0F0F0F"/>
          <w:szCs w:val="24"/>
        </w:rPr>
        <w:t xml:space="preserve"> in any correspondence.</w:t>
      </w:r>
    </w:p>
    <w:p w:rsidR="00DA462F" w:rsidRPr="006C39B3" w:rsidRDefault="00DA462F" w:rsidP="000E46A1">
      <w:pPr>
        <w:pStyle w:val="Para"/>
        <w:spacing w:after="0" w:line="360" w:lineRule="auto"/>
      </w:pPr>
    </w:p>
    <w:p w:rsidR="003D3037" w:rsidRPr="006C39B3" w:rsidRDefault="00DA462F" w:rsidP="000E46A1">
      <w:pPr>
        <w:pStyle w:val="Para"/>
        <w:spacing w:after="0" w:line="360" w:lineRule="auto"/>
        <w:rPr>
          <w:szCs w:val="24"/>
        </w:rPr>
      </w:pPr>
      <w:r>
        <w:rPr>
          <w:rFonts w:eastAsia="Times New Roman"/>
          <w:b/>
          <w:bCs/>
          <w:iCs/>
          <w:szCs w:val="28"/>
        </w:rPr>
        <w:br w:type="page"/>
      </w:r>
    </w:p>
    <w:p w:rsidR="00390820" w:rsidRPr="006C39B3" w:rsidRDefault="00390820" w:rsidP="00390820">
      <w:pPr>
        <w:pStyle w:val="Title"/>
        <w:spacing w:before="0" w:after="0" w:line="360" w:lineRule="auto"/>
      </w:pPr>
      <w:r w:rsidRPr="006C39B3">
        <w:t>List of Attachments</w:t>
      </w:r>
    </w:p>
    <w:p w:rsidR="003E66AC" w:rsidRPr="006C39B3" w:rsidRDefault="003E66AC" w:rsidP="003E66AC"/>
    <w:p w:rsidR="003E66AC" w:rsidRPr="006C39B3" w:rsidRDefault="003E66AC" w:rsidP="003E66AC"/>
    <w:p w:rsidR="00390820" w:rsidRPr="006C39B3" w:rsidRDefault="00390820" w:rsidP="00390820">
      <w:pPr>
        <w:pStyle w:val="NoSpacing"/>
        <w:spacing w:line="360" w:lineRule="auto"/>
      </w:pPr>
      <w:r w:rsidRPr="006C39B3">
        <w:t>1.</w:t>
      </w:r>
      <w:r w:rsidRPr="006C39B3">
        <w:tab/>
        <w:t>Draft Questionnaire Content</w:t>
      </w:r>
    </w:p>
    <w:p w:rsidR="00390820" w:rsidRPr="006C39B3" w:rsidRDefault="00390820" w:rsidP="00390820">
      <w:pPr>
        <w:pStyle w:val="NoSpacing"/>
        <w:spacing w:line="360" w:lineRule="auto"/>
      </w:pPr>
      <w:r w:rsidRPr="006C39B3">
        <w:t>2.</w:t>
      </w:r>
      <w:r w:rsidRPr="006C39B3">
        <w:tab/>
        <w:t>Industry Burden and Costs for Responding to the Questionnaire</w:t>
      </w:r>
    </w:p>
    <w:p w:rsidR="00390820" w:rsidRPr="006C39B3" w:rsidRDefault="00390820" w:rsidP="00390820">
      <w:pPr>
        <w:pStyle w:val="NoSpacing"/>
        <w:spacing w:line="360" w:lineRule="auto"/>
      </w:pPr>
      <w:r w:rsidRPr="006C39B3">
        <w:t>3.</w:t>
      </w:r>
      <w:r w:rsidRPr="006C39B3">
        <w:tab/>
        <w:t>Agency Burden and Costs</w:t>
      </w:r>
    </w:p>
    <w:p w:rsidR="00390820" w:rsidRPr="006C39B3" w:rsidRDefault="00390820" w:rsidP="00390820">
      <w:pPr>
        <w:pStyle w:val="NoSpacing"/>
        <w:spacing w:line="360" w:lineRule="auto"/>
      </w:pPr>
    </w:p>
    <w:p w:rsidR="00630D5F" w:rsidRPr="006C39B3" w:rsidRDefault="00630D5F" w:rsidP="00390820">
      <w:pPr>
        <w:pStyle w:val="NoSpacing"/>
        <w:spacing w:line="360" w:lineRule="auto"/>
        <w:sectPr w:rsidR="00630D5F" w:rsidRPr="006C39B3" w:rsidSect="00E23F6C">
          <w:footerReference w:type="even" r:id="rId10"/>
          <w:footerReference w:type="default" r:id="rId11"/>
          <w:pgSz w:w="12240" w:h="15840"/>
          <w:pgMar w:top="1440" w:right="1440" w:bottom="1440" w:left="1440" w:header="720" w:footer="720" w:gutter="0"/>
          <w:cols w:space="720"/>
          <w:docGrid w:linePitch="360"/>
        </w:sectPr>
      </w:pPr>
    </w:p>
    <w:p w:rsidR="00872E09" w:rsidRPr="006C39B3" w:rsidRDefault="00872E09" w:rsidP="00CC1125">
      <w:pPr>
        <w:pStyle w:val="NoSpacing"/>
        <w:jc w:val="center"/>
        <w:rPr>
          <w:b/>
        </w:rPr>
      </w:pPr>
      <w:r w:rsidRPr="006C39B3">
        <w:rPr>
          <w:b/>
        </w:rPr>
        <w:lastRenderedPageBreak/>
        <w:t>Attachment 1.</w:t>
      </w:r>
    </w:p>
    <w:p w:rsidR="00872E09" w:rsidRPr="006C39B3" w:rsidRDefault="00872E09" w:rsidP="00CC1125">
      <w:pPr>
        <w:pStyle w:val="NoSpacing"/>
        <w:jc w:val="center"/>
        <w:rPr>
          <w:b/>
        </w:rPr>
      </w:pPr>
    </w:p>
    <w:p w:rsidR="00872E09" w:rsidRPr="006C39B3" w:rsidRDefault="00872E09" w:rsidP="00CC1125">
      <w:pPr>
        <w:pStyle w:val="NoSpacing"/>
        <w:jc w:val="center"/>
      </w:pPr>
      <w:r w:rsidRPr="006C39B3">
        <w:rPr>
          <w:b/>
        </w:rPr>
        <w:t>Draft Questionnaire Content</w:t>
      </w:r>
    </w:p>
    <w:p w:rsidR="003011B0" w:rsidRPr="006C39B3" w:rsidRDefault="003011B0" w:rsidP="00CC1125">
      <w:pPr>
        <w:pStyle w:val="NoSpacing"/>
      </w:pPr>
    </w:p>
    <w:p w:rsidR="00441524" w:rsidRPr="006C39B3" w:rsidRDefault="00A35EFF" w:rsidP="003310A4">
      <w:pPr>
        <w:pStyle w:val="NoSpacing"/>
        <w:jc w:val="center"/>
      </w:pPr>
      <w:r w:rsidRPr="006C39B3">
        <w:t>The draft questionnaire may be found in separate files accompanying this supporting statement, including the following:</w:t>
      </w:r>
    </w:p>
    <w:p w:rsidR="00022696" w:rsidRPr="006C39B3" w:rsidRDefault="00022696" w:rsidP="004455DA">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8"/>
        <w:gridCol w:w="4908"/>
      </w:tblGrid>
      <w:tr w:rsidR="00441524" w:rsidRPr="006C39B3" w:rsidTr="00EC00A7">
        <w:trPr>
          <w:jc w:val="center"/>
        </w:trPr>
        <w:tc>
          <w:tcPr>
            <w:tcW w:w="4668" w:type="dxa"/>
          </w:tcPr>
          <w:p w:rsidR="00441524" w:rsidRPr="006C39B3" w:rsidRDefault="00441524" w:rsidP="00C25F2E">
            <w:pPr>
              <w:pStyle w:val="NoSpacing"/>
              <w:widowControl w:val="0"/>
              <w:autoSpaceDE w:val="0"/>
              <w:autoSpaceDN w:val="0"/>
              <w:adjustRightInd w:val="0"/>
              <w:jc w:val="center"/>
              <w:rPr>
                <w:rFonts w:eastAsia="Times New Roman"/>
                <w:b/>
                <w:bCs/>
              </w:rPr>
            </w:pPr>
            <w:r w:rsidRPr="006C39B3">
              <w:rPr>
                <w:rFonts w:eastAsia="Times New Roman"/>
                <w:b/>
                <w:bCs/>
              </w:rPr>
              <w:t>File name</w:t>
            </w:r>
          </w:p>
        </w:tc>
        <w:tc>
          <w:tcPr>
            <w:tcW w:w="4908" w:type="dxa"/>
          </w:tcPr>
          <w:p w:rsidR="00441524" w:rsidRPr="006C39B3" w:rsidRDefault="00441524" w:rsidP="00C25F2E">
            <w:pPr>
              <w:pStyle w:val="NoSpacing"/>
              <w:widowControl w:val="0"/>
              <w:autoSpaceDE w:val="0"/>
              <w:autoSpaceDN w:val="0"/>
              <w:adjustRightInd w:val="0"/>
              <w:jc w:val="center"/>
              <w:rPr>
                <w:rFonts w:eastAsia="Times New Roman"/>
                <w:b/>
                <w:bCs/>
              </w:rPr>
            </w:pPr>
            <w:r w:rsidRPr="006C39B3">
              <w:rPr>
                <w:rFonts w:eastAsia="Times New Roman"/>
                <w:b/>
                <w:bCs/>
              </w:rPr>
              <w:t>Description</w:t>
            </w:r>
          </w:p>
        </w:tc>
      </w:tr>
      <w:tr w:rsidR="00441524" w:rsidRPr="006C39B3" w:rsidTr="00EC00A7">
        <w:trPr>
          <w:jc w:val="center"/>
        </w:trPr>
        <w:tc>
          <w:tcPr>
            <w:tcW w:w="4668" w:type="dxa"/>
          </w:tcPr>
          <w:p w:rsidR="00441524" w:rsidRPr="006C39B3" w:rsidRDefault="00022696" w:rsidP="00582974">
            <w:pPr>
              <w:pStyle w:val="NoSpacing"/>
              <w:widowControl w:val="0"/>
              <w:autoSpaceDE w:val="0"/>
              <w:autoSpaceDN w:val="0"/>
              <w:adjustRightInd w:val="0"/>
              <w:rPr>
                <w:rFonts w:eastAsia="Times New Roman"/>
                <w:i/>
                <w:iCs/>
              </w:rPr>
            </w:pPr>
            <w:r w:rsidRPr="006C39B3">
              <w:rPr>
                <w:rFonts w:eastAsia="Times New Roman"/>
                <w:i/>
                <w:iCs/>
              </w:rPr>
              <w:fldChar w:fldCharType="begin"/>
            </w:r>
            <w:r w:rsidRPr="006C39B3">
              <w:rPr>
                <w:rFonts w:eastAsia="Times New Roman"/>
                <w:i/>
                <w:iCs/>
              </w:rPr>
              <w:instrText xml:space="preserve"> FILENAME </w:instrText>
            </w:r>
            <w:r w:rsidRPr="006C39B3">
              <w:rPr>
                <w:rFonts w:eastAsia="Times New Roman"/>
                <w:i/>
                <w:iCs/>
              </w:rPr>
              <w:fldChar w:fldCharType="separate"/>
            </w:r>
            <w:r w:rsidRPr="006C39B3">
              <w:rPr>
                <w:rFonts w:eastAsia="Times New Roman"/>
                <w:i/>
                <w:iCs/>
              </w:rPr>
              <w:t>secal_allcompany114.doc</w:t>
            </w:r>
            <w:r w:rsidRPr="006C39B3">
              <w:rPr>
                <w:rFonts w:eastAsia="Times New Roman"/>
                <w:i/>
                <w:iCs/>
              </w:rPr>
              <w:fldChar w:fldCharType="end"/>
            </w:r>
          </w:p>
        </w:tc>
        <w:tc>
          <w:tcPr>
            <w:tcW w:w="4908" w:type="dxa"/>
          </w:tcPr>
          <w:p w:rsidR="00441524" w:rsidRPr="006C39B3" w:rsidRDefault="00441524" w:rsidP="00022696">
            <w:pPr>
              <w:pStyle w:val="NoSpacing"/>
              <w:widowControl w:val="0"/>
              <w:autoSpaceDE w:val="0"/>
              <w:autoSpaceDN w:val="0"/>
              <w:adjustRightInd w:val="0"/>
              <w:rPr>
                <w:rFonts w:eastAsia="Times New Roman"/>
              </w:rPr>
            </w:pPr>
            <w:r w:rsidRPr="006C39B3">
              <w:rPr>
                <w:rFonts w:eastAsia="Times New Roman"/>
              </w:rPr>
              <w:t>This is the</w:t>
            </w:r>
            <w:r w:rsidR="00022696" w:rsidRPr="006C39B3">
              <w:rPr>
                <w:rFonts w:eastAsia="Times New Roman"/>
              </w:rPr>
              <w:t xml:space="preserve"> paper copy of the electronic questionnaire which will be </w:t>
            </w:r>
            <w:r w:rsidR="00C17081" w:rsidRPr="006C39B3">
              <w:rPr>
                <w:rFonts w:eastAsia="Times New Roman"/>
              </w:rPr>
              <w:t>sent</w:t>
            </w:r>
            <w:r w:rsidR="00022696" w:rsidRPr="006C39B3">
              <w:rPr>
                <w:rFonts w:eastAsia="Times New Roman"/>
              </w:rPr>
              <w:t xml:space="preserve"> with the compact disk and 114 letter.</w:t>
            </w:r>
            <w:r w:rsidR="00C16FC9" w:rsidRPr="006C39B3">
              <w:rPr>
                <w:rFonts w:eastAsia="Times New Roman"/>
              </w:rPr>
              <w:t xml:space="preserve">  Attachments to this document are: (1) a list of</w:t>
            </w:r>
            <w:r w:rsidR="00022696" w:rsidRPr="006C39B3">
              <w:rPr>
                <w:rFonts w:eastAsia="Times New Roman"/>
              </w:rPr>
              <w:t xml:space="preserve"> definitions useful in completing the questionnaire</w:t>
            </w:r>
            <w:r w:rsidR="00C16FC9" w:rsidRPr="006C39B3">
              <w:rPr>
                <w:rFonts w:eastAsia="Times New Roman"/>
              </w:rPr>
              <w:t xml:space="preserve">; </w:t>
            </w:r>
            <w:r w:rsidR="00022696" w:rsidRPr="006C39B3">
              <w:rPr>
                <w:rFonts w:eastAsia="Times New Roman"/>
              </w:rPr>
              <w:t xml:space="preserve">and </w:t>
            </w:r>
            <w:r w:rsidR="00C16FC9" w:rsidRPr="006C39B3">
              <w:rPr>
                <w:rFonts w:eastAsia="Times New Roman"/>
              </w:rPr>
              <w:t xml:space="preserve">(2) </w:t>
            </w:r>
            <w:r w:rsidR="00022696" w:rsidRPr="006C39B3">
              <w:rPr>
                <w:rFonts w:eastAsia="Times New Roman"/>
              </w:rPr>
              <w:t>a list of hazardous air pollutants based on section 112(b)(1) of the CAA as currently modified.</w:t>
            </w:r>
          </w:p>
        </w:tc>
      </w:tr>
      <w:tr w:rsidR="00441524" w:rsidRPr="006C39B3" w:rsidTr="00EC00A7">
        <w:trPr>
          <w:jc w:val="center"/>
        </w:trPr>
        <w:tc>
          <w:tcPr>
            <w:tcW w:w="4668" w:type="dxa"/>
          </w:tcPr>
          <w:p w:rsidR="00441524" w:rsidRPr="006C39B3" w:rsidRDefault="003310A4" w:rsidP="00022696">
            <w:pPr>
              <w:pStyle w:val="NoSpacing"/>
              <w:widowControl w:val="0"/>
              <w:autoSpaceDE w:val="0"/>
              <w:autoSpaceDN w:val="0"/>
              <w:adjustRightInd w:val="0"/>
              <w:rPr>
                <w:rFonts w:eastAsia="Times New Roman"/>
                <w:i/>
                <w:iCs/>
              </w:rPr>
            </w:pPr>
            <w:r w:rsidRPr="006C39B3">
              <w:rPr>
                <w:rFonts w:eastAsia="Times New Roman"/>
                <w:i/>
                <w:iCs/>
              </w:rPr>
              <w:t>secal_allcompany_questionnaire</w:t>
            </w:r>
            <w:r w:rsidR="00022696" w:rsidRPr="006C39B3">
              <w:rPr>
                <w:rFonts w:eastAsia="Times New Roman"/>
                <w:i/>
                <w:iCs/>
              </w:rPr>
              <w:t>.xls</w:t>
            </w:r>
          </w:p>
        </w:tc>
        <w:tc>
          <w:tcPr>
            <w:tcW w:w="4908" w:type="dxa"/>
          </w:tcPr>
          <w:p w:rsidR="00441524" w:rsidRPr="006C39B3" w:rsidRDefault="007F4FE7" w:rsidP="00334D72">
            <w:pPr>
              <w:pStyle w:val="NoSpacing"/>
              <w:widowControl w:val="0"/>
              <w:autoSpaceDE w:val="0"/>
              <w:autoSpaceDN w:val="0"/>
              <w:adjustRightInd w:val="0"/>
              <w:rPr>
                <w:rFonts w:eastAsia="Times New Roman"/>
              </w:rPr>
            </w:pPr>
            <w:r w:rsidRPr="006C39B3">
              <w:rPr>
                <w:rFonts w:eastAsia="Times New Roman"/>
              </w:rPr>
              <w:t xml:space="preserve">This multi-tabbed spreadsheet file is the </w:t>
            </w:r>
            <w:r w:rsidR="00022696" w:rsidRPr="006C39B3">
              <w:rPr>
                <w:rFonts w:eastAsia="Times New Roman"/>
              </w:rPr>
              <w:t xml:space="preserve">electronic version </w:t>
            </w:r>
            <w:r w:rsidRPr="006C39B3">
              <w:rPr>
                <w:rFonts w:eastAsia="Times New Roman"/>
              </w:rPr>
              <w:t xml:space="preserve">of the survey.  It includes </w:t>
            </w:r>
            <w:r w:rsidR="00022696" w:rsidRPr="006C39B3">
              <w:rPr>
                <w:rFonts w:eastAsia="Times New Roman"/>
              </w:rPr>
              <w:t>separate tabs for area sources and major sources, as well as tabs wit</w:t>
            </w:r>
            <w:r w:rsidR="00334D72" w:rsidRPr="006C39B3">
              <w:rPr>
                <w:rFonts w:eastAsia="Times New Roman"/>
              </w:rPr>
              <w:t>h</w:t>
            </w:r>
            <w:r w:rsidR="00022696" w:rsidRPr="006C39B3">
              <w:rPr>
                <w:rFonts w:eastAsia="Times New Roman"/>
              </w:rPr>
              <w:t xml:space="preserve"> definitions and </w:t>
            </w:r>
            <w:r w:rsidR="00334D72" w:rsidRPr="006C39B3">
              <w:rPr>
                <w:rFonts w:eastAsia="Times New Roman"/>
              </w:rPr>
              <w:t>the current HAP list.</w:t>
            </w:r>
          </w:p>
        </w:tc>
      </w:tr>
      <w:tr w:rsidR="0036448D" w:rsidRPr="006C39B3" w:rsidTr="00EC00A7">
        <w:trPr>
          <w:jc w:val="center"/>
        </w:trPr>
        <w:tc>
          <w:tcPr>
            <w:tcW w:w="4668" w:type="dxa"/>
          </w:tcPr>
          <w:p w:rsidR="0036448D" w:rsidRPr="006C39B3" w:rsidRDefault="0036448D" w:rsidP="002B286E">
            <w:pPr>
              <w:pStyle w:val="NoSpacing"/>
              <w:widowControl w:val="0"/>
              <w:autoSpaceDE w:val="0"/>
              <w:autoSpaceDN w:val="0"/>
              <w:adjustRightInd w:val="0"/>
              <w:rPr>
                <w:rFonts w:eastAsia="Times New Roman"/>
                <w:i/>
                <w:iCs/>
              </w:rPr>
            </w:pPr>
            <w:r w:rsidRPr="006C39B3">
              <w:rPr>
                <w:rFonts w:eastAsia="Times New Roman"/>
                <w:i/>
                <w:iCs/>
              </w:rPr>
              <w:t xml:space="preserve">0202 </w:t>
            </w:r>
            <w:r w:rsidR="00EC00A7" w:rsidRPr="006C39B3">
              <w:rPr>
                <w:rFonts w:eastAsia="Times New Roman"/>
                <w:i/>
                <w:iCs/>
              </w:rPr>
              <w:t xml:space="preserve">NATA </w:t>
            </w:r>
            <w:r w:rsidRPr="006C39B3">
              <w:rPr>
                <w:rFonts w:eastAsia="Times New Roman"/>
                <w:i/>
                <w:iCs/>
              </w:rPr>
              <w:t>NEI  data_unlisted.xls</w:t>
            </w:r>
          </w:p>
        </w:tc>
        <w:tc>
          <w:tcPr>
            <w:tcW w:w="4908" w:type="dxa"/>
          </w:tcPr>
          <w:p w:rsidR="0036448D" w:rsidRPr="006C39B3" w:rsidRDefault="0036448D" w:rsidP="002B286E">
            <w:pPr>
              <w:pStyle w:val="NoSpacing"/>
              <w:widowControl w:val="0"/>
              <w:autoSpaceDE w:val="0"/>
              <w:autoSpaceDN w:val="0"/>
              <w:adjustRightInd w:val="0"/>
              <w:rPr>
                <w:rFonts w:eastAsia="Times New Roman"/>
              </w:rPr>
            </w:pPr>
            <w:r w:rsidRPr="006C39B3">
              <w:rPr>
                <w:rFonts w:eastAsia="Times New Roman"/>
              </w:rPr>
              <w:t xml:space="preserve">Blank spreadsheet to be provided for entry of data by facilities for which no </w:t>
            </w:r>
            <w:r w:rsidR="00EC00A7" w:rsidRPr="006C39B3">
              <w:rPr>
                <w:rFonts w:eastAsia="Times New Roman"/>
              </w:rPr>
              <w:t xml:space="preserve">NATA </w:t>
            </w:r>
            <w:r w:rsidRPr="006C39B3">
              <w:rPr>
                <w:rFonts w:eastAsia="Times New Roman"/>
              </w:rPr>
              <w:t>NEI data are presently available.</w:t>
            </w:r>
          </w:p>
        </w:tc>
      </w:tr>
      <w:tr w:rsidR="0036448D" w:rsidRPr="006C39B3" w:rsidTr="00EC00A7">
        <w:trPr>
          <w:jc w:val="center"/>
        </w:trPr>
        <w:tc>
          <w:tcPr>
            <w:tcW w:w="4668" w:type="dxa"/>
          </w:tcPr>
          <w:p w:rsidR="0036448D" w:rsidRPr="006C39B3" w:rsidRDefault="0036448D" w:rsidP="002B286E">
            <w:pPr>
              <w:pStyle w:val="NoSpacing"/>
              <w:widowControl w:val="0"/>
              <w:autoSpaceDE w:val="0"/>
              <w:autoSpaceDN w:val="0"/>
              <w:adjustRightInd w:val="0"/>
              <w:rPr>
                <w:rFonts w:eastAsia="Times New Roman"/>
                <w:i/>
                <w:iCs/>
              </w:rPr>
            </w:pPr>
            <w:r w:rsidRPr="006C39B3">
              <w:rPr>
                <w:rFonts w:eastAsia="Times New Roman"/>
                <w:i/>
                <w:iCs/>
              </w:rPr>
              <w:t xml:space="preserve">0202 </w:t>
            </w:r>
            <w:r w:rsidR="00EC00A7" w:rsidRPr="006C39B3">
              <w:rPr>
                <w:rFonts w:eastAsia="Times New Roman"/>
                <w:i/>
                <w:iCs/>
              </w:rPr>
              <w:t xml:space="preserve">NATA NEI 2005 </w:t>
            </w:r>
            <w:r w:rsidRPr="006C39B3">
              <w:rPr>
                <w:rFonts w:eastAsia="Times New Roman"/>
                <w:i/>
                <w:iCs/>
              </w:rPr>
              <w:t>data_listedsample.xls</w:t>
            </w:r>
          </w:p>
        </w:tc>
        <w:tc>
          <w:tcPr>
            <w:tcW w:w="4908" w:type="dxa"/>
          </w:tcPr>
          <w:p w:rsidR="0036448D" w:rsidRPr="006C39B3" w:rsidRDefault="0036448D" w:rsidP="002B286E">
            <w:pPr>
              <w:pStyle w:val="NoSpacing"/>
              <w:widowControl w:val="0"/>
              <w:autoSpaceDE w:val="0"/>
              <w:autoSpaceDN w:val="0"/>
              <w:adjustRightInd w:val="0"/>
              <w:rPr>
                <w:rFonts w:eastAsia="Times New Roman"/>
              </w:rPr>
            </w:pPr>
            <w:r w:rsidRPr="006C39B3">
              <w:rPr>
                <w:rFonts w:eastAsia="Times New Roman"/>
              </w:rPr>
              <w:t xml:space="preserve">Sample populated spreadsheet for correction and updating of the presently available </w:t>
            </w:r>
            <w:r w:rsidR="00EC00A7" w:rsidRPr="006C39B3">
              <w:rPr>
                <w:rFonts w:eastAsia="Times New Roman"/>
              </w:rPr>
              <w:t xml:space="preserve">NATA </w:t>
            </w:r>
            <w:r w:rsidRPr="006C39B3">
              <w:rPr>
                <w:rFonts w:eastAsia="Times New Roman"/>
              </w:rPr>
              <w:t xml:space="preserve">NEI data </w:t>
            </w:r>
            <w:r w:rsidR="008570A8" w:rsidRPr="006C39B3">
              <w:rPr>
                <w:rFonts w:eastAsia="Times New Roman"/>
              </w:rPr>
              <w:t>set</w:t>
            </w:r>
            <w:r w:rsidRPr="006C39B3">
              <w:rPr>
                <w:rFonts w:eastAsia="Times New Roman"/>
              </w:rPr>
              <w:t>.</w:t>
            </w:r>
          </w:p>
        </w:tc>
      </w:tr>
    </w:tbl>
    <w:p w:rsidR="00382117" w:rsidRPr="00382117" w:rsidRDefault="00334D72" w:rsidP="001110B9">
      <w:pPr>
        <w:pStyle w:val="NoSpacing"/>
        <w:spacing w:line="360" w:lineRule="auto"/>
        <w:rPr>
          <w:b/>
          <w:color w:val="FF0000"/>
        </w:rPr>
      </w:pPr>
      <w:r w:rsidRPr="006C39B3">
        <w:rPr>
          <w:b/>
        </w:rPr>
        <w:br w:type="page"/>
      </w:r>
      <w:r w:rsidR="00875999" w:rsidRPr="00CC2291">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510pt">
            <v:imagedata r:id="rId12" o:title=""/>
          </v:shape>
        </w:pict>
      </w:r>
      <w:r w:rsidR="00CC2291">
        <w:br w:type="page"/>
      </w:r>
      <w:r w:rsidR="00875999" w:rsidRPr="001110B9">
        <w:lastRenderedPageBreak/>
        <w:pict>
          <v:shape id="_x0000_i1026" type="#_x0000_t75" style="width:708.75pt;height:507pt">
            <v:imagedata r:id="rId13" o:title=""/>
          </v:shape>
        </w:pict>
      </w:r>
    </w:p>
    <w:sectPr w:rsidR="00382117" w:rsidRPr="00382117" w:rsidSect="00B6114C">
      <w:headerReference w:type="even" r:id="rId14"/>
      <w:headerReference w:type="default" r:id="rId15"/>
      <w:headerReference w:type="first" r:id="rId16"/>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21E" w:rsidRDefault="0029621E">
      <w:r>
        <w:separator/>
      </w:r>
    </w:p>
  </w:endnote>
  <w:endnote w:type="continuationSeparator" w:id="0">
    <w:p w:rsidR="0029621E" w:rsidRDefault="00296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8F5" w:rsidRDefault="001F68F5" w:rsidP="00ED7B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68F5" w:rsidRDefault="001F68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8F5" w:rsidRPr="00C00B02" w:rsidRDefault="001F68F5" w:rsidP="00ED7BF6">
    <w:pPr>
      <w:pStyle w:val="Footer"/>
      <w:framePr w:wrap="around" w:vAnchor="text" w:hAnchor="margin" w:xAlign="center" w:y="1"/>
      <w:rPr>
        <w:rStyle w:val="PageNumber"/>
        <w:rFonts w:ascii="Times New Roman" w:hAnsi="Times New Roman"/>
      </w:rPr>
    </w:pPr>
    <w:r w:rsidRPr="00C00B02">
      <w:rPr>
        <w:rStyle w:val="PageNumber"/>
        <w:rFonts w:ascii="Times New Roman" w:hAnsi="Times New Roman"/>
      </w:rPr>
      <w:fldChar w:fldCharType="begin"/>
    </w:r>
    <w:r w:rsidRPr="00C00B02">
      <w:rPr>
        <w:rStyle w:val="PageNumber"/>
        <w:rFonts w:ascii="Times New Roman" w:hAnsi="Times New Roman"/>
      </w:rPr>
      <w:instrText xml:space="preserve">PAGE  </w:instrText>
    </w:r>
    <w:r w:rsidRPr="00C00B02">
      <w:rPr>
        <w:rStyle w:val="PageNumber"/>
        <w:rFonts w:ascii="Times New Roman" w:hAnsi="Times New Roman"/>
      </w:rPr>
      <w:fldChar w:fldCharType="separate"/>
    </w:r>
    <w:r w:rsidR="00184C04">
      <w:rPr>
        <w:rStyle w:val="PageNumber"/>
        <w:rFonts w:ascii="Times New Roman" w:hAnsi="Times New Roman"/>
        <w:noProof/>
      </w:rPr>
      <w:t>13</w:t>
    </w:r>
    <w:r w:rsidRPr="00C00B02">
      <w:rPr>
        <w:rStyle w:val="PageNumber"/>
        <w:rFonts w:ascii="Times New Roman" w:hAnsi="Times New Roman"/>
      </w:rPr>
      <w:fldChar w:fldCharType="end"/>
    </w:r>
  </w:p>
  <w:p w:rsidR="001F68F5" w:rsidRDefault="001F68F5" w:rsidP="006E4E3F">
    <w:pPr>
      <w:pStyle w:val="Footer"/>
      <w:jc w:val="righ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21E" w:rsidRDefault="0029621E">
      <w:r>
        <w:separator/>
      </w:r>
    </w:p>
  </w:footnote>
  <w:footnote w:type="continuationSeparator" w:id="0">
    <w:p w:rsidR="0029621E" w:rsidRDefault="0029621E">
      <w:r>
        <w:continuationSeparator/>
      </w:r>
    </w:p>
  </w:footnote>
  <w:footnote w:id="1">
    <w:p w:rsidR="001F68F5" w:rsidRDefault="001F68F5" w:rsidP="00226443">
      <w:pPr>
        <w:pStyle w:val="FootnoteText"/>
      </w:pPr>
      <w:r>
        <w:rPr>
          <w:rStyle w:val="FootnoteReference"/>
        </w:rPr>
        <w:footnoteRef/>
      </w:r>
      <w:r>
        <w:t>There is a “lag time” associated with compiling large State or national emission inventories.  For example, a</w:t>
      </w:r>
      <w:r w:rsidRPr="00CB060B">
        <w:t xml:space="preserve">n updated version of the NEI database </w:t>
      </w:r>
      <w:r>
        <w:t xml:space="preserve">is compiled </w:t>
      </w:r>
      <w:r w:rsidRPr="00CB060B">
        <w:t>every three years</w:t>
      </w:r>
      <w:r>
        <w:t xml:space="preserve">, but the information contained in the NEI may be based on prior years if </w:t>
      </w:r>
      <w:r w:rsidRPr="00CB060B">
        <w:t>states do not submit current data</w:t>
      </w:r>
      <w:r>
        <w:t>.</w:t>
      </w:r>
      <w:r w:rsidRPr="00CB060B">
        <w:t xml:space="preserve"> </w:t>
      </w:r>
      <w:r>
        <w:t xml:space="preserve"> There can also be a “lag time” associated with posting of recent permits to State websites (particularly if permits are only posted every 5 years as they are reviewed).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8F5" w:rsidRDefault="001F68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8F5" w:rsidRPr="006E093B" w:rsidRDefault="001F68F5" w:rsidP="006E09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8F5" w:rsidRDefault="001F68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3"/>
      <w:numFmt w:val="decimal"/>
      <w:suff w:val="nothing"/>
      <w:lvlText w:val="%1."/>
      <w:lvlJc w:val="left"/>
    </w:lvl>
  </w:abstractNum>
  <w:abstractNum w:abstractNumId="1">
    <w:nsid w:val="00000002"/>
    <w:multiLevelType w:val="singleLevel"/>
    <w:tmpl w:val="00000002"/>
    <w:lvl w:ilvl="0">
      <w:start w:val="10"/>
      <w:numFmt w:val="decimal"/>
      <w:suff w:val="nothing"/>
      <w:lvlText w:val="%1."/>
      <w:lvlJc w:val="left"/>
    </w:lvl>
  </w:abstractNum>
  <w:abstractNum w:abstractNumId="2">
    <w:nsid w:val="02600359"/>
    <w:multiLevelType w:val="singleLevel"/>
    <w:tmpl w:val="33BEAF3D"/>
    <w:lvl w:ilvl="0">
      <w:start w:val="1"/>
      <w:numFmt w:val="lowerRoman"/>
      <w:lvlText w:val="(%1)"/>
      <w:lvlJc w:val="left"/>
      <w:pPr>
        <w:tabs>
          <w:tab w:val="num" w:pos="720"/>
        </w:tabs>
        <w:ind w:firstLine="720"/>
      </w:pPr>
      <w:rPr>
        <w:rFonts w:cs="Times New Roman"/>
        <w:i/>
        <w:iCs/>
        <w:snapToGrid/>
        <w:spacing w:val="-2"/>
        <w:sz w:val="24"/>
        <w:szCs w:val="24"/>
        <w:u w:val="single"/>
      </w:rPr>
    </w:lvl>
  </w:abstractNum>
  <w:abstractNum w:abstractNumId="3">
    <w:nsid w:val="09B16ADE"/>
    <w:multiLevelType w:val="hybridMultilevel"/>
    <w:tmpl w:val="4F002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B2F64"/>
    <w:multiLevelType w:val="hybridMultilevel"/>
    <w:tmpl w:val="B644D78A"/>
    <w:lvl w:ilvl="0" w:tplc="29BA38A6">
      <w:start w:val="1"/>
      <w:numFmt w:val="bullet"/>
      <w:lvlText w:val=""/>
      <w:lvlJc w:val="left"/>
      <w:pPr>
        <w:tabs>
          <w:tab w:val="num" w:pos="1080"/>
        </w:tabs>
        <w:ind w:left="1080" w:hanging="360"/>
      </w:pPr>
      <w:rPr>
        <w:rFonts w:ascii="Symbol"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3D10F3"/>
    <w:multiLevelType w:val="hybridMultilevel"/>
    <w:tmpl w:val="FCF299F6"/>
    <w:lvl w:ilvl="0" w:tplc="29BA38A6">
      <w:start w:val="1"/>
      <w:numFmt w:val="bullet"/>
      <w:lvlText w:val=""/>
      <w:lvlJc w:val="left"/>
      <w:pPr>
        <w:tabs>
          <w:tab w:val="num" w:pos="1800"/>
        </w:tabs>
        <w:ind w:left="1800" w:hanging="360"/>
      </w:pPr>
      <w:rPr>
        <w:rFonts w:ascii="Symbol" w:hAnsi="Symbol" w:cs="Courier New"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C273146"/>
    <w:multiLevelType w:val="hybridMultilevel"/>
    <w:tmpl w:val="07860884"/>
    <w:lvl w:ilvl="0" w:tplc="E79A8F4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5ED36C6"/>
    <w:multiLevelType w:val="hybridMultilevel"/>
    <w:tmpl w:val="FE9ADF98"/>
    <w:lvl w:ilvl="0" w:tplc="29BA38A6">
      <w:start w:val="1"/>
      <w:numFmt w:val="bullet"/>
      <w:lvlText w:val=""/>
      <w:lvlJc w:val="left"/>
      <w:pPr>
        <w:tabs>
          <w:tab w:val="num" w:pos="1800"/>
        </w:tabs>
        <w:ind w:left="1800" w:hanging="360"/>
      </w:pPr>
      <w:rPr>
        <w:rFonts w:ascii="Symbol" w:hAnsi="Symbol" w:cs="Courier New"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F8E1943"/>
    <w:multiLevelType w:val="hybridMultilevel"/>
    <w:tmpl w:val="CD26D7A0"/>
    <w:lvl w:ilvl="0" w:tplc="762CEE76">
      <w:start w:val="1"/>
      <w:numFmt w:val="bullet"/>
      <w:lvlText w:val=""/>
      <w:lvlJc w:val="left"/>
      <w:pPr>
        <w:tabs>
          <w:tab w:val="num" w:pos="1080"/>
        </w:tabs>
        <w:ind w:left="1080" w:hanging="360"/>
      </w:pPr>
      <w:rPr>
        <w:rFonts w:ascii="Symbol" w:hAnsi="Symbol" w:cs="Courier New"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E67A7E"/>
    <w:multiLevelType w:val="hybridMultilevel"/>
    <w:tmpl w:val="871C9D6E"/>
    <w:lvl w:ilvl="0" w:tplc="F6B07A90">
      <w:start w:val="1"/>
      <w:numFmt w:val="decimal"/>
      <w:lvlText w:val="(%1)"/>
      <w:lvlJc w:val="left"/>
      <w:pPr>
        <w:tabs>
          <w:tab w:val="num" w:pos="1890"/>
        </w:tabs>
        <w:ind w:left="1890" w:hanging="11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5690065"/>
    <w:multiLevelType w:val="hybridMultilevel"/>
    <w:tmpl w:val="ABE27E9E"/>
    <w:lvl w:ilvl="0" w:tplc="19DEA546">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87214F"/>
    <w:multiLevelType w:val="hybridMultilevel"/>
    <w:tmpl w:val="03CE56FC"/>
    <w:lvl w:ilvl="0" w:tplc="3F38AD60">
      <w:start w:val="1"/>
      <w:numFmt w:val="bullet"/>
      <w:lvlText w:val=""/>
      <w:lvlJc w:val="left"/>
      <w:pPr>
        <w:tabs>
          <w:tab w:val="num" w:pos="1440"/>
        </w:tabs>
        <w:ind w:left="144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9262AC1"/>
    <w:multiLevelType w:val="hybridMultilevel"/>
    <w:tmpl w:val="7520E248"/>
    <w:lvl w:ilvl="0" w:tplc="41F6C4C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6C833689"/>
    <w:multiLevelType w:val="hybridMultilevel"/>
    <w:tmpl w:val="71C27974"/>
    <w:lvl w:ilvl="0" w:tplc="904E9C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1E08A0"/>
    <w:multiLevelType w:val="hybridMultilevel"/>
    <w:tmpl w:val="85BAD024"/>
    <w:lvl w:ilvl="0" w:tplc="EDACA6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ED045B4"/>
    <w:multiLevelType w:val="hybridMultilevel"/>
    <w:tmpl w:val="8AA0A694"/>
    <w:lvl w:ilvl="0" w:tplc="3F38AD60">
      <w:start w:val="1"/>
      <w:numFmt w:val="bullet"/>
      <w:lvlText w:val=""/>
      <w:lvlJc w:val="left"/>
      <w:pPr>
        <w:tabs>
          <w:tab w:val="num" w:pos="1440"/>
        </w:tabs>
        <w:ind w:left="144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2"/>
    <w:lvlOverride w:ilvl="0">
      <w:lvl w:ilvl="0">
        <w:numFmt w:val="lowerRoman"/>
        <w:lvlText w:val="(%1)"/>
        <w:lvlJc w:val="left"/>
        <w:pPr>
          <w:tabs>
            <w:tab w:val="num" w:pos="792"/>
          </w:tabs>
          <w:ind w:firstLine="720"/>
        </w:pPr>
        <w:rPr>
          <w:rFonts w:cs="Times New Roman"/>
          <w:i/>
          <w:iCs/>
          <w:snapToGrid/>
          <w:sz w:val="24"/>
          <w:szCs w:val="24"/>
          <w:u w:val="single"/>
        </w:rPr>
      </w:lvl>
    </w:lvlOverride>
  </w:num>
  <w:num w:numId="3">
    <w:abstractNumId w:val="0"/>
  </w:num>
  <w:num w:numId="4">
    <w:abstractNumId w:val="1"/>
  </w:num>
  <w:num w:numId="5">
    <w:abstractNumId w:val="15"/>
  </w:num>
  <w:num w:numId="6">
    <w:abstractNumId w:val="11"/>
  </w:num>
  <w:num w:numId="7">
    <w:abstractNumId w:val="7"/>
  </w:num>
  <w:num w:numId="8">
    <w:abstractNumId w:val="4"/>
  </w:num>
  <w:num w:numId="9">
    <w:abstractNumId w:val="5"/>
  </w:num>
  <w:num w:numId="10">
    <w:abstractNumId w:val="8"/>
  </w:num>
  <w:num w:numId="11">
    <w:abstractNumId w:val="13"/>
  </w:num>
  <w:num w:numId="12">
    <w:abstractNumId w:val="9"/>
  </w:num>
  <w:num w:numId="13">
    <w:abstractNumId w:val="3"/>
  </w:num>
  <w:num w:numId="14">
    <w:abstractNumId w:val="10"/>
  </w:num>
  <w:num w:numId="15">
    <w:abstractNumId w:val="14"/>
  </w:num>
  <w:num w:numId="16">
    <w:abstractNumId w:val="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stylePaneFormatFilter w:val="3F21"/>
  <w:doNotTrackMoves/>
  <w:defaultTabStop w:val="720"/>
  <w:drawingGridHorizontalSpacing w:val="120"/>
  <w:displayHorizontalDrawingGridEvery w:val="2"/>
  <w:characterSpacingControl w:val="doNotCompress"/>
  <w:hdrShapeDefaults>
    <o:shapedefaults v:ext="edit" spidmax="3074">
      <o:colormenu v:ext="edit" fillcolor="fuchsia"/>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7915"/>
    <w:rsid w:val="00004417"/>
    <w:rsid w:val="00004430"/>
    <w:rsid w:val="00007D85"/>
    <w:rsid w:val="00010AD4"/>
    <w:rsid w:val="000125CB"/>
    <w:rsid w:val="0001358C"/>
    <w:rsid w:val="00014CD9"/>
    <w:rsid w:val="000155F4"/>
    <w:rsid w:val="00015873"/>
    <w:rsid w:val="00015E3F"/>
    <w:rsid w:val="00016604"/>
    <w:rsid w:val="0001768B"/>
    <w:rsid w:val="0002085C"/>
    <w:rsid w:val="00021609"/>
    <w:rsid w:val="00022696"/>
    <w:rsid w:val="0002577A"/>
    <w:rsid w:val="00027CB4"/>
    <w:rsid w:val="000336F7"/>
    <w:rsid w:val="00033799"/>
    <w:rsid w:val="0003584A"/>
    <w:rsid w:val="00036564"/>
    <w:rsid w:val="000422C8"/>
    <w:rsid w:val="00045556"/>
    <w:rsid w:val="000468D6"/>
    <w:rsid w:val="00047E1F"/>
    <w:rsid w:val="000523EB"/>
    <w:rsid w:val="000552F7"/>
    <w:rsid w:val="0005625E"/>
    <w:rsid w:val="00057FE6"/>
    <w:rsid w:val="00064BBA"/>
    <w:rsid w:val="000652C9"/>
    <w:rsid w:val="00071E69"/>
    <w:rsid w:val="00072BEF"/>
    <w:rsid w:val="00074808"/>
    <w:rsid w:val="00080789"/>
    <w:rsid w:val="00080C1A"/>
    <w:rsid w:val="00080DAC"/>
    <w:rsid w:val="00080E6F"/>
    <w:rsid w:val="00086B99"/>
    <w:rsid w:val="00087A0B"/>
    <w:rsid w:val="000925E6"/>
    <w:rsid w:val="00092B9E"/>
    <w:rsid w:val="00092FB3"/>
    <w:rsid w:val="00093D18"/>
    <w:rsid w:val="000956D3"/>
    <w:rsid w:val="000960B2"/>
    <w:rsid w:val="0009640C"/>
    <w:rsid w:val="000A0E2B"/>
    <w:rsid w:val="000A1497"/>
    <w:rsid w:val="000A2A2A"/>
    <w:rsid w:val="000A2C38"/>
    <w:rsid w:val="000A54EB"/>
    <w:rsid w:val="000A5ADC"/>
    <w:rsid w:val="000A72B6"/>
    <w:rsid w:val="000B21C8"/>
    <w:rsid w:val="000B39A6"/>
    <w:rsid w:val="000B6B6B"/>
    <w:rsid w:val="000B7AC8"/>
    <w:rsid w:val="000C6534"/>
    <w:rsid w:val="000D0B65"/>
    <w:rsid w:val="000D2705"/>
    <w:rsid w:val="000D284D"/>
    <w:rsid w:val="000D2E33"/>
    <w:rsid w:val="000D4479"/>
    <w:rsid w:val="000D45AE"/>
    <w:rsid w:val="000D4EC6"/>
    <w:rsid w:val="000E0BBF"/>
    <w:rsid w:val="000E16E3"/>
    <w:rsid w:val="000E46A1"/>
    <w:rsid w:val="000E666F"/>
    <w:rsid w:val="000F0163"/>
    <w:rsid w:val="000F21DE"/>
    <w:rsid w:val="000F2844"/>
    <w:rsid w:val="000F2D84"/>
    <w:rsid w:val="000F47EE"/>
    <w:rsid w:val="000F4B12"/>
    <w:rsid w:val="000F55F0"/>
    <w:rsid w:val="000F5B8B"/>
    <w:rsid w:val="000F7FBE"/>
    <w:rsid w:val="0010434F"/>
    <w:rsid w:val="00106F98"/>
    <w:rsid w:val="001110B9"/>
    <w:rsid w:val="00112AB9"/>
    <w:rsid w:val="00117F17"/>
    <w:rsid w:val="00121CA1"/>
    <w:rsid w:val="0012791B"/>
    <w:rsid w:val="00130C78"/>
    <w:rsid w:val="001321A5"/>
    <w:rsid w:val="001364F5"/>
    <w:rsid w:val="0013783E"/>
    <w:rsid w:val="00141D6A"/>
    <w:rsid w:val="00145380"/>
    <w:rsid w:val="001461D0"/>
    <w:rsid w:val="00147B13"/>
    <w:rsid w:val="0015579A"/>
    <w:rsid w:val="00157C66"/>
    <w:rsid w:val="00157E72"/>
    <w:rsid w:val="00163AAC"/>
    <w:rsid w:val="00166269"/>
    <w:rsid w:val="00170610"/>
    <w:rsid w:val="0017141E"/>
    <w:rsid w:val="00174F3C"/>
    <w:rsid w:val="00176DE1"/>
    <w:rsid w:val="00176DE2"/>
    <w:rsid w:val="00184C04"/>
    <w:rsid w:val="00185E2D"/>
    <w:rsid w:val="001916D7"/>
    <w:rsid w:val="0019575E"/>
    <w:rsid w:val="00197BED"/>
    <w:rsid w:val="001A1649"/>
    <w:rsid w:val="001A6008"/>
    <w:rsid w:val="001B43AE"/>
    <w:rsid w:val="001B59BA"/>
    <w:rsid w:val="001B5A1B"/>
    <w:rsid w:val="001C73A0"/>
    <w:rsid w:val="001D1F1C"/>
    <w:rsid w:val="001D27A9"/>
    <w:rsid w:val="001D3C8A"/>
    <w:rsid w:val="001D4D29"/>
    <w:rsid w:val="001E4628"/>
    <w:rsid w:val="001E507B"/>
    <w:rsid w:val="001E62F6"/>
    <w:rsid w:val="001F2E28"/>
    <w:rsid w:val="001F4F5C"/>
    <w:rsid w:val="001F68F5"/>
    <w:rsid w:val="001F7E5E"/>
    <w:rsid w:val="00201077"/>
    <w:rsid w:val="00201737"/>
    <w:rsid w:val="002019AB"/>
    <w:rsid w:val="00201F47"/>
    <w:rsid w:val="00202162"/>
    <w:rsid w:val="00203EFB"/>
    <w:rsid w:val="002073C2"/>
    <w:rsid w:val="0021089C"/>
    <w:rsid w:val="002159E2"/>
    <w:rsid w:val="002160DB"/>
    <w:rsid w:val="002171AF"/>
    <w:rsid w:val="002175C8"/>
    <w:rsid w:val="0022268C"/>
    <w:rsid w:val="0022371F"/>
    <w:rsid w:val="00226443"/>
    <w:rsid w:val="00232CB6"/>
    <w:rsid w:val="00245DF7"/>
    <w:rsid w:val="002462F4"/>
    <w:rsid w:val="00250CF8"/>
    <w:rsid w:val="0025154C"/>
    <w:rsid w:val="00251D54"/>
    <w:rsid w:val="0025257C"/>
    <w:rsid w:val="00253A85"/>
    <w:rsid w:val="002600EF"/>
    <w:rsid w:val="0026254C"/>
    <w:rsid w:val="0026429A"/>
    <w:rsid w:val="0026573B"/>
    <w:rsid w:val="00267379"/>
    <w:rsid w:val="00267C04"/>
    <w:rsid w:val="00271D96"/>
    <w:rsid w:val="00275279"/>
    <w:rsid w:val="00277E17"/>
    <w:rsid w:val="00280E27"/>
    <w:rsid w:val="002815B8"/>
    <w:rsid w:val="002829AB"/>
    <w:rsid w:val="00284F63"/>
    <w:rsid w:val="00285216"/>
    <w:rsid w:val="00287D92"/>
    <w:rsid w:val="00292C54"/>
    <w:rsid w:val="00293D82"/>
    <w:rsid w:val="0029621E"/>
    <w:rsid w:val="00296403"/>
    <w:rsid w:val="002A1E4D"/>
    <w:rsid w:val="002A240D"/>
    <w:rsid w:val="002A249F"/>
    <w:rsid w:val="002A60E6"/>
    <w:rsid w:val="002A6D07"/>
    <w:rsid w:val="002B286E"/>
    <w:rsid w:val="002B3B28"/>
    <w:rsid w:val="002B4143"/>
    <w:rsid w:val="002B7F29"/>
    <w:rsid w:val="002C1285"/>
    <w:rsid w:val="002C217A"/>
    <w:rsid w:val="002C5D24"/>
    <w:rsid w:val="002D2F57"/>
    <w:rsid w:val="002D6D40"/>
    <w:rsid w:val="002D732A"/>
    <w:rsid w:val="002E07AC"/>
    <w:rsid w:val="002E65D2"/>
    <w:rsid w:val="002F0A0D"/>
    <w:rsid w:val="002F1FB2"/>
    <w:rsid w:val="002F2021"/>
    <w:rsid w:val="002F4C86"/>
    <w:rsid w:val="002F536E"/>
    <w:rsid w:val="002F5F8A"/>
    <w:rsid w:val="003011B0"/>
    <w:rsid w:val="00301CA4"/>
    <w:rsid w:val="00302B12"/>
    <w:rsid w:val="00303895"/>
    <w:rsid w:val="00307856"/>
    <w:rsid w:val="003118DC"/>
    <w:rsid w:val="00313C04"/>
    <w:rsid w:val="00315396"/>
    <w:rsid w:val="00320925"/>
    <w:rsid w:val="003211B7"/>
    <w:rsid w:val="00322165"/>
    <w:rsid w:val="003310A4"/>
    <w:rsid w:val="00332CD8"/>
    <w:rsid w:val="003339C9"/>
    <w:rsid w:val="00333BA0"/>
    <w:rsid w:val="003344BD"/>
    <w:rsid w:val="00334D72"/>
    <w:rsid w:val="00344B7B"/>
    <w:rsid w:val="00344F1C"/>
    <w:rsid w:val="00345AC4"/>
    <w:rsid w:val="00345D43"/>
    <w:rsid w:val="00353182"/>
    <w:rsid w:val="003637B8"/>
    <w:rsid w:val="0036448D"/>
    <w:rsid w:val="00365906"/>
    <w:rsid w:val="00366E4D"/>
    <w:rsid w:val="0037117C"/>
    <w:rsid w:val="003723CA"/>
    <w:rsid w:val="00375307"/>
    <w:rsid w:val="003768FC"/>
    <w:rsid w:val="0038184F"/>
    <w:rsid w:val="00382117"/>
    <w:rsid w:val="00390820"/>
    <w:rsid w:val="00392B5D"/>
    <w:rsid w:val="00395112"/>
    <w:rsid w:val="003A505A"/>
    <w:rsid w:val="003B0445"/>
    <w:rsid w:val="003B102B"/>
    <w:rsid w:val="003B4296"/>
    <w:rsid w:val="003B6C0E"/>
    <w:rsid w:val="003B70D8"/>
    <w:rsid w:val="003C0D2D"/>
    <w:rsid w:val="003C289D"/>
    <w:rsid w:val="003C2F77"/>
    <w:rsid w:val="003C3550"/>
    <w:rsid w:val="003C5350"/>
    <w:rsid w:val="003C6FD9"/>
    <w:rsid w:val="003D1FAC"/>
    <w:rsid w:val="003D23F2"/>
    <w:rsid w:val="003D3037"/>
    <w:rsid w:val="003D617A"/>
    <w:rsid w:val="003D63B3"/>
    <w:rsid w:val="003E021B"/>
    <w:rsid w:val="003E5006"/>
    <w:rsid w:val="003E66AC"/>
    <w:rsid w:val="003E7922"/>
    <w:rsid w:val="003E7B44"/>
    <w:rsid w:val="003F2753"/>
    <w:rsid w:val="003F4393"/>
    <w:rsid w:val="00400C45"/>
    <w:rsid w:val="004010FC"/>
    <w:rsid w:val="0040517D"/>
    <w:rsid w:val="00405723"/>
    <w:rsid w:val="00405D01"/>
    <w:rsid w:val="004103F0"/>
    <w:rsid w:val="00410C0F"/>
    <w:rsid w:val="004164E0"/>
    <w:rsid w:val="0042048D"/>
    <w:rsid w:val="00421051"/>
    <w:rsid w:val="00423E68"/>
    <w:rsid w:val="0042533D"/>
    <w:rsid w:val="00430FB1"/>
    <w:rsid w:val="0043147D"/>
    <w:rsid w:val="00437861"/>
    <w:rsid w:val="00441524"/>
    <w:rsid w:val="004455DA"/>
    <w:rsid w:val="00445FA1"/>
    <w:rsid w:val="00453897"/>
    <w:rsid w:val="0045445F"/>
    <w:rsid w:val="00454587"/>
    <w:rsid w:val="00456EB0"/>
    <w:rsid w:val="0046115C"/>
    <w:rsid w:val="004662C1"/>
    <w:rsid w:val="00467D65"/>
    <w:rsid w:val="004701AB"/>
    <w:rsid w:val="00472A2D"/>
    <w:rsid w:val="004745ED"/>
    <w:rsid w:val="0047553C"/>
    <w:rsid w:val="00475F29"/>
    <w:rsid w:val="00477492"/>
    <w:rsid w:val="004776C3"/>
    <w:rsid w:val="00481245"/>
    <w:rsid w:val="00483581"/>
    <w:rsid w:val="00484625"/>
    <w:rsid w:val="00484ED7"/>
    <w:rsid w:val="00492FC1"/>
    <w:rsid w:val="0049352A"/>
    <w:rsid w:val="00494AB9"/>
    <w:rsid w:val="00495D60"/>
    <w:rsid w:val="00496CDB"/>
    <w:rsid w:val="004A167C"/>
    <w:rsid w:val="004A2246"/>
    <w:rsid w:val="004A58A7"/>
    <w:rsid w:val="004A5FAC"/>
    <w:rsid w:val="004B313B"/>
    <w:rsid w:val="004B5E34"/>
    <w:rsid w:val="004B6679"/>
    <w:rsid w:val="004C20C4"/>
    <w:rsid w:val="004C22EA"/>
    <w:rsid w:val="004D08F1"/>
    <w:rsid w:val="004D1455"/>
    <w:rsid w:val="004D1771"/>
    <w:rsid w:val="004D3D35"/>
    <w:rsid w:val="004D52BF"/>
    <w:rsid w:val="004D5A68"/>
    <w:rsid w:val="004D5B31"/>
    <w:rsid w:val="004D7923"/>
    <w:rsid w:val="004E0CC0"/>
    <w:rsid w:val="004E2D1C"/>
    <w:rsid w:val="004E45AA"/>
    <w:rsid w:val="004E4C6D"/>
    <w:rsid w:val="004E4E84"/>
    <w:rsid w:val="004E5198"/>
    <w:rsid w:val="004E694D"/>
    <w:rsid w:val="004F1334"/>
    <w:rsid w:val="004F2ADA"/>
    <w:rsid w:val="004F3F8E"/>
    <w:rsid w:val="004F582E"/>
    <w:rsid w:val="004F5F38"/>
    <w:rsid w:val="0050153E"/>
    <w:rsid w:val="00501D52"/>
    <w:rsid w:val="005028A1"/>
    <w:rsid w:val="00503291"/>
    <w:rsid w:val="005037A9"/>
    <w:rsid w:val="00503831"/>
    <w:rsid w:val="00503B0D"/>
    <w:rsid w:val="005068C4"/>
    <w:rsid w:val="00510CEA"/>
    <w:rsid w:val="005116B3"/>
    <w:rsid w:val="00511E3B"/>
    <w:rsid w:val="00512596"/>
    <w:rsid w:val="00514147"/>
    <w:rsid w:val="005162B9"/>
    <w:rsid w:val="00516C79"/>
    <w:rsid w:val="00520895"/>
    <w:rsid w:val="00520AC5"/>
    <w:rsid w:val="005232BA"/>
    <w:rsid w:val="005255F1"/>
    <w:rsid w:val="00527159"/>
    <w:rsid w:val="005327BC"/>
    <w:rsid w:val="00534E53"/>
    <w:rsid w:val="005379D7"/>
    <w:rsid w:val="00541AA6"/>
    <w:rsid w:val="005426E5"/>
    <w:rsid w:val="00545C71"/>
    <w:rsid w:val="00546F41"/>
    <w:rsid w:val="00550ACA"/>
    <w:rsid w:val="00556ED7"/>
    <w:rsid w:val="00561629"/>
    <w:rsid w:val="00563885"/>
    <w:rsid w:val="00563BDD"/>
    <w:rsid w:val="00564E41"/>
    <w:rsid w:val="005654CD"/>
    <w:rsid w:val="00565B23"/>
    <w:rsid w:val="00570458"/>
    <w:rsid w:val="00571E23"/>
    <w:rsid w:val="0057312C"/>
    <w:rsid w:val="00573DDB"/>
    <w:rsid w:val="00577A94"/>
    <w:rsid w:val="00580B82"/>
    <w:rsid w:val="0058145A"/>
    <w:rsid w:val="00582974"/>
    <w:rsid w:val="00583246"/>
    <w:rsid w:val="00583562"/>
    <w:rsid w:val="0058639A"/>
    <w:rsid w:val="0059078D"/>
    <w:rsid w:val="00590D48"/>
    <w:rsid w:val="005910EF"/>
    <w:rsid w:val="00596565"/>
    <w:rsid w:val="005A0DAD"/>
    <w:rsid w:val="005A1326"/>
    <w:rsid w:val="005A16F2"/>
    <w:rsid w:val="005A21FE"/>
    <w:rsid w:val="005B495E"/>
    <w:rsid w:val="005B508B"/>
    <w:rsid w:val="005B7010"/>
    <w:rsid w:val="005C1135"/>
    <w:rsid w:val="005C1275"/>
    <w:rsid w:val="005C2064"/>
    <w:rsid w:val="005D13E4"/>
    <w:rsid w:val="005D18BE"/>
    <w:rsid w:val="005D2DC6"/>
    <w:rsid w:val="005D431D"/>
    <w:rsid w:val="005D6935"/>
    <w:rsid w:val="005D6A40"/>
    <w:rsid w:val="005D6F13"/>
    <w:rsid w:val="005E0556"/>
    <w:rsid w:val="005E37A1"/>
    <w:rsid w:val="005E6683"/>
    <w:rsid w:val="005E69B0"/>
    <w:rsid w:val="005E7C17"/>
    <w:rsid w:val="005F0CC4"/>
    <w:rsid w:val="005F0F13"/>
    <w:rsid w:val="005F2398"/>
    <w:rsid w:val="005F2409"/>
    <w:rsid w:val="005F3FCC"/>
    <w:rsid w:val="005F58CD"/>
    <w:rsid w:val="005F7D98"/>
    <w:rsid w:val="005F7FFA"/>
    <w:rsid w:val="006004A1"/>
    <w:rsid w:val="0060258C"/>
    <w:rsid w:val="00603A15"/>
    <w:rsid w:val="006050BB"/>
    <w:rsid w:val="00606A54"/>
    <w:rsid w:val="00611876"/>
    <w:rsid w:val="00612C8F"/>
    <w:rsid w:val="00616ACB"/>
    <w:rsid w:val="00616D03"/>
    <w:rsid w:val="00621538"/>
    <w:rsid w:val="00625C3F"/>
    <w:rsid w:val="006275DF"/>
    <w:rsid w:val="00630D5F"/>
    <w:rsid w:val="00646C7B"/>
    <w:rsid w:val="006524E8"/>
    <w:rsid w:val="00660CE6"/>
    <w:rsid w:val="00662CB8"/>
    <w:rsid w:val="0066331C"/>
    <w:rsid w:val="00664870"/>
    <w:rsid w:val="00665F7D"/>
    <w:rsid w:val="0067162C"/>
    <w:rsid w:val="006723A9"/>
    <w:rsid w:val="00673222"/>
    <w:rsid w:val="00676D5B"/>
    <w:rsid w:val="00683656"/>
    <w:rsid w:val="00684F3C"/>
    <w:rsid w:val="00685628"/>
    <w:rsid w:val="00687469"/>
    <w:rsid w:val="006918A2"/>
    <w:rsid w:val="00692745"/>
    <w:rsid w:val="00695278"/>
    <w:rsid w:val="00696D1F"/>
    <w:rsid w:val="006979E7"/>
    <w:rsid w:val="006A4B00"/>
    <w:rsid w:val="006A4EA4"/>
    <w:rsid w:val="006A7132"/>
    <w:rsid w:val="006A7A81"/>
    <w:rsid w:val="006B09C4"/>
    <w:rsid w:val="006B0BA1"/>
    <w:rsid w:val="006B2EA4"/>
    <w:rsid w:val="006B52D3"/>
    <w:rsid w:val="006C2AB7"/>
    <w:rsid w:val="006C3946"/>
    <w:rsid w:val="006C39B3"/>
    <w:rsid w:val="006C428F"/>
    <w:rsid w:val="006C7EB5"/>
    <w:rsid w:val="006D04DF"/>
    <w:rsid w:val="006D4EAC"/>
    <w:rsid w:val="006E093B"/>
    <w:rsid w:val="006E43A7"/>
    <w:rsid w:val="006E4E3F"/>
    <w:rsid w:val="006E72FF"/>
    <w:rsid w:val="006E763E"/>
    <w:rsid w:val="006F05A4"/>
    <w:rsid w:val="006F0E9A"/>
    <w:rsid w:val="006F1E1E"/>
    <w:rsid w:val="006F3074"/>
    <w:rsid w:val="006F3802"/>
    <w:rsid w:val="007017CE"/>
    <w:rsid w:val="00702120"/>
    <w:rsid w:val="00703228"/>
    <w:rsid w:val="00703A52"/>
    <w:rsid w:val="0070457F"/>
    <w:rsid w:val="00704741"/>
    <w:rsid w:val="00705362"/>
    <w:rsid w:val="00705D1D"/>
    <w:rsid w:val="00706E74"/>
    <w:rsid w:val="00707B70"/>
    <w:rsid w:val="0071441D"/>
    <w:rsid w:val="00715FD3"/>
    <w:rsid w:val="00717D2D"/>
    <w:rsid w:val="00722CC0"/>
    <w:rsid w:val="00726C9C"/>
    <w:rsid w:val="007276DC"/>
    <w:rsid w:val="00733357"/>
    <w:rsid w:val="0073435B"/>
    <w:rsid w:val="007364DB"/>
    <w:rsid w:val="007513AB"/>
    <w:rsid w:val="00753D4E"/>
    <w:rsid w:val="007546E0"/>
    <w:rsid w:val="00756663"/>
    <w:rsid w:val="00757242"/>
    <w:rsid w:val="00757AF9"/>
    <w:rsid w:val="00764F6D"/>
    <w:rsid w:val="0076672D"/>
    <w:rsid w:val="00767F6C"/>
    <w:rsid w:val="00770CD6"/>
    <w:rsid w:val="00772BE4"/>
    <w:rsid w:val="00773CCB"/>
    <w:rsid w:val="00774379"/>
    <w:rsid w:val="00782661"/>
    <w:rsid w:val="0079043D"/>
    <w:rsid w:val="007947F0"/>
    <w:rsid w:val="00794C57"/>
    <w:rsid w:val="00796A40"/>
    <w:rsid w:val="00796F27"/>
    <w:rsid w:val="007A003B"/>
    <w:rsid w:val="007A12F3"/>
    <w:rsid w:val="007A68DA"/>
    <w:rsid w:val="007A6FC8"/>
    <w:rsid w:val="007A764B"/>
    <w:rsid w:val="007B10A8"/>
    <w:rsid w:val="007B46F2"/>
    <w:rsid w:val="007C03AA"/>
    <w:rsid w:val="007C67D5"/>
    <w:rsid w:val="007D6AC2"/>
    <w:rsid w:val="007E18D5"/>
    <w:rsid w:val="007E7915"/>
    <w:rsid w:val="007F0767"/>
    <w:rsid w:val="007F0A74"/>
    <w:rsid w:val="007F339C"/>
    <w:rsid w:val="007F341B"/>
    <w:rsid w:val="007F3A91"/>
    <w:rsid w:val="007F4775"/>
    <w:rsid w:val="007F4FE7"/>
    <w:rsid w:val="007F6C81"/>
    <w:rsid w:val="007F72E7"/>
    <w:rsid w:val="00801C4D"/>
    <w:rsid w:val="00804740"/>
    <w:rsid w:val="00815B8C"/>
    <w:rsid w:val="008222D4"/>
    <w:rsid w:val="008235A5"/>
    <w:rsid w:val="008270DF"/>
    <w:rsid w:val="00827574"/>
    <w:rsid w:val="00840413"/>
    <w:rsid w:val="00840F96"/>
    <w:rsid w:val="00844AC5"/>
    <w:rsid w:val="00844B80"/>
    <w:rsid w:val="008517EC"/>
    <w:rsid w:val="0085603A"/>
    <w:rsid w:val="00856637"/>
    <w:rsid w:val="008570A8"/>
    <w:rsid w:val="008632CD"/>
    <w:rsid w:val="00866D8A"/>
    <w:rsid w:val="00867888"/>
    <w:rsid w:val="00872E09"/>
    <w:rsid w:val="00873084"/>
    <w:rsid w:val="0087368E"/>
    <w:rsid w:val="00874BF6"/>
    <w:rsid w:val="00875999"/>
    <w:rsid w:val="00876CD0"/>
    <w:rsid w:val="00883DD7"/>
    <w:rsid w:val="0088695E"/>
    <w:rsid w:val="008878BC"/>
    <w:rsid w:val="008935A8"/>
    <w:rsid w:val="00893D5A"/>
    <w:rsid w:val="00895B95"/>
    <w:rsid w:val="008A50EA"/>
    <w:rsid w:val="008A7D3A"/>
    <w:rsid w:val="008B14FA"/>
    <w:rsid w:val="008B435E"/>
    <w:rsid w:val="008B5F12"/>
    <w:rsid w:val="008B74A3"/>
    <w:rsid w:val="008C11FA"/>
    <w:rsid w:val="008C212B"/>
    <w:rsid w:val="008C48B7"/>
    <w:rsid w:val="008C57C6"/>
    <w:rsid w:val="008C707C"/>
    <w:rsid w:val="008D0A0E"/>
    <w:rsid w:val="008D0DF4"/>
    <w:rsid w:val="008D12AA"/>
    <w:rsid w:val="008D487F"/>
    <w:rsid w:val="008D79F7"/>
    <w:rsid w:val="008E4F95"/>
    <w:rsid w:val="008E55F3"/>
    <w:rsid w:val="008E5AF6"/>
    <w:rsid w:val="008E5E39"/>
    <w:rsid w:val="008E681B"/>
    <w:rsid w:val="008F0AB0"/>
    <w:rsid w:val="008F37FC"/>
    <w:rsid w:val="008F4CF6"/>
    <w:rsid w:val="008F4FC2"/>
    <w:rsid w:val="0090118F"/>
    <w:rsid w:val="00903A72"/>
    <w:rsid w:val="00903CCC"/>
    <w:rsid w:val="009065F5"/>
    <w:rsid w:val="0090698D"/>
    <w:rsid w:val="0090708B"/>
    <w:rsid w:val="009114C0"/>
    <w:rsid w:val="00913E78"/>
    <w:rsid w:val="009173F7"/>
    <w:rsid w:val="009176F6"/>
    <w:rsid w:val="00921D08"/>
    <w:rsid w:val="00923125"/>
    <w:rsid w:val="009235C3"/>
    <w:rsid w:val="00926941"/>
    <w:rsid w:val="00926D71"/>
    <w:rsid w:val="009271BD"/>
    <w:rsid w:val="0093095C"/>
    <w:rsid w:val="009354E9"/>
    <w:rsid w:val="00936C4A"/>
    <w:rsid w:val="00942C9A"/>
    <w:rsid w:val="00945FE6"/>
    <w:rsid w:val="00951386"/>
    <w:rsid w:val="00953B85"/>
    <w:rsid w:val="00955E3B"/>
    <w:rsid w:val="00960381"/>
    <w:rsid w:val="00960B45"/>
    <w:rsid w:val="00960B5B"/>
    <w:rsid w:val="00965142"/>
    <w:rsid w:val="00976652"/>
    <w:rsid w:val="00982459"/>
    <w:rsid w:val="0098308A"/>
    <w:rsid w:val="00983728"/>
    <w:rsid w:val="00985BE4"/>
    <w:rsid w:val="00985D65"/>
    <w:rsid w:val="00987D82"/>
    <w:rsid w:val="009901D5"/>
    <w:rsid w:val="009929ED"/>
    <w:rsid w:val="009A1D28"/>
    <w:rsid w:val="009A384F"/>
    <w:rsid w:val="009A404D"/>
    <w:rsid w:val="009A5688"/>
    <w:rsid w:val="009A6E2B"/>
    <w:rsid w:val="009B0D2B"/>
    <w:rsid w:val="009B2B32"/>
    <w:rsid w:val="009B2DC8"/>
    <w:rsid w:val="009B4F7B"/>
    <w:rsid w:val="009B559F"/>
    <w:rsid w:val="009B6F03"/>
    <w:rsid w:val="009C4216"/>
    <w:rsid w:val="009C6A46"/>
    <w:rsid w:val="009C6B65"/>
    <w:rsid w:val="009C6F27"/>
    <w:rsid w:val="009C709C"/>
    <w:rsid w:val="009D2956"/>
    <w:rsid w:val="009D4D93"/>
    <w:rsid w:val="009D5390"/>
    <w:rsid w:val="009E0ED9"/>
    <w:rsid w:val="009F1063"/>
    <w:rsid w:val="009F26DA"/>
    <w:rsid w:val="009F3603"/>
    <w:rsid w:val="009F38EB"/>
    <w:rsid w:val="009F5258"/>
    <w:rsid w:val="009F5869"/>
    <w:rsid w:val="009F69FE"/>
    <w:rsid w:val="009F7509"/>
    <w:rsid w:val="00A05ACA"/>
    <w:rsid w:val="00A10AFE"/>
    <w:rsid w:val="00A1211E"/>
    <w:rsid w:val="00A12296"/>
    <w:rsid w:val="00A13788"/>
    <w:rsid w:val="00A17BC1"/>
    <w:rsid w:val="00A209D6"/>
    <w:rsid w:val="00A213E5"/>
    <w:rsid w:val="00A21C65"/>
    <w:rsid w:val="00A21FF2"/>
    <w:rsid w:val="00A22D4C"/>
    <w:rsid w:val="00A338CD"/>
    <w:rsid w:val="00A3507D"/>
    <w:rsid w:val="00A35EFF"/>
    <w:rsid w:val="00A4192D"/>
    <w:rsid w:val="00A43C0F"/>
    <w:rsid w:val="00A501CC"/>
    <w:rsid w:val="00A502C5"/>
    <w:rsid w:val="00A50EA1"/>
    <w:rsid w:val="00A52EB5"/>
    <w:rsid w:val="00A54DE4"/>
    <w:rsid w:val="00A6052A"/>
    <w:rsid w:val="00A61CCC"/>
    <w:rsid w:val="00A643F0"/>
    <w:rsid w:val="00A65525"/>
    <w:rsid w:val="00A67758"/>
    <w:rsid w:val="00A76835"/>
    <w:rsid w:val="00A81959"/>
    <w:rsid w:val="00A90269"/>
    <w:rsid w:val="00A9051B"/>
    <w:rsid w:val="00A9229B"/>
    <w:rsid w:val="00A9353D"/>
    <w:rsid w:val="00A942AA"/>
    <w:rsid w:val="00A955DF"/>
    <w:rsid w:val="00AA1DD1"/>
    <w:rsid w:val="00AA3BD3"/>
    <w:rsid w:val="00AA4A0C"/>
    <w:rsid w:val="00AA7F71"/>
    <w:rsid w:val="00AB28BA"/>
    <w:rsid w:val="00AB4C02"/>
    <w:rsid w:val="00AB597D"/>
    <w:rsid w:val="00AB659C"/>
    <w:rsid w:val="00AB7652"/>
    <w:rsid w:val="00AB766B"/>
    <w:rsid w:val="00AC3A45"/>
    <w:rsid w:val="00AC4B7B"/>
    <w:rsid w:val="00AD0F49"/>
    <w:rsid w:val="00AD2422"/>
    <w:rsid w:val="00AD276E"/>
    <w:rsid w:val="00AD2C9C"/>
    <w:rsid w:val="00AE37A3"/>
    <w:rsid w:val="00AE6670"/>
    <w:rsid w:val="00AF4546"/>
    <w:rsid w:val="00B00E54"/>
    <w:rsid w:val="00B04658"/>
    <w:rsid w:val="00B101D8"/>
    <w:rsid w:val="00B115CC"/>
    <w:rsid w:val="00B12383"/>
    <w:rsid w:val="00B227D1"/>
    <w:rsid w:val="00B32A2A"/>
    <w:rsid w:val="00B37565"/>
    <w:rsid w:val="00B43B5C"/>
    <w:rsid w:val="00B450C7"/>
    <w:rsid w:val="00B50934"/>
    <w:rsid w:val="00B6114C"/>
    <w:rsid w:val="00B64008"/>
    <w:rsid w:val="00B65BA9"/>
    <w:rsid w:val="00B66A69"/>
    <w:rsid w:val="00B75145"/>
    <w:rsid w:val="00B76FF1"/>
    <w:rsid w:val="00B80CB8"/>
    <w:rsid w:val="00B80E4C"/>
    <w:rsid w:val="00B811AB"/>
    <w:rsid w:val="00B83F5D"/>
    <w:rsid w:val="00B855D0"/>
    <w:rsid w:val="00B8780F"/>
    <w:rsid w:val="00B87A74"/>
    <w:rsid w:val="00B87CE1"/>
    <w:rsid w:val="00B95F6D"/>
    <w:rsid w:val="00B96208"/>
    <w:rsid w:val="00BA0029"/>
    <w:rsid w:val="00BA1286"/>
    <w:rsid w:val="00BA28F7"/>
    <w:rsid w:val="00BA357B"/>
    <w:rsid w:val="00BA4690"/>
    <w:rsid w:val="00BA5AD6"/>
    <w:rsid w:val="00BB580F"/>
    <w:rsid w:val="00BC1D3D"/>
    <w:rsid w:val="00BC1E00"/>
    <w:rsid w:val="00BC42A4"/>
    <w:rsid w:val="00BC70FE"/>
    <w:rsid w:val="00BD2A31"/>
    <w:rsid w:val="00BD365E"/>
    <w:rsid w:val="00BD513A"/>
    <w:rsid w:val="00BD6863"/>
    <w:rsid w:val="00BD6E65"/>
    <w:rsid w:val="00BE6453"/>
    <w:rsid w:val="00BE65C9"/>
    <w:rsid w:val="00BE786D"/>
    <w:rsid w:val="00BF1C76"/>
    <w:rsid w:val="00BF55AD"/>
    <w:rsid w:val="00BF5FC5"/>
    <w:rsid w:val="00BF68D0"/>
    <w:rsid w:val="00C00618"/>
    <w:rsid w:val="00C00B02"/>
    <w:rsid w:val="00C01C4D"/>
    <w:rsid w:val="00C10F06"/>
    <w:rsid w:val="00C13067"/>
    <w:rsid w:val="00C163D3"/>
    <w:rsid w:val="00C16FC9"/>
    <w:rsid w:val="00C16FF8"/>
    <w:rsid w:val="00C17081"/>
    <w:rsid w:val="00C1718A"/>
    <w:rsid w:val="00C23525"/>
    <w:rsid w:val="00C2532A"/>
    <w:rsid w:val="00C25354"/>
    <w:rsid w:val="00C25F2E"/>
    <w:rsid w:val="00C26BF9"/>
    <w:rsid w:val="00C274B2"/>
    <w:rsid w:val="00C27673"/>
    <w:rsid w:val="00C31453"/>
    <w:rsid w:val="00C32B3B"/>
    <w:rsid w:val="00C36308"/>
    <w:rsid w:val="00C41429"/>
    <w:rsid w:val="00C4163C"/>
    <w:rsid w:val="00C4293F"/>
    <w:rsid w:val="00C447DF"/>
    <w:rsid w:val="00C45830"/>
    <w:rsid w:val="00C47913"/>
    <w:rsid w:val="00C51F9A"/>
    <w:rsid w:val="00C5678E"/>
    <w:rsid w:val="00C605C3"/>
    <w:rsid w:val="00C60B0A"/>
    <w:rsid w:val="00C62015"/>
    <w:rsid w:val="00C634BE"/>
    <w:rsid w:val="00C67893"/>
    <w:rsid w:val="00C6799B"/>
    <w:rsid w:val="00C71FF7"/>
    <w:rsid w:val="00C73BF9"/>
    <w:rsid w:val="00C73E87"/>
    <w:rsid w:val="00C75E60"/>
    <w:rsid w:val="00C77495"/>
    <w:rsid w:val="00C81A73"/>
    <w:rsid w:val="00C82F73"/>
    <w:rsid w:val="00C84A04"/>
    <w:rsid w:val="00C9040D"/>
    <w:rsid w:val="00C91A54"/>
    <w:rsid w:val="00C9221B"/>
    <w:rsid w:val="00C92579"/>
    <w:rsid w:val="00C96116"/>
    <w:rsid w:val="00C96156"/>
    <w:rsid w:val="00C96CBD"/>
    <w:rsid w:val="00C97252"/>
    <w:rsid w:val="00CA21A5"/>
    <w:rsid w:val="00CA327E"/>
    <w:rsid w:val="00CA78DE"/>
    <w:rsid w:val="00CB060B"/>
    <w:rsid w:val="00CB10DF"/>
    <w:rsid w:val="00CB1DDA"/>
    <w:rsid w:val="00CB3103"/>
    <w:rsid w:val="00CB503F"/>
    <w:rsid w:val="00CB623C"/>
    <w:rsid w:val="00CC1125"/>
    <w:rsid w:val="00CC2291"/>
    <w:rsid w:val="00CC3D2A"/>
    <w:rsid w:val="00CC44D8"/>
    <w:rsid w:val="00CC698B"/>
    <w:rsid w:val="00CC75D4"/>
    <w:rsid w:val="00CC75F2"/>
    <w:rsid w:val="00CD15F2"/>
    <w:rsid w:val="00CD3232"/>
    <w:rsid w:val="00CD3FE9"/>
    <w:rsid w:val="00CD46E4"/>
    <w:rsid w:val="00CD4BA8"/>
    <w:rsid w:val="00CE48DA"/>
    <w:rsid w:val="00CE65FB"/>
    <w:rsid w:val="00CE6AAE"/>
    <w:rsid w:val="00CE727B"/>
    <w:rsid w:val="00CF1224"/>
    <w:rsid w:val="00CF224A"/>
    <w:rsid w:val="00CF703F"/>
    <w:rsid w:val="00D0063B"/>
    <w:rsid w:val="00D03F72"/>
    <w:rsid w:val="00D05A50"/>
    <w:rsid w:val="00D06835"/>
    <w:rsid w:val="00D06B39"/>
    <w:rsid w:val="00D1062B"/>
    <w:rsid w:val="00D10E40"/>
    <w:rsid w:val="00D1230E"/>
    <w:rsid w:val="00D14D21"/>
    <w:rsid w:val="00D177E7"/>
    <w:rsid w:val="00D17F70"/>
    <w:rsid w:val="00D17FDC"/>
    <w:rsid w:val="00D26965"/>
    <w:rsid w:val="00D30CE9"/>
    <w:rsid w:val="00D31FA9"/>
    <w:rsid w:val="00D41CDB"/>
    <w:rsid w:val="00D4265C"/>
    <w:rsid w:val="00D50B74"/>
    <w:rsid w:val="00D51CF1"/>
    <w:rsid w:val="00D52DB1"/>
    <w:rsid w:val="00D5427D"/>
    <w:rsid w:val="00D544FF"/>
    <w:rsid w:val="00D61E90"/>
    <w:rsid w:val="00D61FB1"/>
    <w:rsid w:val="00D621F1"/>
    <w:rsid w:val="00D63269"/>
    <w:rsid w:val="00D634DB"/>
    <w:rsid w:val="00D64DF2"/>
    <w:rsid w:val="00D65444"/>
    <w:rsid w:val="00D67E79"/>
    <w:rsid w:val="00D67E98"/>
    <w:rsid w:val="00D72CC1"/>
    <w:rsid w:val="00D764AB"/>
    <w:rsid w:val="00D77CC5"/>
    <w:rsid w:val="00D81BC1"/>
    <w:rsid w:val="00D8295E"/>
    <w:rsid w:val="00D83847"/>
    <w:rsid w:val="00D84342"/>
    <w:rsid w:val="00D84344"/>
    <w:rsid w:val="00D86A2E"/>
    <w:rsid w:val="00D9191C"/>
    <w:rsid w:val="00D9201F"/>
    <w:rsid w:val="00D97EB7"/>
    <w:rsid w:val="00DA13D7"/>
    <w:rsid w:val="00DA1681"/>
    <w:rsid w:val="00DA462F"/>
    <w:rsid w:val="00DB0F9F"/>
    <w:rsid w:val="00DB73D5"/>
    <w:rsid w:val="00DB7554"/>
    <w:rsid w:val="00DB7957"/>
    <w:rsid w:val="00DC0157"/>
    <w:rsid w:val="00DC636A"/>
    <w:rsid w:val="00DD16EB"/>
    <w:rsid w:val="00DD1F6A"/>
    <w:rsid w:val="00DD59AB"/>
    <w:rsid w:val="00DD7C12"/>
    <w:rsid w:val="00DE0CF6"/>
    <w:rsid w:val="00DE112A"/>
    <w:rsid w:val="00DE17BA"/>
    <w:rsid w:val="00DE472F"/>
    <w:rsid w:val="00DE478D"/>
    <w:rsid w:val="00DE5D52"/>
    <w:rsid w:val="00DE6621"/>
    <w:rsid w:val="00DE66FE"/>
    <w:rsid w:val="00DF12A8"/>
    <w:rsid w:val="00DF1B97"/>
    <w:rsid w:val="00DF34AE"/>
    <w:rsid w:val="00DF46AC"/>
    <w:rsid w:val="00DF556C"/>
    <w:rsid w:val="00E103DB"/>
    <w:rsid w:val="00E10C68"/>
    <w:rsid w:val="00E11574"/>
    <w:rsid w:val="00E11680"/>
    <w:rsid w:val="00E13F31"/>
    <w:rsid w:val="00E17AA5"/>
    <w:rsid w:val="00E22758"/>
    <w:rsid w:val="00E232CB"/>
    <w:rsid w:val="00E23F6C"/>
    <w:rsid w:val="00E2485B"/>
    <w:rsid w:val="00E24861"/>
    <w:rsid w:val="00E25E95"/>
    <w:rsid w:val="00E312B3"/>
    <w:rsid w:val="00E33B4D"/>
    <w:rsid w:val="00E374F2"/>
    <w:rsid w:val="00E41238"/>
    <w:rsid w:val="00E41674"/>
    <w:rsid w:val="00E429D2"/>
    <w:rsid w:val="00E4351A"/>
    <w:rsid w:val="00E4393C"/>
    <w:rsid w:val="00E5382F"/>
    <w:rsid w:val="00E555E1"/>
    <w:rsid w:val="00E55A3F"/>
    <w:rsid w:val="00E601FA"/>
    <w:rsid w:val="00E637FC"/>
    <w:rsid w:val="00E66BCF"/>
    <w:rsid w:val="00E75798"/>
    <w:rsid w:val="00E85AC2"/>
    <w:rsid w:val="00E85C1A"/>
    <w:rsid w:val="00E85F14"/>
    <w:rsid w:val="00E879F7"/>
    <w:rsid w:val="00E946C5"/>
    <w:rsid w:val="00E94B18"/>
    <w:rsid w:val="00EA039D"/>
    <w:rsid w:val="00EA1445"/>
    <w:rsid w:val="00EA2618"/>
    <w:rsid w:val="00EA5389"/>
    <w:rsid w:val="00EA5955"/>
    <w:rsid w:val="00EB176D"/>
    <w:rsid w:val="00EB3D76"/>
    <w:rsid w:val="00EB649C"/>
    <w:rsid w:val="00EB7D23"/>
    <w:rsid w:val="00EC00A7"/>
    <w:rsid w:val="00EC0969"/>
    <w:rsid w:val="00EC15D8"/>
    <w:rsid w:val="00EC1892"/>
    <w:rsid w:val="00EC279A"/>
    <w:rsid w:val="00EC3877"/>
    <w:rsid w:val="00EC4D0A"/>
    <w:rsid w:val="00EC5106"/>
    <w:rsid w:val="00EC5FD9"/>
    <w:rsid w:val="00ED03AF"/>
    <w:rsid w:val="00ED2376"/>
    <w:rsid w:val="00ED4193"/>
    <w:rsid w:val="00ED5D9F"/>
    <w:rsid w:val="00ED7BF6"/>
    <w:rsid w:val="00EE28D3"/>
    <w:rsid w:val="00EE51E8"/>
    <w:rsid w:val="00EF00AD"/>
    <w:rsid w:val="00EF2C5B"/>
    <w:rsid w:val="00F013C0"/>
    <w:rsid w:val="00F03E7E"/>
    <w:rsid w:val="00F11EB4"/>
    <w:rsid w:val="00F12129"/>
    <w:rsid w:val="00F14000"/>
    <w:rsid w:val="00F24FF2"/>
    <w:rsid w:val="00F26F79"/>
    <w:rsid w:val="00F319A1"/>
    <w:rsid w:val="00F31CD4"/>
    <w:rsid w:val="00F35FE9"/>
    <w:rsid w:val="00F46C65"/>
    <w:rsid w:val="00F527A9"/>
    <w:rsid w:val="00F61131"/>
    <w:rsid w:val="00F63C48"/>
    <w:rsid w:val="00F65F1D"/>
    <w:rsid w:val="00F66777"/>
    <w:rsid w:val="00F66DCE"/>
    <w:rsid w:val="00F67962"/>
    <w:rsid w:val="00F70179"/>
    <w:rsid w:val="00F73AD5"/>
    <w:rsid w:val="00F73E62"/>
    <w:rsid w:val="00F7637B"/>
    <w:rsid w:val="00F773E1"/>
    <w:rsid w:val="00F77FE0"/>
    <w:rsid w:val="00F85846"/>
    <w:rsid w:val="00F911C1"/>
    <w:rsid w:val="00F919FD"/>
    <w:rsid w:val="00F92DC7"/>
    <w:rsid w:val="00F93A11"/>
    <w:rsid w:val="00F95250"/>
    <w:rsid w:val="00F95734"/>
    <w:rsid w:val="00F957DA"/>
    <w:rsid w:val="00FA50D8"/>
    <w:rsid w:val="00FA6460"/>
    <w:rsid w:val="00FB0E8F"/>
    <w:rsid w:val="00FB5BDC"/>
    <w:rsid w:val="00FB645A"/>
    <w:rsid w:val="00FC0AF7"/>
    <w:rsid w:val="00FC456B"/>
    <w:rsid w:val="00FC66A9"/>
    <w:rsid w:val="00FC66AB"/>
    <w:rsid w:val="00FD234B"/>
    <w:rsid w:val="00FD2455"/>
    <w:rsid w:val="00FD2ED6"/>
    <w:rsid w:val="00FD4199"/>
    <w:rsid w:val="00FD53CD"/>
    <w:rsid w:val="00FE06B1"/>
    <w:rsid w:val="00FE1F53"/>
    <w:rsid w:val="00FE5F29"/>
    <w:rsid w:val="00FE7A6D"/>
    <w:rsid w:val="00FF4E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3074">
      <o:colormenu v:ext="edit" fillcolor="fuchsi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F7B"/>
    <w:rPr>
      <w:rFonts w:ascii="Calibri" w:hAnsi="Calibri"/>
      <w:sz w:val="24"/>
    </w:rPr>
  </w:style>
  <w:style w:type="paragraph" w:styleId="Heading1">
    <w:name w:val="heading 1"/>
    <w:basedOn w:val="Normal"/>
    <w:next w:val="Normal"/>
    <w:link w:val="Heading1Char"/>
    <w:qFormat/>
    <w:rsid w:val="007E7915"/>
    <w:pPr>
      <w:keepNext/>
      <w:spacing w:before="240" w:after="60"/>
      <w:outlineLvl w:val="0"/>
    </w:pPr>
    <w:rPr>
      <w:rFonts w:ascii="Times New Roman" w:eastAsia="Times New Roman" w:hAnsi="Times New Roman"/>
      <w:b/>
      <w:bCs/>
      <w:kern w:val="32"/>
      <w:szCs w:val="32"/>
    </w:rPr>
  </w:style>
  <w:style w:type="paragraph" w:styleId="Heading2">
    <w:name w:val="heading 2"/>
    <w:basedOn w:val="Normal"/>
    <w:next w:val="Normal"/>
    <w:link w:val="Heading2Char"/>
    <w:qFormat/>
    <w:rsid w:val="00DF46AC"/>
    <w:pPr>
      <w:keepNext/>
      <w:spacing w:before="120"/>
      <w:ind w:left="720" w:hanging="720"/>
      <w:outlineLvl w:val="1"/>
    </w:pPr>
    <w:rPr>
      <w:rFonts w:ascii="Times New Roman" w:eastAsia="Times New Roman" w:hAnsi="Times New Roman"/>
      <w:b/>
      <w:bCs/>
      <w:iCs/>
      <w:szCs w:val="28"/>
    </w:rPr>
  </w:style>
  <w:style w:type="paragraph" w:styleId="Heading3">
    <w:name w:val="heading 3"/>
    <w:basedOn w:val="Normal"/>
    <w:next w:val="Normal"/>
    <w:link w:val="Heading3Char"/>
    <w:qFormat/>
    <w:rsid w:val="007E7915"/>
    <w:pPr>
      <w:keepNext/>
      <w:spacing w:before="120" w:after="120"/>
      <w:outlineLvl w:val="2"/>
    </w:pPr>
    <w:rPr>
      <w:rFonts w:ascii="Times New Roman" w:eastAsia="Times New Roman" w:hAnsi="Times New Roman"/>
      <w:bCs/>
      <w:i/>
      <w:szCs w:val="26"/>
    </w:rPr>
  </w:style>
  <w:style w:type="paragraph" w:styleId="Heading4">
    <w:name w:val="heading 4"/>
    <w:basedOn w:val="Normal"/>
    <w:next w:val="Normal"/>
    <w:link w:val="Heading4Char"/>
    <w:qFormat/>
    <w:rsid w:val="00D67E79"/>
    <w:pPr>
      <w:keepNext/>
      <w:spacing w:after="120"/>
      <w:ind w:firstLine="720"/>
      <w:outlineLvl w:val="3"/>
    </w:pPr>
    <w:rPr>
      <w:rFonts w:ascii="Times New Roman" w:eastAsia="Times New Roman" w:hAnsi="Times New Roman"/>
      <w:bCs/>
      <w:i/>
      <w:szCs w:val="28"/>
    </w:rPr>
  </w:style>
  <w:style w:type="paragraph" w:styleId="Heading5">
    <w:name w:val="heading 5"/>
    <w:basedOn w:val="Normal"/>
    <w:next w:val="Normal"/>
    <w:link w:val="Heading5Char"/>
    <w:qFormat/>
    <w:rsid w:val="004D3D35"/>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915"/>
    <w:rPr>
      <w:rFonts w:eastAsia="Times New Roman" w:cs="Times New Roman"/>
      <w:b/>
      <w:bCs/>
      <w:kern w:val="32"/>
      <w:sz w:val="24"/>
      <w:szCs w:val="32"/>
    </w:rPr>
  </w:style>
  <w:style w:type="character" w:customStyle="1" w:styleId="Heading2Char">
    <w:name w:val="Heading 2 Char"/>
    <w:basedOn w:val="DefaultParagraphFont"/>
    <w:link w:val="Heading2"/>
    <w:rsid w:val="00DF46AC"/>
    <w:rPr>
      <w:rFonts w:eastAsia="Times New Roman"/>
      <w:b/>
      <w:bCs/>
      <w:iCs/>
      <w:sz w:val="24"/>
      <w:szCs w:val="28"/>
    </w:rPr>
  </w:style>
  <w:style w:type="character" w:customStyle="1" w:styleId="Heading3Char">
    <w:name w:val="Heading 3 Char"/>
    <w:basedOn w:val="DefaultParagraphFont"/>
    <w:link w:val="Heading3"/>
    <w:rsid w:val="007E7915"/>
    <w:rPr>
      <w:rFonts w:eastAsia="Times New Roman" w:cs="Times New Roman"/>
      <w:bCs/>
      <w:i/>
      <w:sz w:val="24"/>
      <w:szCs w:val="26"/>
    </w:rPr>
  </w:style>
  <w:style w:type="character" w:customStyle="1" w:styleId="Heading4Char">
    <w:name w:val="Heading 4 Char"/>
    <w:basedOn w:val="DefaultParagraphFont"/>
    <w:link w:val="Heading4"/>
    <w:rsid w:val="00D67E79"/>
    <w:rPr>
      <w:rFonts w:eastAsia="Times New Roman" w:cs="Times New Roman"/>
      <w:bCs/>
      <w:i/>
      <w:sz w:val="24"/>
      <w:szCs w:val="28"/>
    </w:rPr>
  </w:style>
  <w:style w:type="character" w:customStyle="1" w:styleId="Heading5Char">
    <w:name w:val="Heading 5 Char"/>
    <w:basedOn w:val="DefaultParagraphFont"/>
    <w:link w:val="Heading5"/>
    <w:rsid w:val="004D3D35"/>
    <w:rPr>
      <w:rFonts w:ascii="Calibri" w:eastAsia="Times New Roman" w:hAnsi="Calibri" w:cs="Times New Roman"/>
      <w:b/>
      <w:bCs/>
      <w:i/>
      <w:iCs/>
      <w:sz w:val="26"/>
      <w:szCs w:val="26"/>
    </w:rPr>
  </w:style>
  <w:style w:type="paragraph" w:styleId="Title">
    <w:name w:val="Title"/>
    <w:basedOn w:val="Normal"/>
    <w:next w:val="Normal"/>
    <w:link w:val="TitleChar"/>
    <w:qFormat/>
    <w:rsid w:val="007E7915"/>
    <w:pPr>
      <w:spacing w:before="240" w:after="60"/>
      <w:jc w:val="center"/>
      <w:outlineLvl w:val="0"/>
    </w:pPr>
    <w:rPr>
      <w:rFonts w:ascii="Times New Roman" w:eastAsia="Times New Roman" w:hAnsi="Times New Roman"/>
      <w:b/>
      <w:bCs/>
      <w:kern w:val="28"/>
      <w:szCs w:val="32"/>
    </w:rPr>
  </w:style>
  <w:style w:type="character" w:customStyle="1" w:styleId="TitleChar">
    <w:name w:val="Title Char"/>
    <w:basedOn w:val="DefaultParagraphFont"/>
    <w:link w:val="Title"/>
    <w:rsid w:val="007E7915"/>
    <w:rPr>
      <w:rFonts w:eastAsia="Times New Roman" w:cs="Times New Roman"/>
      <w:b/>
      <w:bCs/>
      <w:kern w:val="28"/>
      <w:sz w:val="24"/>
      <w:szCs w:val="32"/>
    </w:rPr>
  </w:style>
  <w:style w:type="paragraph" w:styleId="Subtitle">
    <w:name w:val="Subtitle"/>
    <w:basedOn w:val="Normal"/>
    <w:next w:val="Normal"/>
    <w:link w:val="SubtitleChar"/>
    <w:qFormat/>
    <w:rsid w:val="007E7915"/>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rsid w:val="007E7915"/>
    <w:rPr>
      <w:rFonts w:ascii="Cambria" w:eastAsia="Times New Roman" w:hAnsi="Cambria" w:cs="Times New Roman"/>
      <w:sz w:val="24"/>
      <w:szCs w:val="24"/>
    </w:rPr>
  </w:style>
  <w:style w:type="paragraph" w:customStyle="1" w:styleId="Para">
    <w:name w:val="Para"/>
    <w:basedOn w:val="Normal"/>
    <w:qFormat/>
    <w:rsid w:val="007E7915"/>
    <w:pPr>
      <w:spacing w:after="120"/>
      <w:ind w:firstLine="720"/>
    </w:pPr>
    <w:rPr>
      <w:rFonts w:ascii="Times New Roman" w:hAnsi="Times New Roman"/>
    </w:rPr>
  </w:style>
  <w:style w:type="paragraph" w:customStyle="1" w:styleId="ICRQuote">
    <w:name w:val="ICR Quote"/>
    <w:basedOn w:val="Normal"/>
    <w:qFormat/>
    <w:rsid w:val="00DF556C"/>
    <w:pPr>
      <w:spacing w:after="120"/>
      <w:ind w:left="1440" w:right="1440"/>
    </w:pPr>
    <w:rPr>
      <w:rFonts w:ascii="Times New Roman" w:hAnsi="Times New Roman"/>
      <w:sz w:val="22"/>
    </w:rPr>
  </w:style>
  <w:style w:type="character" w:styleId="Hyperlink">
    <w:name w:val="Hyperlink"/>
    <w:basedOn w:val="DefaultParagraphFont"/>
    <w:uiPriority w:val="99"/>
    <w:rsid w:val="000A2C38"/>
    <w:rPr>
      <w:color w:val="0000FF"/>
      <w:u w:val="single"/>
    </w:rPr>
  </w:style>
  <w:style w:type="table" w:styleId="TableGrid">
    <w:name w:val="Table Grid"/>
    <w:basedOn w:val="TableNormal"/>
    <w:rsid w:val="002E07AC"/>
    <w:pPr>
      <w:widowControl w:val="0"/>
      <w:autoSpaceDE w:val="0"/>
      <w:autoSpaceDN w:val="0"/>
      <w:adjustRightIn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4D3D35"/>
    <w:rPr>
      <w:sz w:val="24"/>
    </w:rPr>
  </w:style>
  <w:style w:type="paragraph" w:styleId="Header">
    <w:name w:val="header"/>
    <w:basedOn w:val="Normal"/>
    <w:link w:val="HeaderChar"/>
    <w:unhideWhenUsed/>
    <w:rsid w:val="00D30CE9"/>
    <w:pPr>
      <w:tabs>
        <w:tab w:val="center" w:pos="4680"/>
        <w:tab w:val="right" w:pos="9360"/>
      </w:tabs>
    </w:pPr>
  </w:style>
  <w:style w:type="character" w:customStyle="1" w:styleId="HeaderChar">
    <w:name w:val="Header Char"/>
    <w:basedOn w:val="DefaultParagraphFont"/>
    <w:link w:val="Header"/>
    <w:semiHidden/>
    <w:rsid w:val="00D30CE9"/>
    <w:rPr>
      <w:rFonts w:ascii="Calibri" w:hAnsi="Calibri"/>
      <w:sz w:val="24"/>
    </w:rPr>
  </w:style>
  <w:style w:type="paragraph" w:styleId="Footer">
    <w:name w:val="footer"/>
    <w:basedOn w:val="Normal"/>
    <w:link w:val="FooterChar"/>
    <w:unhideWhenUsed/>
    <w:rsid w:val="00D30CE9"/>
    <w:pPr>
      <w:tabs>
        <w:tab w:val="center" w:pos="4680"/>
        <w:tab w:val="right" w:pos="9360"/>
      </w:tabs>
    </w:pPr>
  </w:style>
  <w:style w:type="character" w:customStyle="1" w:styleId="FooterChar">
    <w:name w:val="Footer Char"/>
    <w:basedOn w:val="DefaultParagraphFont"/>
    <w:link w:val="Footer"/>
    <w:rsid w:val="00D30CE9"/>
    <w:rPr>
      <w:rFonts w:ascii="Calibri" w:hAnsi="Calibri"/>
      <w:sz w:val="24"/>
    </w:rPr>
  </w:style>
  <w:style w:type="paragraph" w:customStyle="1" w:styleId="TableRow">
    <w:name w:val="Table_Row"/>
    <w:basedOn w:val="Normal"/>
    <w:qFormat/>
    <w:rsid w:val="0026254C"/>
    <w:rPr>
      <w:rFonts w:ascii="Times New Roman" w:hAnsi="Times New Roman"/>
      <w:sz w:val="20"/>
    </w:rPr>
  </w:style>
  <w:style w:type="character" w:styleId="PageNumber">
    <w:name w:val="page number"/>
    <w:basedOn w:val="DefaultParagraphFont"/>
    <w:rsid w:val="00C00B02"/>
  </w:style>
  <w:style w:type="paragraph" w:styleId="FootnoteText">
    <w:name w:val="footnote text"/>
    <w:basedOn w:val="Normal"/>
    <w:link w:val="FootnoteTextChar"/>
    <w:rsid w:val="00332CD8"/>
    <w:rPr>
      <w:rFonts w:ascii="Times New Roman" w:eastAsia="Times New Roman" w:hAnsi="Times New Roman"/>
      <w:sz w:val="20"/>
      <w:lang/>
    </w:rPr>
  </w:style>
  <w:style w:type="character" w:styleId="FootnoteReference">
    <w:name w:val="footnote reference"/>
    <w:basedOn w:val="DefaultParagraphFont"/>
    <w:semiHidden/>
    <w:rsid w:val="00332CD8"/>
    <w:rPr>
      <w:vertAlign w:val="superscript"/>
    </w:rPr>
  </w:style>
  <w:style w:type="paragraph" w:styleId="Caption">
    <w:name w:val="caption"/>
    <w:basedOn w:val="Normal"/>
    <w:next w:val="Normal"/>
    <w:qFormat/>
    <w:rsid w:val="00511E3B"/>
    <w:rPr>
      <w:rFonts w:ascii="Times New Roman" w:eastAsia="Times New Roman" w:hAnsi="Times New Roman"/>
      <w:b/>
      <w:bCs/>
      <w:sz w:val="20"/>
    </w:rPr>
  </w:style>
  <w:style w:type="paragraph" w:customStyle="1" w:styleId="Level1">
    <w:name w:val="Level 1"/>
    <w:basedOn w:val="Normal"/>
    <w:rsid w:val="00071E69"/>
    <w:pPr>
      <w:widowControl w:val="0"/>
    </w:pPr>
    <w:rPr>
      <w:rFonts w:ascii="Times New Roman" w:eastAsia="Times New Roman" w:hAnsi="Times New Roman"/>
    </w:rPr>
  </w:style>
  <w:style w:type="paragraph" w:customStyle="1" w:styleId="a">
    <w:name w:val="Ѐ"/>
    <w:basedOn w:val="Normal"/>
    <w:rsid w:val="00071E69"/>
    <w:pPr>
      <w:widowControl w:val="0"/>
    </w:pPr>
    <w:rPr>
      <w:rFonts w:ascii="Times New Roman" w:eastAsia="Times New Roman" w:hAnsi="Times New Roman"/>
    </w:rPr>
  </w:style>
  <w:style w:type="paragraph" w:styleId="BalloonText">
    <w:name w:val="Balloon Text"/>
    <w:basedOn w:val="Normal"/>
    <w:semiHidden/>
    <w:rsid w:val="00071E69"/>
    <w:rPr>
      <w:rFonts w:ascii="Tahoma" w:eastAsia="Times New Roman" w:hAnsi="Tahoma" w:cs="Tahoma"/>
      <w:sz w:val="16"/>
      <w:szCs w:val="16"/>
    </w:rPr>
  </w:style>
  <w:style w:type="character" w:styleId="CommentReference">
    <w:name w:val="annotation reference"/>
    <w:basedOn w:val="DefaultParagraphFont"/>
    <w:semiHidden/>
    <w:rsid w:val="00071E69"/>
    <w:rPr>
      <w:sz w:val="16"/>
      <w:szCs w:val="16"/>
    </w:rPr>
  </w:style>
  <w:style w:type="paragraph" w:styleId="CommentText">
    <w:name w:val="annotation text"/>
    <w:basedOn w:val="Normal"/>
    <w:semiHidden/>
    <w:rsid w:val="00071E69"/>
    <w:rPr>
      <w:rFonts w:ascii="Times New Roman" w:eastAsia="Times New Roman" w:hAnsi="Times New Roman"/>
      <w:sz w:val="20"/>
    </w:rPr>
  </w:style>
  <w:style w:type="paragraph" w:styleId="CommentSubject">
    <w:name w:val="annotation subject"/>
    <w:basedOn w:val="CommentText"/>
    <w:next w:val="CommentText"/>
    <w:semiHidden/>
    <w:rsid w:val="00071E69"/>
    <w:rPr>
      <w:b/>
      <w:bCs/>
    </w:rPr>
  </w:style>
  <w:style w:type="character" w:styleId="Emphasis">
    <w:name w:val="Emphasis"/>
    <w:basedOn w:val="DefaultParagraphFont"/>
    <w:uiPriority w:val="20"/>
    <w:qFormat/>
    <w:rsid w:val="006F1E1E"/>
    <w:rPr>
      <w:b/>
      <w:bCs/>
      <w:i w:val="0"/>
      <w:iCs w:val="0"/>
    </w:rPr>
  </w:style>
  <w:style w:type="paragraph" w:styleId="Revision">
    <w:name w:val="Revision"/>
    <w:hidden/>
    <w:uiPriority w:val="99"/>
    <w:semiHidden/>
    <w:rsid w:val="00625C3F"/>
    <w:rPr>
      <w:rFonts w:ascii="Calibri" w:hAnsi="Calibri"/>
      <w:sz w:val="24"/>
    </w:rPr>
  </w:style>
  <w:style w:type="paragraph" w:styleId="PlainText">
    <w:name w:val="Plain Text"/>
    <w:basedOn w:val="Normal"/>
    <w:unhideWhenUsed/>
    <w:rsid w:val="00F7637B"/>
    <w:rPr>
      <w:rFonts w:ascii="Consolas" w:hAnsi="Consolas" w:cs="Arial"/>
      <w:sz w:val="21"/>
      <w:szCs w:val="21"/>
    </w:rPr>
  </w:style>
  <w:style w:type="paragraph" w:customStyle="1" w:styleId="Heading40">
    <w:name w:val="Heading4"/>
    <w:basedOn w:val="Heading4"/>
    <w:rsid w:val="00121CA1"/>
    <w:pPr>
      <w:spacing w:before="240" w:after="60"/>
      <w:ind w:firstLine="0"/>
    </w:pPr>
    <w:rPr>
      <w:b/>
    </w:rPr>
  </w:style>
  <w:style w:type="paragraph" w:styleId="NormalWeb">
    <w:name w:val="Normal (Web)"/>
    <w:basedOn w:val="Normal"/>
    <w:uiPriority w:val="99"/>
    <w:semiHidden/>
    <w:unhideWhenUsed/>
    <w:rsid w:val="00C9221B"/>
    <w:pPr>
      <w:spacing w:before="100" w:beforeAutospacing="1" w:after="100" w:afterAutospacing="1"/>
    </w:pPr>
    <w:rPr>
      <w:rFonts w:ascii="Times New Roman" w:eastAsia="Times New Roman" w:hAnsi="Times New Roman"/>
      <w:szCs w:val="24"/>
    </w:rPr>
  </w:style>
  <w:style w:type="character" w:customStyle="1" w:styleId="FootnoteTextChar">
    <w:name w:val="Footnote Text Char"/>
    <w:link w:val="FootnoteText"/>
    <w:rsid w:val="002D6D40"/>
    <w:rPr>
      <w:rFonts w:eastAsia="Times New Roman"/>
    </w:rPr>
  </w:style>
</w:styles>
</file>

<file path=word/webSettings.xml><?xml version="1.0" encoding="utf-8"?>
<w:webSettings xmlns:r="http://schemas.openxmlformats.org/officeDocument/2006/relationships" xmlns:w="http://schemas.openxmlformats.org/wordprocessingml/2006/main">
  <w:divs>
    <w:div w:id="80178861">
      <w:bodyDiv w:val="1"/>
      <w:marLeft w:val="0"/>
      <w:marRight w:val="0"/>
      <w:marTop w:val="0"/>
      <w:marBottom w:val="0"/>
      <w:divBdr>
        <w:top w:val="none" w:sz="0" w:space="0" w:color="auto"/>
        <w:left w:val="none" w:sz="0" w:space="0" w:color="auto"/>
        <w:bottom w:val="none" w:sz="0" w:space="0" w:color="auto"/>
        <w:right w:val="none" w:sz="0" w:space="0" w:color="auto"/>
      </w:divBdr>
    </w:div>
    <w:div w:id="219366585">
      <w:bodyDiv w:val="1"/>
      <w:marLeft w:val="0"/>
      <w:marRight w:val="0"/>
      <w:marTop w:val="0"/>
      <w:marBottom w:val="0"/>
      <w:divBdr>
        <w:top w:val="none" w:sz="0" w:space="0" w:color="auto"/>
        <w:left w:val="none" w:sz="0" w:space="0" w:color="auto"/>
        <w:bottom w:val="none" w:sz="0" w:space="0" w:color="auto"/>
        <w:right w:val="none" w:sz="0" w:space="0" w:color="auto"/>
      </w:divBdr>
    </w:div>
    <w:div w:id="284042049">
      <w:bodyDiv w:val="1"/>
      <w:marLeft w:val="0"/>
      <w:marRight w:val="0"/>
      <w:marTop w:val="0"/>
      <w:marBottom w:val="0"/>
      <w:divBdr>
        <w:top w:val="none" w:sz="0" w:space="0" w:color="auto"/>
        <w:left w:val="none" w:sz="0" w:space="0" w:color="auto"/>
        <w:bottom w:val="none" w:sz="0" w:space="0" w:color="auto"/>
        <w:right w:val="none" w:sz="0" w:space="0" w:color="auto"/>
      </w:divBdr>
    </w:div>
    <w:div w:id="336730172">
      <w:bodyDiv w:val="1"/>
      <w:marLeft w:val="0"/>
      <w:marRight w:val="0"/>
      <w:marTop w:val="0"/>
      <w:marBottom w:val="0"/>
      <w:divBdr>
        <w:top w:val="none" w:sz="0" w:space="0" w:color="auto"/>
        <w:left w:val="none" w:sz="0" w:space="0" w:color="auto"/>
        <w:bottom w:val="none" w:sz="0" w:space="0" w:color="auto"/>
        <w:right w:val="none" w:sz="0" w:space="0" w:color="auto"/>
      </w:divBdr>
    </w:div>
    <w:div w:id="341011481">
      <w:bodyDiv w:val="1"/>
      <w:marLeft w:val="0"/>
      <w:marRight w:val="0"/>
      <w:marTop w:val="0"/>
      <w:marBottom w:val="0"/>
      <w:divBdr>
        <w:top w:val="none" w:sz="0" w:space="0" w:color="auto"/>
        <w:left w:val="none" w:sz="0" w:space="0" w:color="auto"/>
        <w:bottom w:val="none" w:sz="0" w:space="0" w:color="auto"/>
        <w:right w:val="none" w:sz="0" w:space="0" w:color="auto"/>
      </w:divBdr>
    </w:div>
    <w:div w:id="496263829">
      <w:bodyDiv w:val="1"/>
      <w:marLeft w:val="0"/>
      <w:marRight w:val="0"/>
      <w:marTop w:val="0"/>
      <w:marBottom w:val="0"/>
      <w:divBdr>
        <w:top w:val="none" w:sz="0" w:space="0" w:color="auto"/>
        <w:left w:val="none" w:sz="0" w:space="0" w:color="auto"/>
        <w:bottom w:val="none" w:sz="0" w:space="0" w:color="auto"/>
        <w:right w:val="none" w:sz="0" w:space="0" w:color="auto"/>
      </w:divBdr>
    </w:div>
    <w:div w:id="505479178">
      <w:bodyDiv w:val="1"/>
      <w:marLeft w:val="0"/>
      <w:marRight w:val="0"/>
      <w:marTop w:val="0"/>
      <w:marBottom w:val="0"/>
      <w:divBdr>
        <w:top w:val="none" w:sz="0" w:space="0" w:color="auto"/>
        <w:left w:val="none" w:sz="0" w:space="0" w:color="auto"/>
        <w:bottom w:val="none" w:sz="0" w:space="0" w:color="auto"/>
        <w:right w:val="none" w:sz="0" w:space="0" w:color="auto"/>
      </w:divBdr>
    </w:div>
    <w:div w:id="513960997">
      <w:bodyDiv w:val="1"/>
      <w:marLeft w:val="0"/>
      <w:marRight w:val="0"/>
      <w:marTop w:val="0"/>
      <w:marBottom w:val="0"/>
      <w:divBdr>
        <w:top w:val="none" w:sz="0" w:space="0" w:color="auto"/>
        <w:left w:val="none" w:sz="0" w:space="0" w:color="auto"/>
        <w:bottom w:val="none" w:sz="0" w:space="0" w:color="auto"/>
        <w:right w:val="none" w:sz="0" w:space="0" w:color="auto"/>
      </w:divBdr>
    </w:div>
    <w:div w:id="535242144">
      <w:bodyDiv w:val="1"/>
      <w:marLeft w:val="0"/>
      <w:marRight w:val="0"/>
      <w:marTop w:val="0"/>
      <w:marBottom w:val="0"/>
      <w:divBdr>
        <w:top w:val="none" w:sz="0" w:space="0" w:color="auto"/>
        <w:left w:val="none" w:sz="0" w:space="0" w:color="auto"/>
        <w:bottom w:val="none" w:sz="0" w:space="0" w:color="auto"/>
        <w:right w:val="none" w:sz="0" w:space="0" w:color="auto"/>
      </w:divBdr>
    </w:div>
    <w:div w:id="662509570">
      <w:bodyDiv w:val="1"/>
      <w:marLeft w:val="0"/>
      <w:marRight w:val="0"/>
      <w:marTop w:val="0"/>
      <w:marBottom w:val="0"/>
      <w:divBdr>
        <w:top w:val="none" w:sz="0" w:space="0" w:color="auto"/>
        <w:left w:val="none" w:sz="0" w:space="0" w:color="auto"/>
        <w:bottom w:val="none" w:sz="0" w:space="0" w:color="auto"/>
        <w:right w:val="none" w:sz="0" w:space="0" w:color="auto"/>
      </w:divBdr>
      <w:divsChild>
        <w:div w:id="2110660498">
          <w:marLeft w:val="0"/>
          <w:marRight w:val="0"/>
          <w:marTop w:val="0"/>
          <w:marBottom w:val="0"/>
          <w:divBdr>
            <w:top w:val="none" w:sz="0" w:space="0" w:color="auto"/>
            <w:left w:val="none" w:sz="0" w:space="0" w:color="auto"/>
            <w:bottom w:val="none" w:sz="0" w:space="0" w:color="auto"/>
            <w:right w:val="none" w:sz="0" w:space="0" w:color="auto"/>
          </w:divBdr>
          <w:divsChild>
            <w:div w:id="142503200">
              <w:marLeft w:val="0"/>
              <w:marRight w:val="0"/>
              <w:marTop w:val="0"/>
              <w:marBottom w:val="0"/>
              <w:divBdr>
                <w:top w:val="none" w:sz="0" w:space="0" w:color="auto"/>
                <w:left w:val="none" w:sz="0" w:space="0" w:color="auto"/>
                <w:bottom w:val="none" w:sz="0" w:space="0" w:color="auto"/>
                <w:right w:val="none" w:sz="0" w:space="0" w:color="auto"/>
              </w:divBdr>
              <w:divsChild>
                <w:div w:id="1200623677">
                  <w:marLeft w:val="0"/>
                  <w:marRight w:val="0"/>
                  <w:marTop w:val="0"/>
                  <w:marBottom w:val="0"/>
                  <w:divBdr>
                    <w:top w:val="none" w:sz="0" w:space="0" w:color="auto"/>
                    <w:left w:val="none" w:sz="0" w:space="0" w:color="auto"/>
                    <w:bottom w:val="none" w:sz="0" w:space="0" w:color="auto"/>
                    <w:right w:val="none" w:sz="0" w:space="0" w:color="auto"/>
                  </w:divBdr>
                  <w:divsChild>
                    <w:div w:id="285087424">
                      <w:marLeft w:val="0"/>
                      <w:marRight w:val="0"/>
                      <w:marTop w:val="0"/>
                      <w:marBottom w:val="0"/>
                      <w:divBdr>
                        <w:top w:val="none" w:sz="0" w:space="0" w:color="auto"/>
                        <w:left w:val="none" w:sz="0" w:space="0" w:color="auto"/>
                        <w:bottom w:val="none" w:sz="0" w:space="0" w:color="auto"/>
                        <w:right w:val="none" w:sz="0" w:space="0" w:color="auto"/>
                      </w:divBdr>
                      <w:divsChild>
                        <w:div w:id="1989237123">
                          <w:marLeft w:val="0"/>
                          <w:marRight w:val="0"/>
                          <w:marTop w:val="0"/>
                          <w:marBottom w:val="0"/>
                          <w:divBdr>
                            <w:top w:val="none" w:sz="0" w:space="0" w:color="auto"/>
                            <w:left w:val="none" w:sz="0" w:space="0" w:color="auto"/>
                            <w:bottom w:val="none" w:sz="0" w:space="0" w:color="auto"/>
                            <w:right w:val="none" w:sz="0" w:space="0" w:color="auto"/>
                          </w:divBdr>
                          <w:divsChild>
                            <w:div w:id="242419255">
                              <w:marLeft w:val="0"/>
                              <w:marRight w:val="0"/>
                              <w:marTop w:val="0"/>
                              <w:marBottom w:val="0"/>
                              <w:divBdr>
                                <w:top w:val="none" w:sz="0" w:space="0" w:color="auto"/>
                                <w:left w:val="none" w:sz="0" w:space="0" w:color="auto"/>
                                <w:bottom w:val="none" w:sz="0" w:space="0" w:color="auto"/>
                                <w:right w:val="none" w:sz="0" w:space="0" w:color="auto"/>
                              </w:divBdr>
                              <w:divsChild>
                                <w:div w:id="1386759824">
                                  <w:marLeft w:val="0"/>
                                  <w:marRight w:val="0"/>
                                  <w:marTop w:val="0"/>
                                  <w:marBottom w:val="0"/>
                                  <w:divBdr>
                                    <w:top w:val="none" w:sz="0" w:space="0" w:color="auto"/>
                                    <w:left w:val="none" w:sz="0" w:space="0" w:color="auto"/>
                                    <w:bottom w:val="none" w:sz="0" w:space="0" w:color="auto"/>
                                    <w:right w:val="none" w:sz="0" w:space="0" w:color="auto"/>
                                  </w:divBdr>
                                  <w:divsChild>
                                    <w:div w:id="1013845138">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 w:id="737095064">
      <w:bodyDiv w:val="1"/>
      <w:marLeft w:val="0"/>
      <w:marRight w:val="0"/>
      <w:marTop w:val="0"/>
      <w:marBottom w:val="0"/>
      <w:divBdr>
        <w:top w:val="none" w:sz="0" w:space="0" w:color="auto"/>
        <w:left w:val="none" w:sz="0" w:space="0" w:color="auto"/>
        <w:bottom w:val="none" w:sz="0" w:space="0" w:color="auto"/>
        <w:right w:val="none" w:sz="0" w:space="0" w:color="auto"/>
      </w:divBdr>
    </w:div>
    <w:div w:id="810512501">
      <w:bodyDiv w:val="1"/>
      <w:marLeft w:val="0"/>
      <w:marRight w:val="0"/>
      <w:marTop w:val="0"/>
      <w:marBottom w:val="0"/>
      <w:divBdr>
        <w:top w:val="none" w:sz="0" w:space="0" w:color="auto"/>
        <w:left w:val="none" w:sz="0" w:space="0" w:color="auto"/>
        <w:bottom w:val="none" w:sz="0" w:space="0" w:color="auto"/>
        <w:right w:val="none" w:sz="0" w:space="0" w:color="auto"/>
      </w:divBdr>
    </w:div>
    <w:div w:id="982271489">
      <w:bodyDiv w:val="1"/>
      <w:marLeft w:val="0"/>
      <w:marRight w:val="0"/>
      <w:marTop w:val="0"/>
      <w:marBottom w:val="0"/>
      <w:divBdr>
        <w:top w:val="none" w:sz="0" w:space="0" w:color="auto"/>
        <w:left w:val="none" w:sz="0" w:space="0" w:color="auto"/>
        <w:bottom w:val="none" w:sz="0" w:space="0" w:color="auto"/>
        <w:right w:val="none" w:sz="0" w:space="0" w:color="auto"/>
      </w:divBdr>
    </w:div>
    <w:div w:id="1433282268">
      <w:bodyDiv w:val="1"/>
      <w:marLeft w:val="0"/>
      <w:marRight w:val="0"/>
      <w:marTop w:val="0"/>
      <w:marBottom w:val="0"/>
      <w:divBdr>
        <w:top w:val="none" w:sz="0" w:space="0" w:color="auto"/>
        <w:left w:val="none" w:sz="0" w:space="0" w:color="auto"/>
        <w:bottom w:val="none" w:sz="0" w:space="0" w:color="auto"/>
        <w:right w:val="none" w:sz="0" w:space="0" w:color="auto"/>
      </w:divBdr>
    </w:div>
    <w:div w:id="1480347173">
      <w:bodyDiv w:val="1"/>
      <w:marLeft w:val="0"/>
      <w:marRight w:val="0"/>
      <w:marTop w:val="0"/>
      <w:marBottom w:val="0"/>
      <w:divBdr>
        <w:top w:val="none" w:sz="0" w:space="0" w:color="auto"/>
        <w:left w:val="none" w:sz="0" w:space="0" w:color="auto"/>
        <w:bottom w:val="none" w:sz="0" w:space="0" w:color="auto"/>
        <w:right w:val="none" w:sz="0" w:space="0" w:color="auto"/>
      </w:divBdr>
      <w:divsChild>
        <w:div w:id="410280038">
          <w:marLeft w:val="0"/>
          <w:marRight w:val="0"/>
          <w:marTop w:val="0"/>
          <w:marBottom w:val="0"/>
          <w:divBdr>
            <w:top w:val="none" w:sz="0" w:space="0" w:color="auto"/>
            <w:left w:val="none" w:sz="0" w:space="0" w:color="auto"/>
            <w:bottom w:val="none" w:sz="0" w:space="0" w:color="auto"/>
            <w:right w:val="none" w:sz="0" w:space="0" w:color="auto"/>
          </w:divBdr>
          <w:divsChild>
            <w:div w:id="2086491239">
              <w:marLeft w:val="0"/>
              <w:marRight w:val="0"/>
              <w:marTop w:val="0"/>
              <w:marBottom w:val="0"/>
              <w:divBdr>
                <w:top w:val="none" w:sz="0" w:space="0" w:color="auto"/>
                <w:left w:val="none" w:sz="0" w:space="0" w:color="auto"/>
                <w:bottom w:val="none" w:sz="0" w:space="0" w:color="auto"/>
                <w:right w:val="none" w:sz="0" w:space="0" w:color="auto"/>
              </w:divBdr>
              <w:divsChild>
                <w:div w:id="1777944791">
                  <w:marLeft w:val="0"/>
                  <w:marRight w:val="0"/>
                  <w:marTop w:val="0"/>
                  <w:marBottom w:val="0"/>
                  <w:divBdr>
                    <w:top w:val="none" w:sz="0" w:space="0" w:color="auto"/>
                    <w:left w:val="none" w:sz="0" w:space="0" w:color="auto"/>
                    <w:bottom w:val="none" w:sz="0" w:space="0" w:color="auto"/>
                    <w:right w:val="none" w:sz="0" w:space="0" w:color="auto"/>
                  </w:divBdr>
                  <w:divsChild>
                    <w:div w:id="293679971">
                      <w:marLeft w:val="0"/>
                      <w:marRight w:val="0"/>
                      <w:marTop w:val="0"/>
                      <w:marBottom w:val="0"/>
                      <w:divBdr>
                        <w:top w:val="none" w:sz="0" w:space="0" w:color="auto"/>
                        <w:left w:val="none" w:sz="0" w:space="0" w:color="auto"/>
                        <w:bottom w:val="none" w:sz="0" w:space="0" w:color="auto"/>
                        <w:right w:val="none" w:sz="0" w:space="0" w:color="auto"/>
                      </w:divBdr>
                      <w:divsChild>
                        <w:div w:id="68238958">
                          <w:marLeft w:val="0"/>
                          <w:marRight w:val="0"/>
                          <w:marTop w:val="0"/>
                          <w:marBottom w:val="0"/>
                          <w:divBdr>
                            <w:top w:val="none" w:sz="0" w:space="0" w:color="auto"/>
                            <w:left w:val="none" w:sz="0" w:space="0" w:color="auto"/>
                            <w:bottom w:val="none" w:sz="0" w:space="0" w:color="auto"/>
                            <w:right w:val="none" w:sz="0" w:space="0" w:color="auto"/>
                          </w:divBdr>
                          <w:divsChild>
                            <w:div w:id="1106273320">
                              <w:marLeft w:val="0"/>
                              <w:marRight w:val="0"/>
                              <w:marTop w:val="0"/>
                              <w:marBottom w:val="0"/>
                              <w:divBdr>
                                <w:top w:val="none" w:sz="0" w:space="0" w:color="auto"/>
                                <w:left w:val="none" w:sz="0" w:space="0" w:color="auto"/>
                                <w:bottom w:val="none" w:sz="0" w:space="0" w:color="auto"/>
                                <w:right w:val="none" w:sz="0" w:space="0" w:color="auto"/>
                              </w:divBdr>
                              <w:divsChild>
                                <w:div w:id="2030718009">
                                  <w:marLeft w:val="0"/>
                                  <w:marRight w:val="0"/>
                                  <w:marTop w:val="0"/>
                                  <w:marBottom w:val="0"/>
                                  <w:divBdr>
                                    <w:top w:val="none" w:sz="0" w:space="0" w:color="auto"/>
                                    <w:left w:val="none" w:sz="0" w:space="0" w:color="auto"/>
                                    <w:bottom w:val="none" w:sz="0" w:space="0" w:color="auto"/>
                                    <w:right w:val="none" w:sz="0" w:space="0" w:color="auto"/>
                                  </w:divBdr>
                                  <w:divsChild>
                                    <w:div w:id="542714105">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 w:id="1581451295">
      <w:bodyDiv w:val="1"/>
      <w:marLeft w:val="0"/>
      <w:marRight w:val="0"/>
      <w:marTop w:val="0"/>
      <w:marBottom w:val="0"/>
      <w:divBdr>
        <w:top w:val="none" w:sz="0" w:space="0" w:color="auto"/>
        <w:left w:val="none" w:sz="0" w:space="0" w:color="auto"/>
        <w:bottom w:val="none" w:sz="0" w:space="0" w:color="auto"/>
        <w:right w:val="none" w:sz="0" w:space="0" w:color="auto"/>
      </w:divBdr>
    </w:div>
    <w:div w:id="1604462512">
      <w:bodyDiv w:val="1"/>
      <w:marLeft w:val="0"/>
      <w:marRight w:val="0"/>
      <w:marTop w:val="0"/>
      <w:marBottom w:val="0"/>
      <w:divBdr>
        <w:top w:val="none" w:sz="0" w:space="0" w:color="auto"/>
        <w:left w:val="none" w:sz="0" w:space="0" w:color="auto"/>
        <w:bottom w:val="none" w:sz="0" w:space="0" w:color="auto"/>
        <w:right w:val="none" w:sz="0" w:space="0" w:color="auto"/>
      </w:divBdr>
    </w:div>
    <w:div w:id="1777939295">
      <w:bodyDiv w:val="1"/>
      <w:marLeft w:val="0"/>
      <w:marRight w:val="0"/>
      <w:marTop w:val="0"/>
      <w:marBottom w:val="0"/>
      <w:divBdr>
        <w:top w:val="none" w:sz="0" w:space="0" w:color="auto"/>
        <w:left w:val="none" w:sz="0" w:space="0" w:color="auto"/>
        <w:bottom w:val="none" w:sz="0" w:space="0" w:color="auto"/>
        <w:right w:val="none" w:sz="0" w:space="0" w:color="auto"/>
      </w:divBdr>
    </w:div>
    <w:div w:id="1859585648">
      <w:bodyDiv w:val="1"/>
      <w:marLeft w:val="0"/>
      <w:marRight w:val="0"/>
      <w:marTop w:val="0"/>
      <w:marBottom w:val="0"/>
      <w:divBdr>
        <w:top w:val="none" w:sz="0" w:space="0" w:color="auto"/>
        <w:left w:val="none" w:sz="0" w:space="0" w:color="auto"/>
        <w:bottom w:val="none" w:sz="0" w:space="0" w:color="auto"/>
        <w:right w:val="none" w:sz="0" w:space="0" w:color="auto"/>
      </w:divBdr>
    </w:div>
    <w:div w:id="208463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t02.htm" TargetMode="Externa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FCC8B-17E8-4FA6-9D98-13EC6315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5356</Words>
  <Characters>30535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35820</CharactersWithSpaces>
  <SharedDoc>false</SharedDoc>
  <HLinks>
    <vt:vector size="18" baseType="variant">
      <vt:variant>
        <vt:i4>2818151</vt:i4>
      </vt:variant>
      <vt:variant>
        <vt:i4>6</vt:i4>
      </vt:variant>
      <vt:variant>
        <vt:i4>0</vt:i4>
      </vt:variant>
      <vt:variant>
        <vt:i4>5</vt:i4>
      </vt:variant>
      <vt:variant>
        <vt:lpwstr>http://www.regulations.gov/</vt:lpwstr>
      </vt:variant>
      <vt:variant>
        <vt:lpwstr/>
      </vt:variant>
      <vt:variant>
        <vt:i4>2490396</vt:i4>
      </vt:variant>
      <vt:variant>
        <vt:i4>3</vt:i4>
      </vt:variant>
      <vt:variant>
        <vt:i4>0</vt:i4>
      </vt:variant>
      <vt:variant>
        <vt:i4>5</vt:i4>
      </vt:variant>
      <vt:variant>
        <vt:lpwstr>http://www.opm.gov/oca/10tables/html/gs_h.asp</vt:lpwstr>
      </vt:variant>
      <vt:variant>
        <vt:lpwstr/>
      </vt:variant>
      <vt:variant>
        <vt:i4>196634</vt:i4>
      </vt:variant>
      <vt:variant>
        <vt:i4>0</vt:i4>
      </vt:variant>
      <vt:variant>
        <vt:i4>0</vt:i4>
      </vt:variant>
      <vt:variant>
        <vt:i4>5</vt:i4>
      </vt:variant>
      <vt:variant>
        <vt:lpwstr>http://www.bls.gov/news.release/ecec.t02.htm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revisions to post omb supporting staement secal all company questionnaire</dc:description>
  <cp:lastModifiedBy/>
  <cp:revision>1</cp:revision>
  <dcterms:created xsi:type="dcterms:W3CDTF">2011-01-18T20:07:00Z</dcterms:created>
  <dcterms:modified xsi:type="dcterms:W3CDTF">2011-01-18T20:07:00Z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