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F30BC" w:rsidRDefault="00EF30BC"/>
    <w:p w:rsidR="00DD3481" w:rsidRDefault="00DD3481"/>
    <w:p w:rsidR="00DD3481" w:rsidRDefault="00DD3481"/>
    <w:p w:rsidR="00DD3481" w:rsidRDefault="00DD3481"/>
    <w:p w:rsidR="00DD3481" w:rsidRDefault="00DD3481"/>
    <w:p w:rsidR="00DD3481" w:rsidRDefault="00DD3481"/>
    <w:p w:rsidR="00DD3481" w:rsidRDefault="00DD3481"/>
    <w:p w:rsidR="00DD3481" w:rsidRDefault="00DD3481"/>
    <w:p w:rsidR="00DD3481" w:rsidRDefault="00DD3481"/>
    <w:p w:rsidR="007314E1" w:rsidRPr="003F7D41" w:rsidRDefault="00DD3481" w:rsidP="007314E1">
      <w:pPr>
        <w:spacing w:after="0"/>
        <w:jc w:val="center"/>
        <w:rPr>
          <w:b/>
          <w:sz w:val="28"/>
          <w:szCs w:val="28"/>
        </w:rPr>
      </w:pPr>
      <w:r w:rsidRPr="003F7D41">
        <w:rPr>
          <w:b/>
          <w:sz w:val="28"/>
          <w:szCs w:val="28"/>
        </w:rPr>
        <w:t xml:space="preserve">REQUEST FOR CLEARANCE </w:t>
      </w:r>
    </w:p>
    <w:p w:rsidR="007314E1" w:rsidRPr="003F7D41" w:rsidRDefault="00DD3481" w:rsidP="007314E1">
      <w:pPr>
        <w:spacing w:after="0"/>
        <w:jc w:val="center"/>
        <w:rPr>
          <w:b/>
          <w:sz w:val="28"/>
          <w:szCs w:val="28"/>
        </w:rPr>
      </w:pPr>
      <w:r w:rsidRPr="003F7D41">
        <w:rPr>
          <w:b/>
          <w:sz w:val="28"/>
          <w:szCs w:val="28"/>
        </w:rPr>
        <w:t xml:space="preserve">FOR FOCUS GROUP STUDY </w:t>
      </w:r>
    </w:p>
    <w:p w:rsidR="00877430" w:rsidRPr="003F7D41" w:rsidRDefault="00DD3481" w:rsidP="007314E1">
      <w:pPr>
        <w:spacing w:after="0"/>
        <w:jc w:val="center"/>
        <w:rPr>
          <w:b/>
          <w:sz w:val="28"/>
          <w:szCs w:val="28"/>
        </w:rPr>
      </w:pPr>
      <w:r w:rsidRPr="003F7D41">
        <w:rPr>
          <w:b/>
          <w:sz w:val="28"/>
          <w:szCs w:val="28"/>
        </w:rPr>
        <w:t xml:space="preserve">OF AUDIENCE </w:t>
      </w:r>
      <w:r w:rsidR="007314E1" w:rsidRPr="003F7D41">
        <w:rPr>
          <w:b/>
          <w:sz w:val="28"/>
          <w:szCs w:val="28"/>
        </w:rPr>
        <w:t>ANALYSIS</w:t>
      </w:r>
      <w:r w:rsidRPr="003F7D41">
        <w:rPr>
          <w:b/>
          <w:sz w:val="28"/>
          <w:szCs w:val="28"/>
        </w:rPr>
        <w:t xml:space="preserve"> FOR BIOMONITORING</w:t>
      </w:r>
    </w:p>
    <w:p w:rsidR="007314E1" w:rsidRDefault="00375D59" w:rsidP="007314E1">
      <w:pPr>
        <w:pStyle w:val="C1-CtrBoldHd"/>
        <w:keepNext w:val="0"/>
        <w:tabs>
          <w:tab w:val="left" w:pos="4320"/>
        </w:tabs>
        <w:spacing w:after="0" w:line="240" w:lineRule="auto"/>
        <w:rPr>
          <w:rFonts w:ascii="Calibri" w:hAnsi="Calibri"/>
          <w:b w:val="0"/>
          <w:caps w:val="0"/>
          <w:szCs w:val="22"/>
        </w:rPr>
      </w:pPr>
      <w:r>
        <w:rPr>
          <w:color w:val="000000"/>
        </w:rPr>
        <w:t>201011-0920-009</w:t>
      </w:r>
    </w:p>
    <w:p w:rsidR="00027FDE" w:rsidRPr="003F7D41" w:rsidRDefault="00027FDE" w:rsidP="007314E1">
      <w:pPr>
        <w:pStyle w:val="C1-CtrBoldHd"/>
        <w:keepNext w:val="0"/>
        <w:tabs>
          <w:tab w:val="left" w:pos="4320"/>
        </w:tabs>
        <w:spacing w:after="0" w:line="240" w:lineRule="auto"/>
        <w:rPr>
          <w:rFonts w:ascii="Calibri" w:hAnsi="Calibri"/>
          <w:b w:val="0"/>
          <w:caps w:val="0"/>
          <w:szCs w:val="22"/>
        </w:rPr>
      </w:pPr>
    </w:p>
    <w:p w:rsidR="007314E1" w:rsidRPr="003F7D41" w:rsidRDefault="007314E1" w:rsidP="007314E1">
      <w:pPr>
        <w:pStyle w:val="C1-CtrBoldHd"/>
        <w:keepNext w:val="0"/>
        <w:tabs>
          <w:tab w:val="left" w:pos="4320"/>
        </w:tabs>
        <w:spacing w:after="0" w:line="240" w:lineRule="auto"/>
        <w:rPr>
          <w:rFonts w:ascii="Calibri" w:hAnsi="Calibri"/>
          <w:b w:val="0"/>
          <w:caps w:val="0"/>
          <w:szCs w:val="22"/>
        </w:rPr>
      </w:pPr>
      <w:r w:rsidRPr="003F7D41">
        <w:rPr>
          <w:rFonts w:ascii="Calibri" w:hAnsi="Calibri"/>
          <w:b w:val="0"/>
          <w:caps w:val="0"/>
          <w:szCs w:val="22"/>
        </w:rPr>
        <w:t>Larry Furphy</w:t>
      </w:r>
    </w:p>
    <w:p w:rsidR="007314E1" w:rsidRPr="003F7D41" w:rsidRDefault="007314E1" w:rsidP="007314E1">
      <w:pPr>
        <w:pStyle w:val="C1-CtrBoldHd"/>
        <w:keepNext w:val="0"/>
        <w:tabs>
          <w:tab w:val="left" w:pos="4320"/>
        </w:tabs>
        <w:spacing w:after="0" w:line="240" w:lineRule="auto"/>
        <w:rPr>
          <w:rFonts w:ascii="Calibri" w:hAnsi="Calibri"/>
          <w:b w:val="0"/>
          <w:caps w:val="0"/>
          <w:szCs w:val="22"/>
        </w:rPr>
      </w:pPr>
      <w:r w:rsidRPr="003F7D41">
        <w:rPr>
          <w:rFonts w:ascii="Calibri" w:hAnsi="Calibri"/>
          <w:b w:val="0"/>
          <w:caps w:val="0"/>
          <w:szCs w:val="22"/>
        </w:rPr>
        <w:t>Project Officer</w:t>
      </w:r>
      <w:r w:rsidRPr="003F7D41">
        <w:rPr>
          <w:rFonts w:ascii="Calibri" w:hAnsi="Calibri"/>
          <w:b w:val="0"/>
          <w:caps w:val="0"/>
          <w:szCs w:val="22"/>
        </w:rPr>
        <w:br/>
        <w:t>Deputy Associate Director of Communications</w:t>
      </w:r>
      <w:r w:rsidRPr="003F7D41">
        <w:rPr>
          <w:rFonts w:ascii="Calibri" w:hAnsi="Calibri"/>
          <w:b w:val="0"/>
          <w:caps w:val="0"/>
          <w:szCs w:val="22"/>
        </w:rPr>
        <w:br/>
        <w:t xml:space="preserve">Centers for Disease Control and </w:t>
      </w:r>
      <w:r w:rsidR="004D6D5F" w:rsidRPr="003F7D41">
        <w:rPr>
          <w:rFonts w:ascii="Calibri" w:hAnsi="Calibri"/>
          <w:b w:val="0"/>
          <w:caps w:val="0"/>
          <w:szCs w:val="22"/>
        </w:rPr>
        <w:t>P</w:t>
      </w:r>
      <w:r w:rsidRPr="003F7D41">
        <w:rPr>
          <w:rFonts w:ascii="Calibri" w:hAnsi="Calibri"/>
          <w:b w:val="0"/>
          <w:caps w:val="0"/>
          <w:szCs w:val="22"/>
        </w:rPr>
        <w:t>revention</w:t>
      </w:r>
    </w:p>
    <w:p w:rsidR="007314E1" w:rsidRPr="003F7D41" w:rsidRDefault="007314E1" w:rsidP="007314E1">
      <w:pPr>
        <w:pStyle w:val="C1-CtrBoldHd"/>
        <w:keepNext w:val="0"/>
        <w:tabs>
          <w:tab w:val="left" w:pos="4320"/>
        </w:tabs>
        <w:spacing w:after="0" w:line="240" w:lineRule="auto"/>
        <w:rPr>
          <w:rFonts w:ascii="Calibri" w:hAnsi="Calibri"/>
          <w:b w:val="0"/>
          <w:caps w:val="0"/>
          <w:szCs w:val="22"/>
        </w:rPr>
      </w:pPr>
      <w:r w:rsidRPr="003F7D41">
        <w:rPr>
          <w:rFonts w:ascii="Calibri" w:hAnsi="Calibri"/>
          <w:b w:val="0"/>
          <w:caps w:val="0"/>
          <w:szCs w:val="22"/>
        </w:rPr>
        <w:t xml:space="preserve">National Center for </w:t>
      </w:r>
      <w:r w:rsidR="004D6D5F" w:rsidRPr="003F7D41">
        <w:rPr>
          <w:rFonts w:ascii="Calibri" w:hAnsi="Calibri"/>
          <w:b w:val="0"/>
          <w:caps w:val="0"/>
          <w:szCs w:val="22"/>
        </w:rPr>
        <w:t>E</w:t>
      </w:r>
      <w:r w:rsidRPr="003F7D41">
        <w:rPr>
          <w:rFonts w:ascii="Calibri" w:hAnsi="Calibri"/>
          <w:b w:val="0"/>
          <w:caps w:val="0"/>
          <w:szCs w:val="22"/>
        </w:rPr>
        <w:t>nvironmental Health</w:t>
      </w:r>
    </w:p>
    <w:p w:rsidR="007314E1" w:rsidRPr="003F7D41" w:rsidRDefault="007314E1" w:rsidP="007314E1">
      <w:pPr>
        <w:pStyle w:val="C1-CtrBoldHd"/>
        <w:keepNext w:val="0"/>
        <w:tabs>
          <w:tab w:val="left" w:pos="4320"/>
        </w:tabs>
        <w:spacing w:after="0" w:line="240" w:lineRule="auto"/>
        <w:rPr>
          <w:rFonts w:ascii="Calibri" w:hAnsi="Calibri"/>
          <w:b w:val="0"/>
          <w:caps w:val="0"/>
          <w:szCs w:val="22"/>
        </w:rPr>
      </w:pPr>
      <w:r w:rsidRPr="003F7D41">
        <w:rPr>
          <w:rFonts w:ascii="Calibri" w:hAnsi="Calibri"/>
          <w:b w:val="0"/>
          <w:caps w:val="0"/>
          <w:szCs w:val="22"/>
        </w:rPr>
        <w:t>Phone: 770-488-0618</w:t>
      </w:r>
    </w:p>
    <w:p w:rsidR="007314E1" w:rsidRPr="003F7D41" w:rsidRDefault="007314E1" w:rsidP="007314E1">
      <w:pPr>
        <w:pStyle w:val="C1-CtrBoldHd"/>
        <w:keepNext w:val="0"/>
        <w:tabs>
          <w:tab w:val="left" w:pos="4320"/>
        </w:tabs>
        <w:spacing w:after="0" w:line="240" w:lineRule="auto"/>
        <w:rPr>
          <w:rFonts w:ascii="Calibri" w:hAnsi="Calibri"/>
          <w:b w:val="0"/>
          <w:caps w:val="0"/>
          <w:szCs w:val="22"/>
        </w:rPr>
      </w:pPr>
      <w:r w:rsidRPr="003F7D41">
        <w:rPr>
          <w:rFonts w:ascii="Calibri" w:hAnsi="Calibri"/>
          <w:b w:val="0"/>
          <w:caps w:val="0"/>
          <w:szCs w:val="22"/>
        </w:rPr>
        <w:t>Fax: 770-488-3377</w:t>
      </w:r>
    </w:p>
    <w:p w:rsidR="007314E1" w:rsidRPr="003F7D41" w:rsidRDefault="007314E1" w:rsidP="007314E1">
      <w:pPr>
        <w:pStyle w:val="C1-CtrBoldHd"/>
        <w:keepNext w:val="0"/>
        <w:tabs>
          <w:tab w:val="left" w:pos="4320"/>
        </w:tabs>
        <w:spacing w:after="0" w:line="240" w:lineRule="auto"/>
        <w:rPr>
          <w:rFonts w:ascii="Calibri" w:hAnsi="Calibri"/>
          <w:b w:val="0"/>
          <w:bCs/>
          <w:caps w:val="0"/>
          <w:szCs w:val="22"/>
        </w:rPr>
      </w:pPr>
      <w:r w:rsidRPr="003F7D41">
        <w:rPr>
          <w:rFonts w:ascii="Calibri" w:hAnsi="Calibri"/>
          <w:b w:val="0"/>
          <w:caps w:val="0"/>
          <w:szCs w:val="22"/>
        </w:rPr>
        <w:t>Email: lrf2@cdc.gov</w:t>
      </w:r>
    </w:p>
    <w:p w:rsidR="007314E1" w:rsidRPr="003F7D41" w:rsidRDefault="00375D59" w:rsidP="007314E1">
      <w:pPr>
        <w:pStyle w:val="Heading7"/>
        <w:jc w:val="center"/>
        <w:rPr>
          <w:rFonts w:ascii="Calibri" w:hAnsi="Calibri"/>
          <w:b/>
        </w:rPr>
      </w:pPr>
      <w:r>
        <w:rPr>
          <w:rFonts w:ascii="Calibri" w:hAnsi="Calibri"/>
          <w:b/>
        </w:rPr>
        <w:t xml:space="preserve">January </w:t>
      </w:r>
      <w:r w:rsidR="00914194">
        <w:rPr>
          <w:rFonts w:ascii="Calibri" w:hAnsi="Calibri"/>
          <w:b/>
        </w:rPr>
        <w:t>31</w:t>
      </w:r>
      <w:r>
        <w:rPr>
          <w:rFonts w:ascii="Calibri" w:hAnsi="Calibri"/>
          <w:b/>
        </w:rPr>
        <w:t>, 2011</w:t>
      </w:r>
    </w:p>
    <w:p w:rsidR="007314E1" w:rsidRPr="003F7D41" w:rsidRDefault="007314E1" w:rsidP="007314E1">
      <w:pPr>
        <w:rPr>
          <w:rFonts w:eastAsia="Times New Roman"/>
          <w:color w:val="404040"/>
        </w:rPr>
      </w:pPr>
      <w:r w:rsidRPr="003F7D41">
        <w:br w:type="page"/>
      </w:r>
    </w:p>
    <w:p w:rsidR="00C01AFE" w:rsidRPr="003F7D41" w:rsidRDefault="00C01AFE" w:rsidP="00C650C2">
      <w:pPr>
        <w:pStyle w:val="TOC2"/>
      </w:pPr>
      <w:r w:rsidRPr="003F7D41">
        <w:lastRenderedPageBreak/>
        <w:t>A.  JUSTIFICATION</w:t>
      </w:r>
      <w:r w:rsidRPr="003F7D41">
        <w:tab/>
        <w:t>4</w:t>
      </w:r>
    </w:p>
    <w:p w:rsidR="00C01AFE" w:rsidRPr="003F7D41" w:rsidRDefault="00C01AFE" w:rsidP="00C650C2">
      <w:pPr>
        <w:pStyle w:val="TOC2"/>
      </w:pPr>
    </w:p>
    <w:p w:rsidR="00C01AFE" w:rsidRPr="003F7D41" w:rsidRDefault="00C01AFE" w:rsidP="001574F0">
      <w:pPr>
        <w:pStyle w:val="TOC3"/>
      </w:pPr>
      <w:r w:rsidRPr="003F7D41">
        <w:t xml:space="preserve">A.1  </w:t>
      </w:r>
      <w:r w:rsidRPr="003F7D41">
        <w:tab/>
        <w:t>Circumstances that Make the Collection of Information Necessary</w:t>
      </w:r>
      <w:r w:rsidRPr="003F7D41">
        <w:tab/>
        <w:t>4</w:t>
      </w:r>
    </w:p>
    <w:p w:rsidR="00C01AFE" w:rsidRPr="003F7D41" w:rsidRDefault="00C01AFE" w:rsidP="001574F0">
      <w:pPr>
        <w:pStyle w:val="TOC3"/>
      </w:pPr>
      <w:r w:rsidRPr="003F7D41">
        <w:t>A.2</w:t>
      </w:r>
      <w:r w:rsidRPr="003F7D41">
        <w:tab/>
        <w:t>Purpose and Use of the Information</w:t>
      </w:r>
      <w:r w:rsidRPr="003F7D41">
        <w:tab/>
      </w:r>
      <w:r w:rsidR="00A35BB6" w:rsidRPr="003F7D41">
        <w:t>6</w:t>
      </w:r>
    </w:p>
    <w:p w:rsidR="00C01AFE" w:rsidRPr="003F7D41" w:rsidRDefault="00C01AFE" w:rsidP="001574F0">
      <w:pPr>
        <w:pStyle w:val="TOC3"/>
      </w:pPr>
      <w:r w:rsidRPr="003F7D41">
        <w:t>A.3</w:t>
      </w:r>
      <w:r w:rsidRPr="003F7D41">
        <w:tab/>
        <w:t>Use of Improved Technology and Burden Reduction</w:t>
      </w:r>
      <w:r w:rsidRPr="003F7D41">
        <w:tab/>
      </w:r>
      <w:r w:rsidR="00FC36E6" w:rsidRPr="003F7D41">
        <w:t>7</w:t>
      </w:r>
    </w:p>
    <w:p w:rsidR="00C01AFE" w:rsidRPr="003F7D41" w:rsidRDefault="00C01AFE" w:rsidP="001574F0">
      <w:pPr>
        <w:pStyle w:val="TOC3"/>
      </w:pPr>
      <w:r w:rsidRPr="003F7D41">
        <w:t>A.4</w:t>
      </w:r>
      <w:r w:rsidRPr="003F7D41">
        <w:tab/>
        <w:t>Efforts to Identify Duplication and Use of Similar Information</w:t>
      </w:r>
      <w:r w:rsidRPr="003F7D41">
        <w:tab/>
      </w:r>
      <w:r w:rsidR="00FC36E6" w:rsidRPr="003F7D41">
        <w:t>7</w:t>
      </w:r>
    </w:p>
    <w:p w:rsidR="00C01AFE" w:rsidRPr="003F7D41" w:rsidRDefault="00C01AFE" w:rsidP="001574F0">
      <w:pPr>
        <w:pStyle w:val="TOC3"/>
      </w:pPr>
      <w:r w:rsidRPr="003F7D41">
        <w:t>A.5</w:t>
      </w:r>
      <w:r w:rsidRPr="003F7D41">
        <w:tab/>
        <w:t>Impact of Small Business and Other Small Entities</w:t>
      </w:r>
      <w:r w:rsidRPr="003F7D41">
        <w:tab/>
      </w:r>
      <w:r w:rsidR="00A35BB6" w:rsidRPr="003F7D41">
        <w:t>7</w:t>
      </w:r>
    </w:p>
    <w:p w:rsidR="00C01AFE" w:rsidRPr="003F7D41" w:rsidRDefault="00C01AFE" w:rsidP="001574F0">
      <w:pPr>
        <w:pStyle w:val="TOC3"/>
      </w:pPr>
      <w:r w:rsidRPr="003F7D41">
        <w:t>A.6</w:t>
      </w:r>
      <w:r w:rsidRPr="003F7D41">
        <w:tab/>
        <w:t xml:space="preserve">Consequences of Collecting the Information Less Frequently </w:t>
      </w:r>
      <w:r w:rsidRPr="003F7D41">
        <w:tab/>
      </w:r>
      <w:r w:rsidR="00A35BB6" w:rsidRPr="003F7D41">
        <w:t>7</w:t>
      </w:r>
    </w:p>
    <w:p w:rsidR="00C01AFE" w:rsidRPr="003F7D41" w:rsidRDefault="00C01AFE" w:rsidP="001574F0">
      <w:pPr>
        <w:pStyle w:val="TOC3"/>
      </w:pPr>
      <w:r w:rsidRPr="003F7D41">
        <w:t>A.7</w:t>
      </w:r>
      <w:r w:rsidRPr="003F7D41">
        <w:tab/>
        <w:t>Special Circumstances Relating to the Guidelines of 5 CFR 1320.5</w:t>
      </w:r>
      <w:r w:rsidRPr="003F7D41">
        <w:tab/>
      </w:r>
      <w:r w:rsidR="00A35BB6" w:rsidRPr="003F7D41">
        <w:t>7</w:t>
      </w:r>
    </w:p>
    <w:p w:rsidR="00C01AFE" w:rsidRPr="003F7D41" w:rsidRDefault="00C01AFE" w:rsidP="001574F0">
      <w:pPr>
        <w:pStyle w:val="TOC3"/>
      </w:pPr>
      <w:r w:rsidRPr="003F7D41">
        <w:t>A.8</w:t>
      </w:r>
      <w:r w:rsidRPr="003F7D41">
        <w:tab/>
        <w:t xml:space="preserve">Comments in Response to the Federal Register Notice and Efforts to Consult Outside the Agency </w:t>
      </w:r>
      <w:r w:rsidRPr="003F7D41">
        <w:tab/>
      </w:r>
      <w:r w:rsidR="00A35BB6" w:rsidRPr="003F7D41">
        <w:t>7</w:t>
      </w:r>
    </w:p>
    <w:p w:rsidR="00C01AFE" w:rsidRPr="003F7D41" w:rsidRDefault="00C01AFE" w:rsidP="001574F0">
      <w:pPr>
        <w:pStyle w:val="TOC3"/>
      </w:pPr>
      <w:r w:rsidRPr="003F7D41">
        <w:t>A.9</w:t>
      </w:r>
      <w:r w:rsidRPr="003F7D41">
        <w:tab/>
        <w:t>Explanation of Any Payment or Gift to Respondents</w:t>
      </w:r>
      <w:r w:rsidRPr="003F7D41">
        <w:tab/>
      </w:r>
      <w:r w:rsidR="00FC36E6" w:rsidRPr="003F7D41">
        <w:t>9</w:t>
      </w:r>
    </w:p>
    <w:p w:rsidR="00C01AFE" w:rsidRPr="003F7D41" w:rsidRDefault="00C01AFE" w:rsidP="001574F0">
      <w:pPr>
        <w:pStyle w:val="TOC3"/>
      </w:pPr>
      <w:r w:rsidRPr="003F7D41">
        <w:t>A.10</w:t>
      </w:r>
      <w:r w:rsidRPr="003F7D41">
        <w:tab/>
        <w:t>Assurance of Confidentiality Provided to Respondents</w:t>
      </w:r>
      <w:r w:rsidRPr="003F7D41">
        <w:tab/>
      </w:r>
      <w:r w:rsidR="00FC36E6" w:rsidRPr="003F7D41">
        <w:t>9</w:t>
      </w:r>
    </w:p>
    <w:p w:rsidR="00C01AFE" w:rsidRPr="003F7D41" w:rsidRDefault="00C01AFE" w:rsidP="001574F0">
      <w:pPr>
        <w:pStyle w:val="TOC3"/>
      </w:pPr>
      <w:r w:rsidRPr="003F7D41">
        <w:t>A.11</w:t>
      </w:r>
      <w:r w:rsidRPr="003F7D41">
        <w:tab/>
        <w:t>Justification for Sensitive Questions</w:t>
      </w:r>
      <w:r w:rsidRPr="003F7D41">
        <w:tab/>
      </w:r>
      <w:r w:rsidR="00FC36E6" w:rsidRPr="003F7D41">
        <w:t>10</w:t>
      </w:r>
    </w:p>
    <w:p w:rsidR="00C01AFE" w:rsidRPr="003F7D41" w:rsidRDefault="00C01AFE" w:rsidP="001574F0">
      <w:pPr>
        <w:pStyle w:val="TOC3"/>
      </w:pPr>
      <w:r w:rsidRPr="003F7D41">
        <w:t>A.12</w:t>
      </w:r>
      <w:r w:rsidRPr="003F7D41">
        <w:tab/>
        <w:t xml:space="preserve">Estimates of </w:t>
      </w:r>
      <w:proofErr w:type="spellStart"/>
      <w:r w:rsidRPr="003F7D41">
        <w:t>Hour</w:t>
      </w:r>
      <w:proofErr w:type="spellEnd"/>
      <w:r w:rsidRPr="003F7D41">
        <w:t xml:space="preserve"> Burden Including Annualized Hourly Costs</w:t>
      </w:r>
      <w:r w:rsidRPr="003F7D41">
        <w:tab/>
      </w:r>
      <w:r w:rsidR="00FC36E6" w:rsidRPr="003F7D41">
        <w:t>10</w:t>
      </w:r>
    </w:p>
    <w:p w:rsidR="00C01AFE" w:rsidRPr="003F7D41" w:rsidRDefault="00C01AFE" w:rsidP="001574F0">
      <w:pPr>
        <w:pStyle w:val="TOC3"/>
      </w:pPr>
      <w:r w:rsidRPr="003F7D41">
        <w:t>A.13</w:t>
      </w:r>
      <w:r w:rsidRPr="003F7D41">
        <w:tab/>
        <w:t>Estimates of Other Total Annual Cost Burden to Respondents or</w:t>
      </w:r>
    </w:p>
    <w:p w:rsidR="00C01AFE" w:rsidRPr="003F7D41" w:rsidRDefault="00C01AFE" w:rsidP="001574F0">
      <w:pPr>
        <w:pStyle w:val="TOC3"/>
      </w:pPr>
      <w:r w:rsidRPr="003F7D41">
        <w:t xml:space="preserve">             </w:t>
      </w:r>
      <w:r w:rsidR="008F47B9" w:rsidRPr="003F7D41">
        <w:tab/>
      </w:r>
      <w:r w:rsidRPr="003F7D41">
        <w:t>Record</w:t>
      </w:r>
      <w:r w:rsidR="00B74D9F" w:rsidRPr="003F7D41">
        <w:t xml:space="preserve"> K</w:t>
      </w:r>
      <w:r w:rsidRPr="003F7D41">
        <w:t>eepers</w:t>
      </w:r>
      <w:r w:rsidRPr="003F7D41">
        <w:tab/>
        <w:t>1</w:t>
      </w:r>
      <w:r w:rsidR="00FC36E6" w:rsidRPr="003F7D41">
        <w:t>1</w:t>
      </w:r>
    </w:p>
    <w:p w:rsidR="00C01AFE" w:rsidRPr="003F7D41" w:rsidRDefault="00C01AFE" w:rsidP="001574F0">
      <w:pPr>
        <w:pStyle w:val="TOC3"/>
      </w:pPr>
      <w:r w:rsidRPr="003F7D41">
        <w:t>A.14</w:t>
      </w:r>
      <w:r w:rsidRPr="003F7D41">
        <w:tab/>
        <w:t>Annualized Cost to the Federal Government</w:t>
      </w:r>
      <w:r w:rsidRPr="003F7D41">
        <w:tab/>
        <w:t>1</w:t>
      </w:r>
      <w:r w:rsidR="00FC36E6" w:rsidRPr="003F7D41">
        <w:t>1</w:t>
      </w:r>
    </w:p>
    <w:p w:rsidR="00BB2EF0" w:rsidRPr="003F7D41" w:rsidRDefault="00C01AFE" w:rsidP="001574F0">
      <w:pPr>
        <w:pStyle w:val="TOC3"/>
      </w:pPr>
      <w:r w:rsidRPr="003F7D41">
        <w:t>A.15</w:t>
      </w:r>
      <w:r w:rsidRPr="003F7D41">
        <w:tab/>
        <w:t>Explanation for Program Changes or Adjustments</w:t>
      </w:r>
      <w:r w:rsidRPr="003F7D41">
        <w:tab/>
        <w:t>1</w:t>
      </w:r>
      <w:r w:rsidR="00FC36E6" w:rsidRPr="003F7D41">
        <w:t>1</w:t>
      </w:r>
    </w:p>
    <w:p w:rsidR="00C01AFE" w:rsidRPr="003F7D41" w:rsidRDefault="00C01AFE" w:rsidP="001574F0">
      <w:pPr>
        <w:pStyle w:val="TOC3"/>
      </w:pPr>
      <w:r w:rsidRPr="003F7D41">
        <w:t>A.16</w:t>
      </w:r>
      <w:r w:rsidRPr="003F7D41">
        <w:tab/>
        <w:t>Plans for Tabulation and Publication and Project Time Schedule</w:t>
      </w:r>
      <w:r w:rsidRPr="003F7D41">
        <w:tab/>
        <w:t>1</w:t>
      </w:r>
      <w:r w:rsidR="00FC36E6" w:rsidRPr="003F7D41">
        <w:t>1</w:t>
      </w:r>
    </w:p>
    <w:p w:rsidR="00C01AFE" w:rsidRPr="003F7D41" w:rsidRDefault="00C01AFE" w:rsidP="00BB2EF0">
      <w:pPr>
        <w:spacing w:after="0"/>
      </w:pPr>
      <w:r w:rsidRPr="003F7D41">
        <w:t xml:space="preserve">                       </w:t>
      </w:r>
      <w:r w:rsidR="00BB2EF0" w:rsidRPr="003F7D41">
        <w:t xml:space="preserve">     </w:t>
      </w:r>
      <w:r w:rsidRPr="003F7D41">
        <w:t xml:space="preserve"> A.17</w:t>
      </w:r>
      <w:r w:rsidRPr="003F7D41">
        <w:tab/>
        <w:t>Reason(s) Display of OMB Expiration Date Is Inappropriate</w:t>
      </w:r>
      <w:r w:rsidR="00BB2EF0" w:rsidRPr="003F7D41">
        <w:t>……</w:t>
      </w:r>
      <w:r w:rsidRPr="003F7D41">
        <w:t>……………..........</w:t>
      </w:r>
      <w:r w:rsidR="00BB2EF0" w:rsidRPr="003F7D41">
        <w:t xml:space="preserve">. </w:t>
      </w:r>
      <w:r w:rsidRPr="003F7D41">
        <w:t>1</w:t>
      </w:r>
      <w:r w:rsidR="00FC36E6" w:rsidRPr="003F7D41">
        <w:t>2</w:t>
      </w:r>
    </w:p>
    <w:p w:rsidR="00C01AFE" w:rsidRPr="003F7D41" w:rsidRDefault="00C01AFE" w:rsidP="001574F0">
      <w:pPr>
        <w:pStyle w:val="TOC3"/>
      </w:pPr>
      <w:r w:rsidRPr="003F7D41">
        <w:t>A.18</w:t>
      </w:r>
      <w:r w:rsidR="00BB2EF0" w:rsidRPr="003F7D41">
        <w:t xml:space="preserve"> </w:t>
      </w:r>
      <w:r w:rsidR="00BB2EF0" w:rsidRPr="003F7D41">
        <w:tab/>
        <w:t>E</w:t>
      </w:r>
      <w:r w:rsidRPr="003F7D41">
        <w:t>xceptions to Certification for Paperwork Reduction Act Submission</w:t>
      </w:r>
      <w:r w:rsidRPr="003F7D41">
        <w:tab/>
        <w:t>1</w:t>
      </w:r>
      <w:r w:rsidR="00FC36E6" w:rsidRPr="003F7D41">
        <w:t>2</w:t>
      </w:r>
    </w:p>
    <w:p w:rsidR="00C01AFE" w:rsidRPr="003F7D41" w:rsidRDefault="00C01AFE" w:rsidP="00C01AFE"/>
    <w:p w:rsidR="00C01AFE" w:rsidRPr="003F7D41" w:rsidRDefault="00C01AFE" w:rsidP="00C650C2">
      <w:pPr>
        <w:pStyle w:val="TOC2"/>
      </w:pPr>
      <w:r w:rsidRPr="003F7D41">
        <w:t>B.  COLLECTION OF INFORMATION EMPLOYING STATISTICAL METHODS</w:t>
      </w:r>
      <w:r w:rsidRPr="003F7D41">
        <w:tab/>
        <w:t>1</w:t>
      </w:r>
      <w:r w:rsidR="00FC36E6" w:rsidRPr="003F7D41">
        <w:t>3</w:t>
      </w:r>
    </w:p>
    <w:p w:rsidR="00C01AFE" w:rsidRPr="003F7D41" w:rsidRDefault="00C01AFE" w:rsidP="00C650C2">
      <w:pPr>
        <w:pStyle w:val="TOC2"/>
      </w:pPr>
    </w:p>
    <w:p w:rsidR="00C01AFE" w:rsidRPr="003F7D41" w:rsidRDefault="00C01AFE" w:rsidP="001574F0">
      <w:pPr>
        <w:pStyle w:val="TOC3"/>
      </w:pPr>
      <w:r w:rsidRPr="003F7D41">
        <w:t xml:space="preserve">B.1 </w:t>
      </w:r>
      <w:r w:rsidRPr="003F7D41">
        <w:tab/>
        <w:t>Respondent Universe and Sampling Methods</w:t>
      </w:r>
      <w:r w:rsidRPr="003F7D41">
        <w:tab/>
        <w:t>1</w:t>
      </w:r>
      <w:r w:rsidR="00FC36E6" w:rsidRPr="003F7D41">
        <w:t>3</w:t>
      </w:r>
    </w:p>
    <w:p w:rsidR="00C01AFE" w:rsidRPr="003F7D41" w:rsidRDefault="00C01AFE" w:rsidP="001574F0">
      <w:pPr>
        <w:pStyle w:val="TOC3"/>
      </w:pPr>
      <w:r w:rsidRPr="003F7D41">
        <w:t xml:space="preserve">B.2  </w:t>
      </w:r>
      <w:r w:rsidRPr="003F7D41">
        <w:tab/>
        <w:t>Procedures for the Collection of Information</w:t>
      </w:r>
      <w:r w:rsidRPr="003F7D41">
        <w:tab/>
        <w:t>1</w:t>
      </w:r>
      <w:r w:rsidR="00FC36E6" w:rsidRPr="003F7D41">
        <w:t>3</w:t>
      </w:r>
    </w:p>
    <w:p w:rsidR="00C01AFE" w:rsidRPr="003F7D41" w:rsidRDefault="00C01AFE" w:rsidP="001574F0">
      <w:pPr>
        <w:pStyle w:val="TOC3"/>
      </w:pPr>
      <w:r w:rsidRPr="003F7D41">
        <w:t>B.3</w:t>
      </w:r>
      <w:r w:rsidRPr="003F7D41">
        <w:tab/>
        <w:t>Methods to Maximize Response Rates and Address Non-Response</w:t>
      </w:r>
      <w:r w:rsidRPr="003F7D41">
        <w:tab/>
        <w:t>1</w:t>
      </w:r>
      <w:r w:rsidR="00FC36E6" w:rsidRPr="003F7D41">
        <w:t>3</w:t>
      </w:r>
    </w:p>
    <w:p w:rsidR="00C01AFE" w:rsidRPr="003F7D41" w:rsidRDefault="00C01AFE" w:rsidP="001574F0">
      <w:pPr>
        <w:pStyle w:val="TOC3"/>
      </w:pPr>
      <w:r w:rsidRPr="003F7D41">
        <w:t>B.4</w:t>
      </w:r>
      <w:r w:rsidRPr="003F7D41">
        <w:tab/>
        <w:t>Test of Procedures or Methods to be Undertaken</w:t>
      </w:r>
      <w:r w:rsidRPr="003F7D41">
        <w:tab/>
        <w:t>1</w:t>
      </w:r>
      <w:r w:rsidR="00FC36E6" w:rsidRPr="003F7D41">
        <w:t>3</w:t>
      </w:r>
    </w:p>
    <w:p w:rsidR="00C01AFE" w:rsidRPr="003F7D41" w:rsidRDefault="00C01AFE" w:rsidP="001574F0">
      <w:pPr>
        <w:pStyle w:val="TOC3"/>
      </w:pPr>
      <w:r w:rsidRPr="003F7D41">
        <w:t>B.5</w:t>
      </w:r>
      <w:r w:rsidRPr="003F7D41">
        <w:tab/>
        <w:t>Individuals Consulted on Statistical Aspects and Individuals</w:t>
      </w:r>
    </w:p>
    <w:p w:rsidR="00C01AFE" w:rsidRPr="003F7D41" w:rsidRDefault="00C01AFE" w:rsidP="001574F0">
      <w:pPr>
        <w:pStyle w:val="TOC3"/>
      </w:pPr>
      <w:r w:rsidRPr="003F7D41">
        <w:t xml:space="preserve">             Collecting and/or Analyzing Data</w:t>
      </w:r>
      <w:r w:rsidRPr="003F7D41">
        <w:tab/>
        <w:t>1</w:t>
      </w:r>
      <w:r w:rsidR="00FC36E6" w:rsidRPr="003F7D41">
        <w:t>3</w:t>
      </w:r>
    </w:p>
    <w:p w:rsidR="00C01AFE" w:rsidRPr="003F7D41" w:rsidRDefault="00C01AFE" w:rsidP="00C01AFE"/>
    <w:p w:rsidR="00C01AFE" w:rsidRPr="003F7D41" w:rsidRDefault="00C01AFE" w:rsidP="00C650C2">
      <w:pPr>
        <w:pStyle w:val="TOC2"/>
      </w:pPr>
      <w:r w:rsidRPr="003F7D41">
        <w:t>REFERENCES</w:t>
      </w:r>
      <w:r w:rsidRPr="003F7D41">
        <w:tab/>
        <w:t>1</w:t>
      </w:r>
      <w:r w:rsidR="00A35BB6" w:rsidRPr="003F7D41">
        <w:t>5</w:t>
      </w:r>
    </w:p>
    <w:p w:rsidR="00C01AFE" w:rsidRPr="003F7D41" w:rsidRDefault="00C01AFE" w:rsidP="00C01AFE"/>
    <w:p w:rsidR="00C01AFE" w:rsidRPr="003F7D41" w:rsidRDefault="00C01AFE" w:rsidP="00C01AFE">
      <w:pPr>
        <w:autoSpaceDE w:val="0"/>
        <w:autoSpaceDN w:val="0"/>
        <w:adjustRightInd w:val="0"/>
      </w:pPr>
    </w:p>
    <w:p w:rsidR="00C01AFE" w:rsidRPr="003F7D41" w:rsidRDefault="00C01AFE" w:rsidP="00C01AFE">
      <w:pPr>
        <w:autoSpaceDE w:val="0"/>
        <w:autoSpaceDN w:val="0"/>
        <w:adjustRightInd w:val="0"/>
      </w:pPr>
    </w:p>
    <w:p w:rsidR="00C650C2" w:rsidRPr="003F7D41" w:rsidRDefault="001574F0" w:rsidP="00C650C2">
      <w:pPr>
        <w:pStyle w:val="TOC2"/>
      </w:pPr>
      <w:r w:rsidRPr="003F7D41">
        <w:br w:type="page"/>
      </w:r>
      <w:r w:rsidR="00C650C2" w:rsidRPr="003F7D41">
        <w:lastRenderedPageBreak/>
        <w:t>LIST OF TABLES</w:t>
      </w:r>
    </w:p>
    <w:p w:rsidR="00C650C2" w:rsidRPr="003F7D41" w:rsidRDefault="00C650C2" w:rsidP="00C650C2">
      <w:pPr>
        <w:pStyle w:val="TOC2"/>
      </w:pPr>
    </w:p>
    <w:p w:rsidR="00C650C2" w:rsidRPr="003F7D41" w:rsidRDefault="00C650C2" w:rsidP="00C650C2">
      <w:pPr>
        <w:pStyle w:val="TOC2"/>
        <w:rPr>
          <w:b w:val="0"/>
        </w:rPr>
      </w:pPr>
      <w:r w:rsidRPr="003F7D41">
        <w:rPr>
          <w:b w:val="0"/>
        </w:rPr>
        <w:t>A.12A</w:t>
      </w:r>
      <w:r w:rsidRPr="003F7D41">
        <w:rPr>
          <w:b w:val="0"/>
        </w:rPr>
        <w:tab/>
      </w:r>
      <w:r w:rsidR="00AF5E36" w:rsidRPr="003F7D41">
        <w:rPr>
          <w:b w:val="0"/>
        </w:rPr>
        <w:t>Estimate of Respondent Hour Burden</w:t>
      </w:r>
      <w:r w:rsidRPr="003F7D41">
        <w:rPr>
          <w:b w:val="0"/>
        </w:rPr>
        <w:tab/>
        <w:t>1</w:t>
      </w:r>
      <w:r w:rsidR="00E47592" w:rsidRPr="003F7D41">
        <w:rPr>
          <w:b w:val="0"/>
        </w:rPr>
        <w:t>0</w:t>
      </w:r>
    </w:p>
    <w:p w:rsidR="00C650C2" w:rsidRPr="003F7D41" w:rsidRDefault="00C650C2" w:rsidP="00C650C2">
      <w:pPr>
        <w:pStyle w:val="TOC2"/>
        <w:rPr>
          <w:b w:val="0"/>
        </w:rPr>
      </w:pPr>
      <w:r w:rsidRPr="003F7D41">
        <w:rPr>
          <w:b w:val="0"/>
        </w:rPr>
        <w:t>A.12</w:t>
      </w:r>
      <w:r w:rsidR="00E47592" w:rsidRPr="003F7D41">
        <w:rPr>
          <w:b w:val="0"/>
        </w:rPr>
        <w:t>B</w:t>
      </w:r>
      <w:r w:rsidRPr="003F7D41">
        <w:rPr>
          <w:b w:val="0"/>
        </w:rPr>
        <w:tab/>
      </w:r>
      <w:r w:rsidR="00AF5E36" w:rsidRPr="003F7D41">
        <w:rPr>
          <w:b w:val="0"/>
        </w:rPr>
        <w:t>Annualized Cost to Respondents</w:t>
      </w:r>
      <w:r w:rsidR="00E47592" w:rsidRPr="003F7D41">
        <w:rPr>
          <w:b w:val="0"/>
        </w:rPr>
        <w:tab/>
        <w:t>10</w:t>
      </w:r>
    </w:p>
    <w:p w:rsidR="00C650C2" w:rsidRPr="003F7D41" w:rsidRDefault="00C650C2" w:rsidP="00C650C2">
      <w:pPr>
        <w:pStyle w:val="TOC2"/>
        <w:rPr>
          <w:b w:val="0"/>
        </w:rPr>
      </w:pPr>
      <w:r w:rsidRPr="003F7D41">
        <w:rPr>
          <w:b w:val="0"/>
        </w:rPr>
        <w:t>A.</w:t>
      </w:r>
      <w:r w:rsidR="00E47592" w:rsidRPr="003F7D41">
        <w:rPr>
          <w:b w:val="0"/>
        </w:rPr>
        <w:t>16</w:t>
      </w:r>
      <w:r w:rsidRPr="003F7D41">
        <w:rPr>
          <w:b w:val="0"/>
        </w:rPr>
        <w:tab/>
      </w:r>
      <w:r w:rsidR="00AF5E36" w:rsidRPr="003F7D41">
        <w:rPr>
          <w:b w:val="0"/>
        </w:rPr>
        <w:t>Project Time Schedule</w:t>
      </w:r>
      <w:r w:rsidR="00E47592" w:rsidRPr="003F7D41">
        <w:rPr>
          <w:b w:val="0"/>
        </w:rPr>
        <w:tab/>
        <w:t>11</w:t>
      </w:r>
    </w:p>
    <w:p w:rsidR="00C650C2" w:rsidRPr="003F7D41" w:rsidRDefault="00C650C2" w:rsidP="00C650C2"/>
    <w:p w:rsidR="00C650C2" w:rsidRPr="003F7D41" w:rsidRDefault="00C650C2" w:rsidP="00C650C2">
      <w:pPr>
        <w:rPr>
          <w:b/>
        </w:rPr>
      </w:pPr>
      <w:r w:rsidRPr="003F7D41">
        <w:tab/>
      </w:r>
      <w:r w:rsidRPr="003F7D41">
        <w:rPr>
          <w:b/>
        </w:rPr>
        <w:t>ATTACHMENTS</w:t>
      </w:r>
    </w:p>
    <w:p w:rsidR="00C650C2" w:rsidRPr="003F7D41" w:rsidRDefault="00C650C2" w:rsidP="00C650C2">
      <w:pPr>
        <w:pStyle w:val="TOC3"/>
      </w:pPr>
      <w:r w:rsidRPr="003F7D41">
        <w:tab/>
      </w:r>
    </w:p>
    <w:p w:rsidR="00C650C2" w:rsidRPr="003F7D41" w:rsidRDefault="00AF5E36" w:rsidP="00C650C2">
      <w:pPr>
        <w:pStyle w:val="TOC2"/>
        <w:rPr>
          <w:b w:val="0"/>
        </w:rPr>
      </w:pPr>
      <w:r w:rsidRPr="003F7D41">
        <w:rPr>
          <w:b w:val="0"/>
        </w:rPr>
        <w:t>1</w:t>
      </w:r>
      <w:r w:rsidR="00C650C2" w:rsidRPr="003F7D41">
        <w:rPr>
          <w:b w:val="0"/>
        </w:rPr>
        <w:tab/>
      </w:r>
      <w:r w:rsidRPr="003F7D41">
        <w:rPr>
          <w:b w:val="0"/>
        </w:rPr>
        <w:t>Legal Authority</w:t>
      </w:r>
      <w:r w:rsidR="00C650C2" w:rsidRPr="003F7D41">
        <w:rPr>
          <w:b w:val="0"/>
        </w:rPr>
        <w:tab/>
      </w:r>
    </w:p>
    <w:p w:rsidR="00C650C2" w:rsidRPr="003F7D41" w:rsidRDefault="00AF5E36" w:rsidP="00C650C2">
      <w:pPr>
        <w:pStyle w:val="TOC2"/>
        <w:rPr>
          <w:b w:val="0"/>
        </w:rPr>
      </w:pPr>
      <w:r w:rsidRPr="003F7D41">
        <w:rPr>
          <w:b w:val="0"/>
        </w:rPr>
        <w:t>2</w:t>
      </w:r>
      <w:r w:rsidR="00C650C2" w:rsidRPr="003F7D41">
        <w:rPr>
          <w:b w:val="0"/>
        </w:rPr>
        <w:tab/>
      </w:r>
      <w:r w:rsidRPr="003F7D41">
        <w:rPr>
          <w:b w:val="0"/>
        </w:rPr>
        <w:t>60-Day Federal Register Notice</w:t>
      </w:r>
      <w:r w:rsidRPr="003F7D41">
        <w:rPr>
          <w:b w:val="0"/>
        </w:rPr>
        <w:tab/>
      </w:r>
    </w:p>
    <w:p w:rsidR="00C650C2" w:rsidRPr="003F7D41" w:rsidRDefault="00AF5E36" w:rsidP="00C650C2">
      <w:pPr>
        <w:pStyle w:val="TOC2"/>
        <w:rPr>
          <w:b w:val="0"/>
        </w:rPr>
      </w:pPr>
      <w:r w:rsidRPr="003F7D41">
        <w:rPr>
          <w:b w:val="0"/>
        </w:rPr>
        <w:t>3</w:t>
      </w:r>
      <w:r w:rsidR="00C650C2" w:rsidRPr="003F7D41">
        <w:rPr>
          <w:b w:val="0"/>
        </w:rPr>
        <w:tab/>
      </w:r>
      <w:r w:rsidRPr="003F7D41">
        <w:rPr>
          <w:b w:val="0"/>
        </w:rPr>
        <w:t>Focus Group Screening Instrument</w:t>
      </w:r>
      <w:r w:rsidR="00C650C2" w:rsidRPr="003F7D41">
        <w:rPr>
          <w:b w:val="0"/>
        </w:rPr>
        <w:tab/>
      </w:r>
    </w:p>
    <w:p w:rsidR="00C650C2" w:rsidRPr="003F7D41" w:rsidRDefault="00AF5E36" w:rsidP="00C650C2">
      <w:pPr>
        <w:pStyle w:val="TOC2"/>
        <w:rPr>
          <w:b w:val="0"/>
        </w:rPr>
      </w:pPr>
      <w:r w:rsidRPr="003F7D41">
        <w:rPr>
          <w:b w:val="0"/>
        </w:rPr>
        <w:t>4</w:t>
      </w:r>
      <w:r w:rsidR="00C650C2" w:rsidRPr="003F7D41">
        <w:rPr>
          <w:b w:val="0"/>
        </w:rPr>
        <w:tab/>
      </w:r>
      <w:r w:rsidRPr="003F7D41">
        <w:rPr>
          <w:b w:val="0"/>
        </w:rPr>
        <w:t>Exploratory Focus Group Discussion Guide</w:t>
      </w:r>
      <w:r w:rsidRPr="003F7D41">
        <w:rPr>
          <w:b w:val="0"/>
        </w:rPr>
        <w:tab/>
      </w:r>
    </w:p>
    <w:p w:rsidR="00C650C2" w:rsidRPr="003F7D41" w:rsidRDefault="00AF5E36" w:rsidP="00C650C2">
      <w:pPr>
        <w:pStyle w:val="TOC2"/>
        <w:rPr>
          <w:b w:val="0"/>
        </w:rPr>
      </w:pPr>
      <w:r w:rsidRPr="003F7D41">
        <w:rPr>
          <w:b w:val="0"/>
        </w:rPr>
        <w:t>5</w:t>
      </w:r>
      <w:r w:rsidR="00C650C2" w:rsidRPr="003F7D41">
        <w:rPr>
          <w:b w:val="0"/>
        </w:rPr>
        <w:tab/>
      </w:r>
      <w:r w:rsidRPr="003F7D41">
        <w:rPr>
          <w:b w:val="0"/>
        </w:rPr>
        <w:t>Message Testing Focus Group Discussion Guide</w:t>
      </w:r>
      <w:r w:rsidR="00C650C2" w:rsidRPr="003F7D41">
        <w:rPr>
          <w:b w:val="0"/>
        </w:rPr>
        <w:tab/>
      </w:r>
    </w:p>
    <w:p w:rsidR="00C650C2" w:rsidRPr="003F7D41" w:rsidRDefault="00AF5E36" w:rsidP="00C650C2">
      <w:pPr>
        <w:pStyle w:val="TOC2"/>
        <w:rPr>
          <w:b w:val="0"/>
        </w:rPr>
      </w:pPr>
      <w:r w:rsidRPr="003F7D41">
        <w:rPr>
          <w:b w:val="0"/>
        </w:rPr>
        <w:t>6</w:t>
      </w:r>
      <w:r w:rsidR="00C650C2" w:rsidRPr="003F7D41">
        <w:rPr>
          <w:b w:val="0"/>
        </w:rPr>
        <w:tab/>
      </w:r>
      <w:r w:rsidRPr="003F7D41">
        <w:rPr>
          <w:b w:val="0"/>
        </w:rPr>
        <w:t>Informed Consent</w:t>
      </w:r>
      <w:r w:rsidRPr="003F7D41">
        <w:rPr>
          <w:b w:val="0"/>
        </w:rPr>
        <w:tab/>
      </w:r>
    </w:p>
    <w:p w:rsidR="00C650C2" w:rsidRDefault="00AF5E36" w:rsidP="00C650C2">
      <w:pPr>
        <w:pStyle w:val="TOC2"/>
        <w:rPr>
          <w:b w:val="0"/>
        </w:rPr>
      </w:pPr>
      <w:r w:rsidRPr="003F7D41">
        <w:rPr>
          <w:b w:val="0"/>
        </w:rPr>
        <w:t>7</w:t>
      </w:r>
      <w:r w:rsidR="00C650C2" w:rsidRPr="003F7D41">
        <w:rPr>
          <w:b w:val="0"/>
        </w:rPr>
        <w:tab/>
      </w:r>
      <w:r w:rsidRPr="003F7D41">
        <w:rPr>
          <w:b w:val="0"/>
        </w:rPr>
        <w:t xml:space="preserve">Westat IRB </w:t>
      </w:r>
      <w:r w:rsidR="004F218B" w:rsidRPr="003F7D41">
        <w:rPr>
          <w:b w:val="0"/>
        </w:rPr>
        <w:t>Approval</w:t>
      </w:r>
      <w:r w:rsidRPr="003F7D41">
        <w:rPr>
          <w:b w:val="0"/>
        </w:rPr>
        <w:tab/>
      </w:r>
    </w:p>
    <w:p w:rsidR="00C650C2" w:rsidRPr="003F7D41" w:rsidRDefault="00C60FB5" w:rsidP="00C650C2">
      <w:pPr>
        <w:pStyle w:val="Heading7"/>
      </w:pPr>
      <w:r w:rsidRPr="00C60FB5">
        <w:fldChar w:fldCharType="begin"/>
      </w:r>
      <w:r w:rsidR="00C650C2" w:rsidRPr="003F7D41">
        <w:instrText>TOC \f</w:instrText>
      </w:r>
      <w:r w:rsidRPr="00C60FB5">
        <w:fldChar w:fldCharType="separate"/>
      </w:r>
    </w:p>
    <w:p w:rsidR="00C650C2" w:rsidRPr="003F7D41" w:rsidRDefault="00C650C2" w:rsidP="00C650C2">
      <w:pPr>
        <w:tabs>
          <w:tab w:val="left" w:pos="0"/>
          <w:tab w:val="left" w:pos="720"/>
          <w:tab w:val="left" w:pos="1440"/>
          <w:tab w:val="right" w:leader="dot" w:pos="9360"/>
        </w:tabs>
        <w:autoSpaceDE w:val="0"/>
        <w:autoSpaceDN w:val="0"/>
        <w:adjustRightInd w:val="0"/>
        <w:ind w:left="1440" w:hanging="720"/>
        <w:rPr>
          <w:vanish/>
        </w:rPr>
      </w:pPr>
    </w:p>
    <w:p w:rsidR="00C650C2" w:rsidRPr="003F7D41" w:rsidRDefault="00C60FB5" w:rsidP="00C650C2">
      <w:pPr>
        <w:jc w:val="both"/>
      </w:pPr>
      <w:r w:rsidRPr="003F7D41">
        <w:fldChar w:fldCharType="end"/>
      </w:r>
    </w:p>
    <w:p w:rsidR="00C650C2" w:rsidRPr="003F7D41" w:rsidRDefault="00C650C2" w:rsidP="00C650C2">
      <w:pPr>
        <w:jc w:val="both"/>
      </w:pPr>
    </w:p>
    <w:p w:rsidR="00C650C2" w:rsidRPr="003F7D41" w:rsidRDefault="00C650C2" w:rsidP="00C650C2">
      <w:pPr>
        <w:jc w:val="both"/>
      </w:pPr>
    </w:p>
    <w:p w:rsidR="00DF2087" w:rsidRPr="003F7D41" w:rsidRDefault="00DF2087">
      <w:pPr>
        <w:rPr>
          <w:b/>
        </w:rPr>
      </w:pPr>
      <w:r w:rsidRPr="003F7D41">
        <w:rPr>
          <w:b/>
        </w:rPr>
        <w:br w:type="page"/>
      </w:r>
    </w:p>
    <w:p w:rsidR="00DD3481" w:rsidRPr="003F7D41" w:rsidRDefault="00DD3481">
      <w:pPr>
        <w:rPr>
          <w:b/>
        </w:rPr>
      </w:pPr>
      <w:r w:rsidRPr="003F7D41">
        <w:rPr>
          <w:b/>
        </w:rPr>
        <w:t>A.</w:t>
      </w:r>
      <w:r w:rsidRPr="003F7D41">
        <w:rPr>
          <w:b/>
        </w:rPr>
        <w:tab/>
        <w:t>JUSTIFICATION</w:t>
      </w:r>
    </w:p>
    <w:p w:rsidR="00DD3481" w:rsidRPr="003F7D41" w:rsidRDefault="00DD3481">
      <w:pPr>
        <w:rPr>
          <w:b/>
        </w:rPr>
      </w:pPr>
      <w:r w:rsidRPr="003F7D41">
        <w:rPr>
          <w:b/>
        </w:rPr>
        <w:t>A.1</w:t>
      </w:r>
      <w:r w:rsidRPr="003F7D41">
        <w:rPr>
          <w:b/>
        </w:rPr>
        <w:tab/>
        <w:t>Circumstances That Make the Collection of Information Necessary</w:t>
      </w:r>
    </w:p>
    <w:p w:rsidR="00910D7A" w:rsidRPr="003F7D41" w:rsidRDefault="00910D7A" w:rsidP="00910D7A">
      <w:pPr>
        <w:rPr>
          <w:u w:val="single"/>
        </w:rPr>
      </w:pPr>
      <w:r w:rsidRPr="003F7D41">
        <w:rPr>
          <w:u w:val="single"/>
        </w:rPr>
        <w:t>Background</w:t>
      </w:r>
    </w:p>
    <w:p w:rsidR="00DD3481" w:rsidRPr="003F7D41" w:rsidRDefault="00DD3481">
      <w:r w:rsidRPr="003F7D41">
        <w:t xml:space="preserve">This Information Collection Request (ICR) is for a new data collection entitled </w:t>
      </w:r>
      <w:r w:rsidR="00627635" w:rsidRPr="003F7D41">
        <w:t>“</w:t>
      </w:r>
      <w:r w:rsidRPr="003F7D41">
        <w:t>Audience Analysis for Biomonitoring</w:t>
      </w:r>
      <w:r w:rsidR="00315B43" w:rsidRPr="003F7D41">
        <w:t>.</w:t>
      </w:r>
      <w:r w:rsidR="00627635" w:rsidRPr="003F7D41">
        <w:t>”</w:t>
      </w:r>
    </w:p>
    <w:p w:rsidR="00952D71" w:rsidRPr="003F7D41" w:rsidRDefault="003C069F" w:rsidP="0092047F">
      <w:r w:rsidRPr="003F7D41">
        <w:t>People’s exposure to environmental chemicals</w:t>
      </w:r>
      <w:r w:rsidR="00315B43" w:rsidRPr="003F7D41">
        <w:t xml:space="preserve"> can be a risk to their health.  </w:t>
      </w:r>
      <w:r w:rsidRPr="003F7D41">
        <w:t xml:space="preserve">Scientists at the </w:t>
      </w:r>
      <w:r w:rsidR="00627635" w:rsidRPr="003F7D41">
        <w:t>Centers for Disease Control and Prevention (</w:t>
      </w:r>
      <w:r w:rsidRPr="003F7D41">
        <w:t>CDC</w:t>
      </w:r>
      <w:r w:rsidR="00627635" w:rsidRPr="003F7D41">
        <w:t>)</w:t>
      </w:r>
      <w:r w:rsidRPr="003F7D41">
        <w:t xml:space="preserve"> use biomonitoring, which is the measurement of environmental chemicals in human tissues and fluids, to assess such exposure</w:t>
      </w:r>
      <w:r w:rsidR="00D65279" w:rsidRPr="003F7D41">
        <w:t xml:space="preserve"> (Sexton, Needham, &amp; Pirkle, 2004)</w:t>
      </w:r>
      <w:r w:rsidRPr="003F7D41">
        <w:t>.  Biomonitoring findings, however</w:t>
      </w:r>
      <w:r w:rsidR="00952D71" w:rsidRPr="003F7D41">
        <w:t xml:space="preserve">, do not typically provide information on health risks and toxicity data often lag behind new biomonitoring data. The health effects on humans are, therefore, often uncertain or unknown.  Furthermore, there is lack of published health standards, particularly because new sources or pathways to humans are being investigated or a new detection method or technology may still be evolving for many new or “emerging” chemicals.  </w:t>
      </w:r>
    </w:p>
    <w:p w:rsidR="00DC77AE" w:rsidRPr="003F7D41" w:rsidRDefault="00DC77AE" w:rsidP="00DC77AE">
      <w:r w:rsidRPr="003F7D41">
        <w:t>Findings from biomonitoring studies pose enormous challenges for those charged with interpreting and communicating results, particularly to scientific and nonscientific audiences without a biomonitoring background. In their 2006 report, Human Biomonitoring for Environmental Chemicals, the National Research Council</w:t>
      </w:r>
      <w:r w:rsidR="00627635" w:rsidRPr="003F7D41">
        <w:t xml:space="preserve"> (NRC)</w:t>
      </w:r>
      <w:r w:rsidRPr="003F7D41">
        <w:t xml:space="preserve"> describes communicating biomonitoring results as the most challenging issue facing the field, yet critical to the accurate interpretation and use of biomonitoring data (NRC, 2006).  Further complicating matters are the growing media coverage and public concern about chemicals found in the human body. As additional biomonitoring data are released, there is demand for answers and decreasing patience with the uncertainty that characterizes the interpretation of such results. </w:t>
      </w:r>
    </w:p>
    <w:p w:rsidR="00701E1C" w:rsidRPr="003F7D41" w:rsidRDefault="00701E1C" w:rsidP="00701E1C">
      <w:r w:rsidRPr="003F7D41">
        <w:t>C</w:t>
      </w:r>
      <w:r w:rsidR="00106192" w:rsidRPr="003F7D41">
        <w:t xml:space="preserve">ommunication of risk information is a fundamental aspect of nearly all health promotion interventions.  </w:t>
      </w:r>
      <w:r w:rsidRPr="003F7D41">
        <w:t xml:space="preserve">However, no consensus exists regarding the most effective way to provide people with risk information (Rothman &amp; </w:t>
      </w:r>
      <w:proofErr w:type="spellStart"/>
      <w:r w:rsidRPr="003F7D41">
        <w:t>Kiviniemi</w:t>
      </w:r>
      <w:proofErr w:type="spellEnd"/>
      <w:r w:rsidRPr="003F7D41">
        <w:t xml:space="preserve">, 1999).  </w:t>
      </w:r>
      <w:r w:rsidR="00DC77AE" w:rsidRPr="003F7D41">
        <w:t>For example, n</w:t>
      </w:r>
      <w:r w:rsidRPr="003F7D41">
        <w:t>umerical probability information offers people precise information regarding the probability that a health problem will occur.  However, the effectiveness of this communication approach is constrained by people’s inability to accurately interpret and use numerical probabilities.</w:t>
      </w:r>
    </w:p>
    <w:p w:rsidR="00315B43" w:rsidRPr="003F7D41" w:rsidRDefault="00DC77AE" w:rsidP="00315B43">
      <w:r w:rsidRPr="003F7D41">
        <w:t>The CDC is interested in developing a framework for communicating health risk messages, particularly, about emerging environmental chemicals</w:t>
      </w:r>
      <w:r w:rsidR="0033361D" w:rsidRPr="003F7D41">
        <w:t xml:space="preserve">.  </w:t>
      </w:r>
      <w:proofErr w:type="spellStart"/>
      <w:r w:rsidR="00315B43" w:rsidRPr="003F7D41">
        <w:t>Bisphenol</w:t>
      </w:r>
      <w:proofErr w:type="spellEnd"/>
      <w:r w:rsidR="00315B43" w:rsidRPr="003F7D41">
        <w:t xml:space="preserve"> </w:t>
      </w:r>
      <w:proofErr w:type="gramStart"/>
      <w:r w:rsidR="00315B43" w:rsidRPr="003F7D41">
        <w:t>A</w:t>
      </w:r>
      <w:proofErr w:type="gramEnd"/>
      <w:r w:rsidR="00315B43" w:rsidRPr="003F7D41">
        <w:t xml:space="preserve"> (BPA) and phthalates are examples of such emerging chemicals</w:t>
      </w:r>
      <w:r w:rsidR="00627635" w:rsidRPr="003F7D41">
        <w:t>,</w:t>
      </w:r>
      <w:r w:rsidR="00315B43" w:rsidRPr="003F7D41">
        <w:t xml:space="preserve"> which are included in the present study. There are other chemicals, such as mercury, where there is relatively more information available about health risks.  However public awareness about such risks is not always accurate and decisions are often made that result in missing certain health benefits.  Fish avoidance during pregnancy is a case in point</w:t>
      </w:r>
      <w:r w:rsidR="00336998" w:rsidRPr="003F7D41">
        <w:t xml:space="preserve"> (</w:t>
      </w:r>
      <w:proofErr w:type="spellStart"/>
      <w:r w:rsidR="00336998" w:rsidRPr="003F7D41">
        <w:t>Frithsen</w:t>
      </w:r>
      <w:proofErr w:type="spellEnd"/>
      <w:r w:rsidR="00336998" w:rsidRPr="003F7D41">
        <w:t xml:space="preserve"> &amp; Goodnight, 2009)</w:t>
      </w:r>
      <w:r w:rsidR="00315B43" w:rsidRPr="003F7D41">
        <w:t xml:space="preserve">.  </w:t>
      </w:r>
    </w:p>
    <w:p w:rsidR="00A72850" w:rsidRPr="003F7D41" w:rsidRDefault="0033361D" w:rsidP="00A72850">
      <w:r w:rsidRPr="003F7D41">
        <w:t xml:space="preserve">The three chemicals </w:t>
      </w:r>
      <w:r w:rsidR="00DC77AE" w:rsidRPr="003F7D41">
        <w:t xml:space="preserve">BPA, phthalates, and mercury </w:t>
      </w:r>
      <w:r w:rsidRPr="003F7D41">
        <w:t xml:space="preserve">have been selected </w:t>
      </w:r>
      <w:r w:rsidR="000A4F96" w:rsidRPr="003F7D41">
        <w:t xml:space="preserve">to test </w:t>
      </w:r>
      <w:r w:rsidRPr="003F7D41">
        <w:t>health risk</w:t>
      </w:r>
      <w:r w:rsidR="000A4F96" w:rsidRPr="003F7D41">
        <w:t xml:space="preserve"> messages</w:t>
      </w:r>
      <w:r w:rsidRPr="003F7D41">
        <w:t xml:space="preserve"> </w:t>
      </w:r>
      <w:r w:rsidR="00D910C6" w:rsidRPr="003F7D41">
        <w:t xml:space="preserve">with the target audience of selected women who are pregnant or have young children.  </w:t>
      </w:r>
      <w:r w:rsidR="000D7BA9" w:rsidRPr="003F7D41">
        <w:t>These chemicals have received attention from the media and have raised concerns from attentive public audiences.  T</w:t>
      </w:r>
      <w:r w:rsidR="00AD715B" w:rsidRPr="003F7D41">
        <w:t xml:space="preserve">hese chemicals </w:t>
      </w:r>
      <w:r w:rsidR="00FD3DAE" w:rsidRPr="003F7D41">
        <w:t>are</w:t>
      </w:r>
      <w:r w:rsidR="00AD715B" w:rsidRPr="003F7D41">
        <w:t xml:space="preserve"> of particular </w:t>
      </w:r>
      <w:r w:rsidR="00FD3DAE" w:rsidRPr="003F7D41">
        <w:t xml:space="preserve">concern to </w:t>
      </w:r>
      <w:r w:rsidR="001D1B66" w:rsidRPr="003F7D41">
        <w:t>selected</w:t>
      </w:r>
      <w:r w:rsidR="00AD715B" w:rsidRPr="003F7D41">
        <w:t xml:space="preserve"> </w:t>
      </w:r>
      <w:r w:rsidR="001D1B66" w:rsidRPr="003F7D41">
        <w:t xml:space="preserve">women </w:t>
      </w:r>
      <w:r w:rsidR="00AD715B" w:rsidRPr="003F7D41">
        <w:t>because t</w:t>
      </w:r>
      <w:r w:rsidR="00DC77AE" w:rsidRPr="003F7D41">
        <w:t xml:space="preserve">he risks of exposure are higher for young children </w:t>
      </w:r>
      <w:r w:rsidR="00AD715B" w:rsidRPr="003F7D41">
        <w:t>due</w:t>
      </w:r>
      <w:r w:rsidR="00DC77AE" w:rsidRPr="003F7D41">
        <w:t xml:space="preserve"> </w:t>
      </w:r>
      <w:r w:rsidR="00627635" w:rsidRPr="003F7D41">
        <w:t>to</w:t>
      </w:r>
      <w:r w:rsidR="00DC77AE" w:rsidRPr="003F7D41">
        <w:t xml:space="preserve"> their hand-to-mouth behaviors and direct oral (mouth) contact with materials containing these chemicals.  </w:t>
      </w:r>
      <w:r w:rsidR="00A72850" w:rsidRPr="003F7D41">
        <w:t>In addition</w:t>
      </w:r>
      <w:r w:rsidR="00DC77AE" w:rsidRPr="003F7D41">
        <w:t>, young children eat and drink more per pound of body weight than adults</w:t>
      </w:r>
      <w:r w:rsidR="00FD3DAE" w:rsidRPr="003F7D41">
        <w:t xml:space="preserve"> and</w:t>
      </w:r>
      <w:r w:rsidR="00627635" w:rsidRPr="003F7D41">
        <w:t>,</w:t>
      </w:r>
      <w:r w:rsidR="00FD3DAE" w:rsidRPr="003F7D41">
        <w:t xml:space="preserve"> hence</w:t>
      </w:r>
      <w:r w:rsidR="00627635" w:rsidRPr="003F7D41">
        <w:t>,</w:t>
      </w:r>
      <w:r w:rsidR="00FD3DAE" w:rsidRPr="003F7D41">
        <w:t xml:space="preserve"> more vulnerable to exposures from such chemicals</w:t>
      </w:r>
      <w:r w:rsidR="00DC77AE" w:rsidRPr="003F7D41">
        <w:t>.</w:t>
      </w:r>
      <w:r w:rsidR="000A4F96" w:rsidRPr="003F7D41">
        <w:t xml:space="preserve">  </w:t>
      </w:r>
      <w:r w:rsidR="000D7BA9" w:rsidRPr="003F7D41">
        <w:t xml:space="preserve">Furthermore, BPA and phthalates are found in products used by children.  </w:t>
      </w:r>
      <w:r w:rsidR="00A41168" w:rsidRPr="003F7D41">
        <w:t xml:space="preserve">For example, </w:t>
      </w:r>
      <w:r w:rsidR="001D1B66" w:rsidRPr="003F7D41">
        <w:t xml:space="preserve">BPA </w:t>
      </w:r>
      <w:r w:rsidR="00A41168" w:rsidRPr="003F7D41">
        <w:t>is used in plastics to make a number of products including beverage containers, baby bottles, and toys.</w:t>
      </w:r>
      <w:r w:rsidR="001D1B66" w:rsidRPr="003F7D41">
        <w:t xml:space="preserve"> </w:t>
      </w:r>
      <w:r w:rsidR="00A41168" w:rsidRPr="003F7D41">
        <w:t xml:space="preserve"> Phthalates are </w:t>
      </w:r>
      <w:r w:rsidR="00627635" w:rsidRPr="003F7D41">
        <w:t>also</w:t>
      </w:r>
      <w:r w:rsidR="00952D71" w:rsidRPr="003F7D41">
        <w:t xml:space="preserve"> </w:t>
      </w:r>
      <w:r w:rsidR="00A41168" w:rsidRPr="003F7D41">
        <w:t>used in plastics and found in children’s toys</w:t>
      </w:r>
      <w:r w:rsidR="00694B9F" w:rsidRPr="003F7D41">
        <w:t xml:space="preserve"> as well as in a number of other </w:t>
      </w:r>
      <w:r w:rsidR="00A41168" w:rsidRPr="003F7D41">
        <w:t>personal-care products</w:t>
      </w:r>
      <w:r w:rsidR="00694B9F" w:rsidRPr="003F7D41">
        <w:t xml:space="preserve">, such as </w:t>
      </w:r>
      <w:r w:rsidR="000D7BA9" w:rsidRPr="003F7D41">
        <w:t xml:space="preserve">detergents, </w:t>
      </w:r>
      <w:r w:rsidR="00A41168" w:rsidRPr="003F7D41">
        <w:t xml:space="preserve">soaps, </w:t>
      </w:r>
      <w:r w:rsidR="000D7BA9" w:rsidRPr="003F7D41">
        <w:t>and shampoos</w:t>
      </w:r>
      <w:r w:rsidR="00694B9F" w:rsidRPr="003F7D41">
        <w:t>.</w:t>
      </w:r>
      <w:r w:rsidR="00EF737F" w:rsidRPr="003F7D41">
        <w:t xml:space="preserve">  </w:t>
      </w:r>
      <w:r w:rsidR="008305F4" w:rsidRPr="003F7D41">
        <w:t>M</w:t>
      </w:r>
      <w:r w:rsidR="00EF737F" w:rsidRPr="003F7D41">
        <w:t>ercury</w:t>
      </w:r>
      <w:r w:rsidR="008305F4" w:rsidRPr="003F7D41">
        <w:t>, though not present in plastics,</w:t>
      </w:r>
      <w:r w:rsidR="00EF737F" w:rsidRPr="003F7D41">
        <w:t xml:space="preserve"> is found in air, water, and soil and exists in three forms that have different properties, usage, and toxicity.  </w:t>
      </w:r>
      <w:proofErr w:type="spellStart"/>
      <w:r w:rsidR="00A72850" w:rsidRPr="003F7D41">
        <w:t>Methylmercury</w:t>
      </w:r>
      <w:proofErr w:type="spellEnd"/>
      <w:r w:rsidR="00A72850" w:rsidRPr="003F7D41">
        <w:t xml:space="preserve"> is one form of mercury that accumulates in the food chain.  People can be exposed to mercury by </w:t>
      </w:r>
      <w:r w:rsidR="00EF737F" w:rsidRPr="003F7D41">
        <w:t xml:space="preserve">eating fish or shellfish contaminated with </w:t>
      </w:r>
      <w:proofErr w:type="spellStart"/>
      <w:r w:rsidR="00A72850" w:rsidRPr="003F7D41">
        <w:t>methyl</w:t>
      </w:r>
      <w:r w:rsidR="00EF737F" w:rsidRPr="003F7D41">
        <w:t>mercury</w:t>
      </w:r>
      <w:proofErr w:type="spellEnd"/>
      <w:r w:rsidR="00EF737F" w:rsidRPr="003F7D41">
        <w:t xml:space="preserve">.  </w:t>
      </w:r>
      <w:proofErr w:type="spellStart"/>
      <w:r w:rsidR="00A72850" w:rsidRPr="003F7D41">
        <w:t>Methylmercury</w:t>
      </w:r>
      <w:proofErr w:type="spellEnd"/>
      <w:r w:rsidR="00A72850" w:rsidRPr="003F7D41">
        <w:t xml:space="preserve"> can pass through the placenta exposing the developing fetus.</w:t>
      </w:r>
    </w:p>
    <w:p w:rsidR="00EF737F" w:rsidRPr="003F7D41" w:rsidRDefault="00EF737F" w:rsidP="00EF737F">
      <w:r w:rsidRPr="003F7D41">
        <w:t>For both BPA and phthalates, general exposure at low levels comes from consuming food or drinks stored in containers that have these chemicals.  At these low levels of exposure, human health effects of both these chemicals are unknown. Laboratory studies with animals have shown that BPA and some types of phthalates affect the reproductive system of animals.  More research is needed to assess the human health effects of exposure to these chemicals.  For mercury, the health effects at high</w:t>
      </w:r>
      <w:r w:rsidR="00627635" w:rsidRPr="003F7D41">
        <w:t xml:space="preserve"> levels or at low but prolonged </w:t>
      </w:r>
      <w:r w:rsidRPr="003F7D41">
        <w:t xml:space="preserve">levels of exposure include lung damage neurological disturbances, memory problems, skin rash, kidney abnormalities, and damage to the nervous system (e.g., infants born to women who were poisoned with </w:t>
      </w:r>
      <w:proofErr w:type="spellStart"/>
      <w:r w:rsidRPr="003F7D41">
        <w:t>methylmercury</w:t>
      </w:r>
      <w:proofErr w:type="spellEnd"/>
      <w:r w:rsidRPr="003F7D41">
        <w:t xml:space="preserve"> had developmental abnormalities and cerebral palsy). </w:t>
      </w:r>
    </w:p>
    <w:p w:rsidR="000D62FD" w:rsidRPr="003F7D41" w:rsidRDefault="000D62FD">
      <w:r w:rsidRPr="003F7D41">
        <w:t>CDC</w:t>
      </w:r>
      <w:r w:rsidR="0059164F" w:rsidRPr="003F7D41">
        <w:t xml:space="preserve"> provides </w:t>
      </w:r>
      <w:r w:rsidR="007F5B23" w:rsidRPr="003F7D41">
        <w:t>fact sheets on</w:t>
      </w:r>
      <w:r w:rsidR="0059164F" w:rsidRPr="003F7D41">
        <w:t xml:space="preserve"> these chemical</w:t>
      </w:r>
      <w:r w:rsidRPr="003F7D41">
        <w:t>s</w:t>
      </w:r>
      <w:r w:rsidR="0059164F" w:rsidRPr="003F7D41">
        <w:t>, including biomonitoring information</w:t>
      </w:r>
      <w:r w:rsidR="007F5B23" w:rsidRPr="003F7D41">
        <w:t>, on</w:t>
      </w:r>
      <w:r w:rsidR="0059164F" w:rsidRPr="003F7D41">
        <w:t xml:space="preserve"> its</w:t>
      </w:r>
      <w:r w:rsidRPr="003F7D41">
        <w:t xml:space="preserve"> website.  However, these materials </w:t>
      </w:r>
      <w:r w:rsidR="0059164F" w:rsidRPr="003F7D41">
        <w:t xml:space="preserve">have not been tested </w:t>
      </w:r>
      <w:r w:rsidR="007F5B23" w:rsidRPr="003F7D41">
        <w:t>with</w:t>
      </w:r>
      <w:r w:rsidR="0059164F" w:rsidRPr="003F7D41">
        <w:t xml:space="preserve"> its various public audiences to</w:t>
      </w:r>
      <w:r w:rsidR="0033181C" w:rsidRPr="003F7D41">
        <w:t xml:space="preserve"> see</w:t>
      </w:r>
      <w:r w:rsidR="00920EF2" w:rsidRPr="003F7D41">
        <w:t xml:space="preserve"> how the information </w:t>
      </w:r>
      <w:r w:rsidR="007F5B23" w:rsidRPr="003F7D41">
        <w:t xml:space="preserve">about health risks </w:t>
      </w:r>
      <w:r w:rsidR="00920EF2" w:rsidRPr="003F7D41">
        <w:t>is interpreted and understood</w:t>
      </w:r>
      <w:r w:rsidR="0059164F" w:rsidRPr="003F7D41">
        <w:t xml:space="preserve">.  </w:t>
      </w:r>
      <w:r w:rsidR="00920EF2" w:rsidRPr="003F7D41">
        <w:t xml:space="preserve"> </w:t>
      </w:r>
      <w:r w:rsidR="007F5B23" w:rsidRPr="003F7D41">
        <w:t xml:space="preserve">Feedback from </w:t>
      </w:r>
      <w:r w:rsidR="00D26984" w:rsidRPr="003F7D41">
        <w:t xml:space="preserve">selected </w:t>
      </w:r>
      <w:r w:rsidR="00FD3DAE" w:rsidRPr="003F7D41">
        <w:t xml:space="preserve">women who are </w:t>
      </w:r>
      <w:r w:rsidR="00D26984" w:rsidRPr="003F7D41">
        <w:t xml:space="preserve">an attentive public audience with an interest in </w:t>
      </w:r>
      <w:r w:rsidR="00FD3DAE" w:rsidRPr="003F7D41">
        <w:t>their young or unborn child’s health</w:t>
      </w:r>
      <w:r w:rsidR="007F5B23" w:rsidRPr="003F7D41">
        <w:t xml:space="preserve"> would be valuable for CDC</w:t>
      </w:r>
      <w:r w:rsidR="008305F4" w:rsidRPr="003F7D41">
        <w:t xml:space="preserve"> to inform its communication</w:t>
      </w:r>
      <w:r w:rsidRPr="003F7D41">
        <w:t>.</w:t>
      </w:r>
      <w:r w:rsidR="00AD715B" w:rsidRPr="003F7D41">
        <w:t xml:space="preserve">  </w:t>
      </w:r>
    </w:p>
    <w:p w:rsidR="00F91B2C" w:rsidRPr="003F7D41" w:rsidRDefault="0017512F">
      <w:r w:rsidRPr="003F7D41">
        <w:t xml:space="preserve">As part of CDC’s broad goal of protecting health, communicating risk information effectively is crucial for prevention and control of disease, injury, and disability and promoting a healthy life for all people.  </w:t>
      </w:r>
      <w:r w:rsidR="0014434A" w:rsidRPr="003F7D41">
        <w:t xml:space="preserve">This </w:t>
      </w:r>
      <w:r w:rsidR="00DA19A2" w:rsidRPr="003F7D41">
        <w:t>project’s</w:t>
      </w:r>
      <w:r w:rsidR="0014434A" w:rsidRPr="003F7D41">
        <w:t xml:space="preserve"> goal of </w:t>
      </w:r>
      <w:r w:rsidRPr="003F7D41">
        <w:t>developing a framework for communicating health risk</w:t>
      </w:r>
      <w:r w:rsidR="0014434A" w:rsidRPr="003F7D41">
        <w:t xml:space="preserve"> information about chemical exposures is a step in this direction.</w:t>
      </w:r>
    </w:p>
    <w:p w:rsidR="00733088" w:rsidRPr="003F7D41" w:rsidRDefault="00733088">
      <w:pPr>
        <w:rPr>
          <w:b/>
          <w:u w:val="single"/>
        </w:rPr>
      </w:pPr>
      <w:r w:rsidRPr="003F7D41">
        <w:t xml:space="preserve">CDC is authorized to collect this data under </w:t>
      </w:r>
      <w:r w:rsidR="00627635" w:rsidRPr="003F7D41">
        <w:t>S</w:t>
      </w:r>
      <w:r w:rsidRPr="003F7D41">
        <w:t>ection 301 of the Public Health Service Act (42 USC 241) (See Attachment 1).</w:t>
      </w:r>
    </w:p>
    <w:p w:rsidR="006B547F" w:rsidRPr="003F7D41" w:rsidRDefault="006B547F">
      <w:pPr>
        <w:rPr>
          <w:u w:val="single"/>
        </w:rPr>
      </w:pPr>
      <w:r w:rsidRPr="003F7D41">
        <w:rPr>
          <w:u w:val="single"/>
        </w:rPr>
        <w:t>Privacy Impact Assessment</w:t>
      </w:r>
    </w:p>
    <w:p w:rsidR="006B547F" w:rsidRPr="003F7D41" w:rsidRDefault="00294B14">
      <w:proofErr w:type="spellStart"/>
      <w:r w:rsidRPr="003F7D41">
        <w:t>i</w:t>
      </w:r>
      <w:proofErr w:type="spellEnd"/>
      <w:r w:rsidRPr="003F7D41">
        <w:t>.</w:t>
      </w:r>
      <w:r w:rsidRPr="003F7D41">
        <w:tab/>
      </w:r>
      <w:r w:rsidR="006B547F" w:rsidRPr="003F7D41">
        <w:t>Overview of the Data Collection System</w:t>
      </w:r>
    </w:p>
    <w:p w:rsidR="00263C8D" w:rsidRPr="003F7D41" w:rsidRDefault="00B8610C">
      <w:r w:rsidRPr="003F7D41">
        <w:t>Eight</w:t>
      </w:r>
      <w:r w:rsidR="00263C8D" w:rsidRPr="003F7D41">
        <w:t xml:space="preserve"> exploratory focus groups (9 adults per group) and </w:t>
      </w:r>
      <w:r w:rsidRPr="003F7D41">
        <w:t>six</w:t>
      </w:r>
      <w:r w:rsidR="00263C8D" w:rsidRPr="003F7D41">
        <w:t xml:space="preserve"> message testing focus groups (9 adults per group) will be conducted with selected women across the country.  Findings from the exploratory groups will be used to develop messaging to be tested in subsequent focus groups.  Participants for all groups will be recruited by a professional focus group facility, using a </w:t>
      </w:r>
      <w:r w:rsidR="00627635" w:rsidRPr="003F7D41">
        <w:t>screening instrument (</w:t>
      </w:r>
      <w:r w:rsidR="00263C8D" w:rsidRPr="003F7D41">
        <w:t xml:space="preserve">screener) to identify qualifying participants through a brief telephone conversation (see Attachment </w:t>
      </w:r>
      <w:r w:rsidR="00E47592" w:rsidRPr="003F7D41">
        <w:t>3</w:t>
      </w:r>
      <w:r w:rsidR="00263C8D" w:rsidRPr="003F7D41">
        <w:t>).  Groups will be led by a trained moderator using a discussion guide and held in a professional facility that allows for observation by a project staff.</w:t>
      </w:r>
    </w:p>
    <w:p w:rsidR="00DD2CA6" w:rsidRPr="003F7D41" w:rsidRDefault="00294B14">
      <w:r w:rsidRPr="003F7D41">
        <w:t>ii.</w:t>
      </w:r>
      <w:r w:rsidRPr="003F7D41">
        <w:tab/>
      </w:r>
      <w:r w:rsidR="00DD2CA6" w:rsidRPr="003F7D41">
        <w:t xml:space="preserve">Items of Information to be </w:t>
      </w:r>
      <w:proofErr w:type="gramStart"/>
      <w:r w:rsidR="00DD2CA6" w:rsidRPr="003F7D41">
        <w:t>Collected</w:t>
      </w:r>
      <w:proofErr w:type="gramEnd"/>
    </w:p>
    <w:p w:rsidR="007725D2" w:rsidRPr="003F7D41" w:rsidRDefault="007725D2" w:rsidP="007725D2">
      <w:pPr>
        <w:spacing w:after="0"/>
      </w:pPr>
      <w:r w:rsidRPr="003F7D41">
        <w:t xml:space="preserve">A copy of the exploratory focus group discussion guide can be found in Attachment </w:t>
      </w:r>
      <w:r w:rsidR="00E47592" w:rsidRPr="003F7D41">
        <w:t>4</w:t>
      </w:r>
      <w:r w:rsidR="00733088" w:rsidRPr="003F7D41">
        <w:t>.</w:t>
      </w:r>
    </w:p>
    <w:p w:rsidR="007725D2" w:rsidRPr="003F7D41" w:rsidRDefault="007725D2" w:rsidP="007725D2">
      <w:pPr>
        <w:spacing w:after="0"/>
      </w:pPr>
      <w:r w:rsidRPr="003F7D41">
        <w:t xml:space="preserve">The focus groups </w:t>
      </w:r>
      <w:r w:rsidR="00CA21D1" w:rsidRPr="003F7D41">
        <w:t>will cover</w:t>
      </w:r>
      <w:r w:rsidRPr="003F7D41">
        <w:t xml:space="preserve"> the following topics:</w:t>
      </w:r>
    </w:p>
    <w:p w:rsidR="007725D2" w:rsidRPr="003F7D41" w:rsidRDefault="007725D2" w:rsidP="007725D2">
      <w:pPr>
        <w:spacing w:after="0"/>
      </w:pPr>
    </w:p>
    <w:p w:rsidR="007725D2" w:rsidRPr="003F7D41" w:rsidRDefault="007725D2" w:rsidP="007725D2">
      <w:pPr>
        <w:numPr>
          <w:ilvl w:val="0"/>
          <w:numId w:val="1"/>
        </w:numPr>
        <w:spacing w:after="0"/>
      </w:pPr>
      <w:r w:rsidRPr="003F7D41">
        <w:t>Awareness of chemical exposures and experience receiving chemical exposures-related information</w:t>
      </w:r>
      <w:r w:rsidR="00627635" w:rsidRPr="003F7D41">
        <w:t>.</w:t>
      </w:r>
      <w:r w:rsidRPr="003F7D41">
        <w:t xml:space="preserve"> </w:t>
      </w:r>
    </w:p>
    <w:p w:rsidR="007725D2" w:rsidRPr="003F7D41" w:rsidRDefault="007725D2" w:rsidP="007725D2">
      <w:pPr>
        <w:numPr>
          <w:ilvl w:val="0"/>
          <w:numId w:val="1"/>
        </w:numPr>
        <w:spacing w:after="0"/>
      </w:pPr>
      <w:r w:rsidRPr="003F7D41">
        <w:t xml:space="preserve">Awareness and knowledge of </w:t>
      </w:r>
      <w:r w:rsidR="00472561" w:rsidRPr="003F7D41">
        <w:t xml:space="preserve">emerging </w:t>
      </w:r>
      <w:r w:rsidRPr="003F7D41">
        <w:t>chemicals such as BPA, phthalates, and mercury</w:t>
      </w:r>
      <w:r w:rsidR="00627635" w:rsidRPr="003F7D41">
        <w:t>.</w:t>
      </w:r>
    </w:p>
    <w:p w:rsidR="007725D2" w:rsidRPr="003F7D41" w:rsidRDefault="007725D2" w:rsidP="007725D2">
      <w:pPr>
        <w:numPr>
          <w:ilvl w:val="0"/>
          <w:numId w:val="1"/>
        </w:numPr>
        <w:spacing w:after="0"/>
      </w:pPr>
      <w:r w:rsidRPr="003F7D41">
        <w:t>Sources of information about chemical exposures</w:t>
      </w:r>
      <w:r w:rsidR="00627635" w:rsidRPr="003F7D41">
        <w:t>.</w:t>
      </w:r>
    </w:p>
    <w:p w:rsidR="007725D2" w:rsidRPr="003F7D41" w:rsidRDefault="007725D2" w:rsidP="007725D2">
      <w:pPr>
        <w:numPr>
          <w:ilvl w:val="0"/>
          <w:numId w:val="1"/>
        </w:numPr>
        <w:spacing w:after="0"/>
      </w:pPr>
      <w:r w:rsidRPr="003F7D41">
        <w:t>How women communicated with others on the subject of people’s exposures to chemicals</w:t>
      </w:r>
      <w:r w:rsidR="00627635" w:rsidRPr="003F7D41">
        <w:t>.</w:t>
      </w:r>
    </w:p>
    <w:p w:rsidR="007725D2" w:rsidRPr="003F7D41" w:rsidRDefault="007725D2" w:rsidP="007725D2">
      <w:pPr>
        <w:numPr>
          <w:ilvl w:val="0"/>
          <w:numId w:val="1"/>
        </w:numPr>
        <w:spacing w:after="0"/>
      </w:pPr>
      <w:r w:rsidRPr="003F7D41">
        <w:t>Types of information women would be interested in learning about</w:t>
      </w:r>
      <w:r w:rsidR="00627635" w:rsidRPr="003F7D41">
        <w:t>.</w:t>
      </w:r>
    </w:p>
    <w:p w:rsidR="00627635" w:rsidRPr="003F7D41" w:rsidRDefault="007725D2" w:rsidP="00627635">
      <w:pPr>
        <w:numPr>
          <w:ilvl w:val="0"/>
          <w:numId w:val="1"/>
        </w:numPr>
        <w:rPr>
          <w:u w:val="single"/>
        </w:rPr>
      </w:pPr>
      <w:r w:rsidRPr="003F7D41">
        <w:t>Means and channels of receiving information</w:t>
      </w:r>
      <w:r w:rsidR="00627635" w:rsidRPr="003F7D41">
        <w:t>.</w:t>
      </w:r>
    </w:p>
    <w:p w:rsidR="00472561" w:rsidRPr="003F7D41" w:rsidRDefault="00472561">
      <w:r w:rsidRPr="003F7D41">
        <w:t xml:space="preserve">A copy of the message testing focus group discussion guide can be found in Attachment </w:t>
      </w:r>
      <w:r w:rsidR="00E47592" w:rsidRPr="003F7D41">
        <w:t>5</w:t>
      </w:r>
      <w:r w:rsidRPr="003F7D41">
        <w:t>.  The message testing focus groups will cover the following topics:</w:t>
      </w:r>
    </w:p>
    <w:p w:rsidR="00472561" w:rsidRPr="003F7D41" w:rsidRDefault="00472561" w:rsidP="00472561">
      <w:pPr>
        <w:numPr>
          <w:ilvl w:val="0"/>
          <w:numId w:val="1"/>
        </w:numPr>
        <w:spacing w:after="0"/>
      </w:pPr>
      <w:r w:rsidRPr="003F7D41">
        <w:t xml:space="preserve">Knowledge of emerging chemicals such as </w:t>
      </w:r>
      <w:proofErr w:type="spellStart"/>
      <w:r w:rsidRPr="003F7D41">
        <w:t>bisphenol</w:t>
      </w:r>
      <w:proofErr w:type="spellEnd"/>
      <w:r w:rsidRPr="003F7D41">
        <w:t>-A (BPA), phthalates, and mercury.</w:t>
      </w:r>
    </w:p>
    <w:p w:rsidR="00472561" w:rsidRPr="003F7D41" w:rsidRDefault="00472561" w:rsidP="00472561">
      <w:pPr>
        <w:numPr>
          <w:ilvl w:val="0"/>
          <w:numId w:val="1"/>
        </w:numPr>
        <w:spacing w:after="0"/>
      </w:pPr>
      <w:r w:rsidRPr="003F7D41">
        <w:t>Feedback on items presented to participants on environmental chemicals, exposures, and health risks (e.g., impressions, importance, clarity, relevance, usefulness, and salience of messages).</w:t>
      </w:r>
    </w:p>
    <w:p w:rsidR="00472561" w:rsidRPr="003F7D41" w:rsidRDefault="00472561" w:rsidP="00472561">
      <w:pPr>
        <w:numPr>
          <w:ilvl w:val="0"/>
          <w:numId w:val="1"/>
        </w:numPr>
        <w:spacing w:after="0"/>
      </w:pPr>
      <w:r w:rsidRPr="003F7D41">
        <w:t>Type of information most compelling for women</w:t>
      </w:r>
      <w:r w:rsidR="0092047F" w:rsidRPr="003F7D41">
        <w:t>’s</w:t>
      </w:r>
      <w:r w:rsidRPr="003F7D41">
        <w:t xml:space="preserve"> atten</w:t>
      </w:r>
      <w:r w:rsidR="00B8610C" w:rsidRPr="003F7D41">
        <w:t>tion</w:t>
      </w:r>
      <w:r w:rsidRPr="003F7D41">
        <w:t>.</w:t>
      </w:r>
    </w:p>
    <w:p w:rsidR="00472561" w:rsidRPr="003F7D41" w:rsidRDefault="00472561" w:rsidP="00472561">
      <w:pPr>
        <w:numPr>
          <w:ilvl w:val="0"/>
          <w:numId w:val="1"/>
        </w:numPr>
      </w:pPr>
      <w:r w:rsidRPr="003F7D41">
        <w:t>Presentation of risk information.</w:t>
      </w:r>
    </w:p>
    <w:p w:rsidR="00931B84" w:rsidRPr="003F7D41" w:rsidRDefault="00931B84">
      <w:r w:rsidRPr="003F7D41">
        <w:t>No</w:t>
      </w:r>
      <w:r w:rsidR="009C1163" w:rsidRPr="003F7D41">
        <w:t xml:space="preserve"> personal identifiers will be linked to data or provided to CDC. However</w:t>
      </w:r>
      <w:r w:rsidR="00EC68C3" w:rsidRPr="003F7D41">
        <w:t>,</w:t>
      </w:r>
      <w:r w:rsidR="009C1163" w:rsidRPr="003F7D41">
        <w:t xml:space="preserve"> information in identifiable form (IIF) will be used by the focus group facility to screen participants for the focus groups.  The IIF includes respondent name and phone numbers. Participants will only provide their first name during the focus group discussions.  The audio</w:t>
      </w:r>
      <w:r w:rsidR="0092047F" w:rsidRPr="003F7D41">
        <w:t xml:space="preserve"> </w:t>
      </w:r>
      <w:r w:rsidR="009C1163" w:rsidRPr="003F7D41">
        <w:t>tapes of the focus groups will be stored in a locked file cabinet, and accessible only to Westat project staff.  The recording will be destroyed at the end of the study which is currently May, 2011.</w:t>
      </w:r>
    </w:p>
    <w:p w:rsidR="00DD2CA6" w:rsidRPr="003F7D41" w:rsidRDefault="00DD2CA6">
      <w:pPr>
        <w:rPr>
          <w:b/>
        </w:rPr>
      </w:pPr>
      <w:r w:rsidRPr="003F7D41">
        <w:rPr>
          <w:b/>
        </w:rPr>
        <w:t>A.2</w:t>
      </w:r>
      <w:r w:rsidRPr="003F7D41">
        <w:rPr>
          <w:b/>
        </w:rPr>
        <w:tab/>
        <w:t>Purpose and Use of the Information</w:t>
      </w:r>
    </w:p>
    <w:p w:rsidR="005C5138" w:rsidRPr="003F7D41" w:rsidRDefault="00692CE7" w:rsidP="005C5138">
      <w:r w:rsidRPr="003F7D41">
        <w:t>CDC is interested in developing a framework for communicating risk information</w:t>
      </w:r>
      <w:r w:rsidR="008800E4" w:rsidRPr="003F7D41">
        <w:t xml:space="preserve">, particularly </w:t>
      </w:r>
      <w:r w:rsidRPr="003F7D41">
        <w:t xml:space="preserve">about </w:t>
      </w:r>
      <w:r w:rsidR="008800E4" w:rsidRPr="003F7D41">
        <w:t xml:space="preserve">emerging </w:t>
      </w:r>
      <w:r w:rsidRPr="003F7D41">
        <w:t xml:space="preserve">environmental chemicals.  This proposed qualitative research is designed to inform the revision of existing </w:t>
      </w:r>
      <w:r w:rsidR="00B01C29" w:rsidRPr="003F7D41">
        <w:t xml:space="preserve">CDC </w:t>
      </w:r>
      <w:r w:rsidRPr="003F7D41">
        <w:t xml:space="preserve">materials and development of future </w:t>
      </w:r>
      <w:r w:rsidR="00B01C29" w:rsidRPr="003F7D41">
        <w:t>ones</w:t>
      </w:r>
      <w:r w:rsidRPr="003F7D41">
        <w:t xml:space="preserve"> by identifying the concepts and mes</w:t>
      </w:r>
      <w:r w:rsidR="00EB5413" w:rsidRPr="003F7D41">
        <w:t xml:space="preserve">sages </w:t>
      </w:r>
      <w:r w:rsidR="008800E4" w:rsidRPr="003F7D41">
        <w:t>need</w:t>
      </w:r>
      <w:r w:rsidR="00A502A6" w:rsidRPr="003F7D41">
        <w:t>ed</w:t>
      </w:r>
      <w:r w:rsidR="008800E4" w:rsidRPr="003F7D41">
        <w:t xml:space="preserve"> to communicate </w:t>
      </w:r>
      <w:r w:rsidR="00A502A6" w:rsidRPr="003F7D41">
        <w:t xml:space="preserve">health </w:t>
      </w:r>
      <w:r w:rsidR="008800E4" w:rsidRPr="003F7D41">
        <w:t>risk</w:t>
      </w:r>
      <w:r w:rsidR="00A502A6" w:rsidRPr="003F7D41">
        <w:t>s</w:t>
      </w:r>
      <w:r w:rsidR="008800E4" w:rsidRPr="003F7D41">
        <w:t xml:space="preserve"> </w:t>
      </w:r>
      <w:r w:rsidR="003B2C2C" w:rsidRPr="003F7D41">
        <w:t xml:space="preserve">by </w:t>
      </w:r>
      <w:r w:rsidR="00FE5415" w:rsidRPr="003F7D41">
        <w:t xml:space="preserve">using </w:t>
      </w:r>
      <w:r w:rsidR="00EB5413" w:rsidRPr="003F7D41">
        <w:t>BPA, phthalates, and mercury</w:t>
      </w:r>
      <w:r w:rsidR="003B2C2C" w:rsidRPr="003F7D41">
        <w:t xml:space="preserve"> as examples</w:t>
      </w:r>
      <w:r w:rsidR="00B01C29" w:rsidRPr="003F7D41">
        <w:t xml:space="preserve"> and </w:t>
      </w:r>
      <w:r w:rsidR="00632FCE">
        <w:t>possibly</w:t>
      </w:r>
      <w:r w:rsidR="00632FCE" w:rsidRPr="003F7D41">
        <w:t xml:space="preserve"> </w:t>
      </w:r>
      <w:r w:rsidR="00B01C29" w:rsidRPr="003F7D41">
        <w:t xml:space="preserve">applying </w:t>
      </w:r>
      <w:r w:rsidR="0039149E" w:rsidRPr="003F7D41">
        <w:t>the findings</w:t>
      </w:r>
      <w:r w:rsidR="00B01C29" w:rsidRPr="003F7D41">
        <w:t xml:space="preserve"> </w:t>
      </w:r>
      <w:r w:rsidR="008800E4" w:rsidRPr="003F7D41">
        <w:t>more broadly to other chemical exposures</w:t>
      </w:r>
      <w:r w:rsidR="00632FCE">
        <w:t>, as appropriate</w:t>
      </w:r>
      <w:r w:rsidR="008800E4" w:rsidRPr="003F7D41">
        <w:t xml:space="preserve">.  The chemicals </w:t>
      </w:r>
      <w:r w:rsidR="00632FCE">
        <w:t xml:space="preserve">selected for this project </w:t>
      </w:r>
      <w:r w:rsidR="008800E4" w:rsidRPr="003F7D41">
        <w:t xml:space="preserve">have a particular </w:t>
      </w:r>
      <w:r w:rsidR="00CF4A07" w:rsidRPr="003F7D41">
        <w:t xml:space="preserve">interest for </w:t>
      </w:r>
      <w:r w:rsidR="002E56A9" w:rsidRPr="003F7D41">
        <w:t>women whose</w:t>
      </w:r>
      <w:r w:rsidR="008800E4" w:rsidRPr="003F7D41">
        <w:t xml:space="preserve"> unborn or young children </w:t>
      </w:r>
      <w:r w:rsidR="00B33D61" w:rsidRPr="003F7D41">
        <w:t>have greater</w:t>
      </w:r>
      <w:r w:rsidR="0039149E" w:rsidRPr="003F7D41">
        <w:t xml:space="preserve"> health</w:t>
      </w:r>
      <w:r w:rsidR="008800E4" w:rsidRPr="003F7D41">
        <w:t xml:space="preserve"> risk</w:t>
      </w:r>
      <w:r w:rsidR="00A502A6" w:rsidRPr="003F7D41">
        <w:t>s</w:t>
      </w:r>
      <w:r w:rsidR="008800E4" w:rsidRPr="003F7D41">
        <w:t xml:space="preserve"> </w:t>
      </w:r>
      <w:r w:rsidR="00CF4A07" w:rsidRPr="003F7D41">
        <w:t>of</w:t>
      </w:r>
      <w:r w:rsidR="008800E4" w:rsidRPr="003F7D41">
        <w:t xml:space="preserve"> exposures from these chemicals. </w:t>
      </w:r>
      <w:r w:rsidR="002E56A9" w:rsidRPr="003F7D41">
        <w:t xml:space="preserve">  These selected women </w:t>
      </w:r>
      <w:r w:rsidR="00D85F6D" w:rsidRPr="003F7D41">
        <w:t xml:space="preserve">are </w:t>
      </w:r>
      <w:r w:rsidR="002E56A9" w:rsidRPr="003F7D41">
        <w:t>the target audience for this study.</w:t>
      </w:r>
    </w:p>
    <w:p w:rsidR="003B2C2C" w:rsidRPr="003F7D41" w:rsidRDefault="003B2C2C" w:rsidP="003B2C2C">
      <w:pPr>
        <w:rPr>
          <w:u w:val="single"/>
        </w:rPr>
      </w:pPr>
      <w:r w:rsidRPr="003F7D41">
        <w:rPr>
          <w:u w:val="single"/>
        </w:rPr>
        <w:t>Privacy Impact Assessment</w:t>
      </w:r>
    </w:p>
    <w:p w:rsidR="005C5138" w:rsidRPr="003F7D41" w:rsidRDefault="00EB1F5A" w:rsidP="00692CE7">
      <w:r w:rsidRPr="003F7D41">
        <w:t>(</w:t>
      </w:r>
      <w:proofErr w:type="spellStart"/>
      <w:r w:rsidRPr="003F7D41">
        <w:t>i</w:t>
      </w:r>
      <w:proofErr w:type="spellEnd"/>
      <w:r w:rsidRPr="003F7D41">
        <w:t xml:space="preserve">) </w:t>
      </w:r>
      <w:r w:rsidRPr="003F7D41">
        <w:tab/>
        <w:t>Why the information is being collected</w:t>
      </w:r>
    </w:p>
    <w:p w:rsidR="00EB1F5A" w:rsidRPr="003F7D41" w:rsidRDefault="00EB1F5A" w:rsidP="00692CE7">
      <w:r w:rsidRPr="003F7D41">
        <w:t>As noted earlier, this information is being collected to develop a framework for communicating risk information, particularly about emerging environmental chemicals.  This information is not available from any other source.</w:t>
      </w:r>
    </w:p>
    <w:p w:rsidR="00EB1F5A" w:rsidRPr="003F7D41" w:rsidRDefault="00EB1F5A" w:rsidP="00692CE7">
      <w:r w:rsidRPr="003F7D41">
        <w:t xml:space="preserve">(ii) </w:t>
      </w:r>
      <w:r w:rsidRPr="003F7D41">
        <w:tab/>
        <w:t>Intended use of the information</w:t>
      </w:r>
    </w:p>
    <w:p w:rsidR="00D85F6D" w:rsidRPr="003F7D41" w:rsidRDefault="00D85F6D" w:rsidP="00692CE7">
      <w:r w:rsidRPr="003F7D41">
        <w:t>The information gathered in this research will be used internally by CDC staff and its contractor Westat to develop messages</w:t>
      </w:r>
      <w:r w:rsidR="00294B14" w:rsidRPr="003F7D41">
        <w:t xml:space="preserve"> </w:t>
      </w:r>
      <w:r w:rsidRPr="003F7D41">
        <w:t>and methods for communicating with intended audiences.</w:t>
      </w:r>
    </w:p>
    <w:p w:rsidR="00294B14" w:rsidRPr="003F7D41" w:rsidRDefault="00294B14" w:rsidP="00692CE7">
      <w:r w:rsidRPr="003F7D41">
        <w:t>As noted in section A.1 above, no personal identifier information collected will be transmitted to CDC.</w:t>
      </w:r>
    </w:p>
    <w:p w:rsidR="00DD2CA6" w:rsidRPr="003F7D41" w:rsidRDefault="00137E4E">
      <w:pPr>
        <w:rPr>
          <w:b/>
        </w:rPr>
      </w:pPr>
      <w:r w:rsidRPr="003F7D41">
        <w:rPr>
          <w:b/>
        </w:rPr>
        <w:t>A.3</w:t>
      </w:r>
      <w:r w:rsidRPr="003F7D41">
        <w:rPr>
          <w:b/>
        </w:rPr>
        <w:tab/>
        <w:t>U</w:t>
      </w:r>
      <w:r w:rsidR="00DD2CA6" w:rsidRPr="003F7D41">
        <w:rPr>
          <w:b/>
        </w:rPr>
        <w:t>se of Improved Technology and Burden Reduction</w:t>
      </w:r>
    </w:p>
    <w:p w:rsidR="00137E4E" w:rsidRPr="003F7D41" w:rsidRDefault="00137E4E">
      <w:r w:rsidRPr="003F7D41">
        <w:t>A number of steps have been planned to ensure the least burden possible is shouldered by the public.  These steps include:</w:t>
      </w:r>
    </w:p>
    <w:p w:rsidR="00137E4E" w:rsidRPr="003F7D41" w:rsidRDefault="00137E4E" w:rsidP="00137E4E">
      <w:pPr>
        <w:tabs>
          <w:tab w:val="left" w:pos="270"/>
          <w:tab w:val="left" w:pos="720"/>
        </w:tabs>
      </w:pPr>
      <w:r w:rsidRPr="003F7D41">
        <w:tab/>
        <w:t>(1)</w:t>
      </w:r>
      <w:r w:rsidRPr="003F7D41">
        <w:tab/>
      </w:r>
      <w:r w:rsidR="00294B14" w:rsidRPr="003F7D41">
        <w:t>A recruitment screener has</w:t>
      </w:r>
      <w:r w:rsidRPr="003F7D41">
        <w:t xml:space="preserve"> been designed for recruiters to quickly identify qualifying </w:t>
      </w:r>
      <w:r w:rsidRPr="003F7D41">
        <w:tab/>
      </w:r>
      <w:r w:rsidRPr="003F7D41">
        <w:tab/>
      </w:r>
      <w:r w:rsidRPr="003F7D41">
        <w:tab/>
      </w:r>
      <w:r w:rsidRPr="003F7D41">
        <w:tab/>
        <w:t xml:space="preserve">participants through a brief telephone conversation.  </w:t>
      </w:r>
    </w:p>
    <w:p w:rsidR="00137E4E" w:rsidRPr="003F7D41" w:rsidRDefault="00137E4E" w:rsidP="00137E4E">
      <w:pPr>
        <w:tabs>
          <w:tab w:val="left" w:pos="720"/>
        </w:tabs>
      </w:pPr>
      <w:r w:rsidRPr="003F7D41">
        <w:t xml:space="preserve">      (2) </w:t>
      </w:r>
      <w:r w:rsidRPr="003F7D41">
        <w:tab/>
        <w:t xml:space="preserve">All information from participants will be provided orally. </w:t>
      </w:r>
    </w:p>
    <w:p w:rsidR="00137E4E" w:rsidRPr="003F7D41" w:rsidRDefault="00137E4E" w:rsidP="00137E4E">
      <w:pPr>
        <w:tabs>
          <w:tab w:val="left" w:pos="720"/>
        </w:tabs>
      </w:pPr>
      <w:r w:rsidRPr="003F7D41">
        <w:t xml:space="preserve">      (3) </w:t>
      </w:r>
      <w:r w:rsidRPr="003F7D41">
        <w:tab/>
        <w:t xml:space="preserve">Moderator’s guides have been developed specifically to ensure that the discussion is limited to </w:t>
      </w:r>
      <w:r w:rsidRPr="003F7D41">
        <w:tab/>
        <w:t xml:space="preserve">no more than 2 hours, so that the questions are well-organized and flow well together, and are </w:t>
      </w:r>
      <w:r w:rsidRPr="003F7D41">
        <w:tab/>
        <w:t xml:space="preserve">easy to understand and answer.  </w:t>
      </w:r>
    </w:p>
    <w:p w:rsidR="00137E4E" w:rsidRPr="003F7D41" w:rsidRDefault="00137E4E" w:rsidP="00137E4E">
      <w:pPr>
        <w:tabs>
          <w:tab w:val="left" w:pos="720"/>
        </w:tabs>
      </w:pPr>
      <w:r w:rsidRPr="003F7D41">
        <w:t xml:space="preserve">      (4) </w:t>
      </w:r>
      <w:r w:rsidRPr="003F7D41">
        <w:tab/>
        <w:t xml:space="preserve">Participants are chosen from lists of individuals who have expressed an interest in being in a </w:t>
      </w:r>
      <w:r w:rsidRPr="003F7D41">
        <w:tab/>
        <w:t xml:space="preserve">focus group. Focus groups are common practices among private and public sector organizations, </w:t>
      </w:r>
      <w:r w:rsidRPr="003F7D41">
        <w:tab/>
        <w:t xml:space="preserve">and many individuals look forward to learning about new products and/or ideas. It is a familiar </w:t>
      </w:r>
      <w:r w:rsidRPr="003F7D41">
        <w:tab/>
        <w:t xml:space="preserve">process to them, and often, they comment that it’s easier than filling out lengthy forms or being </w:t>
      </w:r>
      <w:r w:rsidRPr="003F7D41">
        <w:tab/>
        <w:t xml:space="preserve">stopped </w:t>
      </w:r>
      <w:r w:rsidR="00627635" w:rsidRPr="003F7D41">
        <w:t>at a</w:t>
      </w:r>
      <w:r w:rsidRPr="003F7D41">
        <w:t xml:space="preserve"> mall </w:t>
      </w:r>
      <w:r w:rsidR="00627635" w:rsidRPr="003F7D41">
        <w:t xml:space="preserve">for an </w:t>
      </w:r>
      <w:r w:rsidRPr="003F7D41">
        <w:t>intercept</w:t>
      </w:r>
      <w:r w:rsidR="00627635" w:rsidRPr="003F7D41">
        <w:t xml:space="preserve"> interview</w:t>
      </w:r>
      <w:r w:rsidRPr="003F7D41">
        <w:t>.</w:t>
      </w:r>
    </w:p>
    <w:p w:rsidR="00DD2CA6" w:rsidRPr="003F7D41" w:rsidRDefault="00DD2CA6">
      <w:pPr>
        <w:rPr>
          <w:b/>
        </w:rPr>
      </w:pPr>
      <w:r w:rsidRPr="003F7D41">
        <w:rPr>
          <w:b/>
        </w:rPr>
        <w:t>A.4</w:t>
      </w:r>
      <w:r w:rsidRPr="003F7D41">
        <w:rPr>
          <w:b/>
        </w:rPr>
        <w:tab/>
        <w:t>Efforts to identify Duplication and Use of Similar Information</w:t>
      </w:r>
    </w:p>
    <w:p w:rsidR="00137E4E" w:rsidRPr="003F7D41" w:rsidRDefault="00137E4E" w:rsidP="00137E4E">
      <w:pPr>
        <w:rPr>
          <w:szCs w:val="24"/>
        </w:rPr>
      </w:pPr>
      <w:r w:rsidRPr="003F7D41">
        <w:rPr>
          <w:szCs w:val="24"/>
        </w:rPr>
        <w:t>CDC has made a significant effort to avoid duplication by conducting a literature review, interviews with experts, data base searches, and participation in workshops and conferences. The proposed data collection is unique and does not duplicate any past, current, or planned information collection by other federal government agencies.</w:t>
      </w:r>
    </w:p>
    <w:p w:rsidR="00DD2CA6" w:rsidRPr="003F7D41" w:rsidRDefault="00DD2CA6">
      <w:pPr>
        <w:rPr>
          <w:b/>
        </w:rPr>
      </w:pPr>
      <w:r w:rsidRPr="003F7D41">
        <w:rPr>
          <w:b/>
        </w:rPr>
        <w:t>A.5</w:t>
      </w:r>
      <w:r w:rsidRPr="003F7D41">
        <w:rPr>
          <w:b/>
        </w:rPr>
        <w:tab/>
        <w:t>Impact of Small Business and Other Small Entities</w:t>
      </w:r>
    </w:p>
    <w:p w:rsidR="00137E4E" w:rsidRPr="003F7D41" w:rsidRDefault="00137E4E" w:rsidP="00137E4E">
      <w:pPr>
        <w:rPr>
          <w:color w:val="000000"/>
          <w:szCs w:val="24"/>
        </w:rPr>
      </w:pPr>
      <w:r w:rsidRPr="003F7D41">
        <w:rPr>
          <w:color w:val="000000"/>
          <w:szCs w:val="24"/>
        </w:rPr>
        <w:t xml:space="preserve">No small entities will be involved in this survey.  All respondents will be individuals who participate voluntarily.  </w:t>
      </w:r>
    </w:p>
    <w:p w:rsidR="00DD2CA6" w:rsidRPr="003F7D41" w:rsidRDefault="00DD2CA6">
      <w:pPr>
        <w:rPr>
          <w:b/>
        </w:rPr>
      </w:pPr>
      <w:r w:rsidRPr="003F7D41">
        <w:rPr>
          <w:b/>
        </w:rPr>
        <w:t>A.6</w:t>
      </w:r>
      <w:r w:rsidRPr="003F7D41">
        <w:rPr>
          <w:b/>
        </w:rPr>
        <w:tab/>
        <w:t>Consequences of Collecting the Information Less Frequently</w:t>
      </w:r>
    </w:p>
    <w:p w:rsidR="00137E4E" w:rsidRPr="003F7D41" w:rsidRDefault="00137E4E" w:rsidP="00137E4E">
      <w:pPr>
        <w:rPr>
          <w:szCs w:val="24"/>
        </w:rPr>
      </w:pPr>
      <w:r w:rsidRPr="003F7D41">
        <w:rPr>
          <w:szCs w:val="24"/>
        </w:rPr>
        <w:t xml:space="preserve">This is a </w:t>
      </w:r>
      <w:proofErr w:type="spellStart"/>
      <w:r w:rsidRPr="003F7D41">
        <w:rPr>
          <w:szCs w:val="24"/>
        </w:rPr>
        <w:t>one time</w:t>
      </w:r>
      <w:proofErr w:type="spellEnd"/>
      <w:r w:rsidRPr="003F7D41">
        <w:rPr>
          <w:szCs w:val="24"/>
        </w:rPr>
        <w:t xml:space="preserve"> data collection effort, which is essential to CDC’s ability to </w:t>
      </w:r>
      <w:r w:rsidR="004D3940" w:rsidRPr="003F7D41">
        <w:rPr>
          <w:szCs w:val="24"/>
        </w:rPr>
        <w:t>identify</w:t>
      </w:r>
      <w:r w:rsidRPr="003F7D41">
        <w:rPr>
          <w:szCs w:val="24"/>
        </w:rPr>
        <w:t xml:space="preserve"> messages that </w:t>
      </w:r>
      <w:r w:rsidR="004D3940" w:rsidRPr="003F7D41">
        <w:rPr>
          <w:szCs w:val="24"/>
        </w:rPr>
        <w:t xml:space="preserve">will lead to the development of a framework for </w:t>
      </w:r>
      <w:r w:rsidR="004D3940" w:rsidRPr="003F7D41">
        <w:t xml:space="preserve">communicating risk information about environmental chemicals to </w:t>
      </w:r>
      <w:r w:rsidR="0013088D" w:rsidRPr="003F7D41">
        <w:t>attentive public audiences</w:t>
      </w:r>
      <w:r w:rsidRPr="003F7D41">
        <w:rPr>
          <w:szCs w:val="24"/>
        </w:rPr>
        <w:t xml:space="preserve">.  There are no legal obstacles to reduce the burden.  </w:t>
      </w:r>
    </w:p>
    <w:p w:rsidR="00DD2CA6" w:rsidRPr="003F7D41" w:rsidRDefault="00DD2CA6">
      <w:pPr>
        <w:rPr>
          <w:b/>
        </w:rPr>
      </w:pPr>
      <w:r w:rsidRPr="003F7D41">
        <w:rPr>
          <w:b/>
        </w:rPr>
        <w:t>A</w:t>
      </w:r>
      <w:r w:rsidR="00B74D9F" w:rsidRPr="003F7D41">
        <w:rPr>
          <w:b/>
        </w:rPr>
        <w:t>.7</w:t>
      </w:r>
      <w:r w:rsidRPr="003F7D41">
        <w:rPr>
          <w:b/>
        </w:rPr>
        <w:tab/>
        <w:t>Special Circumstances Relating to the Guidelines of 5 CFR 1320.5</w:t>
      </w:r>
    </w:p>
    <w:p w:rsidR="004D3940" w:rsidRPr="003F7D41" w:rsidRDefault="004D3940" w:rsidP="004D3940">
      <w:pPr>
        <w:rPr>
          <w:szCs w:val="24"/>
        </w:rPr>
      </w:pPr>
      <w:r w:rsidRPr="003F7D41">
        <w:rPr>
          <w:szCs w:val="24"/>
        </w:rPr>
        <w:t xml:space="preserve">This data collection request fully complies with Guidelines of 5 </w:t>
      </w:r>
      <w:smartTag w:uri="urn:schemas-microsoft-com:office:smarttags" w:element="stockticker">
        <w:r w:rsidRPr="003F7D41">
          <w:rPr>
            <w:szCs w:val="24"/>
          </w:rPr>
          <w:t>CFR</w:t>
        </w:r>
      </w:smartTag>
      <w:r w:rsidRPr="003F7D41">
        <w:rPr>
          <w:szCs w:val="24"/>
        </w:rPr>
        <w:t xml:space="preserve"> 1320.5.  No special circumstances exist outside the guidelines.</w:t>
      </w:r>
    </w:p>
    <w:p w:rsidR="00DD2CA6" w:rsidRPr="003F7D41" w:rsidRDefault="00DD2CA6">
      <w:pPr>
        <w:rPr>
          <w:b/>
        </w:rPr>
      </w:pPr>
      <w:r w:rsidRPr="003F7D41">
        <w:rPr>
          <w:b/>
        </w:rPr>
        <w:t>A.8</w:t>
      </w:r>
      <w:r w:rsidRPr="003F7D41">
        <w:rPr>
          <w:b/>
        </w:rPr>
        <w:tab/>
        <w:t>Comments in Response to Federal Register Notice and Efforts to Consult Outside Agency</w:t>
      </w:r>
    </w:p>
    <w:p w:rsidR="004D3940" w:rsidRDefault="004D3940" w:rsidP="004D3940">
      <w:r w:rsidRPr="003F7D41">
        <w:t xml:space="preserve">A notice of this proposed project was published in the </w:t>
      </w:r>
      <w:r w:rsidRPr="003F7D41">
        <w:rPr>
          <w:i/>
        </w:rPr>
        <w:t>Federal Register</w:t>
      </w:r>
      <w:r w:rsidR="00910D7A" w:rsidRPr="003F7D41">
        <w:t xml:space="preserve"> on </w:t>
      </w:r>
      <w:r w:rsidR="0095674E">
        <w:t>June 21</w:t>
      </w:r>
      <w:r w:rsidR="00910D7A" w:rsidRPr="003F7D41">
        <w:t>, 2010</w:t>
      </w:r>
      <w:r w:rsidRPr="003F7D41">
        <w:t>, Volume</w:t>
      </w:r>
      <w:r w:rsidR="00EF30BC">
        <w:t xml:space="preserve"> 75</w:t>
      </w:r>
      <w:r w:rsidRPr="003F7D41">
        <w:t>, Number</w:t>
      </w:r>
      <w:r w:rsidR="00EF30BC">
        <w:t xml:space="preserve"> 118</w:t>
      </w:r>
      <w:r w:rsidRPr="003F7D41">
        <w:t xml:space="preserve">, page </w:t>
      </w:r>
      <w:r w:rsidR="00EF30BC">
        <w:t>35041</w:t>
      </w:r>
      <w:r w:rsidR="00E10BAB" w:rsidRPr="003F7D41">
        <w:t xml:space="preserve"> </w:t>
      </w:r>
      <w:r w:rsidRPr="003F7D41">
        <w:t xml:space="preserve">, as required by 5 CFR 1320.8(d) (see Attachment </w:t>
      </w:r>
      <w:r w:rsidR="00E47592" w:rsidRPr="003F7D41">
        <w:t>2</w:t>
      </w:r>
      <w:r w:rsidRPr="003F7D41">
        <w:t xml:space="preserve">).  </w:t>
      </w:r>
    </w:p>
    <w:p w:rsidR="007063B3" w:rsidRPr="003F7D41" w:rsidRDefault="007063B3" w:rsidP="007063B3">
      <w:pPr>
        <w:rPr>
          <w:color w:val="FF0000"/>
        </w:rPr>
      </w:pPr>
      <w:r>
        <w:t>There was a comment requesting a copy of the data collection plans, instruments, and related information which was provided. Another comment asked how CDC plans to interpret the biomonitoring information that it collects in a risk context. CDC responded to this comment by clarifying that the purpose of this study is to assess and improve how CDC communicates its U.S. population biomonitoring data.  No change occurred in response to this comment.</w:t>
      </w:r>
    </w:p>
    <w:p w:rsidR="004D3940" w:rsidRPr="003F7D41" w:rsidRDefault="004D3940" w:rsidP="004D3940">
      <w:pPr>
        <w:rPr>
          <w:color w:val="FF0000"/>
        </w:rPr>
      </w:pPr>
      <w:r w:rsidRPr="003F7D41">
        <w:t>The following persons have been consulted on this research since June 2008</w:t>
      </w:r>
      <w:r w:rsidR="008F7914" w:rsidRPr="003F7D41">
        <w:t xml:space="preserve">: </w:t>
      </w:r>
    </w:p>
    <w:p w:rsidR="004D3940" w:rsidRPr="003F7D41" w:rsidRDefault="00103536" w:rsidP="004D3940">
      <w:pPr>
        <w:spacing w:after="0"/>
      </w:pPr>
      <w:r w:rsidRPr="003F7D41">
        <w:t>Simani M. Price, PhD</w:t>
      </w:r>
      <w:r w:rsidR="004D3940" w:rsidRPr="003F7D41">
        <w:t xml:space="preserve"> </w:t>
      </w:r>
    </w:p>
    <w:p w:rsidR="004D3940" w:rsidRPr="003F7D41" w:rsidRDefault="004D3940" w:rsidP="004D3940">
      <w:pPr>
        <w:spacing w:after="0"/>
      </w:pPr>
      <w:r w:rsidRPr="003F7D41">
        <w:t xml:space="preserve">Senior Study Director </w:t>
      </w:r>
    </w:p>
    <w:p w:rsidR="004D3940" w:rsidRPr="003F7D41" w:rsidRDefault="004D3940" w:rsidP="004D3940">
      <w:pPr>
        <w:spacing w:after="0"/>
      </w:pPr>
      <w:r w:rsidRPr="003F7D41">
        <w:t xml:space="preserve">Westat </w:t>
      </w:r>
    </w:p>
    <w:p w:rsidR="004D3940" w:rsidRPr="003F7D41" w:rsidRDefault="004D3940" w:rsidP="004D3940">
      <w:pPr>
        <w:spacing w:after="0"/>
      </w:pPr>
      <w:r w:rsidRPr="003F7D41">
        <w:t xml:space="preserve">Phone: 301-610-5536 </w:t>
      </w:r>
    </w:p>
    <w:p w:rsidR="004D3940" w:rsidRPr="003F7D41" w:rsidRDefault="004D3940" w:rsidP="004D3940">
      <w:pPr>
        <w:spacing w:after="0"/>
      </w:pPr>
      <w:r w:rsidRPr="003F7D41">
        <w:t xml:space="preserve">Email: simaniprice@westat.com </w:t>
      </w:r>
    </w:p>
    <w:p w:rsidR="00716995" w:rsidRPr="003F7D41" w:rsidRDefault="00716995" w:rsidP="00716995">
      <w:pPr>
        <w:spacing w:after="0"/>
        <w:rPr>
          <w:szCs w:val="24"/>
        </w:rPr>
      </w:pPr>
    </w:p>
    <w:p w:rsidR="00716995" w:rsidRPr="003F7D41" w:rsidRDefault="00716995" w:rsidP="00716995">
      <w:pPr>
        <w:spacing w:after="0"/>
        <w:rPr>
          <w:szCs w:val="24"/>
        </w:rPr>
      </w:pPr>
      <w:r w:rsidRPr="003F7D41">
        <w:rPr>
          <w:szCs w:val="24"/>
        </w:rPr>
        <w:t>Saloni Sapru, PhD</w:t>
      </w:r>
    </w:p>
    <w:p w:rsidR="00716995" w:rsidRPr="003F7D41" w:rsidRDefault="00716995" w:rsidP="00716995">
      <w:pPr>
        <w:spacing w:after="0"/>
        <w:rPr>
          <w:szCs w:val="24"/>
        </w:rPr>
      </w:pPr>
      <w:r w:rsidRPr="003F7D41">
        <w:rPr>
          <w:szCs w:val="24"/>
        </w:rPr>
        <w:t>Senior Study Director</w:t>
      </w:r>
    </w:p>
    <w:p w:rsidR="00716995" w:rsidRPr="003F7D41" w:rsidRDefault="00716995" w:rsidP="00716995">
      <w:pPr>
        <w:spacing w:after="0"/>
        <w:rPr>
          <w:szCs w:val="24"/>
        </w:rPr>
      </w:pPr>
      <w:r w:rsidRPr="003F7D41">
        <w:rPr>
          <w:szCs w:val="24"/>
        </w:rPr>
        <w:t>Westat</w:t>
      </w:r>
    </w:p>
    <w:p w:rsidR="00716995" w:rsidRPr="003F7D41" w:rsidRDefault="00716995" w:rsidP="00716995">
      <w:pPr>
        <w:spacing w:after="0"/>
        <w:rPr>
          <w:szCs w:val="24"/>
        </w:rPr>
      </w:pPr>
      <w:r w:rsidRPr="003F7D41">
        <w:rPr>
          <w:szCs w:val="24"/>
        </w:rPr>
        <w:t>Phone: 240-314-2363</w:t>
      </w:r>
    </w:p>
    <w:p w:rsidR="00716995" w:rsidRPr="003F7D41" w:rsidRDefault="00716995" w:rsidP="00716995">
      <w:pPr>
        <w:spacing w:after="0"/>
        <w:rPr>
          <w:szCs w:val="24"/>
        </w:rPr>
      </w:pPr>
      <w:r w:rsidRPr="003F7D41">
        <w:rPr>
          <w:szCs w:val="24"/>
        </w:rPr>
        <w:t xml:space="preserve">Email: </w:t>
      </w:r>
      <w:hyperlink r:id="rId8" w:history="1">
        <w:r w:rsidRPr="003F7D41">
          <w:rPr>
            <w:rStyle w:val="Hyperlink"/>
            <w:color w:val="auto"/>
            <w:szCs w:val="24"/>
          </w:rPr>
          <w:t>salonisapru@westat.com</w:t>
        </w:r>
      </w:hyperlink>
    </w:p>
    <w:p w:rsidR="00716995" w:rsidRPr="003F7D41" w:rsidRDefault="00716995" w:rsidP="00716995">
      <w:pPr>
        <w:spacing w:after="0"/>
        <w:rPr>
          <w:szCs w:val="24"/>
        </w:rPr>
      </w:pPr>
    </w:p>
    <w:p w:rsidR="00716995" w:rsidRPr="003F7D41" w:rsidRDefault="00716995" w:rsidP="00716995">
      <w:pPr>
        <w:spacing w:after="0"/>
        <w:rPr>
          <w:szCs w:val="24"/>
        </w:rPr>
      </w:pPr>
      <w:r w:rsidRPr="003F7D41">
        <w:rPr>
          <w:szCs w:val="24"/>
        </w:rPr>
        <w:t>Jennifer Berktold, MA</w:t>
      </w:r>
    </w:p>
    <w:p w:rsidR="00716995" w:rsidRPr="003F7D41" w:rsidRDefault="00716995" w:rsidP="00716995">
      <w:pPr>
        <w:spacing w:after="0"/>
        <w:rPr>
          <w:szCs w:val="24"/>
        </w:rPr>
      </w:pPr>
      <w:r w:rsidRPr="003F7D41">
        <w:rPr>
          <w:szCs w:val="24"/>
        </w:rPr>
        <w:t>Senior Study Director</w:t>
      </w:r>
    </w:p>
    <w:p w:rsidR="00716995" w:rsidRPr="003F7D41" w:rsidRDefault="00716995" w:rsidP="00716995">
      <w:pPr>
        <w:spacing w:after="0"/>
        <w:rPr>
          <w:szCs w:val="24"/>
        </w:rPr>
      </w:pPr>
      <w:r w:rsidRPr="003F7D41">
        <w:rPr>
          <w:szCs w:val="24"/>
        </w:rPr>
        <w:t>Westat</w:t>
      </w:r>
    </w:p>
    <w:p w:rsidR="00716995" w:rsidRPr="003F7D41" w:rsidRDefault="00716995" w:rsidP="00716995">
      <w:pPr>
        <w:spacing w:after="0"/>
        <w:rPr>
          <w:szCs w:val="24"/>
        </w:rPr>
      </w:pPr>
      <w:r w:rsidRPr="003F7D41">
        <w:rPr>
          <w:szCs w:val="24"/>
        </w:rPr>
        <w:t>Phone: 301-264-3964</w:t>
      </w:r>
    </w:p>
    <w:p w:rsidR="00716995" w:rsidRPr="003F7D41" w:rsidRDefault="00716995" w:rsidP="00716995">
      <w:pPr>
        <w:spacing w:after="0"/>
        <w:rPr>
          <w:szCs w:val="24"/>
        </w:rPr>
      </w:pPr>
      <w:r w:rsidRPr="003F7D41">
        <w:rPr>
          <w:szCs w:val="24"/>
        </w:rPr>
        <w:t>Email: jenniferberktold@westat.com</w:t>
      </w:r>
    </w:p>
    <w:p w:rsidR="00716995" w:rsidRPr="003F7D41" w:rsidRDefault="00716995" w:rsidP="00716995">
      <w:pPr>
        <w:spacing w:after="0"/>
        <w:rPr>
          <w:color w:val="FF0000"/>
          <w:szCs w:val="24"/>
        </w:rPr>
      </w:pPr>
    </w:p>
    <w:p w:rsidR="00716995" w:rsidRPr="003F7D41" w:rsidRDefault="00716995" w:rsidP="00716995">
      <w:pPr>
        <w:pStyle w:val="Heading6"/>
        <w:widowControl w:val="0"/>
        <w:spacing w:line="240" w:lineRule="auto"/>
        <w:rPr>
          <w:rFonts w:ascii="Calibri" w:hAnsi="Calibri"/>
          <w:b w:val="0"/>
          <w:bCs/>
          <w:szCs w:val="22"/>
        </w:rPr>
      </w:pPr>
      <w:r w:rsidRPr="003F7D41">
        <w:rPr>
          <w:rFonts w:ascii="Calibri" w:hAnsi="Calibri"/>
          <w:b w:val="0"/>
          <w:bCs/>
          <w:szCs w:val="22"/>
        </w:rPr>
        <w:t>Colleen Ryan Leonard, MA</w:t>
      </w:r>
    </w:p>
    <w:p w:rsidR="00716995" w:rsidRPr="003F7D41" w:rsidRDefault="00716995" w:rsidP="00716995">
      <w:pPr>
        <w:spacing w:after="0"/>
      </w:pPr>
      <w:r w:rsidRPr="003F7D41">
        <w:t>Consultant</w:t>
      </w:r>
    </w:p>
    <w:p w:rsidR="00716995" w:rsidRPr="003F7D41" w:rsidRDefault="00716995" w:rsidP="00716995">
      <w:pPr>
        <w:spacing w:after="0"/>
      </w:pPr>
      <w:r w:rsidRPr="003F7D41">
        <w:t>3114 Shrewsbury Lane</w:t>
      </w:r>
    </w:p>
    <w:p w:rsidR="00716995" w:rsidRPr="003F7D41" w:rsidRDefault="00716995" w:rsidP="00716995">
      <w:pPr>
        <w:spacing w:after="0"/>
      </w:pPr>
      <w:r w:rsidRPr="003F7D41">
        <w:t>Riva</w:t>
      </w:r>
      <w:r w:rsidR="00103536" w:rsidRPr="003F7D41">
        <w:t>,</w:t>
      </w:r>
      <w:r w:rsidRPr="003F7D41">
        <w:t xml:space="preserve"> MD 21140</w:t>
      </w:r>
    </w:p>
    <w:p w:rsidR="00716995" w:rsidRPr="003F7D41" w:rsidRDefault="00716995" w:rsidP="00716995">
      <w:pPr>
        <w:spacing w:after="0"/>
      </w:pPr>
      <w:r w:rsidRPr="003F7D41">
        <w:t>Phone: 410-956-4440</w:t>
      </w:r>
    </w:p>
    <w:p w:rsidR="004D3940" w:rsidRPr="003F7D41" w:rsidRDefault="004D3940" w:rsidP="004D3940">
      <w:pPr>
        <w:spacing w:after="0"/>
      </w:pPr>
    </w:p>
    <w:p w:rsidR="004D3940" w:rsidRPr="003F7D41" w:rsidRDefault="004D3940" w:rsidP="004D3940">
      <w:pPr>
        <w:spacing w:after="0"/>
      </w:pPr>
      <w:r w:rsidRPr="003F7D41">
        <w:t xml:space="preserve">Katherine </w:t>
      </w:r>
      <w:proofErr w:type="spellStart"/>
      <w:r w:rsidRPr="003F7D41">
        <w:t>McComas</w:t>
      </w:r>
      <w:proofErr w:type="spellEnd"/>
      <w:r w:rsidRPr="003F7D41">
        <w:t>, PhD</w:t>
      </w:r>
    </w:p>
    <w:p w:rsidR="004D3940" w:rsidRPr="003F7D41" w:rsidRDefault="004D3940" w:rsidP="004D3940">
      <w:pPr>
        <w:spacing w:after="0"/>
      </w:pPr>
      <w:r w:rsidRPr="003F7D41">
        <w:t>313 Kennedy Hall, Cornell University</w:t>
      </w:r>
    </w:p>
    <w:p w:rsidR="004D3940" w:rsidRPr="003F7D41" w:rsidRDefault="004D3940" w:rsidP="004D3940">
      <w:pPr>
        <w:spacing w:after="0"/>
      </w:pPr>
      <w:r w:rsidRPr="003F7D41">
        <w:t xml:space="preserve">Ithaca, </w:t>
      </w:r>
      <w:r w:rsidR="00103536" w:rsidRPr="003F7D41">
        <w:t>NY</w:t>
      </w:r>
      <w:r w:rsidRPr="003F7D41">
        <w:t xml:space="preserve"> 14853</w:t>
      </w:r>
    </w:p>
    <w:p w:rsidR="004D3940" w:rsidRPr="003F7D41" w:rsidRDefault="004D3940" w:rsidP="004D3940">
      <w:pPr>
        <w:spacing w:after="0"/>
      </w:pPr>
      <w:r w:rsidRPr="003F7D41">
        <w:t>Phone: 607-255-6508</w:t>
      </w:r>
    </w:p>
    <w:p w:rsidR="004D3940" w:rsidRPr="003F7D41" w:rsidRDefault="004D3940" w:rsidP="004D3940">
      <w:pPr>
        <w:spacing w:after="0"/>
      </w:pPr>
      <w:r w:rsidRPr="003F7D41">
        <w:t xml:space="preserve">Email: </w:t>
      </w:r>
      <w:hyperlink r:id="rId9" w:history="1">
        <w:r w:rsidRPr="003F7D41">
          <w:rPr>
            <w:rStyle w:val="Hyperlink"/>
          </w:rPr>
          <w:t>Kam19@cornell.edu</w:t>
        </w:r>
      </w:hyperlink>
    </w:p>
    <w:p w:rsidR="004D3940" w:rsidRPr="003F7D41" w:rsidRDefault="004D3940" w:rsidP="004D3940">
      <w:pPr>
        <w:spacing w:after="0"/>
      </w:pPr>
    </w:p>
    <w:p w:rsidR="004D3940" w:rsidRPr="003F7D41" w:rsidRDefault="004D3940" w:rsidP="004D3940">
      <w:pPr>
        <w:spacing w:after="0"/>
      </w:pPr>
      <w:r w:rsidRPr="003F7D41">
        <w:t xml:space="preserve">Mr. Jerry McCann, </w:t>
      </w:r>
    </w:p>
    <w:p w:rsidR="004D3940" w:rsidRPr="003F7D41" w:rsidRDefault="004D3940" w:rsidP="004D3940">
      <w:pPr>
        <w:spacing w:after="0"/>
      </w:pPr>
      <w:r w:rsidRPr="003F7D41">
        <w:t xml:space="preserve">Vice President, Carton </w:t>
      </w:r>
      <w:proofErr w:type="spellStart"/>
      <w:r w:rsidRPr="003F7D41">
        <w:t>Donofrio</w:t>
      </w:r>
      <w:proofErr w:type="spellEnd"/>
      <w:r w:rsidRPr="003F7D41">
        <w:t xml:space="preserve"> Partners</w:t>
      </w:r>
    </w:p>
    <w:p w:rsidR="004D3940" w:rsidRPr="003F7D41" w:rsidRDefault="004D3940" w:rsidP="004D3940">
      <w:pPr>
        <w:spacing w:after="0"/>
      </w:pPr>
      <w:r w:rsidRPr="003F7D41">
        <w:t>Phone: 410-223-3500</w:t>
      </w:r>
    </w:p>
    <w:p w:rsidR="0018563D" w:rsidRPr="003F7D41" w:rsidRDefault="004D3940" w:rsidP="004D3940">
      <w:pPr>
        <w:spacing w:after="0"/>
      </w:pPr>
      <w:r w:rsidRPr="003F7D41">
        <w:t>Email: jmccann@cartondonofrio.com</w:t>
      </w:r>
    </w:p>
    <w:p w:rsidR="00B5105F" w:rsidRPr="003F7D41" w:rsidRDefault="00B5105F" w:rsidP="0013088D">
      <w:pPr>
        <w:spacing w:after="0"/>
        <w:rPr>
          <w:b/>
        </w:rPr>
      </w:pPr>
    </w:p>
    <w:p w:rsidR="006A4549" w:rsidRPr="003F7D41" w:rsidRDefault="0018563D" w:rsidP="0013088D">
      <w:r w:rsidRPr="003F7D41">
        <w:rPr>
          <w:b/>
        </w:rPr>
        <w:br w:type="page"/>
      </w:r>
      <w:r w:rsidR="006A4549" w:rsidRPr="003F7D41">
        <w:rPr>
          <w:b/>
        </w:rPr>
        <w:t>A.9</w:t>
      </w:r>
      <w:r w:rsidR="006A4549" w:rsidRPr="003F7D41">
        <w:rPr>
          <w:b/>
        </w:rPr>
        <w:tab/>
        <w:t>Explanation of Any Payment or Gift to Respondents</w:t>
      </w:r>
      <w:r w:rsidR="00C60FB5" w:rsidRPr="003F7D41">
        <w:rPr>
          <w:b/>
        </w:rPr>
        <w:fldChar w:fldCharType="begin"/>
      </w:r>
      <w:r w:rsidR="006A4549" w:rsidRPr="003F7D41">
        <w:rPr>
          <w:b/>
        </w:rPr>
        <w:instrText>tc \l3 "A9</w:instrText>
      </w:r>
      <w:r w:rsidR="006A4549" w:rsidRPr="003F7D41">
        <w:rPr>
          <w:b/>
        </w:rPr>
        <w:tab/>
        <w:instrText>Payments to Respondents</w:instrText>
      </w:r>
      <w:r w:rsidR="00C60FB5" w:rsidRPr="003F7D41">
        <w:rPr>
          <w:b/>
        </w:rPr>
        <w:fldChar w:fldCharType="end"/>
      </w:r>
      <w:r w:rsidR="006A4549" w:rsidRPr="003F7D41">
        <w:t xml:space="preserve">  </w:t>
      </w:r>
    </w:p>
    <w:p w:rsidR="006A4549" w:rsidRPr="003F7D41" w:rsidRDefault="006A4549" w:rsidP="006A4549">
      <w:pPr>
        <w:pStyle w:val="Default"/>
        <w:rPr>
          <w:rFonts w:ascii="Calibri" w:hAnsi="Calibri"/>
          <w:sz w:val="22"/>
          <w:szCs w:val="22"/>
        </w:rPr>
      </w:pPr>
      <w:r w:rsidRPr="003F7D41">
        <w:rPr>
          <w:rFonts w:ascii="Calibri" w:hAnsi="Calibri"/>
          <w:sz w:val="22"/>
          <w:szCs w:val="22"/>
        </w:rPr>
        <w:t xml:space="preserve">All respondents in the focus groups will receive </w:t>
      </w:r>
      <w:r w:rsidR="00632FCE">
        <w:rPr>
          <w:rFonts w:ascii="Calibri" w:hAnsi="Calibri"/>
          <w:sz w:val="22"/>
          <w:szCs w:val="22"/>
        </w:rPr>
        <w:t xml:space="preserve">a token of appreciation </w:t>
      </w:r>
      <w:r w:rsidRPr="003F7D41">
        <w:rPr>
          <w:rFonts w:ascii="Calibri" w:hAnsi="Calibri"/>
          <w:sz w:val="22"/>
          <w:szCs w:val="22"/>
        </w:rPr>
        <w:t>fo</w:t>
      </w:r>
      <w:r w:rsidR="00632FCE">
        <w:rPr>
          <w:rFonts w:ascii="Calibri" w:hAnsi="Calibri"/>
          <w:sz w:val="22"/>
          <w:szCs w:val="22"/>
        </w:rPr>
        <w:t>llowing</w:t>
      </w:r>
      <w:r w:rsidRPr="003F7D41">
        <w:rPr>
          <w:rFonts w:ascii="Calibri" w:hAnsi="Calibri"/>
          <w:sz w:val="22"/>
          <w:szCs w:val="22"/>
        </w:rPr>
        <w:t xml:space="preserve"> their participation in focus groups.  Previous research indicates </w:t>
      </w:r>
      <w:r w:rsidR="00632FCE">
        <w:rPr>
          <w:rFonts w:ascii="Calibri" w:hAnsi="Calibri"/>
          <w:sz w:val="22"/>
          <w:szCs w:val="22"/>
        </w:rPr>
        <w:t>providing monetary incentives can increase participation</w:t>
      </w:r>
      <w:r w:rsidRPr="003F7D41">
        <w:rPr>
          <w:rFonts w:ascii="Calibri" w:hAnsi="Calibri"/>
          <w:sz w:val="22"/>
          <w:szCs w:val="22"/>
        </w:rPr>
        <w:t xml:space="preserve"> (</w:t>
      </w:r>
      <w:proofErr w:type="spellStart"/>
      <w:r w:rsidRPr="003F7D41">
        <w:rPr>
          <w:rFonts w:ascii="Calibri" w:hAnsi="Calibri"/>
          <w:sz w:val="22"/>
          <w:szCs w:val="22"/>
        </w:rPr>
        <w:t>Kreuger</w:t>
      </w:r>
      <w:proofErr w:type="spellEnd"/>
      <w:r w:rsidRPr="003F7D41">
        <w:rPr>
          <w:rFonts w:ascii="Calibri" w:hAnsi="Calibri"/>
          <w:sz w:val="22"/>
          <w:szCs w:val="22"/>
        </w:rPr>
        <w:t xml:space="preserve">, 1994).  </w:t>
      </w:r>
      <w:r w:rsidR="00EF021A">
        <w:rPr>
          <w:rFonts w:ascii="Calibri" w:hAnsi="Calibri"/>
          <w:sz w:val="22"/>
          <w:szCs w:val="22"/>
        </w:rPr>
        <w:t xml:space="preserve">As stated by </w:t>
      </w:r>
      <w:proofErr w:type="spellStart"/>
      <w:r w:rsidR="00EF021A">
        <w:rPr>
          <w:rFonts w:ascii="Calibri" w:hAnsi="Calibri"/>
          <w:sz w:val="22"/>
          <w:szCs w:val="22"/>
        </w:rPr>
        <w:t>Kreuger</w:t>
      </w:r>
      <w:proofErr w:type="spellEnd"/>
      <w:r w:rsidR="00EF021A">
        <w:rPr>
          <w:rFonts w:ascii="Calibri" w:hAnsi="Calibri"/>
          <w:sz w:val="22"/>
          <w:szCs w:val="22"/>
        </w:rPr>
        <w:t>, “the incentive is not a reward</w:t>
      </w:r>
      <w:proofErr w:type="gramStart"/>
      <w:r w:rsidR="007851BC">
        <w:rPr>
          <w:rFonts w:ascii="Calibri" w:hAnsi="Calibri"/>
          <w:sz w:val="22"/>
          <w:szCs w:val="22"/>
        </w:rPr>
        <w:t>…[</w:t>
      </w:r>
      <w:proofErr w:type="gramEnd"/>
      <w:r w:rsidR="007851BC">
        <w:rPr>
          <w:rFonts w:ascii="Calibri" w:hAnsi="Calibri"/>
          <w:sz w:val="22"/>
          <w:szCs w:val="22"/>
        </w:rPr>
        <w:t>but]</w:t>
      </w:r>
      <w:r w:rsidR="00EF021A">
        <w:rPr>
          <w:rFonts w:ascii="Calibri" w:hAnsi="Calibri"/>
          <w:sz w:val="22"/>
          <w:szCs w:val="22"/>
        </w:rPr>
        <w:t xml:space="preserve"> serves as a stimulus to attend the session.” </w:t>
      </w:r>
      <w:r w:rsidRPr="003F7D41">
        <w:rPr>
          <w:rFonts w:ascii="Calibri" w:hAnsi="Calibri"/>
          <w:sz w:val="22"/>
          <w:szCs w:val="22"/>
        </w:rPr>
        <w:t xml:space="preserve">The </w:t>
      </w:r>
      <w:r w:rsidR="00632FCE">
        <w:rPr>
          <w:rFonts w:ascii="Calibri" w:hAnsi="Calibri"/>
          <w:sz w:val="22"/>
          <w:szCs w:val="22"/>
        </w:rPr>
        <w:t>token of appreciation will be</w:t>
      </w:r>
      <w:r w:rsidRPr="003F7D41">
        <w:rPr>
          <w:rFonts w:ascii="Calibri" w:hAnsi="Calibri"/>
          <w:sz w:val="22"/>
          <w:szCs w:val="22"/>
        </w:rPr>
        <w:t xml:space="preserve"> </w:t>
      </w:r>
      <w:r w:rsidR="00472561" w:rsidRPr="003F7D41">
        <w:rPr>
          <w:rFonts w:ascii="Calibri" w:hAnsi="Calibri"/>
          <w:sz w:val="22"/>
          <w:szCs w:val="22"/>
        </w:rPr>
        <w:t>$</w:t>
      </w:r>
      <w:r w:rsidR="008F7914" w:rsidRPr="003F7D41">
        <w:rPr>
          <w:rFonts w:ascii="Calibri" w:hAnsi="Calibri"/>
          <w:sz w:val="22"/>
          <w:szCs w:val="22"/>
        </w:rPr>
        <w:t>75 per</w:t>
      </w:r>
      <w:r w:rsidRPr="003F7D41">
        <w:rPr>
          <w:rFonts w:ascii="Calibri" w:hAnsi="Calibri"/>
          <w:sz w:val="22"/>
          <w:szCs w:val="22"/>
        </w:rPr>
        <w:t xml:space="preserve"> respondent and will be provided directly to participants by the focus group facilities. </w:t>
      </w:r>
    </w:p>
    <w:p w:rsidR="006A4549" w:rsidRPr="003F7D41" w:rsidRDefault="006A4549" w:rsidP="00103536">
      <w:pPr>
        <w:pStyle w:val="RL-FlLftSgl"/>
        <w:spacing w:before="240" w:after="240" w:line="240" w:lineRule="auto"/>
        <w:rPr>
          <w:rFonts w:ascii="Calibri" w:hAnsi="Calibri"/>
          <w:bCs/>
          <w:szCs w:val="22"/>
        </w:rPr>
      </w:pPr>
      <w:r w:rsidRPr="003F7D41">
        <w:rPr>
          <w:rFonts w:ascii="Calibri" w:hAnsi="Calibri"/>
          <w:bCs/>
          <w:szCs w:val="22"/>
        </w:rPr>
        <w:t>A.10</w:t>
      </w:r>
      <w:r w:rsidRPr="003F7D41">
        <w:rPr>
          <w:rFonts w:ascii="Calibri" w:hAnsi="Calibri"/>
          <w:bCs/>
          <w:szCs w:val="22"/>
        </w:rPr>
        <w:tab/>
        <w:t xml:space="preserve">Assurance of Confidentiality Provided to Respondents   </w:t>
      </w:r>
    </w:p>
    <w:p w:rsidR="006A4549" w:rsidRPr="003F7D41" w:rsidRDefault="006A4549" w:rsidP="006A4549">
      <w:pPr>
        <w:pStyle w:val="P1-StandPara"/>
        <w:spacing w:line="240" w:lineRule="auto"/>
        <w:ind w:firstLine="0"/>
        <w:jc w:val="left"/>
        <w:rPr>
          <w:rFonts w:ascii="Calibri" w:hAnsi="Calibri"/>
          <w:szCs w:val="22"/>
        </w:rPr>
      </w:pPr>
      <w:r w:rsidRPr="003F7D41">
        <w:rPr>
          <w:rFonts w:ascii="Calibri" w:hAnsi="Calibri"/>
          <w:szCs w:val="22"/>
        </w:rPr>
        <w:t>This submission has been reviewed and determined that the Privacy Act does not apply. Westat will hire a professional focus group facility to screen and schedule respondents. The only IIF that will be obtained are the participants’ name and phone numbers for setting up interview appointments, which will be maintained at the focus group facility in its proprietary files. These personal identifiers will not be linked to data.  During the focus groups, only first names will be u</w:t>
      </w:r>
      <w:r w:rsidR="00913026" w:rsidRPr="003F7D41">
        <w:rPr>
          <w:rFonts w:ascii="Calibri" w:hAnsi="Calibri"/>
          <w:szCs w:val="22"/>
        </w:rPr>
        <w:t xml:space="preserve">sed. Focus groups will be audio </w:t>
      </w:r>
      <w:r w:rsidRPr="003F7D41">
        <w:rPr>
          <w:rFonts w:ascii="Calibri" w:hAnsi="Calibri"/>
          <w:szCs w:val="22"/>
        </w:rPr>
        <w:t>taped and transcribed for use by the Westat research team in developing a report.  The audio</w:t>
      </w:r>
      <w:r w:rsidR="00913026" w:rsidRPr="003F7D41">
        <w:rPr>
          <w:rFonts w:ascii="Calibri" w:hAnsi="Calibri"/>
          <w:szCs w:val="22"/>
        </w:rPr>
        <w:t xml:space="preserve"> </w:t>
      </w:r>
      <w:r w:rsidRPr="003F7D41">
        <w:rPr>
          <w:rFonts w:ascii="Calibri" w:hAnsi="Calibri"/>
          <w:szCs w:val="22"/>
        </w:rPr>
        <w:t xml:space="preserve">tapes will be stored in a locked file cabinet, accessible only to project staff.  The recording will be destroyed at the end of the study, which is currently </w:t>
      </w:r>
      <w:r w:rsidR="00B5105F" w:rsidRPr="003F7D41">
        <w:rPr>
          <w:rFonts w:ascii="Calibri" w:hAnsi="Calibri"/>
          <w:szCs w:val="22"/>
        </w:rPr>
        <w:t>May</w:t>
      </w:r>
      <w:r w:rsidRPr="003F7D41">
        <w:rPr>
          <w:rFonts w:ascii="Calibri" w:hAnsi="Calibri"/>
          <w:szCs w:val="22"/>
        </w:rPr>
        <w:t>, 2011.</w:t>
      </w:r>
    </w:p>
    <w:p w:rsidR="006A4549" w:rsidRPr="003F7D41" w:rsidRDefault="006A4549" w:rsidP="006A4549">
      <w:pPr>
        <w:pStyle w:val="P1-StandPara"/>
        <w:spacing w:line="240" w:lineRule="auto"/>
        <w:ind w:firstLine="0"/>
        <w:jc w:val="left"/>
        <w:rPr>
          <w:rFonts w:ascii="Calibri" w:hAnsi="Calibri"/>
          <w:szCs w:val="22"/>
        </w:rPr>
      </w:pPr>
      <w:proofErr w:type="spellStart"/>
      <w:r w:rsidRPr="003F7D41">
        <w:rPr>
          <w:rFonts w:ascii="Calibri" w:hAnsi="Calibri"/>
          <w:szCs w:val="22"/>
        </w:rPr>
        <w:t>Westat’s</w:t>
      </w:r>
      <w:proofErr w:type="spellEnd"/>
      <w:r w:rsidRPr="003F7D41">
        <w:rPr>
          <w:rFonts w:ascii="Calibri" w:hAnsi="Calibri"/>
          <w:szCs w:val="22"/>
        </w:rPr>
        <w:t xml:space="preserve"> Institutional Review Board (IRB) reviewed the study instruments and granted expedited approval</w:t>
      </w:r>
      <w:r w:rsidRPr="003F7D41">
        <w:rPr>
          <w:rFonts w:ascii="Calibri" w:hAnsi="Calibri"/>
          <w:color w:val="FF0000"/>
          <w:szCs w:val="22"/>
        </w:rPr>
        <w:t xml:space="preserve"> </w:t>
      </w:r>
      <w:r w:rsidRPr="003F7D41">
        <w:rPr>
          <w:rFonts w:ascii="Calibri" w:hAnsi="Calibri"/>
          <w:szCs w:val="22"/>
        </w:rPr>
        <w:t xml:space="preserve">for the study due to minimal risk (see Attachment </w:t>
      </w:r>
      <w:r w:rsidR="00E47592" w:rsidRPr="003F7D41">
        <w:rPr>
          <w:rFonts w:ascii="Calibri" w:hAnsi="Calibri"/>
          <w:szCs w:val="22"/>
        </w:rPr>
        <w:t>7</w:t>
      </w:r>
      <w:r w:rsidRPr="003F7D41">
        <w:rPr>
          <w:rFonts w:ascii="Calibri" w:hAnsi="Calibri"/>
          <w:szCs w:val="22"/>
        </w:rPr>
        <w:t>).</w:t>
      </w:r>
      <w:bookmarkStart w:id="0" w:name="OLE_LINK7"/>
      <w:bookmarkStart w:id="1" w:name="OLE_LINK8"/>
      <w:bookmarkStart w:id="2" w:name="OLE_LINK9"/>
      <w:bookmarkStart w:id="3" w:name="OLE_LINK10"/>
      <w:r w:rsidRPr="003F7D41">
        <w:rPr>
          <w:rFonts w:ascii="Calibri" w:hAnsi="Calibri"/>
          <w:szCs w:val="22"/>
        </w:rPr>
        <w:t xml:space="preserve"> </w:t>
      </w:r>
      <w:r w:rsidR="00276544" w:rsidRPr="003F7D41">
        <w:rPr>
          <w:rFonts w:ascii="Calibri" w:hAnsi="Calibri"/>
          <w:szCs w:val="22"/>
        </w:rPr>
        <w:t>CDC/ATSDR is not engaged in the research.</w:t>
      </w:r>
      <w:r w:rsidRPr="003F7D41">
        <w:rPr>
          <w:rFonts w:ascii="Calibri" w:hAnsi="Calibri"/>
          <w:szCs w:val="22"/>
        </w:rPr>
        <w:t xml:space="preserve">   </w:t>
      </w:r>
    </w:p>
    <w:bookmarkEnd w:id="0"/>
    <w:bookmarkEnd w:id="1"/>
    <w:bookmarkEnd w:id="2"/>
    <w:bookmarkEnd w:id="3"/>
    <w:p w:rsidR="006A4549" w:rsidRPr="003F7D41" w:rsidRDefault="006A4549" w:rsidP="006A4549">
      <w:pPr>
        <w:pStyle w:val="P1-StandPara"/>
        <w:spacing w:line="240" w:lineRule="auto"/>
        <w:ind w:firstLine="0"/>
        <w:jc w:val="left"/>
        <w:rPr>
          <w:rFonts w:ascii="Calibri" w:hAnsi="Calibri"/>
          <w:szCs w:val="22"/>
          <w:u w:val="single"/>
        </w:rPr>
      </w:pPr>
      <w:r w:rsidRPr="003F7D41">
        <w:rPr>
          <w:rFonts w:ascii="Calibri" w:hAnsi="Calibri"/>
          <w:szCs w:val="22"/>
          <w:u w:val="single"/>
        </w:rPr>
        <w:t>Privacy Impact Assessment Information</w:t>
      </w:r>
    </w:p>
    <w:p w:rsidR="006A4549" w:rsidRPr="003F7D41" w:rsidRDefault="006A4549" w:rsidP="006A4549">
      <w:pPr>
        <w:pStyle w:val="Default"/>
        <w:rPr>
          <w:rFonts w:ascii="Calibri" w:hAnsi="Calibri"/>
          <w:b/>
          <w:sz w:val="22"/>
          <w:szCs w:val="22"/>
        </w:rPr>
      </w:pPr>
      <w:proofErr w:type="gramStart"/>
      <w:r w:rsidRPr="003F7D41">
        <w:rPr>
          <w:rFonts w:ascii="Calibri" w:hAnsi="Calibri"/>
          <w:b/>
          <w:sz w:val="22"/>
          <w:szCs w:val="22"/>
        </w:rPr>
        <w:t>10-A.</w:t>
      </w:r>
      <w:proofErr w:type="gramEnd"/>
      <w:r w:rsidRPr="003F7D41">
        <w:rPr>
          <w:rFonts w:ascii="Calibri" w:hAnsi="Calibri"/>
          <w:sz w:val="22"/>
          <w:szCs w:val="22"/>
        </w:rPr>
        <w:t xml:space="preserve"> The Privacy Act does not apply.</w:t>
      </w:r>
    </w:p>
    <w:p w:rsidR="006A4549" w:rsidRPr="003F7D41" w:rsidRDefault="006A4549" w:rsidP="006A4549">
      <w:pPr>
        <w:pStyle w:val="Default"/>
        <w:rPr>
          <w:rFonts w:ascii="Calibri" w:hAnsi="Calibri"/>
          <w:b/>
          <w:sz w:val="22"/>
          <w:szCs w:val="22"/>
        </w:rPr>
      </w:pPr>
    </w:p>
    <w:p w:rsidR="006A4549" w:rsidRPr="003F7D41" w:rsidRDefault="006A4549" w:rsidP="006A4549">
      <w:pPr>
        <w:pStyle w:val="Default"/>
        <w:rPr>
          <w:rFonts w:ascii="Calibri" w:hAnsi="Calibri"/>
          <w:sz w:val="22"/>
          <w:szCs w:val="22"/>
        </w:rPr>
      </w:pPr>
      <w:proofErr w:type="gramStart"/>
      <w:r w:rsidRPr="003F7D41">
        <w:rPr>
          <w:rFonts w:ascii="Calibri" w:hAnsi="Calibri"/>
          <w:b/>
          <w:sz w:val="22"/>
          <w:szCs w:val="22"/>
        </w:rPr>
        <w:t>10-B.</w:t>
      </w:r>
      <w:proofErr w:type="gramEnd"/>
      <w:r w:rsidR="00FB3793" w:rsidRPr="003F7D41">
        <w:rPr>
          <w:rFonts w:ascii="Calibri" w:hAnsi="Calibri"/>
          <w:sz w:val="22"/>
          <w:szCs w:val="22"/>
        </w:rPr>
        <w:t xml:space="preserve">  </w:t>
      </w:r>
      <w:r w:rsidRPr="003F7D41">
        <w:rPr>
          <w:rFonts w:ascii="Calibri" w:hAnsi="Calibri"/>
          <w:sz w:val="22"/>
          <w:szCs w:val="22"/>
        </w:rPr>
        <w:t>Focus groups will be audio</w:t>
      </w:r>
      <w:r w:rsidR="00913026" w:rsidRPr="003F7D41">
        <w:rPr>
          <w:rFonts w:ascii="Calibri" w:hAnsi="Calibri"/>
          <w:sz w:val="22"/>
          <w:szCs w:val="22"/>
        </w:rPr>
        <w:t xml:space="preserve"> </w:t>
      </w:r>
      <w:r w:rsidRPr="003F7D41">
        <w:rPr>
          <w:rFonts w:ascii="Calibri" w:hAnsi="Calibri"/>
          <w:sz w:val="22"/>
          <w:szCs w:val="22"/>
        </w:rPr>
        <w:t>taped and transcribed for use by the research team in developing a report.  Transcripts of focus groups will only record participants first name.  The audio</w:t>
      </w:r>
      <w:r w:rsidR="00913026" w:rsidRPr="003F7D41">
        <w:rPr>
          <w:rFonts w:ascii="Calibri" w:hAnsi="Calibri"/>
          <w:sz w:val="22"/>
          <w:szCs w:val="22"/>
        </w:rPr>
        <w:t xml:space="preserve"> </w:t>
      </w:r>
      <w:r w:rsidRPr="003F7D41">
        <w:rPr>
          <w:rFonts w:ascii="Calibri" w:hAnsi="Calibri"/>
          <w:sz w:val="22"/>
          <w:szCs w:val="22"/>
        </w:rPr>
        <w:t xml:space="preserve">tapes will be secured in a locked file cabinet, accessible only to project staff.  The recording will be destroyed at the end of the study, which is currently </w:t>
      </w:r>
      <w:r w:rsidR="00B5105F" w:rsidRPr="003F7D41">
        <w:rPr>
          <w:rFonts w:ascii="Calibri" w:hAnsi="Calibri"/>
          <w:sz w:val="22"/>
          <w:szCs w:val="22"/>
        </w:rPr>
        <w:t>May</w:t>
      </w:r>
      <w:r w:rsidRPr="003F7D41">
        <w:rPr>
          <w:rFonts w:ascii="Calibri" w:hAnsi="Calibri"/>
          <w:sz w:val="22"/>
          <w:szCs w:val="22"/>
        </w:rPr>
        <w:t xml:space="preserve">, 2011. Respondents will be informed of study data collection procedures and securing of data in the consent form (see Attachment </w:t>
      </w:r>
      <w:r w:rsidR="00E47592" w:rsidRPr="003F7D41">
        <w:rPr>
          <w:rFonts w:ascii="Calibri" w:hAnsi="Calibri"/>
          <w:sz w:val="22"/>
          <w:szCs w:val="22"/>
        </w:rPr>
        <w:t>6</w:t>
      </w:r>
      <w:r w:rsidRPr="003F7D41">
        <w:rPr>
          <w:rFonts w:ascii="Calibri" w:hAnsi="Calibri"/>
          <w:sz w:val="22"/>
          <w:szCs w:val="22"/>
        </w:rPr>
        <w:t xml:space="preserve">).  </w:t>
      </w:r>
    </w:p>
    <w:p w:rsidR="006A4549" w:rsidRPr="003F7D41" w:rsidRDefault="006A4549" w:rsidP="006A4549">
      <w:pPr>
        <w:pStyle w:val="Default"/>
        <w:rPr>
          <w:rFonts w:ascii="Calibri" w:hAnsi="Calibri"/>
          <w:sz w:val="22"/>
          <w:szCs w:val="22"/>
        </w:rPr>
      </w:pPr>
    </w:p>
    <w:p w:rsidR="006A4549" w:rsidRPr="003F7D41" w:rsidRDefault="006A4549" w:rsidP="006A4549">
      <w:r w:rsidRPr="003F7D41">
        <w:rPr>
          <w:b/>
        </w:rPr>
        <w:t xml:space="preserve">10-C. </w:t>
      </w:r>
      <w:r w:rsidRPr="003F7D41">
        <w:t xml:space="preserve">Respondents will provide their consent to participate in the study by reading and signing the consent form.  Respondents will be informed that findings from this research will be used </w:t>
      </w:r>
      <w:r w:rsidR="00016C14" w:rsidRPr="003F7D41">
        <w:t>by</w:t>
      </w:r>
      <w:r w:rsidRPr="003F7D41">
        <w:t xml:space="preserve"> </w:t>
      </w:r>
      <w:r w:rsidR="00276544" w:rsidRPr="003F7D41">
        <w:rPr>
          <w:szCs w:val="24"/>
        </w:rPr>
        <w:t>CDC</w:t>
      </w:r>
      <w:r w:rsidR="00016C14" w:rsidRPr="003F7D41">
        <w:rPr>
          <w:szCs w:val="24"/>
        </w:rPr>
        <w:t xml:space="preserve"> to identify messages that will lead to the development of a framework for </w:t>
      </w:r>
      <w:r w:rsidR="00016C14" w:rsidRPr="003F7D41">
        <w:t xml:space="preserve">communicating risk information about environmental chemicals to </w:t>
      </w:r>
      <w:r w:rsidR="00276544" w:rsidRPr="003F7D41">
        <w:t>attentive public</w:t>
      </w:r>
      <w:r w:rsidR="00016C14" w:rsidRPr="003F7D41">
        <w:t xml:space="preserve"> audience</w:t>
      </w:r>
      <w:r w:rsidR="00276544" w:rsidRPr="003F7D41">
        <w:t>s such as</w:t>
      </w:r>
      <w:r w:rsidR="00016C14" w:rsidRPr="003F7D41">
        <w:t xml:space="preserve"> women</w:t>
      </w:r>
      <w:r w:rsidR="00276544" w:rsidRPr="003F7D41">
        <w:t xml:space="preserve"> interested in their young children’s health risks</w:t>
      </w:r>
      <w:r w:rsidR="00016C14" w:rsidRPr="003F7D41">
        <w:rPr>
          <w:szCs w:val="24"/>
        </w:rPr>
        <w:t xml:space="preserve">.  </w:t>
      </w:r>
      <w:r w:rsidR="007314E1" w:rsidRPr="003F7D41">
        <w:t xml:space="preserve"> </w:t>
      </w:r>
      <w:proofErr w:type="gramStart"/>
      <w:r w:rsidR="007314E1" w:rsidRPr="003F7D41">
        <w:t>(S</w:t>
      </w:r>
      <w:r w:rsidRPr="003F7D41">
        <w:t xml:space="preserve">ee Attachment </w:t>
      </w:r>
      <w:r w:rsidR="00E47592" w:rsidRPr="003F7D41">
        <w:t>6</w:t>
      </w:r>
      <w:r w:rsidRPr="003F7D41">
        <w:t>).</w:t>
      </w:r>
      <w:proofErr w:type="gramEnd"/>
      <w:r w:rsidRPr="003F7D41">
        <w:t xml:space="preserve">  </w:t>
      </w:r>
    </w:p>
    <w:p w:rsidR="006A4549" w:rsidRPr="003F7D41" w:rsidRDefault="006A4549" w:rsidP="006A4549">
      <w:pPr>
        <w:rPr>
          <w:rFonts w:cs="Courier New"/>
          <w:szCs w:val="24"/>
        </w:rPr>
      </w:pPr>
      <w:r w:rsidRPr="003F7D41">
        <w:rPr>
          <w:b/>
          <w:szCs w:val="24"/>
        </w:rPr>
        <w:t>10-D</w:t>
      </w:r>
      <w:r w:rsidRPr="003F7D41">
        <w:rPr>
          <w:szCs w:val="24"/>
        </w:rPr>
        <w:t xml:space="preserve">. Respondents will be informed that participation in the study is purely voluntary and no penalties will occur if they wish not to respond to the information collection as a whole or to any specific questions in the consent form. </w:t>
      </w:r>
      <w:r w:rsidRPr="003F7D41">
        <w:rPr>
          <w:rFonts w:cs="Courier New"/>
          <w:szCs w:val="24"/>
        </w:rPr>
        <w:t xml:space="preserve">All information provided by respondents will be treated in a secure manner and will not be disclosed unless otherwise compelled by law. </w:t>
      </w:r>
      <w:r w:rsidRPr="003F7D41">
        <w:rPr>
          <w:szCs w:val="24"/>
        </w:rPr>
        <w:t xml:space="preserve"> Data security procedures will be described to respondents in the </w:t>
      </w:r>
      <w:r w:rsidRPr="003F7D41">
        <w:rPr>
          <w:rFonts w:cs="Courier New"/>
          <w:szCs w:val="24"/>
        </w:rPr>
        <w:t xml:space="preserve">informed consent form (See </w:t>
      </w:r>
      <w:r w:rsidR="0033181C" w:rsidRPr="003F7D41">
        <w:rPr>
          <w:rFonts w:cs="Courier New"/>
          <w:szCs w:val="24"/>
        </w:rPr>
        <w:t>A</w:t>
      </w:r>
      <w:r w:rsidRPr="003F7D41">
        <w:rPr>
          <w:rFonts w:cs="Courier New"/>
          <w:szCs w:val="24"/>
        </w:rPr>
        <w:t xml:space="preserve">ttachment </w:t>
      </w:r>
      <w:r w:rsidR="00E47592" w:rsidRPr="003F7D41">
        <w:rPr>
          <w:rFonts w:cs="Courier New"/>
          <w:szCs w:val="24"/>
        </w:rPr>
        <w:t>6</w:t>
      </w:r>
      <w:r w:rsidR="00016C14" w:rsidRPr="003F7D41">
        <w:rPr>
          <w:rFonts w:cs="Courier New"/>
          <w:szCs w:val="24"/>
        </w:rPr>
        <w:t>)</w:t>
      </w:r>
      <w:r w:rsidRPr="003F7D41">
        <w:rPr>
          <w:rFonts w:cs="Courier New"/>
          <w:szCs w:val="24"/>
        </w:rPr>
        <w:t xml:space="preserve">. </w:t>
      </w:r>
    </w:p>
    <w:p w:rsidR="006A4549" w:rsidRPr="003F7D41" w:rsidRDefault="006A4549" w:rsidP="006A4549">
      <w:pPr>
        <w:pStyle w:val="Default"/>
        <w:rPr>
          <w:rFonts w:ascii="Times New Roman" w:hAnsi="Times New Roman"/>
          <w:b/>
          <w:szCs w:val="24"/>
        </w:rPr>
      </w:pPr>
    </w:p>
    <w:p w:rsidR="004F7211" w:rsidRPr="003F7D41" w:rsidRDefault="004F7211">
      <w:pPr>
        <w:rPr>
          <w:rFonts w:eastAsia="Times New Roman"/>
          <w:b/>
        </w:rPr>
      </w:pPr>
      <w:r w:rsidRPr="003F7D41">
        <w:rPr>
          <w:b/>
        </w:rPr>
        <w:br w:type="page"/>
      </w:r>
    </w:p>
    <w:p w:rsidR="006A4549" w:rsidRPr="003F7D41" w:rsidRDefault="006A4549" w:rsidP="00016C14">
      <w:pPr>
        <w:pStyle w:val="Default"/>
        <w:rPr>
          <w:rFonts w:ascii="Calibri" w:hAnsi="Calibri"/>
          <w:b/>
          <w:sz w:val="22"/>
          <w:szCs w:val="22"/>
        </w:rPr>
      </w:pPr>
      <w:r w:rsidRPr="003F7D41">
        <w:rPr>
          <w:rFonts w:ascii="Calibri" w:hAnsi="Calibri"/>
          <w:b/>
          <w:sz w:val="22"/>
          <w:szCs w:val="22"/>
        </w:rPr>
        <w:t>A</w:t>
      </w:r>
      <w:r w:rsidR="00B74D9F" w:rsidRPr="003F7D41">
        <w:rPr>
          <w:rFonts w:ascii="Calibri" w:hAnsi="Calibri"/>
          <w:b/>
          <w:sz w:val="22"/>
          <w:szCs w:val="22"/>
        </w:rPr>
        <w:t>.</w:t>
      </w:r>
      <w:r w:rsidRPr="003F7D41">
        <w:rPr>
          <w:rFonts w:ascii="Calibri" w:hAnsi="Calibri"/>
          <w:b/>
          <w:sz w:val="22"/>
          <w:szCs w:val="22"/>
        </w:rPr>
        <w:t>11</w:t>
      </w:r>
      <w:r w:rsidR="00B74D9F" w:rsidRPr="003F7D41">
        <w:rPr>
          <w:rFonts w:ascii="Calibri" w:hAnsi="Calibri"/>
          <w:b/>
          <w:sz w:val="22"/>
          <w:szCs w:val="22"/>
        </w:rPr>
        <w:tab/>
      </w:r>
      <w:r w:rsidRPr="003F7D41">
        <w:rPr>
          <w:rFonts w:ascii="Calibri" w:hAnsi="Calibri"/>
          <w:b/>
          <w:sz w:val="22"/>
          <w:szCs w:val="22"/>
        </w:rPr>
        <w:t xml:space="preserve"> Justification for Sensitive Questions </w:t>
      </w:r>
    </w:p>
    <w:p w:rsidR="006A4549" w:rsidRPr="003F7D41" w:rsidRDefault="006A4549" w:rsidP="00016C14">
      <w:pPr>
        <w:pStyle w:val="Default"/>
        <w:rPr>
          <w:rFonts w:ascii="Calibri" w:hAnsi="Calibri"/>
          <w:sz w:val="22"/>
          <w:szCs w:val="22"/>
        </w:rPr>
      </w:pPr>
    </w:p>
    <w:p w:rsidR="006A4549" w:rsidRPr="003F7D41" w:rsidRDefault="006A4549" w:rsidP="003C4185">
      <w:pPr>
        <w:pStyle w:val="P1-StandPara"/>
        <w:spacing w:line="240" w:lineRule="auto"/>
        <w:ind w:firstLine="0"/>
        <w:jc w:val="left"/>
        <w:rPr>
          <w:rFonts w:ascii="Calibri" w:hAnsi="Calibri"/>
          <w:szCs w:val="22"/>
        </w:rPr>
      </w:pPr>
      <w:r w:rsidRPr="003F7D41">
        <w:rPr>
          <w:rFonts w:ascii="Calibri" w:hAnsi="Calibri"/>
          <w:szCs w:val="22"/>
        </w:rPr>
        <w:t xml:space="preserve">The proposed research is voluntary, and no persons are required to participate. This voluntary aspect of the focus group is clearly stated in the informed consent and will be stressed by the moderator during the focus groups.  There are no items considered to be sensitive for respondents. </w:t>
      </w:r>
    </w:p>
    <w:p w:rsidR="006A4549" w:rsidRPr="003F7D41" w:rsidRDefault="00B74D9F" w:rsidP="00016C14">
      <w:pPr>
        <w:rPr>
          <w:b/>
        </w:rPr>
      </w:pPr>
      <w:r w:rsidRPr="003F7D41">
        <w:rPr>
          <w:b/>
        </w:rPr>
        <w:t>A.12</w:t>
      </w:r>
      <w:r w:rsidRPr="003F7D41">
        <w:rPr>
          <w:b/>
        </w:rPr>
        <w:tab/>
        <w:t xml:space="preserve"> Estimates</w:t>
      </w:r>
      <w:r w:rsidR="006A4549" w:rsidRPr="003F7D41">
        <w:rPr>
          <w:b/>
        </w:rPr>
        <w:t xml:space="preserve"> of Annualized </w:t>
      </w:r>
      <w:r w:rsidR="00910D7A" w:rsidRPr="003F7D41">
        <w:rPr>
          <w:b/>
        </w:rPr>
        <w:t>Burden of Hours and</w:t>
      </w:r>
      <w:r w:rsidR="006A4549" w:rsidRPr="003F7D41">
        <w:rPr>
          <w:b/>
        </w:rPr>
        <w:t xml:space="preserve"> Costs</w:t>
      </w:r>
      <w:r w:rsidR="006A4549" w:rsidRPr="003F7D41">
        <w:rPr>
          <w:b/>
        </w:rPr>
        <w:tab/>
      </w:r>
    </w:p>
    <w:p w:rsidR="006A4549" w:rsidRPr="003F7D41" w:rsidRDefault="006A4549" w:rsidP="003C4185">
      <w:pPr>
        <w:pStyle w:val="P1-StandPara"/>
        <w:spacing w:line="240" w:lineRule="auto"/>
        <w:ind w:firstLine="0"/>
        <w:jc w:val="left"/>
        <w:rPr>
          <w:rFonts w:ascii="Calibri" w:hAnsi="Calibri"/>
          <w:szCs w:val="22"/>
        </w:rPr>
      </w:pPr>
      <w:r w:rsidRPr="003F7D41">
        <w:rPr>
          <w:rFonts w:ascii="Calibri" w:hAnsi="Calibri"/>
          <w:szCs w:val="22"/>
        </w:rPr>
        <w:t>Estimated response burden hours are shown in Table A</w:t>
      </w:r>
      <w:r w:rsidR="003C4185" w:rsidRPr="003F7D41">
        <w:rPr>
          <w:rFonts w:ascii="Calibri" w:hAnsi="Calibri"/>
          <w:szCs w:val="22"/>
        </w:rPr>
        <w:t>.</w:t>
      </w:r>
      <w:r w:rsidRPr="003F7D41">
        <w:rPr>
          <w:rFonts w:ascii="Calibri" w:hAnsi="Calibri"/>
          <w:szCs w:val="22"/>
        </w:rPr>
        <w:t xml:space="preserve">12A. The estimated time for </w:t>
      </w:r>
      <w:r w:rsidR="003C4185" w:rsidRPr="003F7D41">
        <w:rPr>
          <w:rFonts w:ascii="Calibri" w:hAnsi="Calibri"/>
          <w:szCs w:val="22"/>
        </w:rPr>
        <w:t xml:space="preserve">the </w:t>
      </w:r>
      <w:r w:rsidRPr="003F7D41">
        <w:rPr>
          <w:rFonts w:ascii="Calibri" w:hAnsi="Calibri"/>
          <w:szCs w:val="22"/>
        </w:rPr>
        <w:t xml:space="preserve">recruitment screener </w:t>
      </w:r>
      <w:r w:rsidR="003C4185" w:rsidRPr="003F7D41">
        <w:rPr>
          <w:rFonts w:ascii="Calibri" w:hAnsi="Calibri"/>
          <w:szCs w:val="22"/>
        </w:rPr>
        <w:t>is</w:t>
      </w:r>
      <w:r w:rsidRPr="003F7D41">
        <w:rPr>
          <w:rFonts w:ascii="Calibri" w:hAnsi="Calibri"/>
          <w:szCs w:val="22"/>
        </w:rPr>
        <w:t xml:space="preserve"> based on past experience with similar studies. The focus groups will last no longer than 2 hours. The </w:t>
      </w:r>
      <w:r w:rsidR="00AD19CC" w:rsidRPr="003F7D41">
        <w:rPr>
          <w:rFonts w:ascii="Calibri" w:hAnsi="Calibri"/>
          <w:szCs w:val="22"/>
        </w:rPr>
        <w:t xml:space="preserve">mean </w:t>
      </w:r>
      <w:r w:rsidRPr="003F7D41">
        <w:rPr>
          <w:rFonts w:ascii="Calibri" w:hAnsi="Calibri"/>
          <w:szCs w:val="22"/>
        </w:rPr>
        <w:t xml:space="preserve">hourly wage rate is based on the most recent </w:t>
      </w:r>
      <w:r w:rsidR="00AD19CC" w:rsidRPr="003F7D41">
        <w:rPr>
          <w:rFonts w:ascii="Calibri" w:hAnsi="Calibri"/>
          <w:szCs w:val="22"/>
        </w:rPr>
        <w:t>National Occupational Employment and Wage Estimates</w:t>
      </w:r>
      <w:r w:rsidRPr="003F7D41">
        <w:rPr>
          <w:rFonts w:ascii="Calibri" w:hAnsi="Calibri"/>
          <w:szCs w:val="22"/>
        </w:rPr>
        <w:t xml:space="preserve"> for all occupations, published on the Bureau of Labor Statistics website which is $</w:t>
      </w:r>
      <w:r w:rsidR="00AD19CC" w:rsidRPr="003F7D41">
        <w:rPr>
          <w:rFonts w:ascii="Calibri" w:hAnsi="Calibri"/>
          <w:szCs w:val="22"/>
        </w:rPr>
        <w:t>20.90</w:t>
      </w:r>
      <w:r w:rsidRPr="003F7D41">
        <w:rPr>
          <w:rFonts w:ascii="Calibri" w:hAnsi="Calibri"/>
          <w:szCs w:val="22"/>
        </w:rPr>
        <w:t xml:space="preserve">. We have revised </w:t>
      </w:r>
      <w:r w:rsidR="003C4185" w:rsidRPr="003F7D41">
        <w:rPr>
          <w:rFonts w:ascii="Calibri" w:hAnsi="Calibri"/>
          <w:szCs w:val="22"/>
        </w:rPr>
        <w:t xml:space="preserve">it </w:t>
      </w:r>
      <w:r w:rsidRPr="003F7D41">
        <w:rPr>
          <w:rFonts w:ascii="Calibri" w:hAnsi="Calibri"/>
          <w:szCs w:val="22"/>
        </w:rPr>
        <w:t>slightly and round</w:t>
      </w:r>
      <w:r w:rsidR="00B74D9F" w:rsidRPr="003F7D41">
        <w:rPr>
          <w:rFonts w:ascii="Calibri" w:hAnsi="Calibri"/>
          <w:szCs w:val="22"/>
        </w:rPr>
        <w:t>ed</w:t>
      </w:r>
      <w:r w:rsidRPr="003F7D41">
        <w:rPr>
          <w:rFonts w:ascii="Calibri" w:hAnsi="Calibri"/>
          <w:szCs w:val="22"/>
        </w:rPr>
        <w:t xml:space="preserve"> this number to $</w:t>
      </w:r>
      <w:r w:rsidR="00AD19CC" w:rsidRPr="003F7D41">
        <w:rPr>
          <w:rFonts w:ascii="Calibri" w:hAnsi="Calibri"/>
          <w:szCs w:val="22"/>
        </w:rPr>
        <w:t>21</w:t>
      </w:r>
      <w:r w:rsidRPr="003F7D41">
        <w:rPr>
          <w:rFonts w:ascii="Calibri" w:hAnsi="Calibri"/>
          <w:szCs w:val="22"/>
        </w:rPr>
        <w:t>.00. The annualized cost burden is shown in Table A</w:t>
      </w:r>
      <w:r w:rsidR="003C4185" w:rsidRPr="003F7D41">
        <w:rPr>
          <w:rFonts w:ascii="Calibri" w:hAnsi="Calibri"/>
          <w:szCs w:val="22"/>
        </w:rPr>
        <w:t>.</w:t>
      </w:r>
      <w:r w:rsidRPr="003F7D41">
        <w:rPr>
          <w:rFonts w:ascii="Calibri" w:hAnsi="Calibri"/>
          <w:szCs w:val="22"/>
        </w:rPr>
        <w:t xml:space="preserve">12B.  </w:t>
      </w:r>
    </w:p>
    <w:p w:rsidR="006A4549" w:rsidRPr="003F7D41" w:rsidRDefault="006A4549" w:rsidP="006A4549">
      <w:pPr>
        <w:pStyle w:val="SL-FlLftSgl"/>
        <w:rPr>
          <w:rFonts w:ascii="Calibri" w:hAnsi="Calibri"/>
          <w:b/>
          <w:szCs w:val="22"/>
        </w:rPr>
      </w:pPr>
      <w:r w:rsidRPr="003F7D41">
        <w:rPr>
          <w:rFonts w:ascii="Calibri" w:hAnsi="Calibri"/>
          <w:b/>
          <w:szCs w:val="22"/>
        </w:rPr>
        <w:t xml:space="preserve"> Table A.12A</w:t>
      </w:r>
      <w:r w:rsidR="00FB3793" w:rsidRPr="003F7D41">
        <w:rPr>
          <w:rFonts w:ascii="Calibri" w:hAnsi="Calibri"/>
          <w:b/>
          <w:szCs w:val="22"/>
        </w:rPr>
        <w:t>:</w:t>
      </w:r>
      <w:r w:rsidRPr="003F7D41">
        <w:rPr>
          <w:rFonts w:ascii="Calibri" w:hAnsi="Calibri"/>
          <w:b/>
          <w:szCs w:val="22"/>
        </w:rPr>
        <w:t xml:space="preserve"> Estimates of </w:t>
      </w:r>
      <w:proofErr w:type="spellStart"/>
      <w:r w:rsidRPr="003F7D41">
        <w:rPr>
          <w:rFonts w:ascii="Calibri" w:hAnsi="Calibri"/>
          <w:b/>
          <w:szCs w:val="22"/>
        </w:rPr>
        <w:t>Hour</w:t>
      </w:r>
      <w:proofErr w:type="spellEnd"/>
      <w:r w:rsidRPr="003F7D41">
        <w:rPr>
          <w:rFonts w:ascii="Calibri" w:hAnsi="Calibri"/>
          <w:b/>
          <w:szCs w:val="22"/>
        </w:rPr>
        <w:t xml:space="preserve"> Burden</w:t>
      </w:r>
    </w:p>
    <w:p w:rsidR="006A4549" w:rsidRPr="003F7D41" w:rsidRDefault="006A4549" w:rsidP="006A4549">
      <w:pPr>
        <w:pStyle w:val="SL-FlLftSgl"/>
        <w:rPr>
          <w:rFonts w:ascii="Calibri" w:hAnsi="Calibri"/>
          <w:szCs w:val="22"/>
        </w:rPr>
      </w:pPr>
      <w:r w:rsidRPr="003F7D41">
        <w:rPr>
          <w:rFonts w:ascii="Calibri" w:hAnsi="Calibri"/>
          <w:szCs w:val="22"/>
        </w:rPr>
        <w:t xml:space="preserve"> </w:t>
      </w:r>
    </w:p>
    <w:tbl>
      <w:tblPr>
        <w:tblW w:w="9638" w:type="dxa"/>
        <w:tblInd w:w="10" w:type="dxa"/>
        <w:tblBorders>
          <w:top w:val="nil"/>
          <w:left w:val="nil"/>
          <w:bottom w:val="nil"/>
          <w:right w:val="nil"/>
        </w:tblBorders>
        <w:tblLook w:val="0000"/>
      </w:tblPr>
      <w:tblGrid>
        <w:gridCol w:w="2018"/>
        <w:gridCol w:w="1742"/>
        <w:gridCol w:w="2416"/>
        <w:gridCol w:w="2132"/>
        <w:gridCol w:w="1330"/>
      </w:tblGrid>
      <w:tr w:rsidR="0045321A" w:rsidRPr="003F7D41" w:rsidTr="0045321A">
        <w:trPr>
          <w:trHeight w:val="973"/>
        </w:trPr>
        <w:tc>
          <w:tcPr>
            <w:tcW w:w="0" w:type="auto"/>
            <w:tcBorders>
              <w:top w:val="single" w:sz="8" w:space="0" w:color="000000"/>
              <w:left w:val="single" w:sz="8" w:space="0" w:color="000000"/>
              <w:bottom w:val="single" w:sz="8" w:space="0" w:color="000000"/>
              <w:right w:val="single" w:sz="8" w:space="0" w:color="000000"/>
            </w:tcBorders>
          </w:tcPr>
          <w:p w:rsidR="0045321A" w:rsidRPr="003F7D41" w:rsidRDefault="0045321A" w:rsidP="0045321A">
            <w:pPr>
              <w:autoSpaceDE w:val="0"/>
              <w:autoSpaceDN w:val="0"/>
              <w:adjustRightInd w:val="0"/>
              <w:jc w:val="center"/>
              <w:rPr>
                <w:rFonts w:cs="Courier New"/>
                <w:b/>
                <w:color w:val="000000"/>
              </w:rPr>
            </w:pPr>
            <w:r w:rsidRPr="003F7D41">
              <w:rPr>
                <w:rFonts w:cs="Courier New"/>
                <w:b/>
                <w:color w:val="000000"/>
              </w:rPr>
              <w:t xml:space="preserve">Respondents </w:t>
            </w:r>
          </w:p>
        </w:tc>
        <w:tc>
          <w:tcPr>
            <w:tcW w:w="0" w:type="auto"/>
            <w:tcBorders>
              <w:top w:val="single" w:sz="8" w:space="0" w:color="000000"/>
              <w:left w:val="single" w:sz="8" w:space="0" w:color="000000"/>
              <w:bottom w:val="single" w:sz="8" w:space="0" w:color="000000"/>
              <w:right w:val="single" w:sz="8" w:space="0" w:color="000000"/>
            </w:tcBorders>
          </w:tcPr>
          <w:p w:rsidR="0045321A" w:rsidRPr="003F7D41" w:rsidRDefault="0045321A" w:rsidP="0045321A">
            <w:pPr>
              <w:autoSpaceDE w:val="0"/>
              <w:autoSpaceDN w:val="0"/>
              <w:adjustRightInd w:val="0"/>
              <w:jc w:val="center"/>
              <w:rPr>
                <w:rFonts w:cs="Courier New"/>
                <w:b/>
                <w:color w:val="000000"/>
              </w:rPr>
            </w:pPr>
            <w:r w:rsidRPr="003F7D41">
              <w:rPr>
                <w:rFonts w:cs="Courier New"/>
                <w:b/>
                <w:color w:val="000000"/>
              </w:rPr>
              <w:t>No. of Respondents</w:t>
            </w:r>
          </w:p>
        </w:tc>
        <w:tc>
          <w:tcPr>
            <w:tcW w:w="0" w:type="auto"/>
            <w:tcBorders>
              <w:top w:val="single" w:sz="8" w:space="0" w:color="000000"/>
              <w:left w:val="single" w:sz="8" w:space="0" w:color="000000"/>
              <w:bottom w:val="single" w:sz="8" w:space="0" w:color="000000"/>
              <w:right w:val="single" w:sz="8" w:space="0" w:color="000000"/>
            </w:tcBorders>
          </w:tcPr>
          <w:p w:rsidR="0045321A" w:rsidRPr="003F7D41" w:rsidRDefault="0045321A" w:rsidP="0045321A">
            <w:pPr>
              <w:autoSpaceDE w:val="0"/>
              <w:autoSpaceDN w:val="0"/>
              <w:adjustRightInd w:val="0"/>
              <w:jc w:val="center"/>
              <w:rPr>
                <w:rFonts w:cs="Courier New"/>
                <w:b/>
                <w:color w:val="000000"/>
              </w:rPr>
            </w:pPr>
            <w:r w:rsidRPr="003F7D41">
              <w:rPr>
                <w:rFonts w:cs="Courier New"/>
                <w:b/>
                <w:color w:val="000000"/>
              </w:rPr>
              <w:t xml:space="preserve">No. of Responses per Respondent </w:t>
            </w:r>
          </w:p>
        </w:tc>
        <w:tc>
          <w:tcPr>
            <w:tcW w:w="0" w:type="auto"/>
            <w:tcBorders>
              <w:top w:val="single" w:sz="8" w:space="0" w:color="000000"/>
              <w:left w:val="single" w:sz="8" w:space="0" w:color="000000"/>
              <w:bottom w:val="single" w:sz="8" w:space="0" w:color="000000"/>
              <w:right w:val="single" w:sz="8" w:space="0" w:color="000000"/>
            </w:tcBorders>
          </w:tcPr>
          <w:p w:rsidR="00FB3793" w:rsidRPr="003F7D41" w:rsidRDefault="0045321A" w:rsidP="00FB3793">
            <w:pPr>
              <w:autoSpaceDE w:val="0"/>
              <w:autoSpaceDN w:val="0"/>
              <w:adjustRightInd w:val="0"/>
              <w:spacing w:after="0"/>
              <w:jc w:val="center"/>
              <w:rPr>
                <w:rFonts w:cs="Courier New"/>
                <w:b/>
                <w:color w:val="000000"/>
              </w:rPr>
            </w:pPr>
            <w:r w:rsidRPr="003F7D41">
              <w:rPr>
                <w:rFonts w:cs="Courier New"/>
                <w:b/>
                <w:color w:val="000000"/>
              </w:rPr>
              <w:t xml:space="preserve">Average Burden per Response </w:t>
            </w:r>
          </w:p>
          <w:p w:rsidR="0045321A" w:rsidRPr="003F7D41" w:rsidRDefault="0045321A" w:rsidP="0045321A">
            <w:pPr>
              <w:autoSpaceDE w:val="0"/>
              <w:autoSpaceDN w:val="0"/>
              <w:adjustRightInd w:val="0"/>
              <w:jc w:val="center"/>
              <w:rPr>
                <w:rFonts w:cs="Courier New"/>
                <w:b/>
                <w:color w:val="000000"/>
              </w:rPr>
            </w:pPr>
            <w:r w:rsidRPr="003F7D41">
              <w:rPr>
                <w:rFonts w:cs="Courier New"/>
                <w:b/>
                <w:color w:val="000000"/>
              </w:rPr>
              <w:t xml:space="preserve">(in hours) </w:t>
            </w:r>
          </w:p>
        </w:tc>
        <w:tc>
          <w:tcPr>
            <w:tcW w:w="1330" w:type="dxa"/>
            <w:tcBorders>
              <w:top w:val="single" w:sz="8" w:space="0" w:color="000000"/>
              <w:left w:val="single" w:sz="8" w:space="0" w:color="000000"/>
              <w:bottom w:val="single" w:sz="8" w:space="0" w:color="000000"/>
              <w:right w:val="single" w:sz="8" w:space="0" w:color="000000"/>
            </w:tcBorders>
          </w:tcPr>
          <w:p w:rsidR="0045321A" w:rsidRPr="003F7D41" w:rsidRDefault="0045321A" w:rsidP="0045321A">
            <w:pPr>
              <w:autoSpaceDE w:val="0"/>
              <w:autoSpaceDN w:val="0"/>
              <w:adjustRightInd w:val="0"/>
              <w:spacing w:after="0"/>
              <w:jc w:val="center"/>
              <w:rPr>
                <w:rFonts w:cs="Courier New"/>
                <w:b/>
                <w:color w:val="000000"/>
              </w:rPr>
            </w:pPr>
            <w:r w:rsidRPr="003F7D41">
              <w:rPr>
                <w:rFonts w:cs="Courier New"/>
                <w:b/>
                <w:color w:val="000000"/>
              </w:rPr>
              <w:t>Total Burden</w:t>
            </w:r>
          </w:p>
          <w:p w:rsidR="0045321A" w:rsidRPr="003F7D41" w:rsidRDefault="0045321A" w:rsidP="0045321A">
            <w:pPr>
              <w:autoSpaceDE w:val="0"/>
              <w:autoSpaceDN w:val="0"/>
              <w:adjustRightInd w:val="0"/>
              <w:spacing w:after="0"/>
              <w:jc w:val="center"/>
              <w:rPr>
                <w:rFonts w:cs="Courier New"/>
                <w:b/>
                <w:color w:val="000000"/>
              </w:rPr>
            </w:pPr>
            <w:r w:rsidRPr="003F7D41">
              <w:rPr>
                <w:rFonts w:cs="Courier New"/>
                <w:b/>
                <w:color w:val="000000"/>
              </w:rPr>
              <w:t xml:space="preserve">(in hours) </w:t>
            </w:r>
          </w:p>
        </w:tc>
      </w:tr>
      <w:tr w:rsidR="0045321A" w:rsidRPr="003F7D41" w:rsidTr="0045321A">
        <w:trPr>
          <w:trHeight w:val="253"/>
        </w:trPr>
        <w:tc>
          <w:tcPr>
            <w:tcW w:w="0" w:type="auto"/>
            <w:tcBorders>
              <w:top w:val="single" w:sz="8" w:space="0" w:color="000000"/>
              <w:left w:val="single" w:sz="8" w:space="0" w:color="000000"/>
              <w:bottom w:val="single" w:sz="8" w:space="0" w:color="000000"/>
              <w:right w:val="single" w:sz="8" w:space="0" w:color="000000"/>
            </w:tcBorders>
          </w:tcPr>
          <w:p w:rsidR="0045321A" w:rsidRPr="003F7D41" w:rsidRDefault="0045321A" w:rsidP="0045321A">
            <w:pPr>
              <w:rPr>
                <w:rFonts w:cs="Courier New"/>
              </w:rPr>
            </w:pPr>
            <w:r w:rsidRPr="003F7D41">
              <w:rPr>
                <w:rFonts w:cs="Courier New"/>
              </w:rPr>
              <w:t>Recruitment screener</w:t>
            </w:r>
          </w:p>
        </w:tc>
        <w:tc>
          <w:tcPr>
            <w:tcW w:w="0" w:type="auto"/>
            <w:tcBorders>
              <w:top w:val="single" w:sz="8" w:space="0" w:color="000000"/>
              <w:left w:val="single" w:sz="8" w:space="0" w:color="000000"/>
              <w:bottom w:val="single" w:sz="8" w:space="0" w:color="000000"/>
              <w:right w:val="single" w:sz="8" w:space="0" w:color="000000"/>
            </w:tcBorders>
          </w:tcPr>
          <w:p w:rsidR="0045321A" w:rsidRPr="003F7D41" w:rsidRDefault="00F647DA" w:rsidP="0045321A">
            <w:pPr>
              <w:jc w:val="center"/>
              <w:rPr>
                <w:rFonts w:cs="Courier New"/>
              </w:rPr>
            </w:pPr>
            <w:r w:rsidRPr="003F7D41">
              <w:rPr>
                <w:rFonts w:cs="Courier New"/>
              </w:rPr>
              <w:t>252</w:t>
            </w:r>
          </w:p>
        </w:tc>
        <w:tc>
          <w:tcPr>
            <w:tcW w:w="0" w:type="auto"/>
            <w:tcBorders>
              <w:top w:val="single" w:sz="8" w:space="0" w:color="000000"/>
              <w:left w:val="single" w:sz="8" w:space="0" w:color="000000"/>
              <w:bottom w:val="single" w:sz="8" w:space="0" w:color="000000"/>
              <w:right w:val="single" w:sz="8" w:space="0" w:color="000000"/>
            </w:tcBorders>
          </w:tcPr>
          <w:p w:rsidR="0045321A" w:rsidRPr="003F7D41" w:rsidRDefault="0045321A" w:rsidP="0045321A">
            <w:pPr>
              <w:jc w:val="center"/>
              <w:rPr>
                <w:rFonts w:cs="Courier New"/>
              </w:rPr>
            </w:pPr>
            <w:r w:rsidRPr="003F7D41">
              <w:rPr>
                <w:rFonts w:cs="Courier New"/>
              </w:rPr>
              <w:t>1</w:t>
            </w:r>
          </w:p>
        </w:tc>
        <w:tc>
          <w:tcPr>
            <w:tcW w:w="0" w:type="auto"/>
            <w:tcBorders>
              <w:top w:val="single" w:sz="8" w:space="0" w:color="000000"/>
              <w:left w:val="single" w:sz="8" w:space="0" w:color="000000"/>
              <w:bottom w:val="single" w:sz="8" w:space="0" w:color="000000"/>
              <w:right w:val="single" w:sz="8" w:space="0" w:color="000000"/>
            </w:tcBorders>
          </w:tcPr>
          <w:p w:rsidR="0045321A" w:rsidRPr="003F7D41" w:rsidRDefault="0045321A" w:rsidP="0045321A">
            <w:pPr>
              <w:jc w:val="center"/>
              <w:rPr>
                <w:rFonts w:cs="Courier New"/>
              </w:rPr>
            </w:pPr>
            <w:r w:rsidRPr="003F7D41">
              <w:rPr>
                <w:rFonts w:cs="Courier New"/>
              </w:rPr>
              <w:t>5/60</w:t>
            </w:r>
          </w:p>
        </w:tc>
        <w:tc>
          <w:tcPr>
            <w:tcW w:w="1330" w:type="dxa"/>
            <w:tcBorders>
              <w:top w:val="single" w:sz="8" w:space="0" w:color="000000"/>
              <w:left w:val="single" w:sz="8" w:space="0" w:color="000000"/>
              <w:bottom w:val="single" w:sz="8" w:space="0" w:color="000000"/>
              <w:right w:val="single" w:sz="8" w:space="0" w:color="000000"/>
            </w:tcBorders>
          </w:tcPr>
          <w:p w:rsidR="0045321A" w:rsidRPr="003F7D41" w:rsidRDefault="0045321A" w:rsidP="00F647DA">
            <w:pPr>
              <w:jc w:val="center"/>
              <w:rPr>
                <w:rFonts w:cs="Courier New"/>
              </w:rPr>
            </w:pPr>
            <w:r w:rsidRPr="003F7D41">
              <w:rPr>
                <w:rFonts w:cs="Courier New"/>
              </w:rPr>
              <w:t>2</w:t>
            </w:r>
            <w:r w:rsidR="00F647DA" w:rsidRPr="003F7D41">
              <w:rPr>
                <w:rFonts w:cs="Courier New"/>
              </w:rPr>
              <w:t>1</w:t>
            </w:r>
          </w:p>
        </w:tc>
      </w:tr>
      <w:tr w:rsidR="0045321A" w:rsidRPr="003F7D41" w:rsidTr="0045321A">
        <w:trPr>
          <w:trHeight w:val="253"/>
        </w:trPr>
        <w:tc>
          <w:tcPr>
            <w:tcW w:w="0" w:type="auto"/>
            <w:tcBorders>
              <w:top w:val="single" w:sz="8" w:space="0" w:color="000000"/>
              <w:left w:val="single" w:sz="8" w:space="0" w:color="000000"/>
              <w:bottom w:val="single" w:sz="8" w:space="0" w:color="000000"/>
              <w:right w:val="single" w:sz="8" w:space="0" w:color="000000"/>
            </w:tcBorders>
          </w:tcPr>
          <w:p w:rsidR="0045321A" w:rsidRPr="003F7D41" w:rsidRDefault="0045321A" w:rsidP="0045321A">
            <w:pPr>
              <w:rPr>
                <w:rFonts w:cs="Courier New"/>
              </w:rPr>
            </w:pPr>
            <w:r w:rsidRPr="003F7D41">
              <w:rPr>
                <w:rFonts w:cs="Courier New"/>
              </w:rPr>
              <w:t>Exploratory Focus Groups</w:t>
            </w:r>
          </w:p>
        </w:tc>
        <w:tc>
          <w:tcPr>
            <w:tcW w:w="0" w:type="auto"/>
            <w:tcBorders>
              <w:top w:val="single" w:sz="8" w:space="0" w:color="000000"/>
              <w:left w:val="single" w:sz="8" w:space="0" w:color="000000"/>
              <w:bottom w:val="single" w:sz="8" w:space="0" w:color="000000"/>
              <w:right w:val="single" w:sz="8" w:space="0" w:color="000000"/>
            </w:tcBorders>
          </w:tcPr>
          <w:p w:rsidR="0045321A" w:rsidRPr="003F7D41" w:rsidRDefault="00F647DA" w:rsidP="0045321A">
            <w:pPr>
              <w:jc w:val="center"/>
              <w:rPr>
                <w:rFonts w:cs="Courier New"/>
              </w:rPr>
            </w:pPr>
            <w:r w:rsidRPr="003F7D41">
              <w:rPr>
                <w:rFonts w:cs="Courier New"/>
              </w:rPr>
              <w:t>72</w:t>
            </w:r>
          </w:p>
        </w:tc>
        <w:tc>
          <w:tcPr>
            <w:tcW w:w="0" w:type="auto"/>
            <w:tcBorders>
              <w:top w:val="single" w:sz="8" w:space="0" w:color="000000"/>
              <w:left w:val="single" w:sz="8" w:space="0" w:color="000000"/>
              <w:bottom w:val="single" w:sz="8" w:space="0" w:color="000000"/>
              <w:right w:val="single" w:sz="8" w:space="0" w:color="000000"/>
            </w:tcBorders>
          </w:tcPr>
          <w:p w:rsidR="0045321A" w:rsidRPr="003F7D41" w:rsidRDefault="0045321A" w:rsidP="0045321A">
            <w:pPr>
              <w:jc w:val="center"/>
              <w:rPr>
                <w:rFonts w:cs="Courier New"/>
              </w:rPr>
            </w:pPr>
            <w:r w:rsidRPr="003F7D41">
              <w:rPr>
                <w:rFonts w:cs="Courier New"/>
              </w:rPr>
              <w:t>1</w:t>
            </w:r>
          </w:p>
        </w:tc>
        <w:tc>
          <w:tcPr>
            <w:tcW w:w="0" w:type="auto"/>
            <w:tcBorders>
              <w:top w:val="single" w:sz="8" w:space="0" w:color="000000"/>
              <w:left w:val="single" w:sz="8" w:space="0" w:color="000000"/>
              <w:bottom w:val="single" w:sz="8" w:space="0" w:color="000000"/>
              <w:right w:val="single" w:sz="8" w:space="0" w:color="000000"/>
            </w:tcBorders>
          </w:tcPr>
          <w:p w:rsidR="0045321A" w:rsidRPr="003F7D41" w:rsidRDefault="0045321A" w:rsidP="0045321A">
            <w:pPr>
              <w:jc w:val="center"/>
              <w:rPr>
                <w:rFonts w:cs="Courier New"/>
              </w:rPr>
            </w:pPr>
            <w:r w:rsidRPr="003F7D41">
              <w:rPr>
                <w:rFonts w:cs="Courier New"/>
              </w:rPr>
              <w:t>2</w:t>
            </w:r>
          </w:p>
        </w:tc>
        <w:tc>
          <w:tcPr>
            <w:tcW w:w="1330" w:type="dxa"/>
            <w:tcBorders>
              <w:top w:val="single" w:sz="8" w:space="0" w:color="000000"/>
              <w:left w:val="single" w:sz="8" w:space="0" w:color="000000"/>
              <w:bottom w:val="single" w:sz="8" w:space="0" w:color="000000"/>
              <w:right w:val="single" w:sz="8" w:space="0" w:color="000000"/>
            </w:tcBorders>
          </w:tcPr>
          <w:p w:rsidR="0045321A" w:rsidRPr="003F7D41" w:rsidRDefault="00F647DA" w:rsidP="0045321A">
            <w:pPr>
              <w:jc w:val="center"/>
              <w:rPr>
                <w:rFonts w:cs="Courier New"/>
              </w:rPr>
            </w:pPr>
            <w:r w:rsidRPr="003F7D41">
              <w:rPr>
                <w:rFonts w:cs="Courier New"/>
              </w:rPr>
              <w:t>144</w:t>
            </w:r>
          </w:p>
        </w:tc>
      </w:tr>
      <w:tr w:rsidR="0045321A" w:rsidRPr="003F7D41" w:rsidTr="0045321A">
        <w:trPr>
          <w:trHeight w:val="253"/>
        </w:trPr>
        <w:tc>
          <w:tcPr>
            <w:tcW w:w="0" w:type="auto"/>
            <w:tcBorders>
              <w:top w:val="single" w:sz="8" w:space="0" w:color="000000"/>
              <w:left w:val="single" w:sz="8" w:space="0" w:color="000000"/>
              <w:bottom w:val="single" w:sz="8" w:space="0" w:color="000000"/>
              <w:right w:val="single" w:sz="8" w:space="0" w:color="000000"/>
            </w:tcBorders>
          </w:tcPr>
          <w:p w:rsidR="0045321A" w:rsidRPr="003F7D41" w:rsidRDefault="00F91B2C" w:rsidP="00F91B2C">
            <w:pPr>
              <w:spacing w:after="0"/>
              <w:rPr>
                <w:rFonts w:cs="Courier New"/>
              </w:rPr>
            </w:pPr>
            <w:r w:rsidRPr="003F7D41">
              <w:rPr>
                <w:rFonts w:cs="Courier New"/>
              </w:rPr>
              <w:t>Message</w:t>
            </w:r>
            <w:r w:rsidR="0045321A" w:rsidRPr="003F7D41">
              <w:rPr>
                <w:rFonts w:cs="Courier New"/>
              </w:rPr>
              <w:t xml:space="preserve"> Testing</w:t>
            </w:r>
          </w:p>
          <w:p w:rsidR="0045321A" w:rsidRPr="003F7D41" w:rsidRDefault="0045321A" w:rsidP="00F91B2C">
            <w:pPr>
              <w:rPr>
                <w:rFonts w:cs="Courier New"/>
              </w:rPr>
            </w:pPr>
            <w:r w:rsidRPr="003F7D41">
              <w:rPr>
                <w:rFonts w:cs="Courier New"/>
              </w:rPr>
              <w:t>Focus Groups</w:t>
            </w:r>
          </w:p>
        </w:tc>
        <w:tc>
          <w:tcPr>
            <w:tcW w:w="0" w:type="auto"/>
            <w:tcBorders>
              <w:top w:val="single" w:sz="8" w:space="0" w:color="000000"/>
              <w:left w:val="single" w:sz="8" w:space="0" w:color="000000"/>
              <w:bottom w:val="single" w:sz="8" w:space="0" w:color="000000"/>
              <w:right w:val="single" w:sz="8" w:space="0" w:color="000000"/>
            </w:tcBorders>
          </w:tcPr>
          <w:p w:rsidR="0045321A" w:rsidRPr="003F7D41" w:rsidRDefault="00F647DA" w:rsidP="00F91B2C">
            <w:pPr>
              <w:spacing w:after="0"/>
              <w:jc w:val="center"/>
              <w:rPr>
                <w:rFonts w:cs="Courier New"/>
              </w:rPr>
            </w:pPr>
            <w:r w:rsidRPr="003F7D41">
              <w:rPr>
                <w:rFonts w:cs="Courier New"/>
              </w:rPr>
              <w:t>54</w:t>
            </w:r>
          </w:p>
        </w:tc>
        <w:tc>
          <w:tcPr>
            <w:tcW w:w="0" w:type="auto"/>
            <w:tcBorders>
              <w:top w:val="single" w:sz="8" w:space="0" w:color="000000"/>
              <w:left w:val="single" w:sz="8" w:space="0" w:color="000000"/>
              <w:bottom w:val="single" w:sz="8" w:space="0" w:color="000000"/>
              <w:right w:val="single" w:sz="8" w:space="0" w:color="000000"/>
            </w:tcBorders>
          </w:tcPr>
          <w:p w:rsidR="0045321A" w:rsidRPr="003F7D41" w:rsidRDefault="0045321A" w:rsidP="00F91B2C">
            <w:pPr>
              <w:spacing w:after="0"/>
              <w:jc w:val="center"/>
              <w:rPr>
                <w:rFonts w:cs="Courier New"/>
              </w:rPr>
            </w:pPr>
            <w:r w:rsidRPr="003F7D41">
              <w:rPr>
                <w:rFonts w:cs="Courier New"/>
              </w:rPr>
              <w:t>1</w:t>
            </w:r>
          </w:p>
        </w:tc>
        <w:tc>
          <w:tcPr>
            <w:tcW w:w="0" w:type="auto"/>
            <w:tcBorders>
              <w:top w:val="single" w:sz="8" w:space="0" w:color="000000"/>
              <w:left w:val="single" w:sz="8" w:space="0" w:color="000000"/>
              <w:bottom w:val="single" w:sz="8" w:space="0" w:color="000000"/>
              <w:right w:val="single" w:sz="8" w:space="0" w:color="000000"/>
            </w:tcBorders>
          </w:tcPr>
          <w:p w:rsidR="0045321A" w:rsidRPr="003F7D41" w:rsidRDefault="0045321A" w:rsidP="00F91B2C">
            <w:pPr>
              <w:spacing w:after="0"/>
              <w:jc w:val="center"/>
              <w:rPr>
                <w:rFonts w:cs="Courier New"/>
              </w:rPr>
            </w:pPr>
            <w:r w:rsidRPr="003F7D41">
              <w:rPr>
                <w:rFonts w:cs="Courier New"/>
              </w:rPr>
              <w:t>2</w:t>
            </w:r>
          </w:p>
        </w:tc>
        <w:tc>
          <w:tcPr>
            <w:tcW w:w="1330" w:type="dxa"/>
            <w:tcBorders>
              <w:top w:val="single" w:sz="8" w:space="0" w:color="000000"/>
              <w:left w:val="single" w:sz="8" w:space="0" w:color="000000"/>
              <w:bottom w:val="single" w:sz="8" w:space="0" w:color="000000"/>
              <w:right w:val="single" w:sz="8" w:space="0" w:color="000000"/>
            </w:tcBorders>
          </w:tcPr>
          <w:p w:rsidR="0045321A" w:rsidRPr="003F7D41" w:rsidRDefault="00F647DA" w:rsidP="00F91B2C">
            <w:pPr>
              <w:spacing w:after="0"/>
              <w:jc w:val="center"/>
              <w:rPr>
                <w:rFonts w:cs="Courier New"/>
              </w:rPr>
            </w:pPr>
            <w:r w:rsidRPr="003F7D41">
              <w:rPr>
                <w:rFonts w:cs="Courier New"/>
              </w:rPr>
              <w:t>108</w:t>
            </w:r>
          </w:p>
        </w:tc>
      </w:tr>
      <w:tr w:rsidR="0045321A" w:rsidRPr="003F7D41" w:rsidTr="0045321A">
        <w:trPr>
          <w:trHeight w:val="253"/>
        </w:trPr>
        <w:tc>
          <w:tcPr>
            <w:tcW w:w="0" w:type="auto"/>
            <w:tcBorders>
              <w:top w:val="single" w:sz="8" w:space="0" w:color="000000"/>
              <w:left w:val="single" w:sz="8" w:space="0" w:color="000000"/>
              <w:bottom w:val="single" w:sz="8" w:space="0" w:color="000000"/>
              <w:right w:val="single" w:sz="8" w:space="0" w:color="000000"/>
            </w:tcBorders>
          </w:tcPr>
          <w:p w:rsidR="0045321A" w:rsidRPr="003F7D41" w:rsidRDefault="0045321A" w:rsidP="00F91B2C">
            <w:pPr>
              <w:spacing w:after="0"/>
              <w:rPr>
                <w:rFonts w:cs="Courier New"/>
              </w:rPr>
            </w:pPr>
            <w:r w:rsidRPr="003F7D41">
              <w:rPr>
                <w:rFonts w:cs="Courier New"/>
              </w:rPr>
              <w:t>Total</w:t>
            </w:r>
          </w:p>
        </w:tc>
        <w:tc>
          <w:tcPr>
            <w:tcW w:w="0" w:type="auto"/>
            <w:tcBorders>
              <w:top w:val="single" w:sz="8" w:space="0" w:color="000000"/>
              <w:left w:val="single" w:sz="8" w:space="0" w:color="000000"/>
              <w:bottom w:val="single" w:sz="8" w:space="0" w:color="000000"/>
              <w:right w:val="single" w:sz="8" w:space="0" w:color="000000"/>
            </w:tcBorders>
          </w:tcPr>
          <w:p w:rsidR="0045321A" w:rsidRPr="003F7D41" w:rsidRDefault="00F647DA" w:rsidP="0045321A">
            <w:pPr>
              <w:jc w:val="center"/>
              <w:rPr>
                <w:rFonts w:cs="Courier New"/>
              </w:rPr>
            </w:pPr>
            <w:r w:rsidRPr="003F7D41">
              <w:rPr>
                <w:rFonts w:cs="Courier New"/>
              </w:rPr>
              <w:t>378</w:t>
            </w:r>
          </w:p>
        </w:tc>
        <w:tc>
          <w:tcPr>
            <w:tcW w:w="0" w:type="auto"/>
            <w:tcBorders>
              <w:top w:val="single" w:sz="8" w:space="0" w:color="000000"/>
              <w:left w:val="single" w:sz="8" w:space="0" w:color="000000"/>
              <w:bottom w:val="single" w:sz="8" w:space="0" w:color="000000"/>
              <w:right w:val="single" w:sz="8" w:space="0" w:color="000000"/>
            </w:tcBorders>
          </w:tcPr>
          <w:p w:rsidR="0045321A" w:rsidRPr="003F7D41" w:rsidRDefault="0045321A" w:rsidP="0045321A">
            <w:pPr>
              <w:jc w:val="center"/>
              <w:rPr>
                <w:rFonts w:cs="Courier New"/>
              </w:rPr>
            </w:pPr>
            <w:r w:rsidRPr="003F7D41">
              <w:rPr>
                <w:rFonts w:cs="Courier New"/>
              </w:rPr>
              <w:t>---</w:t>
            </w:r>
          </w:p>
        </w:tc>
        <w:tc>
          <w:tcPr>
            <w:tcW w:w="0" w:type="auto"/>
            <w:tcBorders>
              <w:top w:val="single" w:sz="8" w:space="0" w:color="000000"/>
              <w:left w:val="single" w:sz="8" w:space="0" w:color="000000"/>
              <w:bottom w:val="single" w:sz="8" w:space="0" w:color="000000"/>
              <w:right w:val="single" w:sz="8" w:space="0" w:color="000000"/>
            </w:tcBorders>
          </w:tcPr>
          <w:p w:rsidR="0045321A" w:rsidRPr="003F7D41" w:rsidRDefault="0045321A" w:rsidP="0045321A">
            <w:pPr>
              <w:jc w:val="center"/>
              <w:rPr>
                <w:rFonts w:cs="Courier New"/>
              </w:rPr>
            </w:pPr>
            <w:r w:rsidRPr="003F7D41">
              <w:rPr>
                <w:rFonts w:cs="Courier New"/>
              </w:rPr>
              <w:t>---</w:t>
            </w:r>
          </w:p>
        </w:tc>
        <w:tc>
          <w:tcPr>
            <w:tcW w:w="1330" w:type="dxa"/>
            <w:tcBorders>
              <w:top w:val="single" w:sz="8" w:space="0" w:color="000000"/>
              <w:left w:val="single" w:sz="8" w:space="0" w:color="000000"/>
              <w:bottom w:val="single" w:sz="8" w:space="0" w:color="000000"/>
              <w:right w:val="single" w:sz="8" w:space="0" w:color="000000"/>
            </w:tcBorders>
          </w:tcPr>
          <w:p w:rsidR="0045321A" w:rsidRPr="003F7D41" w:rsidRDefault="00F647DA" w:rsidP="0045321A">
            <w:pPr>
              <w:jc w:val="center"/>
              <w:rPr>
                <w:rFonts w:cs="Courier New"/>
              </w:rPr>
            </w:pPr>
            <w:r w:rsidRPr="003F7D41">
              <w:rPr>
                <w:rFonts w:cs="Courier New"/>
              </w:rPr>
              <w:t>273</w:t>
            </w:r>
          </w:p>
        </w:tc>
      </w:tr>
    </w:tbl>
    <w:p w:rsidR="0045321A" w:rsidRPr="003F7D41" w:rsidRDefault="0045321A" w:rsidP="006A4549">
      <w:pPr>
        <w:pStyle w:val="SL-FlLftSgl"/>
        <w:rPr>
          <w:rFonts w:ascii="Calibri" w:hAnsi="Calibri"/>
          <w:szCs w:val="22"/>
        </w:rPr>
      </w:pPr>
    </w:p>
    <w:p w:rsidR="0045321A" w:rsidRPr="003F7D41" w:rsidRDefault="0045321A" w:rsidP="006A4549">
      <w:pPr>
        <w:pStyle w:val="SL-FlLftSgl"/>
        <w:rPr>
          <w:rFonts w:ascii="Calibri" w:hAnsi="Calibri"/>
          <w:szCs w:val="22"/>
        </w:rPr>
      </w:pPr>
    </w:p>
    <w:p w:rsidR="006A4549" w:rsidRPr="003F7D41" w:rsidRDefault="006A4549" w:rsidP="006A4549">
      <w:pPr>
        <w:pStyle w:val="SL-FlLftSgl"/>
        <w:rPr>
          <w:rFonts w:ascii="Calibri" w:hAnsi="Calibri"/>
          <w:b/>
          <w:szCs w:val="22"/>
        </w:rPr>
      </w:pPr>
      <w:r w:rsidRPr="003F7D41">
        <w:rPr>
          <w:rFonts w:ascii="Calibri" w:hAnsi="Calibri"/>
          <w:b/>
          <w:szCs w:val="22"/>
        </w:rPr>
        <w:t>Table A.12B</w:t>
      </w:r>
      <w:r w:rsidR="00B74D9F" w:rsidRPr="003F7D41">
        <w:rPr>
          <w:rFonts w:ascii="Calibri" w:hAnsi="Calibri"/>
          <w:b/>
          <w:szCs w:val="22"/>
        </w:rPr>
        <w:t>:</w:t>
      </w:r>
      <w:r w:rsidRPr="003F7D41">
        <w:rPr>
          <w:rFonts w:ascii="Calibri" w:hAnsi="Calibri"/>
          <w:b/>
          <w:szCs w:val="22"/>
        </w:rPr>
        <w:t xml:space="preserve"> Annualized cost to respondents </w:t>
      </w:r>
    </w:p>
    <w:p w:rsidR="006A4549" w:rsidRPr="003F7D41" w:rsidRDefault="006A4549" w:rsidP="006A4549">
      <w:pPr>
        <w:pStyle w:val="SL-FlLftSgl"/>
        <w:rPr>
          <w:rFonts w:ascii="Calibri" w:hAnsi="Calibri"/>
          <w:szCs w:val="22"/>
        </w:rPr>
      </w:pPr>
    </w:p>
    <w:tbl>
      <w:tblPr>
        <w:tblW w:w="9319" w:type="dxa"/>
        <w:jc w:val="center"/>
        <w:tblInd w:w="-1286" w:type="dxa"/>
        <w:tblLayout w:type="fixed"/>
        <w:tblCellMar>
          <w:left w:w="100" w:type="dxa"/>
          <w:right w:w="100" w:type="dxa"/>
        </w:tblCellMar>
        <w:tblLook w:val="0000"/>
      </w:tblPr>
      <w:tblGrid>
        <w:gridCol w:w="3186"/>
        <w:gridCol w:w="1800"/>
        <w:gridCol w:w="2170"/>
        <w:gridCol w:w="2163"/>
      </w:tblGrid>
      <w:tr w:rsidR="006A4549" w:rsidRPr="003F7D41" w:rsidTr="003D473F">
        <w:trPr>
          <w:cantSplit/>
          <w:trHeight w:val="403"/>
          <w:jc w:val="center"/>
        </w:trPr>
        <w:tc>
          <w:tcPr>
            <w:tcW w:w="3186" w:type="dxa"/>
            <w:tcBorders>
              <w:top w:val="single" w:sz="6" w:space="0" w:color="auto"/>
              <w:left w:val="single" w:sz="6" w:space="0" w:color="auto"/>
            </w:tcBorders>
          </w:tcPr>
          <w:p w:rsidR="006A4549" w:rsidRPr="003F7D41" w:rsidRDefault="006A4549" w:rsidP="00016C14">
            <w:pPr>
              <w:autoSpaceDE w:val="0"/>
              <w:autoSpaceDN w:val="0"/>
              <w:adjustRightInd w:val="0"/>
              <w:spacing w:after="0"/>
              <w:jc w:val="center"/>
              <w:rPr>
                <w:b/>
              </w:rPr>
            </w:pPr>
            <w:r w:rsidRPr="003F7D41">
              <w:rPr>
                <w:b/>
              </w:rPr>
              <w:t>Respondents</w:t>
            </w:r>
          </w:p>
        </w:tc>
        <w:tc>
          <w:tcPr>
            <w:tcW w:w="1800" w:type="dxa"/>
            <w:tcBorders>
              <w:top w:val="single" w:sz="6" w:space="0" w:color="auto"/>
              <w:left w:val="single" w:sz="6" w:space="0" w:color="auto"/>
            </w:tcBorders>
          </w:tcPr>
          <w:p w:rsidR="00B74D9F" w:rsidRPr="003F7D41" w:rsidRDefault="006A4549" w:rsidP="00B74D9F">
            <w:pPr>
              <w:autoSpaceDE w:val="0"/>
              <w:autoSpaceDN w:val="0"/>
              <w:adjustRightInd w:val="0"/>
              <w:spacing w:after="0"/>
              <w:jc w:val="center"/>
              <w:rPr>
                <w:b/>
              </w:rPr>
            </w:pPr>
            <w:r w:rsidRPr="003F7D41">
              <w:rPr>
                <w:b/>
              </w:rPr>
              <w:t xml:space="preserve">Total Burden </w:t>
            </w:r>
          </w:p>
          <w:p w:rsidR="006A4549" w:rsidRPr="003F7D41" w:rsidRDefault="00B74D9F" w:rsidP="00B74D9F">
            <w:pPr>
              <w:autoSpaceDE w:val="0"/>
              <w:autoSpaceDN w:val="0"/>
              <w:adjustRightInd w:val="0"/>
              <w:spacing w:after="0"/>
              <w:jc w:val="center"/>
              <w:rPr>
                <w:b/>
              </w:rPr>
            </w:pPr>
            <w:r w:rsidRPr="003F7D41">
              <w:rPr>
                <w:b/>
              </w:rPr>
              <w:t>(in h</w:t>
            </w:r>
            <w:r w:rsidR="006A4549" w:rsidRPr="003F7D41">
              <w:rPr>
                <w:b/>
              </w:rPr>
              <w:t>ours</w:t>
            </w:r>
            <w:r w:rsidRPr="003F7D41">
              <w:rPr>
                <w:b/>
              </w:rPr>
              <w:t>)</w:t>
            </w:r>
          </w:p>
        </w:tc>
        <w:tc>
          <w:tcPr>
            <w:tcW w:w="2170" w:type="dxa"/>
            <w:tcBorders>
              <w:top w:val="single" w:sz="6" w:space="0" w:color="auto"/>
              <w:left w:val="single" w:sz="6" w:space="0" w:color="auto"/>
            </w:tcBorders>
          </w:tcPr>
          <w:p w:rsidR="006A4549" w:rsidRPr="003F7D41" w:rsidRDefault="006A4549" w:rsidP="00016C14">
            <w:pPr>
              <w:autoSpaceDE w:val="0"/>
              <w:autoSpaceDN w:val="0"/>
              <w:adjustRightInd w:val="0"/>
              <w:spacing w:after="0"/>
              <w:jc w:val="center"/>
              <w:rPr>
                <w:b/>
              </w:rPr>
            </w:pPr>
            <w:r w:rsidRPr="003F7D41">
              <w:rPr>
                <w:b/>
              </w:rPr>
              <w:t xml:space="preserve">Hourly Wage </w:t>
            </w:r>
          </w:p>
          <w:p w:rsidR="006A4549" w:rsidRPr="003F7D41" w:rsidRDefault="006A4549" w:rsidP="00016C14">
            <w:pPr>
              <w:autoSpaceDE w:val="0"/>
              <w:autoSpaceDN w:val="0"/>
              <w:adjustRightInd w:val="0"/>
              <w:spacing w:after="0"/>
              <w:jc w:val="center"/>
              <w:rPr>
                <w:b/>
              </w:rPr>
            </w:pPr>
            <w:r w:rsidRPr="003F7D41">
              <w:rPr>
                <w:b/>
              </w:rPr>
              <w:t>Rate</w:t>
            </w:r>
          </w:p>
        </w:tc>
        <w:tc>
          <w:tcPr>
            <w:tcW w:w="2163" w:type="dxa"/>
            <w:tcBorders>
              <w:top w:val="single" w:sz="6" w:space="0" w:color="auto"/>
              <w:left w:val="single" w:sz="6" w:space="0" w:color="auto"/>
              <w:right w:val="single" w:sz="6" w:space="0" w:color="auto"/>
            </w:tcBorders>
          </w:tcPr>
          <w:p w:rsidR="006A4549" w:rsidRPr="003F7D41" w:rsidRDefault="006A4549" w:rsidP="00016C14">
            <w:pPr>
              <w:autoSpaceDE w:val="0"/>
              <w:autoSpaceDN w:val="0"/>
              <w:adjustRightInd w:val="0"/>
              <w:spacing w:after="0"/>
              <w:jc w:val="center"/>
              <w:rPr>
                <w:b/>
              </w:rPr>
            </w:pPr>
            <w:r w:rsidRPr="003F7D41">
              <w:rPr>
                <w:b/>
              </w:rPr>
              <w:t xml:space="preserve">Total Respondent Costs </w:t>
            </w:r>
          </w:p>
        </w:tc>
      </w:tr>
      <w:tr w:rsidR="006A4549" w:rsidRPr="003F7D41" w:rsidTr="003D473F">
        <w:trPr>
          <w:cantSplit/>
          <w:trHeight w:val="403"/>
          <w:jc w:val="center"/>
        </w:trPr>
        <w:tc>
          <w:tcPr>
            <w:tcW w:w="3186" w:type="dxa"/>
            <w:tcBorders>
              <w:top w:val="single" w:sz="6" w:space="0" w:color="auto"/>
              <w:left w:val="single" w:sz="6" w:space="0" w:color="auto"/>
            </w:tcBorders>
          </w:tcPr>
          <w:p w:rsidR="006A4549" w:rsidRPr="003F7D41" w:rsidRDefault="006A4549" w:rsidP="00016C14">
            <w:pPr>
              <w:spacing w:after="0"/>
            </w:pPr>
            <w:r w:rsidRPr="003F7D41">
              <w:t>Recruitment screener</w:t>
            </w:r>
          </w:p>
        </w:tc>
        <w:tc>
          <w:tcPr>
            <w:tcW w:w="1800" w:type="dxa"/>
            <w:tcBorders>
              <w:top w:val="single" w:sz="6" w:space="0" w:color="auto"/>
              <w:left w:val="single" w:sz="6" w:space="0" w:color="auto"/>
            </w:tcBorders>
          </w:tcPr>
          <w:p w:rsidR="006A4549" w:rsidRPr="003F7D41" w:rsidRDefault="00F647DA" w:rsidP="00016C14">
            <w:pPr>
              <w:spacing w:after="0"/>
              <w:jc w:val="center"/>
            </w:pPr>
            <w:r w:rsidRPr="003F7D41">
              <w:t>21</w:t>
            </w:r>
          </w:p>
        </w:tc>
        <w:tc>
          <w:tcPr>
            <w:tcW w:w="2170" w:type="dxa"/>
            <w:tcBorders>
              <w:top w:val="single" w:sz="6" w:space="0" w:color="auto"/>
              <w:left w:val="single" w:sz="6" w:space="0" w:color="auto"/>
            </w:tcBorders>
          </w:tcPr>
          <w:p w:rsidR="006A4549" w:rsidRPr="003F7D41" w:rsidRDefault="00581D9E" w:rsidP="00E44517">
            <w:pPr>
              <w:spacing w:after="0"/>
              <w:jc w:val="center"/>
            </w:pPr>
            <w:r w:rsidRPr="003F7D41">
              <w:t>$</w:t>
            </w:r>
            <w:r w:rsidR="00E44517" w:rsidRPr="003F7D41">
              <w:t>21</w:t>
            </w:r>
            <w:r w:rsidRPr="003F7D41">
              <w:t>.00</w:t>
            </w:r>
          </w:p>
        </w:tc>
        <w:tc>
          <w:tcPr>
            <w:tcW w:w="2163" w:type="dxa"/>
            <w:tcBorders>
              <w:top w:val="single" w:sz="6" w:space="0" w:color="auto"/>
              <w:left w:val="single" w:sz="6" w:space="0" w:color="auto"/>
              <w:right w:val="single" w:sz="6" w:space="0" w:color="auto"/>
            </w:tcBorders>
          </w:tcPr>
          <w:p w:rsidR="006A4549" w:rsidRPr="003F7D41" w:rsidRDefault="00581D9E" w:rsidP="00E44517">
            <w:pPr>
              <w:spacing w:after="0"/>
              <w:jc w:val="center"/>
            </w:pPr>
            <w:r w:rsidRPr="003F7D41">
              <w:t>$</w:t>
            </w:r>
            <w:r w:rsidR="00E44517" w:rsidRPr="003F7D41">
              <w:t>441</w:t>
            </w:r>
            <w:r w:rsidRPr="003F7D41">
              <w:t>.00</w:t>
            </w:r>
          </w:p>
        </w:tc>
      </w:tr>
      <w:tr w:rsidR="006A4549" w:rsidRPr="003F7D41" w:rsidTr="003D473F">
        <w:trPr>
          <w:cantSplit/>
          <w:trHeight w:val="372"/>
          <w:jc w:val="center"/>
        </w:trPr>
        <w:tc>
          <w:tcPr>
            <w:tcW w:w="3186" w:type="dxa"/>
            <w:tcBorders>
              <w:top w:val="single" w:sz="6" w:space="0" w:color="auto"/>
              <w:left w:val="single" w:sz="6" w:space="0" w:color="auto"/>
            </w:tcBorders>
          </w:tcPr>
          <w:p w:rsidR="006A4549" w:rsidRPr="003F7D41" w:rsidRDefault="006A4549" w:rsidP="00016C14">
            <w:pPr>
              <w:spacing w:after="0"/>
            </w:pPr>
            <w:r w:rsidRPr="003F7D41">
              <w:t>Exploratory Focus Groups</w:t>
            </w:r>
          </w:p>
        </w:tc>
        <w:tc>
          <w:tcPr>
            <w:tcW w:w="1800" w:type="dxa"/>
            <w:tcBorders>
              <w:top w:val="single" w:sz="6" w:space="0" w:color="auto"/>
              <w:left w:val="single" w:sz="6" w:space="0" w:color="auto"/>
            </w:tcBorders>
          </w:tcPr>
          <w:p w:rsidR="006A4549" w:rsidRPr="003F7D41" w:rsidRDefault="00364FC1" w:rsidP="00016C14">
            <w:pPr>
              <w:spacing w:after="0"/>
              <w:jc w:val="center"/>
            </w:pPr>
            <w:r w:rsidRPr="003F7D41">
              <w:t>144</w:t>
            </w:r>
          </w:p>
        </w:tc>
        <w:tc>
          <w:tcPr>
            <w:tcW w:w="2170" w:type="dxa"/>
            <w:tcBorders>
              <w:top w:val="single" w:sz="6" w:space="0" w:color="auto"/>
              <w:left w:val="single" w:sz="6" w:space="0" w:color="auto"/>
            </w:tcBorders>
          </w:tcPr>
          <w:p w:rsidR="006A4549" w:rsidRPr="003F7D41" w:rsidRDefault="00581D9E" w:rsidP="00E44517">
            <w:pPr>
              <w:spacing w:after="0"/>
              <w:jc w:val="center"/>
            </w:pPr>
            <w:r w:rsidRPr="003F7D41">
              <w:t>$</w:t>
            </w:r>
            <w:r w:rsidR="00E44517" w:rsidRPr="003F7D41">
              <w:t>21</w:t>
            </w:r>
            <w:r w:rsidRPr="003F7D41">
              <w:t>.00</w:t>
            </w:r>
          </w:p>
        </w:tc>
        <w:tc>
          <w:tcPr>
            <w:tcW w:w="2163" w:type="dxa"/>
            <w:tcBorders>
              <w:top w:val="single" w:sz="6" w:space="0" w:color="auto"/>
              <w:left w:val="single" w:sz="6" w:space="0" w:color="auto"/>
              <w:right w:val="single" w:sz="6" w:space="0" w:color="auto"/>
            </w:tcBorders>
          </w:tcPr>
          <w:p w:rsidR="006A4549" w:rsidRPr="003F7D41" w:rsidRDefault="00581D9E" w:rsidP="00E44517">
            <w:pPr>
              <w:spacing w:after="0"/>
              <w:jc w:val="center"/>
            </w:pPr>
            <w:r w:rsidRPr="003F7D41">
              <w:t>$</w:t>
            </w:r>
            <w:r w:rsidR="00E44517" w:rsidRPr="003F7D41">
              <w:t>3,024</w:t>
            </w:r>
            <w:r w:rsidRPr="003F7D41">
              <w:t>.00</w:t>
            </w:r>
          </w:p>
        </w:tc>
      </w:tr>
      <w:tr w:rsidR="006A4549" w:rsidRPr="003F7D41" w:rsidTr="003D473F">
        <w:trPr>
          <w:cantSplit/>
          <w:trHeight w:val="403"/>
          <w:jc w:val="center"/>
        </w:trPr>
        <w:tc>
          <w:tcPr>
            <w:tcW w:w="3186" w:type="dxa"/>
            <w:tcBorders>
              <w:top w:val="single" w:sz="6" w:space="0" w:color="auto"/>
              <w:left w:val="single" w:sz="6" w:space="0" w:color="auto"/>
            </w:tcBorders>
          </w:tcPr>
          <w:p w:rsidR="006A4549" w:rsidRPr="003F7D41" w:rsidRDefault="00E3747D" w:rsidP="00016C14">
            <w:pPr>
              <w:spacing w:after="0"/>
            </w:pPr>
            <w:r w:rsidRPr="003F7D41">
              <w:t>Message</w:t>
            </w:r>
            <w:r w:rsidR="006A4549" w:rsidRPr="003F7D41">
              <w:t xml:space="preserve"> Testing</w:t>
            </w:r>
          </w:p>
          <w:p w:rsidR="006A4549" w:rsidRPr="003F7D41" w:rsidRDefault="006A4549" w:rsidP="00016C14">
            <w:pPr>
              <w:spacing w:after="0"/>
            </w:pPr>
            <w:r w:rsidRPr="003F7D41">
              <w:t>Focus Groups</w:t>
            </w:r>
          </w:p>
        </w:tc>
        <w:tc>
          <w:tcPr>
            <w:tcW w:w="1800" w:type="dxa"/>
            <w:tcBorders>
              <w:top w:val="single" w:sz="6" w:space="0" w:color="auto"/>
              <w:left w:val="single" w:sz="6" w:space="0" w:color="auto"/>
            </w:tcBorders>
          </w:tcPr>
          <w:p w:rsidR="006A4549" w:rsidRPr="003F7D41" w:rsidRDefault="00F647DA" w:rsidP="00016C14">
            <w:pPr>
              <w:spacing w:after="0"/>
              <w:jc w:val="center"/>
            </w:pPr>
            <w:r w:rsidRPr="003F7D41">
              <w:t>108</w:t>
            </w:r>
          </w:p>
        </w:tc>
        <w:tc>
          <w:tcPr>
            <w:tcW w:w="2170" w:type="dxa"/>
            <w:tcBorders>
              <w:top w:val="single" w:sz="6" w:space="0" w:color="auto"/>
              <w:left w:val="single" w:sz="6" w:space="0" w:color="auto"/>
            </w:tcBorders>
          </w:tcPr>
          <w:p w:rsidR="006A4549" w:rsidRPr="003F7D41" w:rsidRDefault="00581D9E" w:rsidP="00E44517">
            <w:pPr>
              <w:spacing w:after="0"/>
              <w:jc w:val="center"/>
            </w:pPr>
            <w:r w:rsidRPr="003F7D41">
              <w:t>$</w:t>
            </w:r>
            <w:r w:rsidR="00E44517" w:rsidRPr="003F7D41">
              <w:t>21</w:t>
            </w:r>
            <w:r w:rsidRPr="003F7D41">
              <w:t>.00</w:t>
            </w:r>
          </w:p>
        </w:tc>
        <w:tc>
          <w:tcPr>
            <w:tcW w:w="2163" w:type="dxa"/>
            <w:tcBorders>
              <w:top w:val="single" w:sz="6" w:space="0" w:color="auto"/>
              <w:left w:val="single" w:sz="6" w:space="0" w:color="auto"/>
              <w:right w:val="single" w:sz="6" w:space="0" w:color="auto"/>
            </w:tcBorders>
          </w:tcPr>
          <w:p w:rsidR="006A4549" w:rsidRPr="003F7D41" w:rsidRDefault="00581D9E" w:rsidP="00E44517">
            <w:pPr>
              <w:spacing w:after="0"/>
              <w:jc w:val="center"/>
            </w:pPr>
            <w:r w:rsidRPr="003F7D41">
              <w:t>$</w:t>
            </w:r>
            <w:r w:rsidR="00E44517" w:rsidRPr="003F7D41">
              <w:t>2,268</w:t>
            </w:r>
            <w:r w:rsidRPr="003F7D41">
              <w:t>.00</w:t>
            </w:r>
          </w:p>
        </w:tc>
      </w:tr>
      <w:tr w:rsidR="006A4549" w:rsidRPr="003F7D41" w:rsidTr="003D473F">
        <w:trPr>
          <w:cantSplit/>
          <w:trHeight w:val="403"/>
          <w:jc w:val="center"/>
        </w:trPr>
        <w:tc>
          <w:tcPr>
            <w:tcW w:w="3186" w:type="dxa"/>
            <w:tcBorders>
              <w:top w:val="single" w:sz="6" w:space="0" w:color="auto"/>
              <w:left w:val="single" w:sz="6" w:space="0" w:color="auto"/>
              <w:bottom w:val="single" w:sz="6" w:space="0" w:color="auto"/>
            </w:tcBorders>
          </w:tcPr>
          <w:p w:rsidR="006A4549" w:rsidRPr="003F7D41" w:rsidRDefault="006A4549" w:rsidP="00016C14">
            <w:pPr>
              <w:spacing w:after="0"/>
            </w:pPr>
            <w:r w:rsidRPr="003F7D41">
              <w:t xml:space="preserve">  </w:t>
            </w:r>
          </w:p>
          <w:p w:rsidR="006A4549" w:rsidRPr="003F7D41" w:rsidRDefault="006A4549" w:rsidP="00016C14">
            <w:pPr>
              <w:spacing w:after="0"/>
            </w:pPr>
            <w:r w:rsidRPr="003F7D41">
              <w:t xml:space="preserve">Total </w:t>
            </w:r>
          </w:p>
        </w:tc>
        <w:tc>
          <w:tcPr>
            <w:tcW w:w="1800" w:type="dxa"/>
            <w:tcBorders>
              <w:top w:val="single" w:sz="6" w:space="0" w:color="auto"/>
              <w:left w:val="single" w:sz="6" w:space="0" w:color="auto"/>
              <w:bottom w:val="single" w:sz="6" w:space="0" w:color="auto"/>
            </w:tcBorders>
          </w:tcPr>
          <w:p w:rsidR="006A4549" w:rsidRPr="003F7D41" w:rsidRDefault="00364FC1" w:rsidP="00016C14">
            <w:pPr>
              <w:spacing w:after="0"/>
              <w:jc w:val="center"/>
            </w:pPr>
            <w:r w:rsidRPr="003F7D41">
              <w:t>273</w:t>
            </w:r>
          </w:p>
        </w:tc>
        <w:tc>
          <w:tcPr>
            <w:tcW w:w="2170" w:type="dxa"/>
            <w:tcBorders>
              <w:top w:val="single" w:sz="6" w:space="0" w:color="auto"/>
              <w:left w:val="single" w:sz="6" w:space="0" w:color="auto"/>
              <w:bottom w:val="single" w:sz="6" w:space="0" w:color="auto"/>
            </w:tcBorders>
          </w:tcPr>
          <w:p w:rsidR="006A4549" w:rsidRPr="003F7D41" w:rsidRDefault="00581D9E" w:rsidP="00016C14">
            <w:pPr>
              <w:spacing w:after="0"/>
              <w:jc w:val="center"/>
            </w:pPr>
            <w:r w:rsidRPr="003F7D41">
              <w:t>--</w:t>
            </w:r>
          </w:p>
        </w:tc>
        <w:tc>
          <w:tcPr>
            <w:tcW w:w="2163" w:type="dxa"/>
            <w:tcBorders>
              <w:top w:val="single" w:sz="6" w:space="0" w:color="auto"/>
              <w:left w:val="single" w:sz="6" w:space="0" w:color="auto"/>
              <w:bottom w:val="single" w:sz="6" w:space="0" w:color="auto"/>
              <w:right w:val="single" w:sz="6" w:space="0" w:color="auto"/>
            </w:tcBorders>
          </w:tcPr>
          <w:p w:rsidR="006A4549" w:rsidRPr="003F7D41" w:rsidRDefault="00581D9E" w:rsidP="00E44517">
            <w:pPr>
              <w:spacing w:after="0"/>
              <w:jc w:val="center"/>
            </w:pPr>
            <w:r w:rsidRPr="003F7D41">
              <w:t>$</w:t>
            </w:r>
            <w:r w:rsidR="00E44517" w:rsidRPr="003F7D41">
              <w:t>5,733</w:t>
            </w:r>
            <w:r w:rsidRPr="003F7D41">
              <w:t>.00</w:t>
            </w:r>
          </w:p>
        </w:tc>
      </w:tr>
    </w:tbl>
    <w:p w:rsidR="006A4549" w:rsidRPr="003F7D41" w:rsidRDefault="006A4549" w:rsidP="00016C14">
      <w:pPr>
        <w:pStyle w:val="BodyText"/>
        <w:spacing w:after="0"/>
        <w:rPr>
          <w:rFonts w:ascii="Calibri" w:hAnsi="Calibri"/>
          <w:b/>
          <w:sz w:val="22"/>
          <w:szCs w:val="22"/>
        </w:rPr>
      </w:pPr>
    </w:p>
    <w:p w:rsidR="004F7211" w:rsidRPr="003F7D41" w:rsidRDefault="004F7211">
      <w:pPr>
        <w:rPr>
          <w:b/>
        </w:rPr>
      </w:pPr>
      <w:r w:rsidRPr="003F7D41">
        <w:rPr>
          <w:b/>
        </w:rPr>
        <w:br w:type="page"/>
      </w:r>
    </w:p>
    <w:p w:rsidR="006A4549" w:rsidRPr="003F7D41" w:rsidRDefault="006A4549" w:rsidP="00B74D9F">
      <w:pPr>
        <w:spacing w:after="0"/>
        <w:rPr>
          <w:b/>
        </w:rPr>
      </w:pPr>
      <w:r w:rsidRPr="003F7D41">
        <w:rPr>
          <w:b/>
        </w:rPr>
        <w:t>A.13</w:t>
      </w:r>
      <w:r w:rsidRPr="003F7D41">
        <w:rPr>
          <w:b/>
        </w:rPr>
        <w:tab/>
        <w:t xml:space="preserve">Estimates of Other Total Annual Cost Burden to Respondents or Record </w:t>
      </w:r>
      <w:r w:rsidR="00B74D9F" w:rsidRPr="003F7D41">
        <w:rPr>
          <w:b/>
        </w:rPr>
        <w:t>K</w:t>
      </w:r>
      <w:r w:rsidRPr="003F7D41">
        <w:rPr>
          <w:b/>
        </w:rPr>
        <w:t>eepers</w:t>
      </w:r>
    </w:p>
    <w:p w:rsidR="006A4549" w:rsidRPr="003F7D41" w:rsidRDefault="006A4549" w:rsidP="006A4549">
      <w:pPr>
        <w:pStyle w:val="BodyTextIndent3"/>
        <w:widowControl/>
        <w:tabs>
          <w:tab w:val="clear" w:pos="0"/>
          <w:tab w:val="left" w:pos="720"/>
        </w:tabs>
        <w:suppressAutoHyphens w:val="0"/>
        <w:autoSpaceDE/>
        <w:autoSpaceDN/>
        <w:adjustRightInd/>
        <w:spacing w:line="240" w:lineRule="auto"/>
        <w:ind w:firstLine="0"/>
        <w:rPr>
          <w:rFonts w:ascii="Calibri" w:hAnsi="Calibri"/>
          <w:snapToGrid w:val="0"/>
        </w:rPr>
      </w:pPr>
    </w:p>
    <w:p w:rsidR="006A4549" w:rsidRPr="003F7D41" w:rsidRDefault="006A4549" w:rsidP="006A4549">
      <w:pPr>
        <w:pStyle w:val="BodyTextIndent3"/>
        <w:widowControl/>
        <w:tabs>
          <w:tab w:val="clear" w:pos="0"/>
          <w:tab w:val="left" w:pos="720"/>
        </w:tabs>
        <w:suppressAutoHyphens w:val="0"/>
        <w:autoSpaceDE/>
        <w:autoSpaceDN/>
        <w:adjustRightInd/>
        <w:spacing w:line="240" w:lineRule="auto"/>
        <w:ind w:firstLine="0"/>
        <w:rPr>
          <w:rFonts w:ascii="Calibri" w:hAnsi="Calibri"/>
          <w:snapToGrid w:val="0"/>
        </w:rPr>
      </w:pPr>
      <w:r w:rsidRPr="003F7D41">
        <w:rPr>
          <w:rFonts w:ascii="Calibri" w:hAnsi="Calibri"/>
          <w:snapToGrid w:val="0"/>
        </w:rPr>
        <w:t xml:space="preserve">There are no other costs to respondents beyond those presented in section A.12.  There </w:t>
      </w:r>
      <w:proofErr w:type="gramStart"/>
      <w:r w:rsidRPr="003F7D41">
        <w:rPr>
          <w:rFonts w:ascii="Calibri" w:hAnsi="Calibri"/>
          <w:snapToGrid w:val="0"/>
        </w:rPr>
        <w:t>are</w:t>
      </w:r>
      <w:proofErr w:type="gramEnd"/>
      <w:r w:rsidRPr="003F7D41">
        <w:rPr>
          <w:rFonts w:ascii="Calibri" w:hAnsi="Calibri"/>
          <w:snapToGrid w:val="0"/>
        </w:rPr>
        <w:t xml:space="preserve"> no operating, maintenance, or capital costs associated with the collection.  </w:t>
      </w:r>
    </w:p>
    <w:p w:rsidR="00B74D9F" w:rsidRPr="003F7D41" w:rsidRDefault="006A4549" w:rsidP="00B74D9F">
      <w:pPr>
        <w:spacing w:before="240"/>
        <w:rPr>
          <w:b/>
        </w:rPr>
      </w:pPr>
      <w:r w:rsidRPr="003F7D41">
        <w:rPr>
          <w:b/>
        </w:rPr>
        <w:t>A.14</w:t>
      </w:r>
      <w:r w:rsidRPr="003F7D41">
        <w:rPr>
          <w:b/>
        </w:rPr>
        <w:tab/>
        <w:t>Annualized Cost to the Federal Government</w:t>
      </w:r>
    </w:p>
    <w:p w:rsidR="006A4549" w:rsidRPr="003F7D41" w:rsidRDefault="006A4549" w:rsidP="00B74D9F">
      <w:pPr>
        <w:spacing w:before="240"/>
      </w:pPr>
      <w:r w:rsidRPr="003F7D41">
        <w:t>The total annual cost to the Federal Government will not exceed $</w:t>
      </w:r>
      <w:r w:rsidR="00364FC1" w:rsidRPr="003F7D41">
        <w:t>14</w:t>
      </w:r>
      <w:r w:rsidR="000238CF" w:rsidRPr="003F7D41">
        <w:t>4,000</w:t>
      </w:r>
      <w:r w:rsidRPr="003F7D41">
        <w:t>.  This estimate is based on</w:t>
      </w:r>
      <w:r w:rsidR="00B74D9F" w:rsidRPr="003F7D41">
        <w:t xml:space="preserve"> eight</w:t>
      </w:r>
      <w:r w:rsidRPr="003F7D41">
        <w:t xml:space="preserve"> exploratory focus group</w:t>
      </w:r>
      <w:r w:rsidR="00B74D9F" w:rsidRPr="003F7D41">
        <w:t>s</w:t>
      </w:r>
      <w:r w:rsidRPr="003F7D41">
        <w:t>, at $</w:t>
      </w:r>
      <w:r w:rsidR="00CC1353" w:rsidRPr="003F7D41">
        <w:t>10,000</w:t>
      </w:r>
      <w:r w:rsidRPr="003F7D41">
        <w:t xml:space="preserve"> each ($</w:t>
      </w:r>
      <w:r w:rsidR="00364FC1" w:rsidRPr="003F7D41">
        <w:t>80</w:t>
      </w:r>
      <w:r w:rsidR="00CC1353" w:rsidRPr="003F7D41">
        <w:t>,000</w:t>
      </w:r>
      <w:r w:rsidRPr="003F7D41">
        <w:t xml:space="preserve"> total) and </w:t>
      </w:r>
      <w:r w:rsidR="00B74D9F" w:rsidRPr="003F7D41">
        <w:t>six</w:t>
      </w:r>
      <w:r w:rsidRPr="003F7D41">
        <w:t xml:space="preserve"> </w:t>
      </w:r>
      <w:r w:rsidR="00860C08" w:rsidRPr="003F7D41">
        <w:t>message</w:t>
      </w:r>
      <w:r w:rsidR="00B74D9F" w:rsidRPr="003F7D41">
        <w:t xml:space="preserve"> testing focus groups</w:t>
      </w:r>
      <w:r w:rsidRPr="003F7D41">
        <w:t xml:space="preserve"> at $1</w:t>
      </w:r>
      <w:r w:rsidR="00364FC1" w:rsidRPr="003F7D41">
        <w:t>0</w:t>
      </w:r>
      <w:r w:rsidRPr="003F7D41">
        <w:t>,000 each ($</w:t>
      </w:r>
      <w:r w:rsidR="00364FC1" w:rsidRPr="003F7D41">
        <w:t>60</w:t>
      </w:r>
      <w:r w:rsidR="00CC1353" w:rsidRPr="003F7D41">
        <w:t>,000</w:t>
      </w:r>
      <w:r w:rsidRPr="003F7D41">
        <w:t xml:space="preserve"> total), and cost of the Federal Project </w:t>
      </w:r>
      <w:r w:rsidR="00A576A5" w:rsidRPr="003F7D41">
        <w:t>Officer</w:t>
      </w:r>
      <w:r w:rsidRPr="003F7D41">
        <w:t xml:space="preserve"> ($</w:t>
      </w:r>
      <w:r w:rsidR="000238CF" w:rsidRPr="003F7D41">
        <w:t>4000</w:t>
      </w:r>
      <w:r w:rsidRPr="003F7D41">
        <w:t>). These figures include the costs of study design, materials development, facility rental, participant incentives, data collec</w:t>
      </w:r>
      <w:r w:rsidRPr="003F7D41">
        <w:softHyphen/>
        <w:t xml:space="preserve">tion, analysis, and report writing. Federal employees will </w:t>
      </w:r>
      <w:r w:rsidR="00860C08" w:rsidRPr="003F7D41">
        <w:t xml:space="preserve">be </w:t>
      </w:r>
      <w:r w:rsidRPr="003F7D41">
        <w:t xml:space="preserve">involved in oversight and/or analysis. </w:t>
      </w:r>
    </w:p>
    <w:p w:rsidR="006A4549" w:rsidRPr="003F7D41" w:rsidRDefault="006A4549" w:rsidP="006A4549">
      <w:pPr>
        <w:rPr>
          <w:b/>
        </w:rPr>
      </w:pPr>
      <w:r w:rsidRPr="003F7D41">
        <w:rPr>
          <w:b/>
        </w:rPr>
        <w:t>A.15</w:t>
      </w:r>
      <w:r w:rsidRPr="003F7D41">
        <w:rPr>
          <w:b/>
        </w:rPr>
        <w:tab/>
        <w:t xml:space="preserve">Explanation for Program Changes or Adjustments </w:t>
      </w:r>
    </w:p>
    <w:p w:rsidR="006A4549" w:rsidRPr="003F7D41" w:rsidRDefault="006A4549" w:rsidP="006A4549">
      <w:r w:rsidRPr="003F7D41">
        <w:t xml:space="preserve">This is a new request for approval of a new data collection. </w:t>
      </w:r>
    </w:p>
    <w:p w:rsidR="006A4549" w:rsidRPr="003F7D41" w:rsidRDefault="006A4549" w:rsidP="006A4549">
      <w:pPr>
        <w:pStyle w:val="Heading6"/>
        <w:spacing w:line="240" w:lineRule="auto"/>
        <w:rPr>
          <w:rFonts w:ascii="Calibri" w:hAnsi="Calibri"/>
          <w:szCs w:val="22"/>
        </w:rPr>
      </w:pPr>
      <w:r w:rsidRPr="003F7D41">
        <w:rPr>
          <w:rFonts w:ascii="Calibri" w:hAnsi="Calibri"/>
          <w:szCs w:val="22"/>
        </w:rPr>
        <w:t>A.16</w:t>
      </w:r>
      <w:r w:rsidRPr="003F7D41">
        <w:rPr>
          <w:rFonts w:ascii="Calibri" w:hAnsi="Calibri"/>
          <w:szCs w:val="22"/>
        </w:rPr>
        <w:tab/>
        <w:t>Plans for Tabulation and Publication and Project Time Schedule</w:t>
      </w:r>
    </w:p>
    <w:p w:rsidR="006A4549" w:rsidRPr="003F7D41" w:rsidRDefault="006A4549" w:rsidP="00246C30">
      <w:pPr>
        <w:spacing w:before="240"/>
      </w:pPr>
      <w:r w:rsidRPr="003F7D41">
        <w:t xml:space="preserve">Recruitment for the focus groups will begin within one week of OMB approval and the entire study will be completed within </w:t>
      </w:r>
      <w:r w:rsidR="00364FC1" w:rsidRPr="003F7D41">
        <w:t>6</w:t>
      </w:r>
      <w:r w:rsidRPr="003F7D41">
        <w:t xml:space="preserve"> months. This includes conducting </w:t>
      </w:r>
      <w:r w:rsidR="00860C08" w:rsidRPr="003F7D41">
        <w:t>1</w:t>
      </w:r>
      <w:r w:rsidR="00364FC1" w:rsidRPr="003F7D41">
        <w:t>4</w:t>
      </w:r>
      <w:r w:rsidRPr="003F7D41">
        <w:t xml:space="preserve"> focus groups, analysis and report writing.  The table below outlines the project time schedule, by activity:</w:t>
      </w:r>
    </w:p>
    <w:p w:rsidR="006A4549" w:rsidRPr="003F7D41" w:rsidRDefault="006A4549" w:rsidP="006A4549">
      <w:pPr>
        <w:rPr>
          <w:b/>
        </w:rPr>
      </w:pPr>
      <w:r w:rsidRPr="003F7D41">
        <w:rPr>
          <w:b/>
        </w:rPr>
        <w:t>Table A-16</w:t>
      </w:r>
      <w:r w:rsidR="00B74D9F" w:rsidRPr="003F7D41">
        <w:rPr>
          <w:b/>
        </w:rPr>
        <w:t xml:space="preserve">: </w:t>
      </w:r>
      <w:r w:rsidRPr="003F7D41">
        <w:rPr>
          <w:b/>
        </w:rPr>
        <w:t xml:space="preserve"> Project Time Schedule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148"/>
        <w:gridCol w:w="3510"/>
      </w:tblGrid>
      <w:tr w:rsidR="006A4549" w:rsidRPr="003F7D41" w:rsidTr="006A4549">
        <w:tc>
          <w:tcPr>
            <w:tcW w:w="5148" w:type="dxa"/>
          </w:tcPr>
          <w:p w:rsidR="006A4549" w:rsidRPr="003F7D41" w:rsidRDefault="006A4549" w:rsidP="006A4549">
            <w:pPr>
              <w:rPr>
                <w:b/>
              </w:rPr>
            </w:pPr>
            <w:r w:rsidRPr="003F7D41">
              <w:rPr>
                <w:b/>
              </w:rPr>
              <w:t>Activity</w:t>
            </w:r>
          </w:p>
        </w:tc>
        <w:tc>
          <w:tcPr>
            <w:tcW w:w="3510" w:type="dxa"/>
          </w:tcPr>
          <w:p w:rsidR="006A4549" w:rsidRPr="003F7D41" w:rsidRDefault="006A4549" w:rsidP="006A4549">
            <w:pPr>
              <w:rPr>
                <w:b/>
              </w:rPr>
            </w:pPr>
            <w:r w:rsidRPr="003F7D41">
              <w:rPr>
                <w:b/>
              </w:rPr>
              <w:t>Time Schedule</w:t>
            </w:r>
          </w:p>
        </w:tc>
      </w:tr>
      <w:tr w:rsidR="006A4549" w:rsidRPr="003F7D41" w:rsidTr="006A4549">
        <w:tc>
          <w:tcPr>
            <w:tcW w:w="5148" w:type="dxa"/>
          </w:tcPr>
          <w:p w:rsidR="006A4549" w:rsidRPr="003F7D41" w:rsidRDefault="006A4549" w:rsidP="006A4549">
            <w:r w:rsidRPr="003F7D41">
              <w:t>Recruit participant for exploratory focus groups</w:t>
            </w:r>
          </w:p>
        </w:tc>
        <w:tc>
          <w:tcPr>
            <w:tcW w:w="3510" w:type="dxa"/>
          </w:tcPr>
          <w:p w:rsidR="006A4549" w:rsidRPr="003F7D41" w:rsidRDefault="006A4549" w:rsidP="00246C30">
            <w:r w:rsidRPr="003F7D41">
              <w:t>1-3 weeks after OMB approval</w:t>
            </w:r>
          </w:p>
        </w:tc>
      </w:tr>
      <w:tr w:rsidR="006A4549" w:rsidRPr="003F7D41" w:rsidTr="006A4549">
        <w:trPr>
          <w:trHeight w:val="260"/>
        </w:trPr>
        <w:tc>
          <w:tcPr>
            <w:tcW w:w="5148" w:type="dxa"/>
          </w:tcPr>
          <w:p w:rsidR="006A4549" w:rsidRPr="003F7D41" w:rsidRDefault="006A4549" w:rsidP="00F870F6">
            <w:r w:rsidRPr="003F7D41">
              <w:t xml:space="preserve">Conduct </w:t>
            </w:r>
            <w:r w:rsidR="00F870F6" w:rsidRPr="003F7D41">
              <w:t>8</w:t>
            </w:r>
            <w:r w:rsidRPr="003F7D41">
              <w:t xml:space="preserve"> exploratory focus groups </w:t>
            </w:r>
          </w:p>
        </w:tc>
        <w:tc>
          <w:tcPr>
            <w:tcW w:w="3510" w:type="dxa"/>
          </w:tcPr>
          <w:p w:rsidR="006A4549" w:rsidRPr="003F7D41" w:rsidRDefault="006A4549" w:rsidP="00F870F6">
            <w:r w:rsidRPr="003F7D41">
              <w:rPr>
                <w:rFonts w:cs="Courier New"/>
              </w:rPr>
              <w:t>4–</w:t>
            </w:r>
            <w:r w:rsidR="00F870F6" w:rsidRPr="003F7D41">
              <w:rPr>
                <w:rFonts w:cs="Courier New"/>
              </w:rPr>
              <w:t>8</w:t>
            </w:r>
            <w:r w:rsidRPr="003F7D41">
              <w:rPr>
                <w:rFonts w:cs="Courier New"/>
              </w:rPr>
              <w:t xml:space="preserve"> weeks after OMB approval</w:t>
            </w:r>
          </w:p>
        </w:tc>
      </w:tr>
      <w:tr w:rsidR="006A4549" w:rsidRPr="003F7D41" w:rsidTr="006A4549">
        <w:tc>
          <w:tcPr>
            <w:tcW w:w="5148" w:type="dxa"/>
          </w:tcPr>
          <w:p w:rsidR="006A4549" w:rsidRPr="003F7D41" w:rsidRDefault="006A4549" w:rsidP="006A4549">
            <w:r w:rsidRPr="003F7D41">
              <w:t xml:space="preserve">Prepare </w:t>
            </w:r>
            <w:proofErr w:type="spellStart"/>
            <w:r w:rsidRPr="003F7D41">
              <w:t>topline</w:t>
            </w:r>
            <w:proofErr w:type="spellEnd"/>
            <w:r w:rsidRPr="003F7D41">
              <w:t xml:space="preserve"> report </w:t>
            </w:r>
          </w:p>
        </w:tc>
        <w:tc>
          <w:tcPr>
            <w:tcW w:w="3510" w:type="dxa"/>
          </w:tcPr>
          <w:p w:rsidR="006A4549" w:rsidRPr="003F7D41" w:rsidRDefault="001906D8" w:rsidP="001906D8">
            <w:r w:rsidRPr="003F7D41">
              <w:rPr>
                <w:rFonts w:cs="Courier New"/>
              </w:rPr>
              <w:t>9</w:t>
            </w:r>
            <w:r w:rsidR="006A4549" w:rsidRPr="003F7D41">
              <w:rPr>
                <w:rFonts w:cs="Courier New"/>
              </w:rPr>
              <w:t>-1</w:t>
            </w:r>
            <w:r w:rsidRPr="003F7D41">
              <w:rPr>
                <w:rFonts w:cs="Courier New"/>
              </w:rPr>
              <w:t>1</w:t>
            </w:r>
            <w:r w:rsidR="006A4549" w:rsidRPr="003F7D41">
              <w:rPr>
                <w:rFonts w:cs="Courier New"/>
              </w:rPr>
              <w:t xml:space="preserve"> weeks after OMB approval</w:t>
            </w:r>
          </w:p>
        </w:tc>
      </w:tr>
      <w:tr w:rsidR="006A4549" w:rsidRPr="003F7D41" w:rsidTr="006A4549">
        <w:tc>
          <w:tcPr>
            <w:tcW w:w="5148" w:type="dxa"/>
          </w:tcPr>
          <w:p w:rsidR="006A4549" w:rsidRPr="003F7D41" w:rsidRDefault="006A4549" w:rsidP="006A4549">
            <w:r w:rsidRPr="003F7D41">
              <w:t xml:space="preserve">Develop messaging and draft materials   </w:t>
            </w:r>
          </w:p>
        </w:tc>
        <w:tc>
          <w:tcPr>
            <w:tcW w:w="3510" w:type="dxa"/>
          </w:tcPr>
          <w:p w:rsidR="006A4549" w:rsidRPr="003F7D41" w:rsidRDefault="006A4549" w:rsidP="001906D8">
            <w:r w:rsidRPr="003F7D41">
              <w:t>1</w:t>
            </w:r>
            <w:r w:rsidR="001906D8" w:rsidRPr="003F7D41">
              <w:t>2</w:t>
            </w:r>
            <w:r w:rsidRPr="003F7D41">
              <w:t>-</w:t>
            </w:r>
            <w:r w:rsidR="00F870F6" w:rsidRPr="003F7D41">
              <w:t>1</w:t>
            </w:r>
            <w:r w:rsidR="001906D8" w:rsidRPr="003F7D41">
              <w:t>4</w:t>
            </w:r>
            <w:r w:rsidRPr="003F7D41">
              <w:t xml:space="preserve"> weeks after OMB approval</w:t>
            </w:r>
          </w:p>
        </w:tc>
      </w:tr>
      <w:tr w:rsidR="006A4549" w:rsidRPr="003F7D41" w:rsidTr="006A4549">
        <w:tc>
          <w:tcPr>
            <w:tcW w:w="5148" w:type="dxa"/>
          </w:tcPr>
          <w:p w:rsidR="006A4549" w:rsidRPr="003F7D41" w:rsidRDefault="006A4549" w:rsidP="00860C08">
            <w:r w:rsidRPr="003F7D41">
              <w:t xml:space="preserve">Finalize protocols for </w:t>
            </w:r>
            <w:r w:rsidR="00860C08" w:rsidRPr="003F7D41">
              <w:t>message</w:t>
            </w:r>
            <w:r w:rsidRPr="003F7D41">
              <w:t xml:space="preserve"> testing  </w:t>
            </w:r>
          </w:p>
        </w:tc>
        <w:tc>
          <w:tcPr>
            <w:tcW w:w="3510" w:type="dxa"/>
          </w:tcPr>
          <w:p w:rsidR="006A4549" w:rsidRPr="003F7D41" w:rsidRDefault="006A4549" w:rsidP="001906D8">
            <w:r w:rsidRPr="003F7D41">
              <w:t>1</w:t>
            </w:r>
            <w:r w:rsidR="001906D8" w:rsidRPr="003F7D41">
              <w:t>5</w:t>
            </w:r>
            <w:r w:rsidRPr="003F7D41">
              <w:t>-</w:t>
            </w:r>
            <w:r w:rsidR="001906D8" w:rsidRPr="003F7D41">
              <w:t>17</w:t>
            </w:r>
            <w:r w:rsidR="00B74D9F" w:rsidRPr="003F7D41">
              <w:t xml:space="preserve"> </w:t>
            </w:r>
            <w:r w:rsidRPr="003F7D41">
              <w:t>weeks after OMB approval</w:t>
            </w:r>
          </w:p>
        </w:tc>
      </w:tr>
      <w:tr w:rsidR="006A4549" w:rsidRPr="003F7D41" w:rsidTr="006A4549">
        <w:tc>
          <w:tcPr>
            <w:tcW w:w="5148" w:type="dxa"/>
          </w:tcPr>
          <w:p w:rsidR="006A4549" w:rsidRPr="003F7D41" w:rsidRDefault="006A4549" w:rsidP="00860C08">
            <w:r w:rsidRPr="003F7D41">
              <w:t xml:space="preserve">Recruit participants for </w:t>
            </w:r>
            <w:r w:rsidR="00860C08" w:rsidRPr="003F7D41">
              <w:t xml:space="preserve">message </w:t>
            </w:r>
            <w:r w:rsidRPr="003F7D41">
              <w:t>testing focus groups</w:t>
            </w:r>
          </w:p>
        </w:tc>
        <w:tc>
          <w:tcPr>
            <w:tcW w:w="3510" w:type="dxa"/>
          </w:tcPr>
          <w:p w:rsidR="006A4549" w:rsidRPr="003F7D41" w:rsidRDefault="001906D8" w:rsidP="001906D8">
            <w:r w:rsidRPr="003F7D41">
              <w:t>18</w:t>
            </w:r>
            <w:r w:rsidR="006A4549" w:rsidRPr="003F7D41">
              <w:t>-2</w:t>
            </w:r>
            <w:r w:rsidRPr="003F7D41">
              <w:t>0</w:t>
            </w:r>
            <w:r w:rsidR="006A4549" w:rsidRPr="003F7D41">
              <w:t xml:space="preserve"> weeks after OMB approval</w:t>
            </w:r>
          </w:p>
        </w:tc>
      </w:tr>
      <w:tr w:rsidR="006A4549" w:rsidRPr="003F7D41" w:rsidTr="006A4549">
        <w:tc>
          <w:tcPr>
            <w:tcW w:w="5148" w:type="dxa"/>
          </w:tcPr>
          <w:p w:rsidR="006A4549" w:rsidRPr="003F7D41" w:rsidRDefault="006A4549" w:rsidP="00F870F6">
            <w:r w:rsidRPr="003F7D41">
              <w:t xml:space="preserve">Conduct </w:t>
            </w:r>
            <w:r w:rsidR="00F870F6" w:rsidRPr="003F7D41">
              <w:t>6</w:t>
            </w:r>
            <w:r w:rsidRPr="003F7D41">
              <w:t xml:space="preserve"> </w:t>
            </w:r>
            <w:r w:rsidR="00860C08" w:rsidRPr="003F7D41">
              <w:t>message</w:t>
            </w:r>
            <w:r w:rsidRPr="003F7D41">
              <w:t xml:space="preserve"> testing focus groups </w:t>
            </w:r>
          </w:p>
        </w:tc>
        <w:tc>
          <w:tcPr>
            <w:tcW w:w="3510" w:type="dxa"/>
          </w:tcPr>
          <w:p w:rsidR="006A4549" w:rsidRPr="003F7D41" w:rsidRDefault="006A4549" w:rsidP="001906D8">
            <w:r w:rsidRPr="003F7D41">
              <w:t>2</w:t>
            </w:r>
            <w:r w:rsidR="001906D8" w:rsidRPr="003F7D41">
              <w:t>1</w:t>
            </w:r>
            <w:r w:rsidRPr="003F7D41">
              <w:t>-</w:t>
            </w:r>
            <w:r w:rsidR="00860C08" w:rsidRPr="003F7D41">
              <w:t>2</w:t>
            </w:r>
            <w:r w:rsidR="001906D8" w:rsidRPr="003F7D41">
              <w:t>3</w:t>
            </w:r>
            <w:r w:rsidRPr="003F7D41">
              <w:t xml:space="preserve"> weeks after OMB approval</w:t>
            </w:r>
          </w:p>
        </w:tc>
      </w:tr>
      <w:tr w:rsidR="006A4549" w:rsidRPr="003F7D41" w:rsidTr="006A4549">
        <w:tc>
          <w:tcPr>
            <w:tcW w:w="5148" w:type="dxa"/>
          </w:tcPr>
          <w:p w:rsidR="006A4549" w:rsidRPr="003F7D41" w:rsidRDefault="006A4549" w:rsidP="006A4549">
            <w:r w:rsidRPr="003F7D41">
              <w:t xml:space="preserve">Prepare final report for focus group study </w:t>
            </w:r>
          </w:p>
        </w:tc>
        <w:tc>
          <w:tcPr>
            <w:tcW w:w="3510" w:type="dxa"/>
          </w:tcPr>
          <w:p w:rsidR="006A4549" w:rsidRPr="003F7D41" w:rsidRDefault="006A4549" w:rsidP="001906D8">
            <w:r w:rsidRPr="003F7D41">
              <w:t>2</w:t>
            </w:r>
            <w:r w:rsidR="001906D8" w:rsidRPr="003F7D41">
              <w:t>4</w:t>
            </w:r>
            <w:r w:rsidRPr="003F7D41">
              <w:t>-</w:t>
            </w:r>
            <w:r w:rsidR="001906D8" w:rsidRPr="003F7D41">
              <w:t>27</w:t>
            </w:r>
            <w:r w:rsidRPr="003F7D41">
              <w:t xml:space="preserve"> weeks after OMB approval</w:t>
            </w:r>
          </w:p>
        </w:tc>
      </w:tr>
    </w:tbl>
    <w:p w:rsidR="006A4549" w:rsidRPr="003F7D41" w:rsidRDefault="006A4549" w:rsidP="006A4549">
      <w:pPr>
        <w:pStyle w:val="FootnoteText"/>
        <w:widowControl/>
        <w:spacing w:line="480" w:lineRule="auto"/>
        <w:ind w:firstLine="720"/>
        <w:rPr>
          <w:rFonts w:ascii="Calibri" w:hAnsi="Calibri"/>
          <w:bCs/>
          <w:color w:val="000000"/>
          <w:sz w:val="22"/>
          <w:szCs w:val="22"/>
        </w:rPr>
      </w:pPr>
    </w:p>
    <w:p w:rsidR="004F7211" w:rsidRPr="003F7D41" w:rsidRDefault="004F7211">
      <w:pPr>
        <w:rPr>
          <w:b/>
        </w:rPr>
      </w:pPr>
      <w:r w:rsidRPr="003F7D41">
        <w:rPr>
          <w:b/>
        </w:rPr>
        <w:br w:type="page"/>
      </w:r>
    </w:p>
    <w:p w:rsidR="006A4549" w:rsidRPr="003F7D41" w:rsidRDefault="006A4549" w:rsidP="006A4549">
      <w:pPr>
        <w:rPr>
          <w:b/>
        </w:rPr>
      </w:pPr>
      <w:r w:rsidRPr="003F7D41">
        <w:rPr>
          <w:b/>
        </w:rPr>
        <w:t>A.17</w:t>
      </w:r>
      <w:r w:rsidRPr="003F7D41">
        <w:rPr>
          <w:b/>
        </w:rPr>
        <w:tab/>
        <w:t>Reason(s) Display of OMB Expiration Date is Inappropriate</w:t>
      </w:r>
    </w:p>
    <w:p w:rsidR="006A4549" w:rsidRPr="003F7D41" w:rsidRDefault="006A4549" w:rsidP="006A4549">
      <w:r w:rsidRPr="003F7D41">
        <w:t xml:space="preserve">Not applicable. The OMB expiration date will be displayed. </w:t>
      </w:r>
    </w:p>
    <w:p w:rsidR="006A4549" w:rsidRPr="003F7D41" w:rsidRDefault="006A4549" w:rsidP="006A4549">
      <w:pPr>
        <w:rPr>
          <w:b/>
        </w:rPr>
      </w:pPr>
      <w:r w:rsidRPr="003F7D41">
        <w:rPr>
          <w:b/>
        </w:rPr>
        <w:t>A.18</w:t>
      </w:r>
      <w:r w:rsidRPr="003F7D41">
        <w:rPr>
          <w:b/>
        </w:rPr>
        <w:tab/>
        <w:t>Exceptions to Certification for Paperwork Reduction Act Submission</w:t>
      </w:r>
    </w:p>
    <w:p w:rsidR="006A4549" w:rsidRPr="003F7D41" w:rsidRDefault="006A4549" w:rsidP="006A4549">
      <w:r w:rsidRPr="003F7D41">
        <w:t>There are no exceptions to the certification.</w:t>
      </w:r>
    </w:p>
    <w:p w:rsidR="004F7211" w:rsidRPr="003F7D41" w:rsidRDefault="004F7211">
      <w:pPr>
        <w:rPr>
          <w:b/>
        </w:rPr>
      </w:pPr>
      <w:r w:rsidRPr="003F7D41">
        <w:rPr>
          <w:b/>
        </w:rPr>
        <w:br w:type="page"/>
      </w:r>
    </w:p>
    <w:p w:rsidR="006A4549" w:rsidRPr="003F7D41" w:rsidRDefault="002F01E5">
      <w:pPr>
        <w:rPr>
          <w:b/>
        </w:rPr>
      </w:pPr>
      <w:r w:rsidRPr="003F7D41">
        <w:rPr>
          <w:b/>
        </w:rPr>
        <w:t>B.</w:t>
      </w:r>
      <w:r w:rsidRPr="003F7D41">
        <w:rPr>
          <w:b/>
        </w:rPr>
        <w:tab/>
        <w:t>COLLECTION OF INFORMATION EMPLOYING STATISTICAL METHODS</w:t>
      </w:r>
    </w:p>
    <w:p w:rsidR="002F01E5" w:rsidRPr="003F7D41" w:rsidRDefault="002F01E5">
      <w:r w:rsidRPr="003F7D41">
        <w:t>This is a qualitative data collection.  Statistical methods will not be used.</w:t>
      </w:r>
    </w:p>
    <w:p w:rsidR="006A4549" w:rsidRPr="003F7D41" w:rsidRDefault="006063ED">
      <w:pPr>
        <w:rPr>
          <w:b/>
        </w:rPr>
      </w:pPr>
      <w:r w:rsidRPr="003F7D41">
        <w:rPr>
          <w:b/>
        </w:rPr>
        <w:t>B</w:t>
      </w:r>
      <w:r w:rsidR="00B74D9F" w:rsidRPr="003F7D41">
        <w:rPr>
          <w:b/>
        </w:rPr>
        <w:t>.</w:t>
      </w:r>
      <w:r w:rsidRPr="003F7D41">
        <w:rPr>
          <w:b/>
        </w:rPr>
        <w:t>1</w:t>
      </w:r>
      <w:r w:rsidRPr="003F7D41">
        <w:rPr>
          <w:b/>
        </w:rPr>
        <w:tab/>
        <w:t>Respondent Universe and Sampling Methods</w:t>
      </w:r>
    </w:p>
    <w:p w:rsidR="004F7DB5" w:rsidRPr="003F7D41" w:rsidRDefault="004F7DB5" w:rsidP="00E646DA">
      <w:r w:rsidRPr="003F7D41">
        <w:rPr>
          <w:bCs/>
        </w:rPr>
        <w:t xml:space="preserve">Participants for the </w:t>
      </w:r>
      <w:r w:rsidR="00D3543F" w:rsidRPr="003F7D41">
        <w:rPr>
          <w:bCs/>
        </w:rPr>
        <w:t>study</w:t>
      </w:r>
      <w:r w:rsidRPr="003F7D41">
        <w:rPr>
          <w:bCs/>
        </w:rPr>
        <w:t xml:space="preserve"> will be </w:t>
      </w:r>
      <w:r w:rsidR="00D3543F" w:rsidRPr="003F7D41">
        <w:rPr>
          <w:bCs/>
        </w:rPr>
        <w:t xml:space="preserve">recruited from the areas where the focus groups are held (i.e., </w:t>
      </w:r>
      <w:r w:rsidR="00B74D9F" w:rsidRPr="003F7D41">
        <w:rPr>
          <w:bCs/>
        </w:rPr>
        <w:t>East, W</w:t>
      </w:r>
      <w:r w:rsidR="00D3543F" w:rsidRPr="003F7D41">
        <w:rPr>
          <w:bCs/>
        </w:rPr>
        <w:t>est, and Midwest).  These participants will include women who are pregnant or have children under the age of five.  In addition, the</w:t>
      </w:r>
      <w:r w:rsidR="00E646DA" w:rsidRPr="003F7D41">
        <w:rPr>
          <w:bCs/>
        </w:rPr>
        <w:t>se women</w:t>
      </w:r>
      <w:r w:rsidR="00D3543F" w:rsidRPr="003F7D41">
        <w:rPr>
          <w:bCs/>
        </w:rPr>
        <w:t xml:space="preserve"> will have a college education, are regular news readers and do not have a great deal of environmental knowledge.  </w:t>
      </w:r>
      <w:r w:rsidR="00E646DA" w:rsidRPr="003F7D41">
        <w:rPr>
          <w:bCs/>
        </w:rPr>
        <w:t>To</w:t>
      </w:r>
      <w:r w:rsidRPr="003F7D41">
        <w:t xml:space="preserve"> ensure </w:t>
      </w:r>
      <w:r w:rsidR="00E646DA" w:rsidRPr="003F7D41">
        <w:t xml:space="preserve">that </w:t>
      </w:r>
      <w:r w:rsidRPr="003F7D41">
        <w:t xml:space="preserve">nine participants are in each of the </w:t>
      </w:r>
      <w:r w:rsidR="00E646DA" w:rsidRPr="003F7D41">
        <w:t>1</w:t>
      </w:r>
      <w:r w:rsidR="00B74D9F" w:rsidRPr="003F7D41">
        <w:t>4</w:t>
      </w:r>
      <w:r w:rsidRPr="003F7D41">
        <w:t xml:space="preserve"> focus groups (</w:t>
      </w:r>
      <w:r w:rsidR="00B74D9F" w:rsidRPr="003F7D41">
        <w:t>8</w:t>
      </w:r>
      <w:r w:rsidRPr="003F7D41">
        <w:t xml:space="preserve"> exploratory, </w:t>
      </w:r>
      <w:r w:rsidR="00B74D9F" w:rsidRPr="003F7D41">
        <w:t>6</w:t>
      </w:r>
      <w:r w:rsidR="00E646DA" w:rsidRPr="003F7D41">
        <w:t xml:space="preserve"> message</w:t>
      </w:r>
      <w:r w:rsidRPr="003F7D41">
        <w:t xml:space="preserve"> testing), 12 participants will be recruited per group.  </w:t>
      </w:r>
      <w:r w:rsidRPr="003F7D41">
        <w:rPr>
          <w:bCs/>
        </w:rPr>
        <w:t>Participants will be recruited using standard focus group recruitment methods, by calling their household and administering a screening questionnaire to pre-qualify them (see Attachment</w:t>
      </w:r>
      <w:r w:rsidR="00E47592" w:rsidRPr="003F7D41">
        <w:rPr>
          <w:bCs/>
        </w:rPr>
        <w:t xml:space="preserve"> 3</w:t>
      </w:r>
      <w:r w:rsidRPr="003F7D41">
        <w:rPr>
          <w:bCs/>
        </w:rPr>
        <w:t>).  Most will come from an existing database (or list) of potential participants, owned and maintained by each focus group facility. </w:t>
      </w:r>
    </w:p>
    <w:p w:rsidR="004F7DB5" w:rsidRPr="003F7D41" w:rsidRDefault="004F7DB5" w:rsidP="004F7DB5">
      <w:pPr>
        <w:pStyle w:val="Heading1"/>
        <w:spacing w:before="0"/>
        <w:rPr>
          <w:rFonts w:ascii="Calibri" w:hAnsi="Calibri"/>
          <w:color w:val="auto"/>
          <w:sz w:val="22"/>
          <w:szCs w:val="22"/>
        </w:rPr>
      </w:pPr>
      <w:r w:rsidRPr="003F7D41">
        <w:rPr>
          <w:rFonts w:ascii="Calibri" w:hAnsi="Calibri"/>
          <w:color w:val="auto"/>
          <w:sz w:val="22"/>
          <w:szCs w:val="22"/>
        </w:rPr>
        <w:t>B.2</w:t>
      </w:r>
      <w:r w:rsidRPr="003F7D41">
        <w:rPr>
          <w:rFonts w:ascii="Calibri" w:hAnsi="Calibri"/>
          <w:color w:val="auto"/>
          <w:sz w:val="22"/>
          <w:szCs w:val="22"/>
        </w:rPr>
        <w:tab/>
        <w:t>Procedures for the Collection of Information</w:t>
      </w:r>
    </w:p>
    <w:p w:rsidR="004F7DB5" w:rsidRPr="003F7D41" w:rsidRDefault="004F7DB5" w:rsidP="00E646DA">
      <w:pPr>
        <w:spacing w:before="240"/>
        <w:rPr>
          <w:rFonts w:cs="Courier New"/>
          <w:szCs w:val="24"/>
        </w:rPr>
      </w:pPr>
      <w:r w:rsidRPr="003F7D41">
        <w:rPr>
          <w:rFonts w:cs="Courier New"/>
        </w:rPr>
        <w:t xml:space="preserve">After arriving at the focus group facility, the respondents will be given information on the study and a consent form to sign (See Attachment </w:t>
      </w:r>
      <w:r w:rsidR="00B74D9F" w:rsidRPr="003F7D41">
        <w:rPr>
          <w:rFonts w:cs="Courier New"/>
        </w:rPr>
        <w:t>6</w:t>
      </w:r>
      <w:r w:rsidRPr="003F7D41">
        <w:rPr>
          <w:rFonts w:cs="Courier New"/>
        </w:rPr>
        <w:t>). Then the respondents in each group will be gathered in a room</w:t>
      </w:r>
      <w:r w:rsidRPr="003F7D41">
        <w:rPr>
          <w:rFonts w:cs="Courier New"/>
          <w:szCs w:val="24"/>
        </w:rPr>
        <w:t xml:space="preserve"> with a trained moderator and a one-way mirror, behind which CDC and Westat staff</w:t>
      </w:r>
      <w:r w:rsidR="004255F9" w:rsidRPr="003F7D41">
        <w:rPr>
          <w:rFonts w:cs="Courier New"/>
          <w:szCs w:val="24"/>
        </w:rPr>
        <w:t xml:space="preserve"> will be seated</w:t>
      </w:r>
      <w:r w:rsidRPr="003F7D41">
        <w:rPr>
          <w:rFonts w:cs="Courier New"/>
          <w:szCs w:val="24"/>
        </w:rPr>
        <w:t xml:space="preserve">.   The moderator will explain the study, inform the group of taping and observation, and lead a discussion using a guide. </w:t>
      </w:r>
      <w:r w:rsidRPr="003F7D41">
        <w:t xml:space="preserve">Each focus group will last approximately 2 hours. </w:t>
      </w:r>
      <w:r w:rsidRPr="003F7D41">
        <w:rPr>
          <w:rFonts w:cs="Courier New"/>
        </w:rPr>
        <w:t>The focus group discussion guide</w:t>
      </w:r>
      <w:r w:rsidR="00E646DA" w:rsidRPr="003F7D41">
        <w:rPr>
          <w:rFonts w:cs="Courier New"/>
        </w:rPr>
        <w:t>s are</w:t>
      </w:r>
      <w:r w:rsidRPr="003F7D41">
        <w:rPr>
          <w:rFonts w:cs="Courier New"/>
        </w:rPr>
        <w:t xml:space="preserve"> provided in Attachment </w:t>
      </w:r>
      <w:r w:rsidR="00E47592" w:rsidRPr="003F7D41">
        <w:rPr>
          <w:rFonts w:cs="Courier New"/>
        </w:rPr>
        <w:t>4</w:t>
      </w:r>
      <w:r w:rsidR="00E646DA" w:rsidRPr="003F7D41">
        <w:rPr>
          <w:rFonts w:cs="Courier New"/>
        </w:rPr>
        <w:t xml:space="preserve"> (exploratory) and Attachment </w:t>
      </w:r>
      <w:r w:rsidR="00E47592" w:rsidRPr="003F7D41">
        <w:rPr>
          <w:rFonts w:cs="Courier New"/>
        </w:rPr>
        <w:t>5</w:t>
      </w:r>
      <w:r w:rsidR="00E646DA" w:rsidRPr="003F7D41">
        <w:rPr>
          <w:rFonts w:cs="Courier New"/>
        </w:rPr>
        <w:t xml:space="preserve"> (message testing)</w:t>
      </w:r>
      <w:r w:rsidRPr="003F7D41">
        <w:rPr>
          <w:rFonts w:cs="Courier New"/>
        </w:rPr>
        <w:t xml:space="preserve">. </w:t>
      </w:r>
      <w:r w:rsidRPr="003F7D41">
        <w:rPr>
          <w:rFonts w:cs="Courier New"/>
          <w:szCs w:val="24"/>
        </w:rPr>
        <w:t>Responses will be collected by audio</w:t>
      </w:r>
      <w:r w:rsidR="00913026" w:rsidRPr="003F7D41">
        <w:rPr>
          <w:rFonts w:cs="Courier New"/>
          <w:szCs w:val="24"/>
        </w:rPr>
        <w:t xml:space="preserve"> </w:t>
      </w:r>
      <w:r w:rsidRPr="003F7D41">
        <w:rPr>
          <w:rFonts w:cs="Courier New"/>
          <w:szCs w:val="24"/>
        </w:rPr>
        <w:t xml:space="preserve">tape, and observers will take notes. After the group, the tapes will be transcribed for qualitative analysis.  </w:t>
      </w:r>
    </w:p>
    <w:p w:rsidR="004F7DB5" w:rsidRPr="003F7D41" w:rsidRDefault="004F7DB5" w:rsidP="004F7DB5">
      <w:pPr>
        <w:rPr>
          <w:b/>
        </w:rPr>
      </w:pPr>
      <w:r w:rsidRPr="003F7D41">
        <w:rPr>
          <w:b/>
        </w:rPr>
        <w:t>B.3</w:t>
      </w:r>
      <w:r w:rsidRPr="003F7D41">
        <w:rPr>
          <w:b/>
        </w:rPr>
        <w:tab/>
        <w:t>Methods to Maximize Response Rates and Address Non-Response</w:t>
      </w:r>
    </w:p>
    <w:p w:rsidR="004F7DB5" w:rsidRPr="003F7D41" w:rsidRDefault="004F7DB5" w:rsidP="004F7DB5">
      <w:r w:rsidRPr="003F7D41">
        <w:t xml:space="preserve">This is not applicable.  A convenience sample need not be representative to indicate a need for further message refinement or other attitudinal information.    </w:t>
      </w:r>
    </w:p>
    <w:p w:rsidR="004F7DB5" w:rsidRPr="003F7D41" w:rsidRDefault="004F7DB5" w:rsidP="004F7DB5">
      <w:pPr>
        <w:rPr>
          <w:b/>
        </w:rPr>
      </w:pPr>
      <w:r w:rsidRPr="003F7D41">
        <w:rPr>
          <w:b/>
        </w:rPr>
        <w:t>B.4</w:t>
      </w:r>
      <w:r w:rsidRPr="003F7D41">
        <w:rPr>
          <w:b/>
        </w:rPr>
        <w:tab/>
        <w:t xml:space="preserve">Test of Procedures or Methods to be </w:t>
      </w:r>
      <w:proofErr w:type="gramStart"/>
      <w:r w:rsidRPr="003F7D41">
        <w:rPr>
          <w:b/>
        </w:rPr>
        <w:t>Undertaken</w:t>
      </w:r>
      <w:proofErr w:type="gramEnd"/>
      <w:r w:rsidRPr="003F7D41">
        <w:rPr>
          <w:b/>
        </w:rPr>
        <w:t xml:space="preserve"> </w:t>
      </w:r>
    </w:p>
    <w:p w:rsidR="004F7DB5" w:rsidRPr="003F7D41" w:rsidRDefault="004F7DB5" w:rsidP="004F7DB5">
      <w:pPr>
        <w:rPr>
          <w:b/>
        </w:rPr>
      </w:pPr>
      <w:r w:rsidRPr="003F7D41">
        <w:rPr>
          <w:rFonts w:cs="Courier New"/>
          <w:szCs w:val="24"/>
        </w:rPr>
        <w:t>This is qualitative data collection. Statistical methods will not be used. Standard focus group discussion procedures and analysis of findings will be used</w:t>
      </w:r>
      <w:r w:rsidRPr="003F7D41">
        <w:rPr>
          <w:rFonts w:cs="Courier New"/>
          <w:b/>
          <w:szCs w:val="24"/>
        </w:rPr>
        <w:t>.</w:t>
      </w:r>
      <w:r w:rsidRPr="003F7D41">
        <w:rPr>
          <w:b/>
        </w:rPr>
        <w:tab/>
      </w:r>
    </w:p>
    <w:p w:rsidR="004F7DB5" w:rsidRPr="003F7D41" w:rsidRDefault="004F7DB5" w:rsidP="004F7DB5">
      <w:pPr>
        <w:pStyle w:val="P1-StandPara"/>
        <w:spacing w:after="0" w:line="240" w:lineRule="auto"/>
        <w:ind w:left="720" w:hanging="720"/>
        <w:jc w:val="left"/>
        <w:rPr>
          <w:rFonts w:ascii="Calibri" w:hAnsi="Calibri"/>
          <w:b/>
          <w:szCs w:val="22"/>
        </w:rPr>
      </w:pPr>
      <w:r w:rsidRPr="003F7D41">
        <w:rPr>
          <w:rFonts w:ascii="Calibri" w:hAnsi="Calibri"/>
          <w:b/>
          <w:szCs w:val="22"/>
        </w:rPr>
        <w:t>B.5</w:t>
      </w:r>
      <w:r w:rsidRPr="003F7D41">
        <w:rPr>
          <w:rFonts w:ascii="Calibri" w:hAnsi="Calibri"/>
          <w:b/>
          <w:szCs w:val="22"/>
        </w:rPr>
        <w:tab/>
        <w:t>Individuals Consulted on Statistical Aspects and Individuals Collecting and/or Analyzing Data</w:t>
      </w:r>
    </w:p>
    <w:p w:rsidR="004F7DB5" w:rsidRPr="003F7D41" w:rsidRDefault="004F7DB5" w:rsidP="000B66D1">
      <w:pPr>
        <w:spacing w:before="240"/>
        <w:rPr>
          <w:szCs w:val="24"/>
        </w:rPr>
      </w:pPr>
      <w:r w:rsidRPr="003F7D41">
        <w:rPr>
          <w:szCs w:val="24"/>
        </w:rPr>
        <w:t>The persons who designed the data collection and who will analyze the data are:</w:t>
      </w:r>
    </w:p>
    <w:p w:rsidR="004F7DB5" w:rsidRPr="003F7D41" w:rsidRDefault="004F7DB5" w:rsidP="000B66D1">
      <w:pPr>
        <w:spacing w:after="0"/>
        <w:rPr>
          <w:szCs w:val="24"/>
        </w:rPr>
      </w:pPr>
      <w:r w:rsidRPr="003F7D41">
        <w:rPr>
          <w:szCs w:val="24"/>
        </w:rPr>
        <w:t>Sima</w:t>
      </w:r>
      <w:r w:rsidR="00B74D9F" w:rsidRPr="003F7D41">
        <w:rPr>
          <w:szCs w:val="24"/>
        </w:rPr>
        <w:t>ni M. Price, PhD</w:t>
      </w:r>
      <w:r w:rsidRPr="003F7D41">
        <w:rPr>
          <w:szCs w:val="24"/>
        </w:rPr>
        <w:br/>
        <w:t xml:space="preserve">Senior Study Director </w:t>
      </w:r>
      <w:r w:rsidRPr="003F7D41">
        <w:rPr>
          <w:szCs w:val="24"/>
        </w:rPr>
        <w:br/>
        <w:t xml:space="preserve">Westat </w:t>
      </w:r>
      <w:r w:rsidRPr="003F7D41">
        <w:rPr>
          <w:szCs w:val="24"/>
        </w:rPr>
        <w:br/>
        <w:t xml:space="preserve">Phone: 301-610-5536 </w:t>
      </w:r>
    </w:p>
    <w:p w:rsidR="004F7DB5" w:rsidRPr="003F7D41" w:rsidRDefault="004F7DB5" w:rsidP="000B66D1">
      <w:pPr>
        <w:spacing w:after="0"/>
        <w:rPr>
          <w:szCs w:val="24"/>
        </w:rPr>
      </w:pPr>
      <w:r w:rsidRPr="003F7D41">
        <w:rPr>
          <w:szCs w:val="24"/>
        </w:rPr>
        <w:t xml:space="preserve">Email: </w:t>
      </w:r>
      <w:hyperlink r:id="rId10" w:history="1">
        <w:r w:rsidRPr="003F7D41">
          <w:rPr>
            <w:rStyle w:val="Hyperlink"/>
            <w:color w:val="auto"/>
            <w:szCs w:val="24"/>
          </w:rPr>
          <w:t>simaniprice@westat.com</w:t>
        </w:r>
      </w:hyperlink>
    </w:p>
    <w:p w:rsidR="000B66D1" w:rsidRPr="003F7D41" w:rsidRDefault="000B66D1" w:rsidP="000B66D1">
      <w:pPr>
        <w:spacing w:after="0"/>
        <w:rPr>
          <w:color w:val="FF0000"/>
          <w:szCs w:val="24"/>
        </w:rPr>
      </w:pPr>
    </w:p>
    <w:p w:rsidR="004F7DB5" w:rsidRPr="003F7D41" w:rsidRDefault="000B66D1" w:rsidP="000B66D1">
      <w:pPr>
        <w:spacing w:after="0"/>
        <w:rPr>
          <w:szCs w:val="24"/>
        </w:rPr>
      </w:pPr>
      <w:r w:rsidRPr="003F7D41">
        <w:rPr>
          <w:szCs w:val="24"/>
        </w:rPr>
        <w:t>Saloni Sapru, PhD</w:t>
      </w:r>
    </w:p>
    <w:p w:rsidR="000B66D1" w:rsidRPr="003F7D41" w:rsidRDefault="000B66D1" w:rsidP="000B66D1">
      <w:pPr>
        <w:spacing w:after="0"/>
        <w:rPr>
          <w:szCs w:val="24"/>
        </w:rPr>
      </w:pPr>
      <w:r w:rsidRPr="003F7D41">
        <w:rPr>
          <w:szCs w:val="24"/>
        </w:rPr>
        <w:t>Senior Study Director</w:t>
      </w:r>
    </w:p>
    <w:p w:rsidR="000B66D1" w:rsidRPr="003F7D41" w:rsidRDefault="000B66D1" w:rsidP="000B66D1">
      <w:pPr>
        <w:spacing w:after="0"/>
        <w:rPr>
          <w:szCs w:val="24"/>
        </w:rPr>
      </w:pPr>
      <w:r w:rsidRPr="003F7D41">
        <w:rPr>
          <w:szCs w:val="24"/>
        </w:rPr>
        <w:t>Westat</w:t>
      </w:r>
    </w:p>
    <w:p w:rsidR="000B66D1" w:rsidRPr="003F7D41" w:rsidRDefault="000B66D1" w:rsidP="000B66D1">
      <w:pPr>
        <w:spacing w:after="0"/>
        <w:rPr>
          <w:szCs w:val="24"/>
        </w:rPr>
      </w:pPr>
      <w:r w:rsidRPr="003F7D41">
        <w:rPr>
          <w:szCs w:val="24"/>
        </w:rPr>
        <w:t>Phone: 240-314-2363</w:t>
      </w:r>
    </w:p>
    <w:p w:rsidR="000B66D1" w:rsidRPr="003F7D41" w:rsidRDefault="000B66D1" w:rsidP="000B66D1">
      <w:pPr>
        <w:spacing w:after="0"/>
        <w:rPr>
          <w:szCs w:val="24"/>
        </w:rPr>
      </w:pPr>
      <w:r w:rsidRPr="003F7D41">
        <w:rPr>
          <w:szCs w:val="24"/>
        </w:rPr>
        <w:t xml:space="preserve">Email: </w:t>
      </w:r>
      <w:hyperlink r:id="rId11" w:history="1">
        <w:r w:rsidRPr="003F7D41">
          <w:rPr>
            <w:rStyle w:val="Hyperlink"/>
            <w:color w:val="auto"/>
            <w:szCs w:val="24"/>
          </w:rPr>
          <w:t>salonisapru@westat.com</w:t>
        </w:r>
      </w:hyperlink>
    </w:p>
    <w:p w:rsidR="000B66D1" w:rsidRPr="003F7D41" w:rsidRDefault="000B66D1" w:rsidP="000B66D1">
      <w:pPr>
        <w:spacing w:after="0"/>
        <w:rPr>
          <w:szCs w:val="24"/>
        </w:rPr>
      </w:pPr>
    </w:p>
    <w:p w:rsidR="000B66D1" w:rsidRPr="003F7D41" w:rsidRDefault="000B66D1" w:rsidP="000B66D1">
      <w:pPr>
        <w:spacing w:after="0"/>
        <w:rPr>
          <w:szCs w:val="24"/>
        </w:rPr>
      </w:pPr>
      <w:r w:rsidRPr="003F7D41">
        <w:rPr>
          <w:szCs w:val="24"/>
        </w:rPr>
        <w:t>Jennifer Berktold, MA</w:t>
      </w:r>
    </w:p>
    <w:p w:rsidR="000B66D1" w:rsidRPr="003F7D41" w:rsidRDefault="000B66D1" w:rsidP="000B66D1">
      <w:pPr>
        <w:spacing w:after="0"/>
        <w:rPr>
          <w:szCs w:val="24"/>
        </w:rPr>
      </w:pPr>
      <w:r w:rsidRPr="003F7D41">
        <w:rPr>
          <w:szCs w:val="24"/>
        </w:rPr>
        <w:t>Senior Study Director</w:t>
      </w:r>
    </w:p>
    <w:p w:rsidR="000B66D1" w:rsidRPr="003F7D41" w:rsidRDefault="000B66D1" w:rsidP="000B66D1">
      <w:pPr>
        <w:spacing w:after="0"/>
        <w:rPr>
          <w:szCs w:val="24"/>
        </w:rPr>
      </w:pPr>
      <w:r w:rsidRPr="003F7D41">
        <w:rPr>
          <w:szCs w:val="24"/>
        </w:rPr>
        <w:t>Westat</w:t>
      </w:r>
    </w:p>
    <w:p w:rsidR="000B66D1" w:rsidRPr="003F7D41" w:rsidRDefault="000B66D1" w:rsidP="000B66D1">
      <w:pPr>
        <w:spacing w:after="0"/>
        <w:rPr>
          <w:szCs w:val="24"/>
        </w:rPr>
      </w:pPr>
      <w:r w:rsidRPr="003F7D41">
        <w:rPr>
          <w:szCs w:val="24"/>
        </w:rPr>
        <w:t>Phone: 301-264-3964</w:t>
      </w:r>
    </w:p>
    <w:p w:rsidR="000B66D1" w:rsidRPr="003F7D41" w:rsidRDefault="000B66D1" w:rsidP="000B66D1">
      <w:pPr>
        <w:spacing w:after="0"/>
        <w:rPr>
          <w:szCs w:val="24"/>
        </w:rPr>
      </w:pPr>
      <w:r w:rsidRPr="003F7D41">
        <w:rPr>
          <w:szCs w:val="24"/>
        </w:rPr>
        <w:t>Email: jenniferberktold@westat.com</w:t>
      </w:r>
    </w:p>
    <w:p w:rsidR="004F7DB5" w:rsidRPr="003F7D41" w:rsidRDefault="004F7DB5" w:rsidP="000B66D1">
      <w:pPr>
        <w:spacing w:after="0"/>
        <w:rPr>
          <w:color w:val="FF0000"/>
          <w:szCs w:val="24"/>
        </w:rPr>
      </w:pPr>
    </w:p>
    <w:p w:rsidR="000B66D1" w:rsidRPr="003F7D41" w:rsidRDefault="000B66D1" w:rsidP="004F7DB5">
      <w:pPr>
        <w:pStyle w:val="Heading6"/>
        <w:widowControl w:val="0"/>
        <w:spacing w:line="240" w:lineRule="auto"/>
        <w:rPr>
          <w:rFonts w:ascii="Calibri" w:hAnsi="Calibri"/>
          <w:b w:val="0"/>
          <w:bCs/>
          <w:szCs w:val="22"/>
        </w:rPr>
      </w:pPr>
      <w:r w:rsidRPr="003F7D41">
        <w:rPr>
          <w:rFonts w:ascii="Calibri" w:hAnsi="Calibri"/>
          <w:b w:val="0"/>
          <w:bCs/>
          <w:szCs w:val="22"/>
        </w:rPr>
        <w:t>Colleen Ryan Leonard</w:t>
      </w:r>
      <w:r w:rsidR="009F4292" w:rsidRPr="003F7D41">
        <w:rPr>
          <w:rFonts w:ascii="Calibri" w:hAnsi="Calibri"/>
          <w:b w:val="0"/>
          <w:bCs/>
          <w:szCs w:val="22"/>
        </w:rPr>
        <w:t>, MA</w:t>
      </w:r>
    </w:p>
    <w:p w:rsidR="000B66D1" w:rsidRPr="003F7D41" w:rsidRDefault="000B66D1" w:rsidP="000B66D1">
      <w:pPr>
        <w:spacing w:after="0"/>
      </w:pPr>
      <w:r w:rsidRPr="003F7D41">
        <w:t>Consultant</w:t>
      </w:r>
    </w:p>
    <w:p w:rsidR="000B66D1" w:rsidRPr="003F7D41" w:rsidRDefault="000B66D1" w:rsidP="000B66D1">
      <w:pPr>
        <w:spacing w:after="0"/>
      </w:pPr>
      <w:r w:rsidRPr="003F7D41">
        <w:t>3114 Shrewsbury Lane</w:t>
      </w:r>
    </w:p>
    <w:p w:rsidR="000B66D1" w:rsidRPr="003F7D41" w:rsidRDefault="000B66D1" w:rsidP="000B66D1">
      <w:pPr>
        <w:spacing w:after="0"/>
      </w:pPr>
      <w:r w:rsidRPr="003F7D41">
        <w:t>Riva</w:t>
      </w:r>
      <w:r w:rsidR="00B74D9F" w:rsidRPr="003F7D41">
        <w:t>,</w:t>
      </w:r>
      <w:r w:rsidRPr="003F7D41">
        <w:t xml:space="preserve"> MD 21140</w:t>
      </w:r>
    </w:p>
    <w:p w:rsidR="000B66D1" w:rsidRPr="003F7D41" w:rsidRDefault="000B66D1" w:rsidP="000B66D1">
      <w:pPr>
        <w:spacing w:after="0"/>
      </w:pPr>
      <w:r w:rsidRPr="003F7D41">
        <w:t>Phone: 410-956-4440</w:t>
      </w:r>
    </w:p>
    <w:p w:rsidR="000B66D1" w:rsidRPr="003F7D41" w:rsidRDefault="000B66D1" w:rsidP="004F7DB5">
      <w:pPr>
        <w:pStyle w:val="Heading6"/>
        <w:widowControl w:val="0"/>
        <w:spacing w:line="240" w:lineRule="auto"/>
        <w:rPr>
          <w:rFonts w:ascii="Calibri" w:hAnsi="Calibri"/>
          <w:bCs/>
          <w:sz w:val="24"/>
          <w:szCs w:val="24"/>
        </w:rPr>
      </w:pPr>
    </w:p>
    <w:p w:rsidR="00D47DAC" w:rsidRPr="003F7D41" w:rsidRDefault="00D47DAC">
      <w:pPr>
        <w:rPr>
          <w:rFonts w:ascii="Times New Roman" w:eastAsia="Times New Roman" w:hAnsi="Times New Roman"/>
          <w:b/>
          <w:bCs/>
          <w:snapToGrid w:val="0"/>
          <w:sz w:val="24"/>
          <w:szCs w:val="24"/>
        </w:rPr>
      </w:pPr>
      <w:r w:rsidRPr="003F7D41">
        <w:rPr>
          <w:bCs/>
          <w:sz w:val="24"/>
          <w:szCs w:val="24"/>
        </w:rPr>
        <w:br w:type="page"/>
      </w:r>
    </w:p>
    <w:p w:rsidR="004F7DB5" w:rsidRPr="003F7D41" w:rsidRDefault="004F7DB5" w:rsidP="004F7DB5">
      <w:pPr>
        <w:pStyle w:val="Heading6"/>
        <w:widowControl w:val="0"/>
        <w:spacing w:line="240" w:lineRule="auto"/>
        <w:rPr>
          <w:bCs/>
          <w:sz w:val="24"/>
          <w:szCs w:val="24"/>
        </w:rPr>
      </w:pPr>
      <w:r w:rsidRPr="003F7D41">
        <w:rPr>
          <w:bCs/>
          <w:sz w:val="24"/>
          <w:szCs w:val="24"/>
        </w:rPr>
        <w:t>REFERENCES</w:t>
      </w:r>
    </w:p>
    <w:p w:rsidR="004F7DB5" w:rsidRPr="003F7D41" w:rsidRDefault="004F7DB5" w:rsidP="004F7DB5">
      <w:pPr>
        <w:rPr>
          <w:szCs w:val="24"/>
        </w:rPr>
      </w:pPr>
    </w:p>
    <w:p w:rsidR="00103536" w:rsidRPr="003F7D41" w:rsidRDefault="00103536" w:rsidP="00103536">
      <w:pPr>
        <w:spacing w:after="0"/>
      </w:pPr>
      <w:proofErr w:type="spellStart"/>
      <w:proofErr w:type="gramStart"/>
      <w:r w:rsidRPr="003F7D41">
        <w:t>Frithsen</w:t>
      </w:r>
      <w:proofErr w:type="spellEnd"/>
      <w:r w:rsidRPr="003F7D41">
        <w:t>, I. &amp; Goodnight, W. (2009).</w:t>
      </w:r>
      <w:proofErr w:type="gramEnd"/>
      <w:r w:rsidRPr="003F7D41">
        <w:t xml:space="preserve">  </w:t>
      </w:r>
      <w:proofErr w:type="gramStart"/>
      <w:r w:rsidRPr="003F7D41">
        <w:t xml:space="preserve">Awareness and implications of fish consumption advisories in a </w:t>
      </w:r>
      <w:r w:rsidRPr="003F7D41">
        <w:tab/>
        <w:t>women's health setting.</w:t>
      </w:r>
      <w:proofErr w:type="gramEnd"/>
      <w:r w:rsidRPr="003F7D41">
        <w:t xml:space="preserve">  </w:t>
      </w:r>
      <w:r w:rsidRPr="003F7D41">
        <w:rPr>
          <w:i/>
        </w:rPr>
        <w:t xml:space="preserve">Journal of </w:t>
      </w:r>
      <w:proofErr w:type="gramStart"/>
      <w:r w:rsidRPr="003F7D41">
        <w:rPr>
          <w:i/>
        </w:rPr>
        <w:t>Reproductive  Medicine</w:t>
      </w:r>
      <w:proofErr w:type="gramEnd"/>
      <w:r w:rsidRPr="003F7D41">
        <w:rPr>
          <w:i/>
        </w:rPr>
        <w:t>,</w:t>
      </w:r>
      <w:r w:rsidRPr="003F7D41">
        <w:t xml:space="preserve"> </w:t>
      </w:r>
      <w:r w:rsidRPr="003F7D41">
        <w:rPr>
          <w:i/>
        </w:rPr>
        <w:t>54</w:t>
      </w:r>
      <w:r w:rsidRPr="003F7D41">
        <w:t>(5), 267-72.</w:t>
      </w:r>
    </w:p>
    <w:p w:rsidR="00103536" w:rsidRPr="003F7D41" w:rsidRDefault="00103536" w:rsidP="00103536">
      <w:pPr>
        <w:spacing w:after="0"/>
        <w:rPr>
          <w:szCs w:val="24"/>
        </w:rPr>
      </w:pPr>
    </w:p>
    <w:p w:rsidR="00103536" w:rsidRPr="003F7D41" w:rsidRDefault="00103536" w:rsidP="00103536">
      <w:pPr>
        <w:autoSpaceDE w:val="0"/>
        <w:autoSpaceDN w:val="0"/>
        <w:adjustRightInd w:val="0"/>
        <w:spacing w:after="0"/>
      </w:pPr>
      <w:proofErr w:type="gramStart"/>
      <w:r w:rsidRPr="003F7D41">
        <w:t>National Research Council.</w:t>
      </w:r>
      <w:proofErr w:type="gramEnd"/>
      <w:r w:rsidRPr="003F7D41">
        <w:t xml:space="preserve"> </w:t>
      </w:r>
      <w:proofErr w:type="gramStart"/>
      <w:r w:rsidRPr="003F7D41">
        <w:t xml:space="preserve">(2006). </w:t>
      </w:r>
      <w:r w:rsidRPr="003F7D41">
        <w:rPr>
          <w:i/>
        </w:rPr>
        <w:t>Human Biomonitoring for Environmental Chemicals</w:t>
      </w:r>
      <w:r w:rsidRPr="003F7D41">
        <w:t>.</w:t>
      </w:r>
      <w:proofErr w:type="gramEnd"/>
      <w:r w:rsidRPr="003F7D41">
        <w:t xml:space="preserve"> </w:t>
      </w:r>
    </w:p>
    <w:p w:rsidR="00103536" w:rsidRPr="003F7D41" w:rsidRDefault="00103536" w:rsidP="00103536">
      <w:pPr>
        <w:autoSpaceDE w:val="0"/>
        <w:autoSpaceDN w:val="0"/>
        <w:adjustRightInd w:val="0"/>
        <w:spacing w:after="0"/>
        <w:ind w:firstLine="720"/>
      </w:pPr>
      <w:r w:rsidRPr="003F7D41">
        <w:t xml:space="preserve">Washington, D.C.:  The National Academies Press. </w:t>
      </w:r>
    </w:p>
    <w:p w:rsidR="00103536" w:rsidRPr="003F7D41" w:rsidRDefault="00103536" w:rsidP="00103536">
      <w:pPr>
        <w:spacing w:after="0"/>
        <w:rPr>
          <w:szCs w:val="24"/>
        </w:rPr>
      </w:pPr>
    </w:p>
    <w:p w:rsidR="00103536" w:rsidRPr="003F7D41" w:rsidRDefault="00103536" w:rsidP="00103536">
      <w:pPr>
        <w:spacing w:after="0"/>
        <w:rPr>
          <w:szCs w:val="24"/>
        </w:rPr>
      </w:pPr>
      <w:r w:rsidRPr="003F7D41">
        <w:rPr>
          <w:szCs w:val="24"/>
        </w:rPr>
        <w:t xml:space="preserve">Krueger, R. A. (1994). </w:t>
      </w:r>
      <w:r w:rsidRPr="003F7D41">
        <w:rPr>
          <w:i/>
          <w:szCs w:val="24"/>
        </w:rPr>
        <w:t>Focus groups: A practical guide for applied Research</w:t>
      </w:r>
      <w:r w:rsidRPr="003F7D41">
        <w:rPr>
          <w:szCs w:val="24"/>
        </w:rPr>
        <w:t xml:space="preserve"> (2</w:t>
      </w:r>
      <w:r w:rsidRPr="003F7D41">
        <w:rPr>
          <w:szCs w:val="24"/>
          <w:vertAlign w:val="superscript"/>
        </w:rPr>
        <w:t>nd</w:t>
      </w:r>
      <w:r w:rsidRPr="003F7D41">
        <w:rPr>
          <w:szCs w:val="24"/>
        </w:rPr>
        <w:t xml:space="preserve"> </w:t>
      </w:r>
      <w:proofErr w:type="gramStart"/>
      <w:r w:rsidRPr="003F7D41">
        <w:rPr>
          <w:szCs w:val="24"/>
        </w:rPr>
        <w:t>ed</w:t>
      </w:r>
      <w:proofErr w:type="gramEnd"/>
      <w:r w:rsidRPr="003F7D41">
        <w:rPr>
          <w:szCs w:val="24"/>
        </w:rPr>
        <w:t xml:space="preserve">.). Thousand Oaks, CA: </w:t>
      </w:r>
      <w:r w:rsidRPr="003F7D41">
        <w:rPr>
          <w:szCs w:val="24"/>
        </w:rPr>
        <w:tab/>
        <w:t>Sage Publications.</w:t>
      </w:r>
    </w:p>
    <w:p w:rsidR="00103536" w:rsidRPr="003F7D41" w:rsidRDefault="00103536" w:rsidP="00103536">
      <w:pPr>
        <w:spacing w:after="0"/>
      </w:pPr>
    </w:p>
    <w:p w:rsidR="00103536" w:rsidRPr="003F7D41" w:rsidRDefault="00103536" w:rsidP="00103536">
      <w:pPr>
        <w:spacing w:after="0"/>
      </w:pPr>
      <w:proofErr w:type="gramStart"/>
      <w:r w:rsidRPr="003F7D41">
        <w:t xml:space="preserve">Rothman, A. J. &amp; </w:t>
      </w:r>
      <w:proofErr w:type="spellStart"/>
      <w:r w:rsidRPr="003F7D41">
        <w:t>Kiviniemi</w:t>
      </w:r>
      <w:proofErr w:type="spellEnd"/>
      <w:r w:rsidRPr="003F7D41">
        <w:t>, M. T. (1999).</w:t>
      </w:r>
      <w:proofErr w:type="gramEnd"/>
      <w:r w:rsidRPr="003F7D41">
        <w:t xml:space="preserve">  </w:t>
      </w:r>
      <w:proofErr w:type="gramStart"/>
      <w:r w:rsidRPr="003F7D41">
        <w:t xml:space="preserve">Treating people with information: An analysis and review of </w:t>
      </w:r>
      <w:r w:rsidRPr="003F7D41">
        <w:tab/>
        <w:t>approaches to communicating health risk information.</w:t>
      </w:r>
      <w:proofErr w:type="gramEnd"/>
      <w:r w:rsidRPr="003F7D41">
        <w:t xml:space="preserve"> </w:t>
      </w:r>
      <w:proofErr w:type="gramStart"/>
      <w:r w:rsidRPr="003F7D41">
        <w:rPr>
          <w:i/>
        </w:rPr>
        <w:t xml:space="preserve">Journal of the National Cancer Institute </w:t>
      </w:r>
      <w:r w:rsidRPr="003F7D41">
        <w:rPr>
          <w:i/>
        </w:rPr>
        <w:tab/>
        <w:t>Monographs,</w:t>
      </w:r>
      <w:r w:rsidRPr="003F7D41">
        <w:t xml:space="preserve"> No. 25.</w:t>
      </w:r>
      <w:proofErr w:type="gramEnd"/>
    </w:p>
    <w:p w:rsidR="00103536" w:rsidRPr="003F7D41" w:rsidRDefault="00103536" w:rsidP="00103536">
      <w:pPr>
        <w:pStyle w:val="N0-FlLftBullet"/>
        <w:spacing w:after="0"/>
        <w:rPr>
          <w:rFonts w:ascii="Calibri" w:hAnsi="Calibri"/>
          <w:szCs w:val="24"/>
        </w:rPr>
      </w:pPr>
    </w:p>
    <w:p w:rsidR="00103536" w:rsidRPr="00F47C90" w:rsidRDefault="00103536" w:rsidP="00103536">
      <w:pPr>
        <w:pStyle w:val="N0-FlLftBullet"/>
        <w:spacing w:after="0"/>
        <w:rPr>
          <w:rFonts w:ascii="Calibri" w:hAnsi="Calibri"/>
          <w:szCs w:val="24"/>
        </w:rPr>
      </w:pPr>
      <w:r w:rsidRPr="003F7D41">
        <w:rPr>
          <w:rFonts w:ascii="Calibri" w:hAnsi="Calibri"/>
          <w:szCs w:val="24"/>
        </w:rPr>
        <w:t xml:space="preserve">Sexton K., </w:t>
      </w:r>
      <w:smartTag w:uri="urn:schemas-microsoft-com:office:smarttags" w:element="place">
        <w:smartTag w:uri="urn:schemas-microsoft-com:office:smarttags" w:element="City">
          <w:r w:rsidRPr="003F7D41">
            <w:rPr>
              <w:rFonts w:ascii="Calibri" w:hAnsi="Calibri"/>
              <w:szCs w:val="24"/>
            </w:rPr>
            <w:t>Needham</w:t>
          </w:r>
        </w:smartTag>
      </w:smartTag>
      <w:r w:rsidRPr="003F7D41">
        <w:rPr>
          <w:rFonts w:ascii="Calibri" w:hAnsi="Calibri"/>
          <w:szCs w:val="24"/>
        </w:rPr>
        <w:t xml:space="preserve"> L. L., &amp; Pirkle, J. L. (2004). </w:t>
      </w:r>
      <w:proofErr w:type="gramStart"/>
      <w:r w:rsidRPr="003F7D41">
        <w:rPr>
          <w:rFonts w:ascii="Calibri" w:hAnsi="Calibri"/>
          <w:szCs w:val="24"/>
        </w:rPr>
        <w:t>Human biomonitoring of environmental chemicals.</w:t>
      </w:r>
      <w:proofErr w:type="gramEnd"/>
      <w:r w:rsidRPr="003F7D41">
        <w:rPr>
          <w:rFonts w:ascii="Calibri" w:hAnsi="Calibri"/>
          <w:szCs w:val="24"/>
        </w:rPr>
        <w:t xml:space="preserve"> </w:t>
      </w:r>
      <w:r w:rsidRPr="003F7D41">
        <w:rPr>
          <w:rFonts w:ascii="Calibri" w:hAnsi="Calibri"/>
          <w:i/>
          <w:szCs w:val="24"/>
        </w:rPr>
        <w:t>American Scientist</w:t>
      </w:r>
      <w:r w:rsidRPr="003F7D41">
        <w:rPr>
          <w:rFonts w:ascii="Calibri" w:hAnsi="Calibri"/>
          <w:szCs w:val="24"/>
        </w:rPr>
        <w:t xml:space="preserve">, </w:t>
      </w:r>
      <w:r w:rsidRPr="003F7D41">
        <w:rPr>
          <w:rFonts w:ascii="Calibri" w:hAnsi="Calibri"/>
          <w:i/>
          <w:szCs w:val="24"/>
        </w:rPr>
        <w:t>92</w:t>
      </w:r>
      <w:r w:rsidRPr="003F7D41">
        <w:rPr>
          <w:rFonts w:ascii="Calibri" w:hAnsi="Calibri"/>
          <w:szCs w:val="24"/>
        </w:rPr>
        <w:t>(1), 38–45.</w:t>
      </w:r>
      <w:r w:rsidRPr="00F47C90">
        <w:rPr>
          <w:rFonts w:ascii="Calibri" w:hAnsi="Calibri"/>
          <w:szCs w:val="24"/>
        </w:rPr>
        <w:t xml:space="preserve"> </w:t>
      </w:r>
    </w:p>
    <w:p w:rsidR="00103536" w:rsidRDefault="00103536" w:rsidP="00103536">
      <w:pPr>
        <w:spacing w:before="100" w:beforeAutospacing="1" w:after="100" w:afterAutospacing="1"/>
        <w:ind w:hanging="313"/>
        <w:rPr>
          <w:rFonts w:ascii="Verdana" w:eastAsia="Times New Roman" w:hAnsi="Verdana"/>
          <w:sz w:val="18"/>
          <w:szCs w:val="18"/>
        </w:rPr>
      </w:pPr>
    </w:p>
    <w:p w:rsidR="00A61C8F" w:rsidRDefault="00A61C8F" w:rsidP="00A852B3">
      <w:pPr>
        <w:spacing w:before="100" w:beforeAutospacing="1" w:after="100" w:afterAutospacing="1"/>
        <w:ind w:hanging="313"/>
        <w:rPr>
          <w:rFonts w:ascii="Verdana" w:eastAsia="Times New Roman" w:hAnsi="Verdana"/>
          <w:sz w:val="18"/>
          <w:szCs w:val="18"/>
        </w:rPr>
      </w:pPr>
    </w:p>
    <w:p w:rsidR="003D5F6A" w:rsidRPr="00F47C90" w:rsidRDefault="003D5F6A" w:rsidP="00F47C90">
      <w:pPr>
        <w:spacing w:after="0"/>
        <w:rPr>
          <w:szCs w:val="24"/>
        </w:rPr>
      </w:pPr>
    </w:p>
    <w:sectPr w:rsidR="003D5F6A" w:rsidRPr="00F47C90" w:rsidSect="00877430">
      <w:footerReference w:type="default" r:id="rId12"/>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C0B40" w:rsidRDefault="002C0B40" w:rsidP="003B7CD3">
      <w:pPr>
        <w:spacing w:after="0"/>
      </w:pPr>
      <w:r>
        <w:separator/>
      </w:r>
    </w:p>
  </w:endnote>
  <w:endnote w:type="continuationSeparator" w:id="0">
    <w:p w:rsidR="002C0B40" w:rsidRDefault="002C0B40" w:rsidP="003B7CD3">
      <w:pPr>
        <w:spacing w:after="0"/>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 w:name="New Century Schlbk">
    <w:altName w:val="NewCenturySchlbk"/>
    <w:charset w:val="00"/>
    <w:family w:val="auto"/>
    <w:pitch w:val="variable"/>
    <w:sig w:usb0="00000000"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20000287" w:usb1="00000000"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90570" w:rsidRDefault="00C60FB5">
    <w:pPr>
      <w:pStyle w:val="Footer"/>
      <w:jc w:val="right"/>
    </w:pPr>
    <w:fldSimple w:instr=" PAGE   \* MERGEFORMAT ">
      <w:r w:rsidR="009A05AA">
        <w:rPr>
          <w:noProof/>
        </w:rPr>
        <w:t>1</w:t>
      </w:r>
    </w:fldSimple>
  </w:p>
  <w:p w:rsidR="00190570" w:rsidRDefault="00190570">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C0B40" w:rsidRDefault="002C0B40" w:rsidP="003B7CD3">
      <w:pPr>
        <w:spacing w:after="0"/>
      </w:pPr>
      <w:r>
        <w:separator/>
      </w:r>
    </w:p>
  </w:footnote>
  <w:footnote w:type="continuationSeparator" w:id="0">
    <w:p w:rsidR="002C0B40" w:rsidRDefault="002C0B40" w:rsidP="003B7CD3">
      <w:pPr>
        <w:spacing w:after="0"/>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7E06C9B"/>
    <w:multiLevelType w:val="hybridMultilevel"/>
    <w:tmpl w:val="83141E7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300F5949"/>
    <w:multiLevelType w:val="hybridMultilevel"/>
    <w:tmpl w:val="0CDE11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6C096921"/>
    <w:multiLevelType w:val="hybridMultilevel"/>
    <w:tmpl w:val="D128A8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trackRevisions/>
  <w:defaultTabStop w:val="720"/>
  <w:characterSpacingControl w:val="doNotCompress"/>
  <w:footnotePr>
    <w:footnote w:id="-1"/>
    <w:footnote w:id="0"/>
  </w:footnotePr>
  <w:endnotePr>
    <w:endnote w:id="-1"/>
    <w:endnote w:id="0"/>
  </w:endnotePr>
  <w:compat/>
  <w:rsids>
    <w:rsidRoot w:val="00DD3481"/>
    <w:rsid w:val="00016754"/>
    <w:rsid w:val="00016C14"/>
    <w:rsid w:val="000238CF"/>
    <w:rsid w:val="000269D3"/>
    <w:rsid w:val="00027FDE"/>
    <w:rsid w:val="00033CD1"/>
    <w:rsid w:val="00065A92"/>
    <w:rsid w:val="000A4F96"/>
    <w:rsid w:val="000B5958"/>
    <w:rsid w:val="000B66D1"/>
    <w:rsid w:val="000D08DE"/>
    <w:rsid w:val="000D0B9F"/>
    <w:rsid w:val="000D32E3"/>
    <w:rsid w:val="000D62FD"/>
    <w:rsid w:val="000D7BA9"/>
    <w:rsid w:val="000E3E48"/>
    <w:rsid w:val="0010007B"/>
    <w:rsid w:val="00103536"/>
    <w:rsid w:val="00106192"/>
    <w:rsid w:val="0011118D"/>
    <w:rsid w:val="0013088D"/>
    <w:rsid w:val="00137E4E"/>
    <w:rsid w:val="0014434A"/>
    <w:rsid w:val="001574F0"/>
    <w:rsid w:val="0017512F"/>
    <w:rsid w:val="00180AB3"/>
    <w:rsid w:val="0018563D"/>
    <w:rsid w:val="00190570"/>
    <w:rsid w:val="001906D8"/>
    <w:rsid w:val="001A1B29"/>
    <w:rsid w:val="001A78C7"/>
    <w:rsid w:val="001B4A7A"/>
    <w:rsid w:val="001D129F"/>
    <w:rsid w:val="001D1B66"/>
    <w:rsid w:val="00206A4F"/>
    <w:rsid w:val="00211BBA"/>
    <w:rsid w:val="00246C30"/>
    <w:rsid w:val="00260B0A"/>
    <w:rsid w:val="00261D6F"/>
    <w:rsid w:val="00263C8D"/>
    <w:rsid w:val="00276544"/>
    <w:rsid w:val="0029095B"/>
    <w:rsid w:val="00294B14"/>
    <w:rsid w:val="002A0584"/>
    <w:rsid w:val="002B73B4"/>
    <w:rsid w:val="002C0B40"/>
    <w:rsid w:val="002C3CD7"/>
    <w:rsid w:val="002E56A9"/>
    <w:rsid w:val="002F01E5"/>
    <w:rsid w:val="002F22F6"/>
    <w:rsid w:val="00315B43"/>
    <w:rsid w:val="00326423"/>
    <w:rsid w:val="0033181C"/>
    <w:rsid w:val="0033361D"/>
    <w:rsid w:val="00336998"/>
    <w:rsid w:val="00364FC1"/>
    <w:rsid w:val="003653BA"/>
    <w:rsid w:val="003669FB"/>
    <w:rsid w:val="00366C59"/>
    <w:rsid w:val="00375D59"/>
    <w:rsid w:val="0039149E"/>
    <w:rsid w:val="003B2256"/>
    <w:rsid w:val="003B2C2C"/>
    <w:rsid w:val="003B6183"/>
    <w:rsid w:val="003B7CD3"/>
    <w:rsid w:val="003C069F"/>
    <w:rsid w:val="003C4185"/>
    <w:rsid w:val="003D0BF0"/>
    <w:rsid w:val="003D473F"/>
    <w:rsid w:val="003D5178"/>
    <w:rsid w:val="003D5F6A"/>
    <w:rsid w:val="003E602D"/>
    <w:rsid w:val="003F7D41"/>
    <w:rsid w:val="00414F5D"/>
    <w:rsid w:val="004255F9"/>
    <w:rsid w:val="00442F4A"/>
    <w:rsid w:val="0045321A"/>
    <w:rsid w:val="00461CED"/>
    <w:rsid w:val="004719A0"/>
    <w:rsid w:val="00472561"/>
    <w:rsid w:val="004B0092"/>
    <w:rsid w:val="004B1967"/>
    <w:rsid w:val="004B54A5"/>
    <w:rsid w:val="004C3B2B"/>
    <w:rsid w:val="004D3940"/>
    <w:rsid w:val="004D6D5F"/>
    <w:rsid w:val="004E404E"/>
    <w:rsid w:val="004F218B"/>
    <w:rsid w:val="004F7211"/>
    <w:rsid w:val="004F7DB5"/>
    <w:rsid w:val="005446A8"/>
    <w:rsid w:val="00571E06"/>
    <w:rsid w:val="00581D9E"/>
    <w:rsid w:val="00591258"/>
    <w:rsid w:val="0059164F"/>
    <w:rsid w:val="005A0263"/>
    <w:rsid w:val="005A3438"/>
    <w:rsid w:val="005A6796"/>
    <w:rsid w:val="005B1B37"/>
    <w:rsid w:val="005C5138"/>
    <w:rsid w:val="005C7C1D"/>
    <w:rsid w:val="006063ED"/>
    <w:rsid w:val="0061643F"/>
    <w:rsid w:val="00627635"/>
    <w:rsid w:val="00632FCE"/>
    <w:rsid w:val="006475BA"/>
    <w:rsid w:val="00661C45"/>
    <w:rsid w:val="00664AE4"/>
    <w:rsid w:val="00692CE7"/>
    <w:rsid w:val="00694B9F"/>
    <w:rsid w:val="006A4549"/>
    <w:rsid w:val="006B2013"/>
    <w:rsid w:val="006B547F"/>
    <w:rsid w:val="006B5FAC"/>
    <w:rsid w:val="006B7B99"/>
    <w:rsid w:val="006F5517"/>
    <w:rsid w:val="00701E1C"/>
    <w:rsid w:val="007063B3"/>
    <w:rsid w:val="00711D58"/>
    <w:rsid w:val="00716995"/>
    <w:rsid w:val="00722B3C"/>
    <w:rsid w:val="007314E1"/>
    <w:rsid w:val="00733088"/>
    <w:rsid w:val="00737BB1"/>
    <w:rsid w:val="007426FE"/>
    <w:rsid w:val="00745CBD"/>
    <w:rsid w:val="007725D2"/>
    <w:rsid w:val="0078445C"/>
    <w:rsid w:val="007851BC"/>
    <w:rsid w:val="007A692A"/>
    <w:rsid w:val="007B4E79"/>
    <w:rsid w:val="007C68C7"/>
    <w:rsid w:val="007D6BDC"/>
    <w:rsid w:val="007E579F"/>
    <w:rsid w:val="007E64F0"/>
    <w:rsid w:val="007F5B23"/>
    <w:rsid w:val="00817619"/>
    <w:rsid w:val="00823F09"/>
    <w:rsid w:val="008305F4"/>
    <w:rsid w:val="00832A7A"/>
    <w:rsid w:val="00860C08"/>
    <w:rsid w:val="00877430"/>
    <w:rsid w:val="008800E4"/>
    <w:rsid w:val="00884AA1"/>
    <w:rsid w:val="008A1EA5"/>
    <w:rsid w:val="008A4AE4"/>
    <w:rsid w:val="008F389A"/>
    <w:rsid w:val="008F47B9"/>
    <w:rsid w:val="008F51BB"/>
    <w:rsid w:val="008F7914"/>
    <w:rsid w:val="00910D7A"/>
    <w:rsid w:val="00913026"/>
    <w:rsid w:val="00914194"/>
    <w:rsid w:val="0092047F"/>
    <w:rsid w:val="00920EF2"/>
    <w:rsid w:val="00931B84"/>
    <w:rsid w:val="0093439A"/>
    <w:rsid w:val="00952D71"/>
    <w:rsid w:val="0095674E"/>
    <w:rsid w:val="00972F91"/>
    <w:rsid w:val="009763CC"/>
    <w:rsid w:val="009A05AA"/>
    <w:rsid w:val="009B1EFB"/>
    <w:rsid w:val="009C1163"/>
    <w:rsid w:val="009C7203"/>
    <w:rsid w:val="009D1CE7"/>
    <w:rsid w:val="009D23B1"/>
    <w:rsid w:val="009E19CD"/>
    <w:rsid w:val="009F4292"/>
    <w:rsid w:val="009F7745"/>
    <w:rsid w:val="00A22431"/>
    <w:rsid w:val="00A257D8"/>
    <w:rsid w:val="00A35BB6"/>
    <w:rsid w:val="00A41168"/>
    <w:rsid w:val="00A502A6"/>
    <w:rsid w:val="00A54358"/>
    <w:rsid w:val="00A576A5"/>
    <w:rsid w:val="00A61C8F"/>
    <w:rsid w:val="00A72850"/>
    <w:rsid w:val="00A852B3"/>
    <w:rsid w:val="00AA6777"/>
    <w:rsid w:val="00AD19CC"/>
    <w:rsid w:val="00AD715B"/>
    <w:rsid w:val="00AE0B79"/>
    <w:rsid w:val="00AF5E36"/>
    <w:rsid w:val="00AF6BA1"/>
    <w:rsid w:val="00B01C29"/>
    <w:rsid w:val="00B10FFF"/>
    <w:rsid w:val="00B120D5"/>
    <w:rsid w:val="00B33D61"/>
    <w:rsid w:val="00B5105F"/>
    <w:rsid w:val="00B63474"/>
    <w:rsid w:val="00B64284"/>
    <w:rsid w:val="00B70AE8"/>
    <w:rsid w:val="00B74D9F"/>
    <w:rsid w:val="00B84826"/>
    <w:rsid w:val="00B8610C"/>
    <w:rsid w:val="00BB2EF0"/>
    <w:rsid w:val="00BC45F1"/>
    <w:rsid w:val="00BF4CBB"/>
    <w:rsid w:val="00C01AFE"/>
    <w:rsid w:val="00C1173C"/>
    <w:rsid w:val="00C165BA"/>
    <w:rsid w:val="00C2291B"/>
    <w:rsid w:val="00C27D42"/>
    <w:rsid w:val="00C60FB5"/>
    <w:rsid w:val="00C650C2"/>
    <w:rsid w:val="00C80E0A"/>
    <w:rsid w:val="00C82537"/>
    <w:rsid w:val="00CA21D1"/>
    <w:rsid w:val="00CC1353"/>
    <w:rsid w:val="00CF2726"/>
    <w:rsid w:val="00CF4A07"/>
    <w:rsid w:val="00D1262B"/>
    <w:rsid w:val="00D23F10"/>
    <w:rsid w:val="00D26984"/>
    <w:rsid w:val="00D3543F"/>
    <w:rsid w:val="00D43DB8"/>
    <w:rsid w:val="00D47DAC"/>
    <w:rsid w:val="00D65279"/>
    <w:rsid w:val="00D71524"/>
    <w:rsid w:val="00D85F6D"/>
    <w:rsid w:val="00D910C6"/>
    <w:rsid w:val="00D950B4"/>
    <w:rsid w:val="00DA19A2"/>
    <w:rsid w:val="00DA5A45"/>
    <w:rsid w:val="00DC357B"/>
    <w:rsid w:val="00DC77AE"/>
    <w:rsid w:val="00DD2CA6"/>
    <w:rsid w:val="00DD3481"/>
    <w:rsid w:val="00DE17C0"/>
    <w:rsid w:val="00DE65B3"/>
    <w:rsid w:val="00DE7B8A"/>
    <w:rsid w:val="00DF1AA5"/>
    <w:rsid w:val="00DF2087"/>
    <w:rsid w:val="00E10BAB"/>
    <w:rsid w:val="00E13D34"/>
    <w:rsid w:val="00E3747D"/>
    <w:rsid w:val="00E44517"/>
    <w:rsid w:val="00E47592"/>
    <w:rsid w:val="00E646DA"/>
    <w:rsid w:val="00E72C86"/>
    <w:rsid w:val="00E73A8F"/>
    <w:rsid w:val="00E8189F"/>
    <w:rsid w:val="00E81B7E"/>
    <w:rsid w:val="00EA7875"/>
    <w:rsid w:val="00EB1F5A"/>
    <w:rsid w:val="00EB5413"/>
    <w:rsid w:val="00EC68C3"/>
    <w:rsid w:val="00ED531A"/>
    <w:rsid w:val="00EE35A5"/>
    <w:rsid w:val="00EF021A"/>
    <w:rsid w:val="00EF30BC"/>
    <w:rsid w:val="00EF737F"/>
    <w:rsid w:val="00F36421"/>
    <w:rsid w:val="00F47C90"/>
    <w:rsid w:val="00F505B6"/>
    <w:rsid w:val="00F647DA"/>
    <w:rsid w:val="00F734F8"/>
    <w:rsid w:val="00F84C2D"/>
    <w:rsid w:val="00F870F6"/>
    <w:rsid w:val="00F91B2C"/>
    <w:rsid w:val="00F92229"/>
    <w:rsid w:val="00F94A58"/>
    <w:rsid w:val="00FA555F"/>
    <w:rsid w:val="00FB3793"/>
    <w:rsid w:val="00FC36E6"/>
    <w:rsid w:val="00FD3DAE"/>
    <w:rsid w:val="00FE541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City"/>
  <w:smartTagType w:namespaceuri="urn:schemas-microsoft-com:office:smarttags" w:name="stockticker"/>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0"/>
    <w:lsdException w:name="toc 3" w:uiPriority="0"/>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77430"/>
    <w:pPr>
      <w:spacing w:after="200"/>
    </w:pPr>
    <w:rPr>
      <w:sz w:val="22"/>
      <w:szCs w:val="22"/>
    </w:rPr>
  </w:style>
  <w:style w:type="paragraph" w:styleId="Heading1">
    <w:name w:val="heading 1"/>
    <w:basedOn w:val="Normal"/>
    <w:next w:val="Normal"/>
    <w:link w:val="Heading1Char"/>
    <w:uiPriority w:val="9"/>
    <w:qFormat/>
    <w:rsid w:val="004F7DB5"/>
    <w:pPr>
      <w:keepNext/>
      <w:keepLines/>
      <w:spacing w:before="480" w:after="0"/>
      <w:outlineLvl w:val="0"/>
    </w:pPr>
    <w:rPr>
      <w:rFonts w:ascii="Cambria" w:eastAsia="Times New Roman" w:hAnsi="Cambria"/>
      <w:b/>
      <w:bCs/>
      <w:color w:val="365F91"/>
      <w:sz w:val="28"/>
      <w:szCs w:val="28"/>
    </w:rPr>
  </w:style>
  <w:style w:type="paragraph" w:styleId="Heading6">
    <w:name w:val="heading 6"/>
    <w:basedOn w:val="Normal"/>
    <w:next w:val="Normal"/>
    <w:link w:val="Heading6Char"/>
    <w:qFormat/>
    <w:rsid w:val="006A4549"/>
    <w:pPr>
      <w:keepNext/>
      <w:spacing w:after="0" w:line="480" w:lineRule="auto"/>
      <w:outlineLvl w:val="5"/>
    </w:pPr>
    <w:rPr>
      <w:rFonts w:ascii="Times New Roman" w:eastAsia="Times New Roman" w:hAnsi="Times New Roman"/>
      <w:b/>
      <w:snapToGrid w:val="0"/>
      <w:szCs w:val="20"/>
    </w:rPr>
  </w:style>
  <w:style w:type="paragraph" w:styleId="Heading7">
    <w:name w:val="heading 7"/>
    <w:basedOn w:val="Normal"/>
    <w:next w:val="Normal"/>
    <w:link w:val="Heading7Char"/>
    <w:uiPriority w:val="9"/>
    <w:unhideWhenUsed/>
    <w:qFormat/>
    <w:rsid w:val="007314E1"/>
    <w:pPr>
      <w:keepNext/>
      <w:keepLines/>
      <w:spacing w:before="200" w:after="0"/>
      <w:outlineLvl w:val="6"/>
    </w:pPr>
    <w:rPr>
      <w:rFonts w:ascii="Cambria" w:eastAsia="Times New Roman" w:hAnsi="Cambria"/>
      <w:i/>
      <w:iCs/>
      <w:color w:val="40404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B54A5"/>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NormalWeb">
    <w:name w:val="Normal (Web)"/>
    <w:basedOn w:val="Normal"/>
    <w:uiPriority w:val="99"/>
    <w:semiHidden/>
    <w:unhideWhenUsed/>
    <w:rsid w:val="00326423"/>
    <w:pPr>
      <w:spacing w:after="150"/>
    </w:pPr>
    <w:rPr>
      <w:rFonts w:ascii="Times New Roman" w:eastAsia="Times New Roman" w:hAnsi="Times New Roman"/>
      <w:sz w:val="24"/>
      <w:szCs w:val="24"/>
    </w:rPr>
  </w:style>
  <w:style w:type="character" w:styleId="Emphasis">
    <w:name w:val="Emphasis"/>
    <w:basedOn w:val="DefaultParagraphFont"/>
    <w:uiPriority w:val="20"/>
    <w:qFormat/>
    <w:rsid w:val="00326423"/>
    <w:rPr>
      <w:i/>
      <w:iCs/>
    </w:rPr>
  </w:style>
  <w:style w:type="character" w:styleId="Strong">
    <w:name w:val="Strong"/>
    <w:basedOn w:val="DefaultParagraphFont"/>
    <w:uiPriority w:val="22"/>
    <w:qFormat/>
    <w:rsid w:val="00A22431"/>
    <w:rPr>
      <w:b/>
      <w:bCs/>
    </w:rPr>
  </w:style>
  <w:style w:type="character" w:customStyle="1" w:styleId="apple-style-span">
    <w:name w:val="apple-style-span"/>
    <w:basedOn w:val="DefaultParagraphFont"/>
    <w:rsid w:val="0010007B"/>
  </w:style>
  <w:style w:type="paragraph" w:styleId="ListParagraph">
    <w:name w:val="List Paragraph"/>
    <w:basedOn w:val="Normal"/>
    <w:uiPriority w:val="34"/>
    <w:qFormat/>
    <w:rsid w:val="00CA21D1"/>
    <w:pPr>
      <w:ind w:left="720"/>
      <w:contextualSpacing/>
    </w:pPr>
  </w:style>
  <w:style w:type="character" w:styleId="Hyperlink">
    <w:name w:val="Hyperlink"/>
    <w:basedOn w:val="DefaultParagraphFont"/>
    <w:uiPriority w:val="99"/>
    <w:unhideWhenUsed/>
    <w:rsid w:val="004D3940"/>
    <w:rPr>
      <w:color w:val="0000FF"/>
      <w:u w:val="single"/>
    </w:rPr>
  </w:style>
  <w:style w:type="character" w:customStyle="1" w:styleId="Heading6Char">
    <w:name w:val="Heading 6 Char"/>
    <w:basedOn w:val="DefaultParagraphFont"/>
    <w:link w:val="Heading6"/>
    <w:rsid w:val="006A4549"/>
    <w:rPr>
      <w:rFonts w:ascii="Times New Roman" w:eastAsia="Times New Roman" w:hAnsi="Times New Roman" w:cs="Times New Roman"/>
      <w:b/>
      <w:snapToGrid w:val="0"/>
      <w:szCs w:val="20"/>
    </w:rPr>
  </w:style>
  <w:style w:type="paragraph" w:styleId="BodyText">
    <w:name w:val="Body Text"/>
    <w:basedOn w:val="Normal"/>
    <w:link w:val="BodyTextChar"/>
    <w:rsid w:val="006A4549"/>
    <w:pPr>
      <w:widowControl w:val="0"/>
      <w:spacing w:after="120"/>
    </w:pPr>
    <w:rPr>
      <w:rFonts w:ascii="Times New Roman" w:eastAsia="Times New Roman" w:hAnsi="Times New Roman"/>
      <w:snapToGrid w:val="0"/>
      <w:sz w:val="24"/>
      <w:szCs w:val="20"/>
    </w:rPr>
  </w:style>
  <w:style w:type="character" w:customStyle="1" w:styleId="BodyTextChar">
    <w:name w:val="Body Text Char"/>
    <w:basedOn w:val="DefaultParagraphFont"/>
    <w:link w:val="BodyText"/>
    <w:rsid w:val="006A4549"/>
    <w:rPr>
      <w:rFonts w:ascii="Times New Roman" w:eastAsia="Times New Roman" w:hAnsi="Times New Roman" w:cs="Times New Roman"/>
      <w:snapToGrid w:val="0"/>
      <w:sz w:val="24"/>
      <w:szCs w:val="20"/>
    </w:rPr>
  </w:style>
  <w:style w:type="paragraph" w:styleId="FootnoteText">
    <w:name w:val="footnote text"/>
    <w:aliases w:val="F1"/>
    <w:basedOn w:val="Normal"/>
    <w:link w:val="FootnoteTextChar"/>
    <w:semiHidden/>
    <w:rsid w:val="006A4549"/>
    <w:pPr>
      <w:widowControl w:val="0"/>
      <w:spacing w:after="0"/>
    </w:pPr>
    <w:rPr>
      <w:rFonts w:ascii="Times New Roman" w:eastAsia="Times New Roman" w:hAnsi="Times New Roman"/>
      <w:snapToGrid w:val="0"/>
      <w:sz w:val="20"/>
      <w:szCs w:val="20"/>
    </w:rPr>
  </w:style>
  <w:style w:type="character" w:customStyle="1" w:styleId="FootnoteTextChar">
    <w:name w:val="Footnote Text Char"/>
    <w:aliases w:val="F1 Char"/>
    <w:basedOn w:val="DefaultParagraphFont"/>
    <w:link w:val="FootnoteText"/>
    <w:semiHidden/>
    <w:rsid w:val="006A4549"/>
    <w:rPr>
      <w:rFonts w:ascii="Times New Roman" w:eastAsia="Times New Roman" w:hAnsi="Times New Roman" w:cs="Times New Roman"/>
      <w:snapToGrid w:val="0"/>
      <w:sz w:val="20"/>
      <w:szCs w:val="20"/>
    </w:rPr>
  </w:style>
  <w:style w:type="paragraph" w:customStyle="1" w:styleId="P1-StandPara">
    <w:name w:val="P1-Stand Para"/>
    <w:rsid w:val="006A4549"/>
    <w:pPr>
      <w:spacing w:after="240" w:line="360" w:lineRule="atLeast"/>
      <w:ind w:firstLine="1152"/>
      <w:jc w:val="both"/>
    </w:pPr>
    <w:rPr>
      <w:rFonts w:ascii="Times New Roman" w:eastAsia="Times New Roman" w:hAnsi="Times New Roman"/>
      <w:sz w:val="22"/>
    </w:rPr>
  </w:style>
  <w:style w:type="paragraph" w:styleId="BodyTextIndent3">
    <w:name w:val="Body Text Indent 3"/>
    <w:basedOn w:val="Normal"/>
    <w:link w:val="BodyTextIndent3Char"/>
    <w:rsid w:val="006A4549"/>
    <w:pPr>
      <w:widowControl w:val="0"/>
      <w:tabs>
        <w:tab w:val="left" w:pos="0"/>
      </w:tabs>
      <w:suppressAutoHyphens/>
      <w:autoSpaceDE w:val="0"/>
      <w:autoSpaceDN w:val="0"/>
      <w:adjustRightInd w:val="0"/>
      <w:spacing w:after="0" w:line="480" w:lineRule="auto"/>
      <w:ind w:firstLine="720"/>
    </w:pPr>
    <w:rPr>
      <w:rFonts w:ascii="Times New Roman" w:eastAsia="Times New Roman" w:hAnsi="Times New Roman"/>
    </w:rPr>
  </w:style>
  <w:style w:type="character" w:customStyle="1" w:styleId="BodyTextIndent3Char">
    <w:name w:val="Body Text Indent 3 Char"/>
    <w:basedOn w:val="DefaultParagraphFont"/>
    <w:link w:val="BodyTextIndent3"/>
    <w:rsid w:val="006A4549"/>
    <w:rPr>
      <w:rFonts w:ascii="Times New Roman" w:eastAsia="Times New Roman" w:hAnsi="Times New Roman" w:cs="Times New Roman"/>
    </w:rPr>
  </w:style>
  <w:style w:type="paragraph" w:customStyle="1" w:styleId="RL-FlLftSgl">
    <w:name w:val="RL-Fl Lft Sgl"/>
    <w:basedOn w:val="Normal"/>
    <w:rsid w:val="006A4549"/>
    <w:pPr>
      <w:keepNext/>
      <w:spacing w:after="0" w:line="240" w:lineRule="exact"/>
      <w:jc w:val="both"/>
    </w:pPr>
    <w:rPr>
      <w:rFonts w:ascii="Times New Roman" w:eastAsia="Times New Roman" w:hAnsi="Times New Roman"/>
      <w:b/>
      <w:szCs w:val="20"/>
    </w:rPr>
  </w:style>
  <w:style w:type="paragraph" w:customStyle="1" w:styleId="SL-FlLftSgl">
    <w:name w:val="SL-Fl Lft Sgl"/>
    <w:rsid w:val="006A4549"/>
    <w:pPr>
      <w:jc w:val="both"/>
    </w:pPr>
    <w:rPr>
      <w:rFonts w:ascii="Times New Roman" w:eastAsia="Times New Roman" w:hAnsi="Times New Roman"/>
      <w:sz w:val="22"/>
    </w:rPr>
  </w:style>
  <w:style w:type="paragraph" w:customStyle="1" w:styleId="Default">
    <w:name w:val="Default"/>
    <w:basedOn w:val="Normal"/>
    <w:rsid w:val="006A4549"/>
    <w:pPr>
      <w:spacing w:after="0"/>
    </w:pPr>
    <w:rPr>
      <w:rFonts w:ascii="New Century Schlbk" w:eastAsia="Times New Roman" w:hAnsi="New Century Schlbk"/>
      <w:sz w:val="24"/>
      <w:szCs w:val="20"/>
    </w:rPr>
  </w:style>
  <w:style w:type="character" w:styleId="FootnoteReference">
    <w:name w:val="footnote reference"/>
    <w:basedOn w:val="DefaultParagraphFont"/>
    <w:uiPriority w:val="99"/>
    <w:semiHidden/>
    <w:unhideWhenUsed/>
    <w:rsid w:val="003B7CD3"/>
    <w:rPr>
      <w:vertAlign w:val="superscript"/>
    </w:rPr>
  </w:style>
  <w:style w:type="character" w:customStyle="1" w:styleId="Heading1Char">
    <w:name w:val="Heading 1 Char"/>
    <w:basedOn w:val="DefaultParagraphFont"/>
    <w:link w:val="Heading1"/>
    <w:uiPriority w:val="9"/>
    <w:rsid w:val="004F7DB5"/>
    <w:rPr>
      <w:rFonts w:ascii="Cambria" w:eastAsia="Times New Roman" w:hAnsi="Cambria" w:cs="Times New Roman"/>
      <w:b/>
      <w:bCs/>
      <w:color w:val="365F91"/>
      <w:sz w:val="28"/>
      <w:szCs w:val="28"/>
    </w:rPr>
  </w:style>
  <w:style w:type="paragraph" w:customStyle="1" w:styleId="N0-FlLftBullet">
    <w:name w:val="N0-Fl Lft Bullet"/>
    <w:basedOn w:val="Normal"/>
    <w:rsid w:val="004F7DB5"/>
    <w:pPr>
      <w:tabs>
        <w:tab w:val="left" w:pos="576"/>
      </w:tabs>
      <w:spacing w:after="240" w:line="240" w:lineRule="atLeast"/>
      <w:ind w:left="576" w:hanging="576"/>
      <w:jc w:val="both"/>
    </w:pPr>
    <w:rPr>
      <w:rFonts w:ascii="Times New Roman" w:eastAsia="Times New Roman" w:hAnsi="Times New Roman"/>
      <w:szCs w:val="20"/>
    </w:rPr>
  </w:style>
  <w:style w:type="character" w:customStyle="1" w:styleId="Heading7Char">
    <w:name w:val="Heading 7 Char"/>
    <w:basedOn w:val="DefaultParagraphFont"/>
    <w:link w:val="Heading7"/>
    <w:uiPriority w:val="9"/>
    <w:rsid w:val="007314E1"/>
    <w:rPr>
      <w:rFonts w:ascii="Cambria" w:eastAsia="Times New Roman" w:hAnsi="Cambria" w:cs="Times New Roman"/>
      <w:i/>
      <w:iCs/>
      <w:color w:val="404040"/>
    </w:rPr>
  </w:style>
  <w:style w:type="paragraph" w:customStyle="1" w:styleId="C1-CtrBoldHd">
    <w:name w:val="C1-Ctr BoldHd"/>
    <w:rsid w:val="007314E1"/>
    <w:pPr>
      <w:keepNext/>
      <w:spacing w:after="720" w:line="240" w:lineRule="atLeast"/>
      <w:jc w:val="center"/>
    </w:pPr>
    <w:rPr>
      <w:rFonts w:ascii="Times New Roman" w:eastAsia="Times New Roman" w:hAnsi="Times New Roman"/>
      <w:b/>
      <w:caps/>
      <w:sz w:val="22"/>
    </w:rPr>
  </w:style>
  <w:style w:type="paragraph" w:styleId="TOC2">
    <w:name w:val="toc 2"/>
    <w:basedOn w:val="Normal"/>
    <w:next w:val="Normal"/>
    <w:autoRedefine/>
    <w:semiHidden/>
    <w:rsid w:val="00C650C2"/>
    <w:pPr>
      <w:widowControl w:val="0"/>
      <w:tabs>
        <w:tab w:val="right" w:leader="dot" w:pos="9360"/>
      </w:tabs>
      <w:spacing w:after="0"/>
      <w:ind w:left="1440" w:hanging="720"/>
      <w:jc w:val="both"/>
    </w:pPr>
    <w:rPr>
      <w:rFonts w:eastAsia="Times New Roman"/>
      <w:b/>
      <w:snapToGrid w:val="0"/>
    </w:rPr>
  </w:style>
  <w:style w:type="paragraph" w:styleId="TOC3">
    <w:name w:val="toc 3"/>
    <w:basedOn w:val="Normal"/>
    <w:next w:val="Normal"/>
    <w:autoRedefine/>
    <w:semiHidden/>
    <w:rsid w:val="001574F0"/>
    <w:pPr>
      <w:widowControl w:val="0"/>
      <w:tabs>
        <w:tab w:val="left" w:pos="-1440"/>
        <w:tab w:val="left" w:pos="-720"/>
        <w:tab w:val="left" w:pos="0"/>
        <w:tab w:val="left" w:pos="720"/>
        <w:tab w:val="left" w:pos="1440"/>
        <w:tab w:val="left" w:pos="2160"/>
        <w:tab w:val="right" w:leader="dot" w:pos="9360"/>
      </w:tabs>
      <w:spacing w:after="0"/>
      <w:ind w:left="2160" w:hanging="720"/>
      <w:jc w:val="both"/>
    </w:pPr>
    <w:rPr>
      <w:rFonts w:eastAsia="Times New Roman"/>
      <w:snapToGrid w:val="0"/>
    </w:rPr>
  </w:style>
  <w:style w:type="paragraph" w:styleId="Header">
    <w:name w:val="header"/>
    <w:basedOn w:val="Normal"/>
    <w:link w:val="HeaderChar"/>
    <w:uiPriority w:val="99"/>
    <w:semiHidden/>
    <w:unhideWhenUsed/>
    <w:rsid w:val="001574F0"/>
    <w:pPr>
      <w:tabs>
        <w:tab w:val="center" w:pos="4680"/>
        <w:tab w:val="right" w:pos="9360"/>
      </w:tabs>
      <w:spacing w:after="0"/>
    </w:pPr>
  </w:style>
  <w:style w:type="character" w:customStyle="1" w:styleId="HeaderChar">
    <w:name w:val="Header Char"/>
    <w:basedOn w:val="DefaultParagraphFont"/>
    <w:link w:val="Header"/>
    <w:uiPriority w:val="99"/>
    <w:semiHidden/>
    <w:rsid w:val="001574F0"/>
  </w:style>
  <w:style w:type="paragraph" w:styleId="Footer">
    <w:name w:val="footer"/>
    <w:basedOn w:val="Normal"/>
    <w:link w:val="FooterChar"/>
    <w:uiPriority w:val="99"/>
    <w:unhideWhenUsed/>
    <w:rsid w:val="001574F0"/>
    <w:pPr>
      <w:tabs>
        <w:tab w:val="center" w:pos="4680"/>
        <w:tab w:val="right" w:pos="9360"/>
      </w:tabs>
      <w:spacing w:after="0"/>
    </w:pPr>
  </w:style>
  <w:style w:type="character" w:customStyle="1" w:styleId="FooterChar">
    <w:name w:val="Footer Char"/>
    <w:basedOn w:val="DefaultParagraphFont"/>
    <w:link w:val="Footer"/>
    <w:uiPriority w:val="99"/>
    <w:rsid w:val="001574F0"/>
  </w:style>
  <w:style w:type="paragraph" w:styleId="TOC1">
    <w:name w:val="toc 1"/>
    <w:basedOn w:val="Normal"/>
    <w:next w:val="Normal"/>
    <w:autoRedefine/>
    <w:uiPriority w:val="39"/>
    <w:unhideWhenUsed/>
    <w:rsid w:val="00C650C2"/>
    <w:pPr>
      <w:spacing w:after="100"/>
    </w:pPr>
    <w:rPr>
      <w:b/>
    </w:rPr>
  </w:style>
  <w:style w:type="character" w:styleId="CommentReference">
    <w:name w:val="annotation reference"/>
    <w:basedOn w:val="DefaultParagraphFont"/>
    <w:uiPriority w:val="99"/>
    <w:semiHidden/>
    <w:unhideWhenUsed/>
    <w:rsid w:val="00632FCE"/>
    <w:rPr>
      <w:sz w:val="16"/>
      <w:szCs w:val="16"/>
    </w:rPr>
  </w:style>
  <w:style w:type="paragraph" w:styleId="CommentText">
    <w:name w:val="annotation text"/>
    <w:basedOn w:val="Normal"/>
    <w:link w:val="CommentTextChar"/>
    <w:uiPriority w:val="99"/>
    <w:semiHidden/>
    <w:unhideWhenUsed/>
    <w:rsid w:val="00632FCE"/>
    <w:rPr>
      <w:sz w:val="20"/>
      <w:szCs w:val="20"/>
    </w:rPr>
  </w:style>
  <w:style w:type="character" w:customStyle="1" w:styleId="CommentTextChar">
    <w:name w:val="Comment Text Char"/>
    <w:basedOn w:val="DefaultParagraphFont"/>
    <w:link w:val="CommentText"/>
    <w:uiPriority w:val="99"/>
    <w:semiHidden/>
    <w:rsid w:val="00632FCE"/>
  </w:style>
  <w:style w:type="paragraph" w:styleId="CommentSubject">
    <w:name w:val="annotation subject"/>
    <w:basedOn w:val="CommentText"/>
    <w:next w:val="CommentText"/>
    <w:link w:val="CommentSubjectChar"/>
    <w:uiPriority w:val="99"/>
    <w:semiHidden/>
    <w:unhideWhenUsed/>
    <w:rsid w:val="00632FCE"/>
    <w:rPr>
      <w:b/>
      <w:bCs/>
    </w:rPr>
  </w:style>
  <w:style w:type="character" w:customStyle="1" w:styleId="CommentSubjectChar">
    <w:name w:val="Comment Subject Char"/>
    <w:basedOn w:val="CommentTextChar"/>
    <w:link w:val="CommentSubject"/>
    <w:uiPriority w:val="99"/>
    <w:semiHidden/>
    <w:rsid w:val="00632FCE"/>
    <w:rPr>
      <w:b/>
      <w:bCs/>
    </w:rPr>
  </w:style>
  <w:style w:type="paragraph" w:styleId="BalloonText">
    <w:name w:val="Balloon Text"/>
    <w:basedOn w:val="Normal"/>
    <w:link w:val="BalloonTextChar"/>
    <w:uiPriority w:val="99"/>
    <w:semiHidden/>
    <w:unhideWhenUsed/>
    <w:rsid w:val="00632FCE"/>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632FCE"/>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90905006">
      <w:bodyDiv w:val="1"/>
      <w:marLeft w:val="150"/>
      <w:marRight w:val="0"/>
      <w:marTop w:val="0"/>
      <w:marBottom w:val="0"/>
      <w:divBdr>
        <w:top w:val="none" w:sz="0" w:space="0" w:color="auto"/>
        <w:left w:val="none" w:sz="0" w:space="0" w:color="auto"/>
        <w:bottom w:val="none" w:sz="0" w:space="0" w:color="auto"/>
        <w:right w:val="none" w:sz="0" w:space="0" w:color="auto"/>
      </w:divBdr>
      <w:divsChild>
        <w:div w:id="566961925">
          <w:marLeft w:val="0"/>
          <w:marRight w:val="0"/>
          <w:marTop w:val="0"/>
          <w:marBottom w:val="0"/>
          <w:divBdr>
            <w:top w:val="none" w:sz="0" w:space="0" w:color="auto"/>
            <w:left w:val="none" w:sz="0" w:space="0" w:color="auto"/>
            <w:bottom w:val="none" w:sz="0" w:space="0" w:color="auto"/>
            <w:right w:val="none" w:sz="0" w:space="0" w:color="auto"/>
          </w:divBdr>
          <w:divsChild>
            <w:div w:id="1978414411">
              <w:marLeft w:val="0"/>
              <w:marRight w:val="0"/>
              <w:marTop w:val="0"/>
              <w:marBottom w:val="0"/>
              <w:divBdr>
                <w:top w:val="single" w:sz="4" w:space="3" w:color="auto"/>
                <w:left w:val="single" w:sz="4" w:space="19" w:color="auto"/>
                <w:bottom w:val="single" w:sz="4" w:space="3" w:color="auto"/>
                <w:right w:val="single" w:sz="4" w:space="3" w:color="auto"/>
              </w:divBdr>
              <w:divsChild>
                <w:div w:id="111170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9139524">
      <w:bodyDiv w:val="1"/>
      <w:marLeft w:val="3"/>
      <w:marRight w:val="3"/>
      <w:marTop w:val="3"/>
      <w:marBottom w:val="3"/>
      <w:divBdr>
        <w:top w:val="none" w:sz="0" w:space="0" w:color="auto"/>
        <w:left w:val="none" w:sz="0" w:space="0" w:color="auto"/>
        <w:bottom w:val="none" w:sz="0" w:space="0" w:color="auto"/>
        <w:right w:val="none" w:sz="0" w:space="0" w:color="auto"/>
      </w:divBdr>
      <w:divsChild>
        <w:div w:id="1978996528">
          <w:marLeft w:val="0"/>
          <w:marRight w:val="0"/>
          <w:marTop w:val="0"/>
          <w:marBottom w:val="0"/>
          <w:divBdr>
            <w:top w:val="none" w:sz="0" w:space="0" w:color="auto"/>
            <w:left w:val="none" w:sz="0" w:space="0" w:color="auto"/>
            <w:bottom w:val="none" w:sz="0" w:space="0" w:color="auto"/>
            <w:right w:val="none" w:sz="0" w:space="0" w:color="auto"/>
          </w:divBdr>
          <w:divsChild>
            <w:div w:id="1194423767">
              <w:marLeft w:val="0"/>
              <w:marRight w:val="0"/>
              <w:marTop w:val="0"/>
              <w:marBottom w:val="0"/>
              <w:divBdr>
                <w:top w:val="none" w:sz="0" w:space="0" w:color="auto"/>
                <w:left w:val="none" w:sz="0" w:space="0" w:color="auto"/>
                <w:bottom w:val="none" w:sz="0" w:space="0" w:color="auto"/>
                <w:right w:val="none" w:sz="0" w:space="0" w:color="auto"/>
              </w:divBdr>
              <w:divsChild>
                <w:div w:id="2121996675">
                  <w:marLeft w:val="0"/>
                  <w:marRight w:val="0"/>
                  <w:marTop w:val="0"/>
                  <w:marBottom w:val="150"/>
                  <w:divBdr>
                    <w:top w:val="none" w:sz="0" w:space="0" w:color="auto"/>
                    <w:left w:val="none" w:sz="0" w:space="0" w:color="auto"/>
                    <w:bottom w:val="none" w:sz="0" w:space="0" w:color="auto"/>
                    <w:right w:val="none" w:sz="0" w:space="0" w:color="auto"/>
                  </w:divBdr>
                  <w:divsChild>
                    <w:div w:id="297998998">
                      <w:marLeft w:val="0"/>
                      <w:marRight w:val="0"/>
                      <w:marTop w:val="0"/>
                      <w:marBottom w:val="0"/>
                      <w:divBdr>
                        <w:top w:val="none" w:sz="0" w:space="0" w:color="auto"/>
                        <w:left w:val="none" w:sz="0" w:space="0" w:color="auto"/>
                        <w:bottom w:val="none" w:sz="0" w:space="0" w:color="auto"/>
                        <w:right w:val="none" w:sz="0" w:space="0" w:color="auto"/>
                      </w:divBdr>
                      <w:divsChild>
                        <w:div w:id="7782593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61026660">
      <w:bodyDiv w:val="1"/>
      <w:marLeft w:val="3"/>
      <w:marRight w:val="3"/>
      <w:marTop w:val="3"/>
      <w:marBottom w:val="3"/>
      <w:divBdr>
        <w:top w:val="none" w:sz="0" w:space="0" w:color="auto"/>
        <w:left w:val="none" w:sz="0" w:space="0" w:color="auto"/>
        <w:bottom w:val="none" w:sz="0" w:space="0" w:color="auto"/>
        <w:right w:val="none" w:sz="0" w:space="0" w:color="auto"/>
      </w:divBdr>
      <w:divsChild>
        <w:div w:id="261377184">
          <w:marLeft w:val="0"/>
          <w:marRight w:val="0"/>
          <w:marTop w:val="0"/>
          <w:marBottom w:val="0"/>
          <w:divBdr>
            <w:top w:val="none" w:sz="0" w:space="0" w:color="auto"/>
            <w:left w:val="none" w:sz="0" w:space="0" w:color="auto"/>
            <w:bottom w:val="none" w:sz="0" w:space="0" w:color="auto"/>
            <w:right w:val="none" w:sz="0" w:space="0" w:color="auto"/>
          </w:divBdr>
          <w:divsChild>
            <w:div w:id="1134564484">
              <w:marLeft w:val="0"/>
              <w:marRight w:val="0"/>
              <w:marTop w:val="0"/>
              <w:marBottom w:val="0"/>
              <w:divBdr>
                <w:top w:val="none" w:sz="0" w:space="0" w:color="auto"/>
                <w:left w:val="none" w:sz="0" w:space="0" w:color="auto"/>
                <w:bottom w:val="none" w:sz="0" w:space="0" w:color="auto"/>
                <w:right w:val="none" w:sz="0" w:space="0" w:color="auto"/>
              </w:divBdr>
              <w:divsChild>
                <w:div w:id="2011835664">
                  <w:marLeft w:val="0"/>
                  <w:marRight w:val="0"/>
                  <w:marTop w:val="0"/>
                  <w:marBottom w:val="150"/>
                  <w:divBdr>
                    <w:top w:val="none" w:sz="0" w:space="0" w:color="auto"/>
                    <w:left w:val="none" w:sz="0" w:space="0" w:color="auto"/>
                    <w:bottom w:val="none" w:sz="0" w:space="0" w:color="auto"/>
                    <w:right w:val="none" w:sz="0" w:space="0" w:color="auto"/>
                  </w:divBdr>
                  <w:divsChild>
                    <w:div w:id="1515143109">
                      <w:marLeft w:val="0"/>
                      <w:marRight w:val="0"/>
                      <w:marTop w:val="0"/>
                      <w:marBottom w:val="0"/>
                      <w:divBdr>
                        <w:top w:val="none" w:sz="0" w:space="0" w:color="auto"/>
                        <w:left w:val="none" w:sz="0" w:space="0" w:color="auto"/>
                        <w:bottom w:val="none" w:sz="0" w:space="0" w:color="auto"/>
                        <w:right w:val="none" w:sz="0" w:space="0" w:color="auto"/>
                      </w:divBdr>
                      <w:divsChild>
                        <w:div w:id="1759326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09465972">
      <w:bodyDiv w:val="1"/>
      <w:marLeft w:val="3"/>
      <w:marRight w:val="3"/>
      <w:marTop w:val="3"/>
      <w:marBottom w:val="3"/>
      <w:divBdr>
        <w:top w:val="none" w:sz="0" w:space="0" w:color="auto"/>
        <w:left w:val="none" w:sz="0" w:space="0" w:color="auto"/>
        <w:bottom w:val="none" w:sz="0" w:space="0" w:color="auto"/>
        <w:right w:val="none" w:sz="0" w:space="0" w:color="auto"/>
      </w:divBdr>
      <w:divsChild>
        <w:div w:id="1244412890">
          <w:marLeft w:val="0"/>
          <w:marRight w:val="0"/>
          <w:marTop w:val="0"/>
          <w:marBottom w:val="0"/>
          <w:divBdr>
            <w:top w:val="none" w:sz="0" w:space="0" w:color="auto"/>
            <w:left w:val="none" w:sz="0" w:space="0" w:color="auto"/>
            <w:bottom w:val="none" w:sz="0" w:space="0" w:color="auto"/>
            <w:right w:val="none" w:sz="0" w:space="0" w:color="auto"/>
          </w:divBdr>
          <w:divsChild>
            <w:div w:id="654719028">
              <w:marLeft w:val="0"/>
              <w:marRight w:val="0"/>
              <w:marTop w:val="0"/>
              <w:marBottom w:val="0"/>
              <w:divBdr>
                <w:top w:val="none" w:sz="0" w:space="0" w:color="auto"/>
                <w:left w:val="none" w:sz="0" w:space="0" w:color="auto"/>
                <w:bottom w:val="none" w:sz="0" w:space="0" w:color="auto"/>
                <w:right w:val="none" w:sz="0" w:space="0" w:color="auto"/>
              </w:divBdr>
              <w:divsChild>
                <w:div w:id="908003229">
                  <w:marLeft w:val="0"/>
                  <w:marRight w:val="0"/>
                  <w:marTop w:val="0"/>
                  <w:marBottom w:val="150"/>
                  <w:divBdr>
                    <w:top w:val="none" w:sz="0" w:space="0" w:color="auto"/>
                    <w:left w:val="none" w:sz="0" w:space="0" w:color="auto"/>
                    <w:bottom w:val="none" w:sz="0" w:space="0" w:color="auto"/>
                    <w:right w:val="none" w:sz="0" w:space="0" w:color="auto"/>
                  </w:divBdr>
                  <w:divsChild>
                    <w:div w:id="863178130">
                      <w:marLeft w:val="0"/>
                      <w:marRight w:val="0"/>
                      <w:marTop w:val="0"/>
                      <w:marBottom w:val="0"/>
                      <w:divBdr>
                        <w:top w:val="none" w:sz="0" w:space="0" w:color="auto"/>
                        <w:left w:val="none" w:sz="0" w:space="0" w:color="auto"/>
                        <w:bottom w:val="none" w:sz="0" w:space="0" w:color="auto"/>
                        <w:right w:val="none" w:sz="0" w:space="0" w:color="auto"/>
                      </w:divBdr>
                      <w:divsChild>
                        <w:div w:id="1920092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47822371">
      <w:bodyDiv w:val="1"/>
      <w:marLeft w:val="3"/>
      <w:marRight w:val="3"/>
      <w:marTop w:val="3"/>
      <w:marBottom w:val="3"/>
      <w:divBdr>
        <w:top w:val="none" w:sz="0" w:space="0" w:color="auto"/>
        <w:left w:val="none" w:sz="0" w:space="0" w:color="auto"/>
        <w:bottom w:val="none" w:sz="0" w:space="0" w:color="auto"/>
        <w:right w:val="none" w:sz="0" w:space="0" w:color="auto"/>
      </w:divBdr>
      <w:divsChild>
        <w:div w:id="1484857812">
          <w:marLeft w:val="0"/>
          <w:marRight w:val="0"/>
          <w:marTop w:val="0"/>
          <w:marBottom w:val="0"/>
          <w:divBdr>
            <w:top w:val="none" w:sz="0" w:space="0" w:color="auto"/>
            <w:left w:val="none" w:sz="0" w:space="0" w:color="auto"/>
            <w:bottom w:val="none" w:sz="0" w:space="0" w:color="auto"/>
            <w:right w:val="none" w:sz="0" w:space="0" w:color="auto"/>
          </w:divBdr>
          <w:divsChild>
            <w:div w:id="54742497">
              <w:marLeft w:val="0"/>
              <w:marRight w:val="0"/>
              <w:marTop w:val="0"/>
              <w:marBottom w:val="0"/>
              <w:divBdr>
                <w:top w:val="none" w:sz="0" w:space="0" w:color="auto"/>
                <w:left w:val="none" w:sz="0" w:space="0" w:color="auto"/>
                <w:bottom w:val="none" w:sz="0" w:space="0" w:color="auto"/>
                <w:right w:val="none" w:sz="0" w:space="0" w:color="auto"/>
              </w:divBdr>
              <w:divsChild>
                <w:div w:id="1762217686">
                  <w:marLeft w:val="0"/>
                  <w:marRight w:val="0"/>
                  <w:marTop w:val="0"/>
                  <w:marBottom w:val="150"/>
                  <w:divBdr>
                    <w:top w:val="none" w:sz="0" w:space="0" w:color="auto"/>
                    <w:left w:val="none" w:sz="0" w:space="0" w:color="auto"/>
                    <w:bottom w:val="none" w:sz="0" w:space="0" w:color="auto"/>
                    <w:right w:val="none" w:sz="0" w:space="0" w:color="auto"/>
                  </w:divBdr>
                  <w:divsChild>
                    <w:div w:id="46344815">
                      <w:marLeft w:val="0"/>
                      <w:marRight w:val="0"/>
                      <w:marTop w:val="0"/>
                      <w:marBottom w:val="0"/>
                      <w:divBdr>
                        <w:top w:val="none" w:sz="0" w:space="0" w:color="auto"/>
                        <w:left w:val="none" w:sz="0" w:space="0" w:color="auto"/>
                        <w:bottom w:val="none" w:sz="0" w:space="0" w:color="auto"/>
                        <w:right w:val="none" w:sz="0" w:space="0" w:color="auto"/>
                      </w:divBdr>
                      <w:divsChild>
                        <w:div w:id="885528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46480616">
      <w:bodyDiv w:val="1"/>
      <w:marLeft w:val="150"/>
      <w:marRight w:val="0"/>
      <w:marTop w:val="0"/>
      <w:marBottom w:val="0"/>
      <w:divBdr>
        <w:top w:val="none" w:sz="0" w:space="0" w:color="auto"/>
        <w:left w:val="none" w:sz="0" w:space="0" w:color="auto"/>
        <w:bottom w:val="none" w:sz="0" w:space="0" w:color="auto"/>
        <w:right w:val="none" w:sz="0" w:space="0" w:color="auto"/>
      </w:divBdr>
      <w:divsChild>
        <w:div w:id="1123841758">
          <w:marLeft w:val="0"/>
          <w:marRight w:val="0"/>
          <w:marTop w:val="0"/>
          <w:marBottom w:val="0"/>
          <w:divBdr>
            <w:top w:val="none" w:sz="0" w:space="0" w:color="auto"/>
            <w:left w:val="none" w:sz="0" w:space="0" w:color="auto"/>
            <w:bottom w:val="none" w:sz="0" w:space="0" w:color="auto"/>
            <w:right w:val="none" w:sz="0" w:space="0" w:color="auto"/>
          </w:divBdr>
          <w:divsChild>
            <w:div w:id="318464192">
              <w:marLeft w:val="0"/>
              <w:marRight w:val="0"/>
              <w:marTop w:val="0"/>
              <w:marBottom w:val="0"/>
              <w:divBdr>
                <w:top w:val="single" w:sz="4" w:space="3" w:color="auto"/>
                <w:left w:val="single" w:sz="4" w:space="19" w:color="auto"/>
                <w:bottom w:val="single" w:sz="4" w:space="3" w:color="auto"/>
                <w:right w:val="single" w:sz="4" w:space="3" w:color="auto"/>
              </w:divBdr>
              <w:divsChild>
                <w:div w:id="718362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salonisapru@westat.com"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salonisapru@westat.com" TargetMode="External"/><Relationship Id="rId5" Type="http://schemas.openxmlformats.org/officeDocument/2006/relationships/webSettings" Target="webSettings.xml"/><Relationship Id="rId10" Type="http://schemas.openxmlformats.org/officeDocument/2006/relationships/hyperlink" Target="mailto:simaniprice@westat.com" TargetMode="External"/><Relationship Id="rId4" Type="http://schemas.openxmlformats.org/officeDocument/2006/relationships/settings" Target="settings.xml"/><Relationship Id="rId9" Type="http://schemas.openxmlformats.org/officeDocument/2006/relationships/hyperlink" Target="mailto:Kam19@cornell.edu"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AAB10A6-A440-4EFA-AACB-48199D30F7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15</Pages>
  <Words>3944</Words>
  <Characters>22484</Characters>
  <Application>Microsoft Office Word</Application>
  <DocSecurity>0</DocSecurity>
  <Lines>187</Lines>
  <Paragraphs>52</Paragraphs>
  <ScaleCrop>false</ScaleCrop>
  <HeadingPairs>
    <vt:vector size="2" baseType="variant">
      <vt:variant>
        <vt:lpstr>Title</vt:lpstr>
      </vt:variant>
      <vt:variant>
        <vt:i4>1</vt:i4>
      </vt:variant>
    </vt:vector>
  </HeadingPairs>
  <TitlesOfParts>
    <vt:vector size="1" baseType="lpstr">
      <vt:lpstr/>
    </vt:vector>
  </TitlesOfParts>
  <Company>Westat</Company>
  <LinksUpToDate>false</LinksUpToDate>
  <CharactersWithSpaces>26376</CharactersWithSpaces>
  <SharedDoc>false</SharedDoc>
  <HLinks>
    <vt:vector size="24" baseType="variant">
      <vt:variant>
        <vt:i4>4259960</vt:i4>
      </vt:variant>
      <vt:variant>
        <vt:i4>12</vt:i4>
      </vt:variant>
      <vt:variant>
        <vt:i4>0</vt:i4>
      </vt:variant>
      <vt:variant>
        <vt:i4>5</vt:i4>
      </vt:variant>
      <vt:variant>
        <vt:lpwstr>mailto:salonisapru@westat.com</vt:lpwstr>
      </vt:variant>
      <vt:variant>
        <vt:lpwstr/>
      </vt:variant>
      <vt:variant>
        <vt:i4>4849788</vt:i4>
      </vt:variant>
      <vt:variant>
        <vt:i4>9</vt:i4>
      </vt:variant>
      <vt:variant>
        <vt:i4>0</vt:i4>
      </vt:variant>
      <vt:variant>
        <vt:i4>5</vt:i4>
      </vt:variant>
      <vt:variant>
        <vt:lpwstr>mailto:simaniprice@westat.com</vt:lpwstr>
      </vt:variant>
      <vt:variant>
        <vt:lpwstr/>
      </vt:variant>
      <vt:variant>
        <vt:i4>5570685</vt:i4>
      </vt:variant>
      <vt:variant>
        <vt:i4>6</vt:i4>
      </vt:variant>
      <vt:variant>
        <vt:i4>0</vt:i4>
      </vt:variant>
      <vt:variant>
        <vt:i4>5</vt:i4>
      </vt:variant>
      <vt:variant>
        <vt:lpwstr>mailto:Kam19@cornell.edu</vt:lpwstr>
      </vt:variant>
      <vt:variant>
        <vt:lpwstr/>
      </vt:variant>
      <vt:variant>
        <vt:i4>4259960</vt:i4>
      </vt:variant>
      <vt:variant>
        <vt:i4>3</vt:i4>
      </vt:variant>
      <vt:variant>
        <vt:i4>0</vt:i4>
      </vt:variant>
      <vt:variant>
        <vt:i4>5</vt:i4>
      </vt:variant>
      <vt:variant>
        <vt:lpwstr>mailto:salonisapru@westat.com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sapru_s</dc:creator>
  <cp:lastModifiedBy>cbv5</cp:lastModifiedBy>
  <cp:revision>2</cp:revision>
  <cp:lastPrinted>2010-05-05T16:16:00Z</cp:lastPrinted>
  <dcterms:created xsi:type="dcterms:W3CDTF">2011-02-03T18:55:00Z</dcterms:created>
  <dcterms:modified xsi:type="dcterms:W3CDTF">2011-02-03T18:55:00Z</dcterms:modified>
</cp:coreProperties>
</file>