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D5" w:rsidRDefault="00DB12D5" w:rsidP="00DB12D5">
      <w:pPr>
        <w:tabs>
          <w:tab w:val="left" w:pos="740"/>
        </w:tabs>
        <w:spacing w:before="120" w:after="120"/>
      </w:pPr>
      <w:bookmarkStart w:id="0" w:name="_Toc257129734"/>
    </w:p>
    <w:p w:rsidR="00DB12D5" w:rsidRDefault="00DB12D5" w:rsidP="00DB12D5">
      <w:pPr>
        <w:pStyle w:val="AppLevel1"/>
        <w:numPr>
          <w:ilvl w:val="0"/>
          <w:numId w:val="0"/>
        </w:numPr>
        <w:jc w:val="left"/>
        <w:rPr>
          <w:rFonts w:ascii="Times New Roman" w:hAnsi="Times New Roman" w:cs="Times New Roman"/>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rPr>
          <w:rFonts w:ascii="Courier New" w:hAnsi="Courier New" w:cs="Courier New"/>
          <w:sz w:val="24"/>
          <w:szCs w:val="24"/>
        </w:rPr>
      </w:pPr>
    </w:p>
    <w:p w:rsidR="00DB12D5" w:rsidRDefault="00DB12D5" w:rsidP="00DB12D5">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w:t>
      </w:r>
      <w:r>
        <w:rPr>
          <w:rFonts w:ascii="Courier New" w:hAnsi="Courier New" w:cs="Courier New"/>
          <w:sz w:val="24"/>
          <w:szCs w:val="24"/>
        </w:rPr>
        <w:t>k</w:t>
      </w:r>
    </w:p>
    <w:p w:rsidR="00DB12D5" w:rsidRDefault="00DB12D5" w:rsidP="00DB12D5">
      <w:pPr>
        <w:jc w:val="center"/>
        <w:rPr>
          <w:rFonts w:ascii="Courier New" w:hAnsi="Courier New" w:cs="Courier New"/>
          <w:sz w:val="24"/>
          <w:szCs w:val="24"/>
        </w:rPr>
      </w:pPr>
    </w:p>
    <w:p w:rsidR="00DB12D5" w:rsidRPr="00B02841" w:rsidRDefault="00DB12D5" w:rsidP="00DB12D5">
      <w:pPr>
        <w:jc w:val="center"/>
        <w:rPr>
          <w:rFonts w:ascii="Courier New" w:hAnsi="Courier New" w:cs="Courier New"/>
          <w:sz w:val="24"/>
          <w:szCs w:val="24"/>
        </w:rPr>
      </w:pPr>
    </w:p>
    <w:p w:rsidR="00DB12D5" w:rsidRDefault="00DB12D5" w:rsidP="00DB12D5">
      <w:pPr>
        <w:pStyle w:val="AppLevel1"/>
        <w:numPr>
          <w:ilvl w:val="0"/>
          <w:numId w:val="0"/>
        </w:numPr>
        <w:jc w:val="center"/>
        <w:rPr>
          <w:rFonts w:ascii="Times New Roman" w:hAnsi="Times New Roman" w:cs="Times New Roman"/>
          <w:b w:val="0"/>
          <w:i w:val="0"/>
        </w:rPr>
      </w:pPr>
      <w:r w:rsidRPr="00BF2D17">
        <w:rPr>
          <w:rFonts w:ascii="Courier New" w:hAnsi="Courier New" w:cs="Courier New"/>
          <w:b w:val="0"/>
          <w:i w:val="0"/>
          <w:sz w:val="24"/>
          <w:szCs w:val="24"/>
        </w:rPr>
        <w:t>0920-0255</w:t>
      </w:r>
    </w:p>
    <w:p w:rsidR="00DB12D5" w:rsidRDefault="00DB12D5" w:rsidP="00DB12D5">
      <w:pPr>
        <w:pStyle w:val="AppLevel1"/>
        <w:numPr>
          <w:ilvl w:val="0"/>
          <w:numId w:val="0"/>
        </w:numPr>
        <w:jc w:val="center"/>
        <w:rPr>
          <w:rFonts w:ascii="Times New Roman" w:hAnsi="Times New Roman" w:cs="Times New Roman"/>
          <w:b w:val="0"/>
          <w:i w:val="0"/>
        </w:rPr>
      </w:pPr>
    </w:p>
    <w:p w:rsidR="00DB12D5" w:rsidRDefault="00DB12D5" w:rsidP="00DB12D5">
      <w:pPr>
        <w:pStyle w:val="AppLevel1"/>
        <w:numPr>
          <w:ilvl w:val="0"/>
          <w:numId w:val="0"/>
        </w:numPr>
        <w:jc w:val="center"/>
        <w:rPr>
          <w:rFonts w:ascii="Times New Roman" w:hAnsi="Times New Roman" w:cs="Times New Roman"/>
          <w:b w:val="0"/>
          <w:i w:val="0"/>
        </w:rPr>
      </w:pPr>
    </w:p>
    <w:p w:rsidR="00DB12D5" w:rsidRDefault="00DB12D5" w:rsidP="00DB12D5">
      <w:pPr>
        <w:pStyle w:val="AppLevel1"/>
        <w:numPr>
          <w:ilvl w:val="0"/>
          <w:numId w:val="0"/>
        </w:numPr>
        <w:jc w:val="center"/>
        <w:rPr>
          <w:rFonts w:ascii="Times New Roman" w:hAnsi="Times New Roman" w:cs="Times New Roman"/>
          <w:b w:val="0"/>
          <w:i w:val="0"/>
        </w:rPr>
      </w:pPr>
    </w:p>
    <w:p w:rsidR="00DB12D5" w:rsidRPr="006B5A38" w:rsidRDefault="00DB12D5" w:rsidP="00DB12D5">
      <w:pPr>
        <w:pStyle w:val="AppLevel1"/>
        <w:numPr>
          <w:ilvl w:val="0"/>
          <w:numId w:val="0"/>
        </w:numPr>
        <w:jc w:val="center"/>
        <w:rPr>
          <w:rFonts w:ascii="Times New Roman" w:hAnsi="Times New Roman" w:cs="Times New Roman"/>
          <w:b w:val="0"/>
          <w:i w:val="0"/>
        </w:rPr>
      </w:pPr>
    </w:p>
    <w:bookmarkEnd w:id="0"/>
    <w:p w:rsidR="00DB12D5" w:rsidRPr="00B02841" w:rsidRDefault="00DB12D5" w:rsidP="00DB12D5">
      <w:pPr>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1</w:t>
      </w:r>
    </w:p>
    <w:p w:rsidR="00DB12D5" w:rsidRDefault="00DB12D5" w:rsidP="00DB12D5">
      <w:pPr>
        <w:jc w:val="center"/>
        <w:rPr>
          <w:rFonts w:ascii="Courier New" w:hAnsi="Courier New" w:cs="Courier New"/>
          <w:sz w:val="40"/>
          <w:szCs w:val="40"/>
        </w:rPr>
      </w:pPr>
    </w:p>
    <w:p w:rsidR="00DB12D5" w:rsidRDefault="00DB12D5" w:rsidP="00DB12D5">
      <w:pPr>
        <w:jc w:val="center"/>
        <w:rPr>
          <w:rFonts w:ascii="Courier New" w:hAnsi="Courier New" w:cs="Courier New"/>
          <w:sz w:val="40"/>
          <w:szCs w:val="40"/>
        </w:rPr>
      </w:pPr>
    </w:p>
    <w:p w:rsidR="00DB12D5" w:rsidRDefault="00DB12D5" w:rsidP="00DB12D5">
      <w:pPr>
        <w:jc w:val="center"/>
        <w:rPr>
          <w:rFonts w:ascii="Courier New" w:hAnsi="Courier New" w:cs="Courier New"/>
          <w:sz w:val="24"/>
          <w:szCs w:val="24"/>
        </w:rPr>
      </w:pPr>
      <w:r>
        <w:rPr>
          <w:rFonts w:ascii="Courier New" w:hAnsi="Courier New" w:cs="Courier New"/>
          <w:sz w:val="24"/>
          <w:szCs w:val="24"/>
        </w:rPr>
        <w:t>Public Health Service Act (42 USC 241) Section 301</w:t>
      </w:r>
    </w:p>
    <w:p w:rsidR="00DB12D5" w:rsidRPr="00BF2D17" w:rsidRDefault="00DB12D5" w:rsidP="00DB12D5">
      <w:pPr>
        <w:jc w:val="center"/>
        <w:rPr>
          <w:rFonts w:ascii="Courier New" w:hAnsi="Courier New" w:cs="Courier New"/>
          <w:sz w:val="24"/>
          <w:szCs w:val="24"/>
        </w:rPr>
      </w:pPr>
      <w:r>
        <w:rPr>
          <w:rFonts w:ascii="Courier New" w:hAnsi="Courier New" w:cs="Courier New"/>
          <w:sz w:val="24"/>
          <w:szCs w:val="24"/>
        </w:rPr>
        <w:t>Public Law 100-607 Section 2521</w:t>
      </w:r>
    </w:p>
    <w:p w:rsidR="00DB12D5" w:rsidRDefault="00DB12D5" w:rsidP="00DB12D5">
      <w:pPr>
        <w:ind w:left="1440" w:firstLine="720"/>
        <w:jc w:val="center"/>
        <w:rPr>
          <w:rFonts w:ascii="Courier New" w:hAnsi="Courier New" w:cs="Courier New"/>
          <w:sz w:val="40"/>
          <w:szCs w:val="40"/>
        </w:rPr>
      </w:pPr>
      <w:r>
        <w:rPr>
          <w:rFonts w:ascii="Courier New" w:hAnsi="Courier New" w:cs="Courier New"/>
          <w:sz w:val="40"/>
          <w:szCs w:val="40"/>
        </w:rPr>
        <w:br w:type="page"/>
      </w:r>
    </w:p>
    <w:p w:rsidR="00DB12D5" w:rsidRDefault="00DB12D5" w:rsidP="00DB12D5">
      <w:pPr>
        <w:ind w:left="1440" w:firstLine="720"/>
        <w:jc w:val="right"/>
        <w:rPr>
          <w:rFonts w:ascii="Courier New" w:hAnsi="Courier New" w:cs="Courier New"/>
          <w:sz w:val="40"/>
          <w:szCs w:val="40"/>
        </w:rPr>
      </w:pPr>
    </w:p>
    <w:p w:rsidR="00DB12D5" w:rsidRDefault="00DB12D5" w:rsidP="00DB12D5">
      <w:pPr>
        <w:ind w:left="1440" w:firstLine="720"/>
        <w:jc w:val="right"/>
        <w:rPr>
          <w:rFonts w:ascii="Courier New" w:hAnsi="Courier New" w:cs="Courier New"/>
          <w:sz w:val="40"/>
          <w:szCs w:val="40"/>
        </w:rPr>
      </w:pPr>
    </w:p>
    <w:p w:rsidR="00DB12D5" w:rsidRPr="003F5F13" w:rsidRDefault="00DB12D5" w:rsidP="00DB12D5">
      <w:pPr>
        <w:shd w:val="clear" w:color="auto" w:fill="FFFFFF"/>
        <w:jc w:val="right"/>
        <w:rPr>
          <w:rFonts w:ascii="Courier New" w:hAnsi="Courier New" w:cs="Courier New"/>
          <w:color w:val="333333"/>
          <w:sz w:val="24"/>
          <w:szCs w:val="24"/>
        </w:rPr>
      </w:pPr>
      <w:r w:rsidRPr="00416480">
        <w:rPr>
          <w:b/>
          <w:bCs/>
          <w:color w:val="333333"/>
          <w:sz w:val="22"/>
          <w:szCs w:val="22"/>
        </w:rPr>
        <w:t>S.2889</w:t>
      </w:r>
      <w:r w:rsidRPr="00416480">
        <w:rPr>
          <w:color w:val="333333"/>
          <w:sz w:val="22"/>
          <w:szCs w:val="22"/>
        </w:rPr>
        <w:t xml:space="preserve"> </w:t>
      </w:r>
      <w:r w:rsidRPr="00416480">
        <w:rPr>
          <w:color w:val="333333"/>
          <w:sz w:val="22"/>
          <w:szCs w:val="22"/>
        </w:rPr>
        <w:br/>
      </w:r>
      <w:r w:rsidRPr="00416480">
        <w:rPr>
          <w:b/>
          <w:bCs/>
          <w:color w:val="333333"/>
          <w:sz w:val="22"/>
          <w:szCs w:val="22"/>
        </w:rPr>
        <w:t>Title</w:t>
      </w:r>
      <w:r w:rsidRPr="003F5F13">
        <w:rPr>
          <w:rFonts w:ascii="Courier New" w:hAnsi="Courier New" w:cs="Courier New"/>
          <w:b/>
          <w:bCs/>
          <w:color w:val="333333"/>
          <w:sz w:val="24"/>
          <w:szCs w:val="24"/>
        </w:rPr>
        <w:t>:</w:t>
      </w:r>
      <w:r w:rsidRPr="003F5F13">
        <w:rPr>
          <w:rFonts w:ascii="Courier New" w:hAnsi="Courier New" w:cs="Courier New"/>
          <w:color w:val="333333"/>
          <w:sz w:val="24"/>
          <w:szCs w:val="24"/>
        </w:rPr>
        <w:t xml:space="preserve"> A bill to amend the Public Health Service Act to establish certain health programs, to revise and extend certain health programs, and for other purposes. </w:t>
      </w:r>
      <w:r w:rsidRPr="003F5F13">
        <w:rPr>
          <w:rFonts w:ascii="Courier New" w:hAnsi="Courier New" w:cs="Courier New"/>
          <w:color w:val="333333"/>
          <w:sz w:val="24"/>
          <w:szCs w:val="24"/>
        </w:rPr>
        <w:br/>
      </w:r>
      <w:r w:rsidRPr="003F5F13">
        <w:rPr>
          <w:rFonts w:ascii="Courier New" w:hAnsi="Courier New" w:cs="Courier New"/>
          <w:b/>
          <w:bCs/>
          <w:color w:val="333333"/>
          <w:sz w:val="24"/>
          <w:szCs w:val="24"/>
        </w:rPr>
        <w:t>Sponsor:</w:t>
      </w:r>
      <w:r w:rsidRPr="003F5F13">
        <w:rPr>
          <w:rFonts w:ascii="Courier New" w:hAnsi="Courier New" w:cs="Courier New"/>
          <w:b/>
          <w:bCs/>
          <w:color w:val="333333"/>
          <w:sz w:val="24"/>
          <w:szCs w:val="24"/>
        </w:rPr>
        <w:tab/>
        <w:t>Senator Kennedy, Edward M.</w:t>
      </w:r>
      <w:r w:rsidRPr="003F5F13">
        <w:rPr>
          <w:rFonts w:ascii="Courier New" w:hAnsi="Courier New" w:cs="Courier New"/>
          <w:color w:val="333333"/>
          <w:sz w:val="24"/>
          <w:szCs w:val="24"/>
        </w:rPr>
        <w:t xml:space="preserve"> [MA] (introduced 10/13/1988) Cosponsors (1) </w:t>
      </w:r>
      <w:r w:rsidRPr="003F5F13">
        <w:rPr>
          <w:rFonts w:ascii="Courier New" w:hAnsi="Courier New" w:cs="Courier New"/>
          <w:color w:val="333333"/>
          <w:sz w:val="24"/>
          <w:szCs w:val="24"/>
        </w:rPr>
        <w:br/>
      </w:r>
      <w:r w:rsidRPr="003F5F13">
        <w:rPr>
          <w:rFonts w:ascii="Courier New" w:hAnsi="Courier New" w:cs="Courier New"/>
          <w:b/>
          <w:bCs/>
          <w:color w:val="333333"/>
          <w:sz w:val="24"/>
          <w:szCs w:val="24"/>
        </w:rPr>
        <w:t xml:space="preserve">Latest Major Action: </w:t>
      </w:r>
      <w:r w:rsidRPr="003F5F13">
        <w:rPr>
          <w:rFonts w:ascii="Courier New" w:hAnsi="Courier New" w:cs="Courier New"/>
          <w:color w:val="333333"/>
          <w:sz w:val="24"/>
          <w:szCs w:val="24"/>
        </w:rPr>
        <w:t xml:space="preserve">11/4/1988 Became Public Law No: 100-607. </w:t>
      </w:r>
    </w:p>
    <w:p w:rsidR="00DB12D5" w:rsidRPr="003F5F13" w:rsidRDefault="00DB12D5" w:rsidP="00DB12D5">
      <w:pPr>
        <w:shd w:val="clear" w:color="auto" w:fill="FFFFFF"/>
        <w:rPr>
          <w:rFonts w:ascii="Courier New" w:hAnsi="Courier New" w:cs="Courier New"/>
          <w:color w:val="333333"/>
          <w:sz w:val="24"/>
          <w:szCs w:val="24"/>
        </w:rPr>
      </w:pPr>
      <w:bookmarkStart w:id="1" w:name="summary"/>
      <w:r w:rsidRPr="003F5F13">
        <w:rPr>
          <w:rFonts w:ascii="Courier New" w:hAnsi="Courier New" w:cs="Courier New"/>
          <w:b/>
          <w:bCs/>
          <w:color w:val="333333"/>
          <w:sz w:val="24"/>
          <w:szCs w:val="24"/>
        </w:rPr>
        <w:t>SUMMARY AS OF:</w:t>
      </w:r>
      <w:bookmarkEnd w:id="1"/>
      <w:r w:rsidRPr="003F5F13">
        <w:rPr>
          <w:rFonts w:ascii="Courier New" w:hAnsi="Courier New" w:cs="Courier New"/>
          <w:color w:val="333333"/>
          <w:sz w:val="24"/>
          <w:szCs w:val="24"/>
        </w:rPr>
        <w:t xml:space="preserve"> </w:t>
      </w:r>
      <w:r w:rsidRPr="003F5F13">
        <w:rPr>
          <w:rFonts w:ascii="Courier New" w:hAnsi="Courier New" w:cs="Courier New"/>
          <w:color w:val="333333"/>
          <w:sz w:val="24"/>
          <w:szCs w:val="24"/>
        </w:rPr>
        <w:br/>
        <w:t xml:space="preserve">10/13/1988--Introduced.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Health Omnibus Programs Extension of 1988 - </w:t>
      </w:r>
      <w:r w:rsidRPr="003F5F13">
        <w:rPr>
          <w:rFonts w:ascii="Courier New" w:hAnsi="Courier New" w:cs="Courier New"/>
          <w:b/>
          <w:bCs/>
          <w:color w:val="333333"/>
        </w:rPr>
        <w:t>Title II: Programs with Respect to Acquired Immune Deficiency Syndrome</w:t>
      </w:r>
      <w:r w:rsidRPr="003F5F13">
        <w:rPr>
          <w:rFonts w:ascii="Courier New" w:hAnsi="Courier New" w:cs="Courier New"/>
          <w:color w:val="333333"/>
        </w:rPr>
        <w:t xml:space="preserve"> - AIDS Amendments of 1988 - </w:t>
      </w:r>
      <w:r w:rsidRPr="003F5F13">
        <w:rPr>
          <w:rFonts w:ascii="Courier New" w:hAnsi="Courier New" w:cs="Courier New"/>
          <w:b/>
          <w:bCs/>
          <w:color w:val="333333"/>
        </w:rPr>
        <w:t>Subtitle B: Health Services</w:t>
      </w:r>
      <w:r w:rsidRPr="003F5F13">
        <w:rPr>
          <w:rFonts w:ascii="Courier New" w:hAnsi="Courier New" w:cs="Courier New"/>
          <w:color w:val="333333"/>
        </w:rPr>
        <w:t xml:space="preserve"> - Amends the Public Health Service Act to create a new title on health services with respect to acquired immune deficiency syndrome (AIDS).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Directs the Secretary of Health and Human Services, for each of the FY 1989 and 1990, to make an allotment for each State.</w:t>
      </w:r>
      <w:proofErr w:type="gramEnd"/>
      <w:r w:rsidRPr="003F5F13">
        <w:rPr>
          <w:rFonts w:ascii="Courier New" w:hAnsi="Courier New" w:cs="Courier New"/>
          <w:color w:val="333333"/>
        </w:rPr>
        <w:t xml:space="preserve"> Defines "eligible individual" as an individual infected with the etiologic agent for AIDS who either is medically dependent or chronically dependent.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 xml:space="preserve">Requires that a State agree that, in using payments under the allotment, it will: (1) provide for home and community-based health services for eligible individuals </w:t>
      </w:r>
      <w:proofErr w:type="spellStart"/>
      <w:r w:rsidRPr="003F5F13">
        <w:rPr>
          <w:rFonts w:ascii="Courier New" w:hAnsi="Courier New" w:cs="Courier New"/>
          <w:color w:val="333333"/>
        </w:rPr>
        <w:t>under written</w:t>
      </w:r>
      <w:proofErr w:type="spellEnd"/>
      <w:r w:rsidRPr="003F5F13">
        <w:rPr>
          <w:rFonts w:ascii="Courier New" w:hAnsi="Courier New" w:cs="Courier New"/>
          <w:color w:val="333333"/>
        </w:rPr>
        <w:t xml:space="preserve"> plans; (2) provide for outreach to eligible individuals; (3) provide for coordinating similar services by public and private entities; and (4) give priority to outreach and services to eligible individuals with low incomes.</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Authorizes a State to provide such services through grants to public and nonprofit private entities and through contracts with public and private entities, giving priority to public and nonprofit private entities with experience delivering such services to individuals with the etiologic agent.</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Requires that States submit a description of the intended uses of a grant.</w:t>
      </w:r>
      <w:proofErr w:type="gramEnd"/>
      <w:r w:rsidRPr="003F5F13">
        <w:rPr>
          <w:rFonts w:ascii="Courier New" w:hAnsi="Courier New" w:cs="Courier New"/>
          <w:color w:val="333333"/>
        </w:rPr>
        <w:t xml:space="preserve"> Sets forth restrictions on the use of a grant, including limiting payments for a fiscal year to a State to not more than 65 percent of the national average payment for extended care services under part A (Hospital Insurance) of title XVIII (Medicare) of the Social Security Act. </w:t>
      </w:r>
      <w:proofErr w:type="gramStart"/>
      <w:r w:rsidRPr="003F5F13">
        <w:rPr>
          <w:rFonts w:ascii="Courier New" w:hAnsi="Courier New" w:cs="Courier New"/>
          <w:color w:val="333333"/>
        </w:rPr>
        <w:t>Sets forth reporting requirements.</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 xml:space="preserve">Requires States to provide for a </w:t>
      </w:r>
      <w:r w:rsidRPr="003F5F13">
        <w:rPr>
          <w:rFonts w:ascii="Courier New" w:hAnsi="Courier New" w:cs="Courier New"/>
          <w:color w:val="333333"/>
        </w:rPr>
        <w:lastRenderedPageBreak/>
        <w:t>financial and compliance audit.</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Requires that the reports and audits be available for public inspection.</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Directs the U.S. Comptroller General, from time to time, to evaluate the expenditures by the States.</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that a State agree that: (1) its legislature will conduct public hearings on the proposed use and distribution of the payments; (2) if charges are imposed for the home and community-based services, the charges will be set forth in a public schedule, they will not be imposed on individuals with incomes below the official poverty line, and the charges will be adjusted to reflect to income of individuals with incomes above the poverty line; (3) the State will provide for periodic independent peer review of the services provided; (4) the State will cooperate with Federal investigations under provisions of this Act; (5) the State will expend for such services for persons infected with the etiologic agent not less than the average level of such expenditures for the previous two years; and (6) the State will not make payments from allotments for any item or service covered by another source.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Sets forth a formula for determination of the amount of allotments.</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Provides for repayment or withholding of payments for failure to comply with agreements.</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Directs the Secretary to conduct investigations of compliance.</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Provides for criminal penalties for certain false statements.</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Authorizes the Secretary to provide to a State: (1) technical assistance without charge; and (2) supplies and services in lieu of grant funds.</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Sets forth reporting requirements.</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Authorizes appropriations for FY 1989 and 1990.</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Repeals provisions of this Act relating to grants from allotments to States for home and community-based health services, effective with respect to appropriations made for any period after fiscal year 1990.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Defines "patients infected with the human immunodeficiency virus" as persons who have or are recovering from a disease attributable to infection with the human immunodeficiency virus (HIV), resulting in a need for </w:t>
      </w:r>
      <w:proofErr w:type="spellStart"/>
      <w:r w:rsidRPr="003F5F13">
        <w:rPr>
          <w:rFonts w:ascii="Courier New" w:hAnsi="Courier New" w:cs="Courier New"/>
          <w:color w:val="333333"/>
        </w:rPr>
        <w:t>subacute</w:t>
      </w:r>
      <w:proofErr w:type="spellEnd"/>
      <w:r w:rsidRPr="003F5F13">
        <w:rPr>
          <w:rFonts w:ascii="Courier New" w:hAnsi="Courier New" w:cs="Courier New"/>
          <w:color w:val="333333"/>
        </w:rPr>
        <w:t xml:space="preserve">-care services.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 xml:space="preserve">Directs the Secretary to conduct three demonstration projects to determine the effectiveness and cost of providing </w:t>
      </w:r>
      <w:proofErr w:type="spellStart"/>
      <w:r w:rsidRPr="003F5F13">
        <w:rPr>
          <w:rFonts w:ascii="Courier New" w:hAnsi="Courier New" w:cs="Courier New"/>
          <w:color w:val="333333"/>
        </w:rPr>
        <w:t>subacute</w:t>
      </w:r>
      <w:proofErr w:type="spellEnd"/>
      <w:r w:rsidRPr="003F5F13">
        <w:rPr>
          <w:rFonts w:ascii="Courier New" w:hAnsi="Courier New" w:cs="Courier New"/>
          <w:color w:val="333333"/>
        </w:rPr>
        <w:t>-care services to patients infected with HIV, and the impact of the services on the health status of the patients.</w:t>
      </w:r>
      <w:proofErr w:type="gramEnd"/>
      <w:r w:rsidRPr="003F5F13">
        <w:rPr>
          <w:rFonts w:ascii="Courier New" w:hAnsi="Courier New" w:cs="Courier New"/>
          <w:color w:val="333333"/>
        </w:rPr>
        <w:t xml:space="preserve"> Requires </w:t>
      </w:r>
      <w:proofErr w:type="spellStart"/>
      <w:r w:rsidRPr="003F5F13">
        <w:rPr>
          <w:rFonts w:ascii="Courier New" w:hAnsi="Courier New" w:cs="Courier New"/>
          <w:color w:val="333333"/>
        </w:rPr>
        <w:t>subacute</w:t>
      </w:r>
      <w:proofErr w:type="spellEnd"/>
      <w:r w:rsidRPr="003F5F13">
        <w:rPr>
          <w:rFonts w:ascii="Courier New" w:hAnsi="Courier New" w:cs="Courier New"/>
          <w:color w:val="333333"/>
        </w:rPr>
        <w:t xml:space="preserve">-care services to be designed to meet the specific needs </w:t>
      </w:r>
      <w:r w:rsidRPr="003F5F13">
        <w:rPr>
          <w:rFonts w:ascii="Courier New" w:hAnsi="Courier New" w:cs="Courier New"/>
          <w:color w:val="333333"/>
        </w:rPr>
        <w:lastRenderedPageBreak/>
        <w:t xml:space="preserve">of the patients, including: (1) care and treatment by providing </w:t>
      </w:r>
      <w:proofErr w:type="spellStart"/>
      <w:r w:rsidRPr="003F5F13">
        <w:rPr>
          <w:rFonts w:ascii="Courier New" w:hAnsi="Courier New" w:cs="Courier New"/>
          <w:color w:val="333333"/>
        </w:rPr>
        <w:t>subacute</w:t>
      </w:r>
      <w:proofErr w:type="spellEnd"/>
      <w:r w:rsidRPr="003F5F13">
        <w:rPr>
          <w:rFonts w:ascii="Courier New" w:hAnsi="Courier New" w:cs="Courier New"/>
          <w:color w:val="333333"/>
        </w:rPr>
        <w:t xml:space="preserve"> care, emergency medical care and specialized diagnostic and therapeutic services, and case management services; and (2) technical assistance directed towards education and training of physicians, nurses, and other health care professionals.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 xml:space="preserve">Requires the demonstration projects to be conducted during a four-year period beginning not later than nine months after enactment of this provision at geographically diverse sites that have the highest incidence of AIDS and the greatest need for </w:t>
      </w:r>
      <w:proofErr w:type="spellStart"/>
      <w:r w:rsidRPr="003F5F13">
        <w:rPr>
          <w:rFonts w:ascii="Courier New" w:hAnsi="Courier New" w:cs="Courier New"/>
          <w:color w:val="333333"/>
        </w:rPr>
        <w:t>subacute</w:t>
      </w:r>
      <w:proofErr w:type="spellEnd"/>
      <w:r w:rsidRPr="003F5F13">
        <w:rPr>
          <w:rFonts w:ascii="Courier New" w:hAnsi="Courier New" w:cs="Courier New"/>
          <w:color w:val="333333"/>
        </w:rPr>
        <w:t>-care services.</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Sets forth reporting requirements.</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Requires each demonstration project to provide for other research to be carried out at the site of the project, including clinical research on AIDS, concentrating on the neurological manifestations resulting from HIV infection, and the study of the psychological and mental health issues related to AIDS.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Authorizes appropriations for FY 1988 through 1991.</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Directs the Secretary to enter into an agreement with the Administrator of Veterans Affairs to ensure the furnishing, through demonstration projects, of services to eligible veterans under specified provisions.</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the Secretary to make grants to States to provide opportunities for individuals to undergo counseling and testing with regard to the etiologic agent: (1) without being required to provide identification; and (2) through the use of a pseudonym.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Requires grantees to provide counseling which includes coverage of specified points before testing, after a negative test result, and after a positive test result.</w:t>
      </w:r>
      <w:proofErr w:type="gramEnd"/>
      <w:r w:rsidRPr="003F5F13">
        <w:rPr>
          <w:rFonts w:ascii="Courier New" w:hAnsi="Courier New" w:cs="Courier New"/>
          <w:color w:val="333333"/>
        </w:rPr>
        <w:t xml:space="preserve"> Requires grantees, where appropriate, to provide opportunities for women, children, hemophiliacs, and emergency response employees to undergo counseling under conditions appropriate to their needs. </w:t>
      </w:r>
      <w:proofErr w:type="gramStart"/>
      <w:r w:rsidRPr="003F5F13">
        <w:rPr>
          <w:rFonts w:ascii="Courier New" w:hAnsi="Courier New" w:cs="Courier New"/>
          <w:color w:val="333333"/>
        </w:rPr>
        <w:t>Allows grantees to use the grant to provide counseling without testing.</w:t>
      </w:r>
      <w:proofErr w:type="gramEnd"/>
      <w:r w:rsidRPr="003F5F13">
        <w:rPr>
          <w:rFonts w:ascii="Courier New" w:hAnsi="Courier New" w:cs="Courier New"/>
          <w:color w:val="333333"/>
        </w:rPr>
        <w:t xml:space="preserve">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Requires all individuals receiving counseling under these provisions to be counseled about the harmful effects of promiscuous sexual activity and intravenous substance abuse, and the benefits of abstaining from such activities.</w:t>
      </w:r>
      <w:proofErr w:type="gramEnd"/>
      <w:r w:rsidRPr="003F5F13">
        <w:rPr>
          <w:rFonts w:ascii="Courier New" w:hAnsi="Courier New" w:cs="Courier New"/>
          <w:color w:val="333333"/>
        </w:rPr>
        <w:t xml:space="preserve"> Prohibits funds from being used to provide counseling that is designed to promote or encourage, directly, homosexual or heterosexual </w:t>
      </w:r>
      <w:r w:rsidRPr="003F5F13">
        <w:rPr>
          <w:rFonts w:ascii="Courier New" w:hAnsi="Courier New" w:cs="Courier New"/>
          <w:color w:val="333333"/>
        </w:rPr>
        <w:lastRenderedPageBreak/>
        <w:t xml:space="preserve">sexual activity or intravenous drug abuse, but declares that this may not be construed to prohibit a counselor from providing accurate information about means to reduce an individual's risk of exposure to, or the transmission of, the etiologic agent, provided any informational materials used are not obscene. </w:t>
      </w:r>
    </w:p>
    <w:p w:rsidR="00DB12D5" w:rsidRPr="003F5F13" w:rsidRDefault="00DB12D5" w:rsidP="00DB12D5">
      <w:pPr>
        <w:pStyle w:val="NormalWeb"/>
        <w:shd w:val="clear" w:color="auto" w:fill="FFFFFF"/>
        <w:rPr>
          <w:rFonts w:ascii="Courier New" w:hAnsi="Courier New" w:cs="Courier New"/>
          <w:color w:val="333333"/>
        </w:rPr>
      </w:pPr>
      <w:r w:rsidRPr="003F5F13">
        <w:rPr>
          <w:rFonts w:ascii="Courier New" w:hAnsi="Courier New" w:cs="Courier New"/>
          <w:color w:val="333333"/>
        </w:rPr>
        <w:t xml:space="preserve">Authorizes appropriations for such counseling and testing grants to States for FY 1989 and 1990. </w:t>
      </w:r>
    </w:p>
    <w:p w:rsidR="00DB12D5" w:rsidRPr="003F5F13" w:rsidRDefault="00DB12D5" w:rsidP="00DB12D5">
      <w:pPr>
        <w:pStyle w:val="NormalWeb"/>
        <w:shd w:val="clear" w:color="auto" w:fill="FFFFFF"/>
        <w:rPr>
          <w:rFonts w:ascii="Courier New" w:hAnsi="Courier New" w:cs="Courier New"/>
          <w:color w:val="333333"/>
        </w:rPr>
      </w:pPr>
      <w:proofErr w:type="gramStart"/>
      <w:r w:rsidRPr="003F5F13">
        <w:rPr>
          <w:rFonts w:ascii="Courier New" w:hAnsi="Courier New" w:cs="Courier New"/>
          <w:color w:val="333333"/>
        </w:rPr>
        <w:t>Authorizes the Secretary to make grants for demonstration projects for the development, establishment, or expansion of programs to provide counseling and mental health treatment for individuals with a positive test result, and for their families and others, who experience serious psychological reactions.</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Mandates that the counseling include counseling relating to prevention of exposure to, and the transmission of, the etiologic agent.</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Allows the grants to be used to train individuals to provide the counseling and mental health treatment.</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Directs the Secretary, subject to appropriations, to make a minimum of six grants for FY 1989.</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Authorizes the Secretary, acting through the Director of the National Institute of Mental Health, to provide technical assistance and administrative support to grantees.</w:t>
      </w:r>
      <w:proofErr w:type="gramEnd"/>
      <w:r w:rsidRPr="003F5F13">
        <w:rPr>
          <w:rFonts w:ascii="Courier New" w:hAnsi="Courier New" w:cs="Courier New"/>
          <w:color w:val="333333"/>
        </w:rPr>
        <w:t xml:space="preserve"> </w:t>
      </w:r>
      <w:proofErr w:type="gramStart"/>
      <w:r w:rsidRPr="003F5F13">
        <w:rPr>
          <w:rFonts w:ascii="Courier New" w:hAnsi="Courier New" w:cs="Courier New"/>
          <w:color w:val="333333"/>
        </w:rPr>
        <w:t>Authorizes appropriations for FY 1989 through 1991.</w:t>
      </w:r>
      <w:proofErr w:type="gramEnd"/>
      <w:r w:rsidRPr="003F5F13">
        <w:rPr>
          <w:rFonts w:ascii="Courier New" w:hAnsi="Courier New" w:cs="Courier New"/>
          <w:color w:val="333333"/>
        </w:rPr>
        <w:t xml:space="preserve"> </w:t>
      </w:r>
    </w:p>
    <w:p w:rsidR="0025633E" w:rsidRDefault="0025633E" w:rsidP="00DB12D5"/>
    <w:sectPr w:rsidR="0025633E" w:rsidSect="002563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B12D5"/>
    <w:rsid w:val="0025633E"/>
    <w:rsid w:val="00625C52"/>
    <w:rsid w:val="00BD46E3"/>
    <w:rsid w:val="00C8540D"/>
    <w:rsid w:val="00DB12D5"/>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B12D5"/>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DB12D5"/>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DB12D5"/>
    <w:pPr>
      <w:keepNext/>
      <w:numPr>
        <w:ilvl w:val="2"/>
        <w:numId w:val="1"/>
      </w:numPr>
      <w:spacing w:before="120" w:after="120"/>
      <w:outlineLvl w:val="2"/>
    </w:pPr>
    <w:rPr>
      <w:b/>
      <w:sz w:val="24"/>
    </w:rPr>
  </w:style>
  <w:style w:type="paragraph" w:styleId="Heading4">
    <w:name w:val="heading 4"/>
    <w:basedOn w:val="Normal"/>
    <w:next w:val="Normal"/>
    <w:link w:val="Heading4Char"/>
    <w:qFormat/>
    <w:rsid w:val="00DB12D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DB12D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B12D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B12D5"/>
    <w:pPr>
      <w:numPr>
        <w:ilvl w:val="6"/>
        <w:numId w:val="1"/>
      </w:numPr>
      <w:spacing w:before="240" w:after="60"/>
      <w:outlineLvl w:val="6"/>
    </w:pPr>
    <w:rPr>
      <w:sz w:val="24"/>
      <w:szCs w:val="24"/>
    </w:rPr>
  </w:style>
  <w:style w:type="paragraph" w:styleId="Heading8">
    <w:name w:val="heading 8"/>
    <w:basedOn w:val="Normal"/>
    <w:next w:val="Normal"/>
    <w:link w:val="Heading8Char"/>
    <w:qFormat/>
    <w:rsid w:val="00DB12D5"/>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DB12D5"/>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2D5"/>
    <w:rPr>
      <w:rFonts w:ascii="Arial" w:eastAsia="Times New Roman" w:hAnsi="Arial" w:cs="Arial"/>
      <w:b/>
      <w:bCs/>
      <w:i/>
      <w:iCs/>
      <w:sz w:val="28"/>
    </w:rPr>
  </w:style>
  <w:style w:type="character" w:customStyle="1" w:styleId="Heading2Char">
    <w:name w:val="Heading 2 Char"/>
    <w:basedOn w:val="DefaultParagraphFont"/>
    <w:link w:val="Heading2"/>
    <w:rsid w:val="00DB12D5"/>
    <w:rPr>
      <w:rFonts w:ascii="Arial" w:eastAsia="Times New Roman" w:hAnsi="Arial" w:cs="Times New Roman"/>
      <w:b/>
      <w:sz w:val="28"/>
      <w:szCs w:val="20"/>
    </w:rPr>
  </w:style>
  <w:style w:type="character" w:customStyle="1" w:styleId="Heading3Char">
    <w:name w:val="Heading 3 Char"/>
    <w:basedOn w:val="DefaultParagraphFont"/>
    <w:link w:val="Heading3"/>
    <w:rsid w:val="00DB12D5"/>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12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2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12D5"/>
    <w:rPr>
      <w:rFonts w:ascii="Times New Roman" w:eastAsia="Times New Roman" w:hAnsi="Times New Roman" w:cs="Times New Roman"/>
      <w:b/>
      <w:bCs/>
    </w:rPr>
  </w:style>
  <w:style w:type="character" w:customStyle="1" w:styleId="Heading7Char">
    <w:name w:val="Heading 7 Char"/>
    <w:basedOn w:val="DefaultParagraphFont"/>
    <w:link w:val="Heading7"/>
    <w:rsid w:val="00DB12D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12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12D5"/>
    <w:rPr>
      <w:rFonts w:ascii="Times New Roman" w:eastAsia="Times New Roman" w:hAnsi="Times New Roman" w:cs="Times New Roman"/>
      <w:b/>
      <w:bCs/>
      <w:sz w:val="20"/>
      <w:szCs w:val="20"/>
    </w:rPr>
  </w:style>
  <w:style w:type="paragraph" w:customStyle="1" w:styleId="AppLevel1">
    <w:name w:val="AppLevel1"/>
    <w:basedOn w:val="Heading1"/>
    <w:rsid w:val="00DB12D5"/>
    <w:pPr>
      <w:jc w:val="right"/>
    </w:pPr>
    <w:rPr>
      <w:smallCaps/>
      <w:sz w:val="48"/>
    </w:rPr>
  </w:style>
  <w:style w:type="paragraph" w:styleId="NormalWeb">
    <w:name w:val="Normal (Web)"/>
    <w:basedOn w:val="Normal"/>
    <w:rsid w:val="00DB12D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6958</Characters>
  <Application>Microsoft Office Word</Application>
  <DocSecurity>0</DocSecurity>
  <Lines>57</Lines>
  <Paragraphs>16</Paragraphs>
  <ScaleCrop>false</ScaleCrop>
  <Company>Danya International</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dc:creator>
  <cp:keywords/>
  <dc:description/>
  <cp:lastModifiedBy>vbs6</cp:lastModifiedBy>
  <cp:revision>2</cp:revision>
  <dcterms:created xsi:type="dcterms:W3CDTF">2010-07-15T19:21:00Z</dcterms:created>
  <dcterms:modified xsi:type="dcterms:W3CDTF">2010-07-15T19:21:00Z</dcterms:modified>
</cp:coreProperties>
</file>