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A5" w:rsidRDefault="00553BA5" w:rsidP="00280226">
      <w:pPr>
        <w:jc w:val="center"/>
        <w:rPr>
          <w:sz w:val="24"/>
          <w:szCs w:val="24"/>
        </w:rPr>
      </w:pPr>
      <w:r>
        <w:rPr>
          <w:b/>
          <w:bCs/>
          <w:sz w:val="24"/>
          <w:szCs w:val="24"/>
        </w:rPr>
        <w:t>Supporting Statement for National Health Service Corps Loan Repayment Program</w:t>
      </w:r>
    </w:p>
    <w:p w:rsidR="00553BA5" w:rsidRDefault="00553BA5" w:rsidP="00280226">
      <w:pPr>
        <w:jc w:val="center"/>
        <w:rPr>
          <w:sz w:val="24"/>
          <w:szCs w:val="24"/>
        </w:rPr>
      </w:pPr>
      <w:r>
        <w:rPr>
          <w:b/>
          <w:bCs/>
          <w:sz w:val="24"/>
          <w:szCs w:val="24"/>
        </w:rPr>
        <w:t>Health Resources and Services Administration</w:t>
      </w:r>
    </w:p>
    <w:p w:rsidR="00553BA5" w:rsidRDefault="00553BA5" w:rsidP="00280226">
      <w:pPr>
        <w:rPr>
          <w:sz w:val="24"/>
          <w:szCs w:val="24"/>
        </w:rPr>
      </w:pPr>
    </w:p>
    <w:p w:rsidR="00553BA5" w:rsidRDefault="00553BA5" w:rsidP="00280226">
      <w:pPr>
        <w:rPr>
          <w:sz w:val="24"/>
          <w:szCs w:val="24"/>
        </w:rPr>
      </w:pPr>
      <w:r>
        <w:rPr>
          <w:b/>
          <w:bCs/>
          <w:sz w:val="24"/>
          <w:szCs w:val="24"/>
        </w:rPr>
        <w:t>A.</w:t>
      </w:r>
      <w:r>
        <w:rPr>
          <w:b/>
          <w:bCs/>
          <w:sz w:val="24"/>
          <w:szCs w:val="24"/>
        </w:rPr>
        <w:tab/>
        <w:t>JUSTIFICATION</w:t>
      </w:r>
    </w:p>
    <w:p w:rsidR="00553BA5" w:rsidRDefault="00553BA5" w:rsidP="00280226">
      <w:pPr>
        <w:rPr>
          <w:sz w:val="24"/>
          <w:szCs w:val="24"/>
        </w:rPr>
      </w:pPr>
    </w:p>
    <w:p w:rsidR="00553BA5" w:rsidRPr="00280226" w:rsidRDefault="00553BA5" w:rsidP="00280226">
      <w:pPr>
        <w:rPr>
          <w:sz w:val="24"/>
          <w:szCs w:val="24"/>
          <w:u w:val="single"/>
        </w:rPr>
      </w:pPr>
      <w:r>
        <w:rPr>
          <w:sz w:val="24"/>
          <w:szCs w:val="24"/>
        </w:rPr>
        <w:t xml:space="preserve">1.  </w:t>
      </w:r>
      <w:r w:rsidRPr="00280226">
        <w:rPr>
          <w:sz w:val="24"/>
          <w:szCs w:val="24"/>
          <w:u w:val="single"/>
        </w:rPr>
        <w:t>Circumstances of Information Collection</w:t>
      </w:r>
    </w:p>
    <w:p w:rsidR="00553BA5" w:rsidRDefault="00553BA5" w:rsidP="00280226">
      <w:pPr>
        <w:rPr>
          <w:sz w:val="24"/>
          <w:szCs w:val="24"/>
        </w:rPr>
      </w:pPr>
    </w:p>
    <w:p w:rsidR="00553BA5" w:rsidRDefault="00553BA5" w:rsidP="00280226">
      <w:pPr>
        <w:rPr>
          <w:sz w:val="24"/>
          <w:szCs w:val="24"/>
        </w:rPr>
      </w:pPr>
      <w:r>
        <w:rPr>
          <w:sz w:val="24"/>
          <w:szCs w:val="24"/>
        </w:rPr>
        <w:t>This is a request for Office of Management and Budget (OMB) approval of an extension for the burden</w:t>
      </w:r>
      <w:r w:rsidR="00992123">
        <w:rPr>
          <w:sz w:val="24"/>
          <w:szCs w:val="24"/>
        </w:rPr>
        <w:t xml:space="preserve"> of</w:t>
      </w:r>
      <w:r>
        <w:rPr>
          <w:sz w:val="24"/>
          <w:szCs w:val="24"/>
        </w:rPr>
        <w:t xml:space="preserve"> the application form</w:t>
      </w:r>
      <w:r w:rsidR="00992123">
        <w:rPr>
          <w:sz w:val="24"/>
          <w:szCs w:val="24"/>
        </w:rPr>
        <w:t>s</w:t>
      </w:r>
      <w:r>
        <w:rPr>
          <w:sz w:val="24"/>
          <w:szCs w:val="24"/>
        </w:rPr>
        <w:t xml:space="preserve"> for the Health Resources and Services Administration’s (HRSA) National Health Service Corps (NHSC) Loan Repayment Program (LRP).</w:t>
      </w:r>
      <w:r w:rsidR="00F935EB">
        <w:rPr>
          <w:sz w:val="24"/>
          <w:szCs w:val="24"/>
        </w:rPr>
        <w:t xml:space="preserve"> </w:t>
      </w:r>
      <w:r>
        <w:rPr>
          <w:sz w:val="24"/>
          <w:szCs w:val="24"/>
        </w:rPr>
        <w:t xml:space="preserve"> An NHSC/LRP application is required by 42 U.S.C. 2541-1</w:t>
      </w:r>
      <w:r w:rsidR="00F935EB">
        <w:rPr>
          <w:sz w:val="24"/>
          <w:szCs w:val="24"/>
        </w:rPr>
        <w:t xml:space="preserve">(c).  </w:t>
      </w:r>
      <w:r>
        <w:rPr>
          <w:sz w:val="24"/>
          <w:szCs w:val="24"/>
        </w:rPr>
        <w:t>The current NHSC/LRP regulations are found at 42 CFR Part 62.</w:t>
      </w:r>
      <w:r w:rsidR="00F935EB">
        <w:rPr>
          <w:sz w:val="24"/>
          <w:szCs w:val="24"/>
        </w:rPr>
        <w:t xml:space="preserve"> </w:t>
      </w:r>
      <w:r>
        <w:rPr>
          <w:sz w:val="24"/>
          <w:szCs w:val="24"/>
        </w:rPr>
        <w:t xml:space="preserve"> The current OMB approval number for the application (including the Employment Verification and Community Site Information Form, the Loan Information and Verification Form, </w:t>
      </w:r>
      <w:r w:rsidR="001D0A8B">
        <w:rPr>
          <w:sz w:val="24"/>
          <w:szCs w:val="24"/>
        </w:rPr>
        <w:t xml:space="preserve">and </w:t>
      </w:r>
      <w:r>
        <w:rPr>
          <w:sz w:val="24"/>
          <w:szCs w:val="24"/>
        </w:rPr>
        <w:t>the Authorization</w:t>
      </w:r>
      <w:r w:rsidR="001D0A8B">
        <w:rPr>
          <w:sz w:val="24"/>
          <w:szCs w:val="24"/>
        </w:rPr>
        <w:t xml:space="preserve"> to Release Information Form) </w:t>
      </w:r>
      <w:r>
        <w:rPr>
          <w:sz w:val="24"/>
          <w:szCs w:val="24"/>
        </w:rPr>
        <w:t>is 0915-0127, which expires on October 31, 2010.</w:t>
      </w:r>
    </w:p>
    <w:p w:rsidR="00553BA5" w:rsidRDefault="00553BA5" w:rsidP="00280226">
      <w:pPr>
        <w:rPr>
          <w:sz w:val="24"/>
          <w:szCs w:val="24"/>
        </w:rPr>
      </w:pPr>
    </w:p>
    <w:p w:rsidR="00553BA5" w:rsidRDefault="00553BA5" w:rsidP="00280226">
      <w:pPr>
        <w:rPr>
          <w:sz w:val="24"/>
          <w:szCs w:val="24"/>
        </w:rPr>
      </w:pPr>
      <w:r>
        <w:rPr>
          <w:sz w:val="24"/>
          <w:szCs w:val="24"/>
        </w:rPr>
        <w:t>Under the NHSC/LRP, the Department of Health and Human Services (HHS) enters into contracts with selected primary care health professionals who agree to provide full-time primary health services in designated health professional shortage areas (HPSAs).</w:t>
      </w:r>
      <w:r w:rsidR="00F935EB">
        <w:rPr>
          <w:sz w:val="24"/>
          <w:szCs w:val="24"/>
        </w:rPr>
        <w:t xml:space="preserve"> </w:t>
      </w:r>
      <w:r>
        <w:rPr>
          <w:sz w:val="24"/>
          <w:szCs w:val="24"/>
        </w:rPr>
        <w:t xml:space="preserve"> In return for these health services, HHS agrees to repay </w:t>
      </w:r>
      <w:r w:rsidRPr="002D52F2">
        <w:rPr>
          <w:sz w:val="24"/>
          <w:szCs w:val="24"/>
        </w:rPr>
        <w:t xml:space="preserve">up to </w:t>
      </w:r>
      <w:r w:rsidRPr="005D39B5">
        <w:rPr>
          <w:sz w:val="24"/>
          <w:szCs w:val="24"/>
        </w:rPr>
        <w:t>$50,000</w:t>
      </w:r>
      <w:r>
        <w:rPr>
          <w:sz w:val="24"/>
          <w:szCs w:val="24"/>
        </w:rPr>
        <w:t xml:space="preserve"> per year toward the health professionals' qualifying educational loans. </w:t>
      </w:r>
      <w:r w:rsidR="00F935EB">
        <w:rPr>
          <w:sz w:val="24"/>
          <w:szCs w:val="24"/>
        </w:rPr>
        <w:t xml:space="preserve"> </w:t>
      </w:r>
      <w:r>
        <w:rPr>
          <w:sz w:val="24"/>
          <w:szCs w:val="24"/>
        </w:rPr>
        <w:t>Qualifying educational loans are loans from Government or commercial lending institutions for actual costs for tuition, reasonable educational expenses, and reasonable living expenses for graduate and undergraduate education.</w:t>
      </w:r>
    </w:p>
    <w:p w:rsidR="00553BA5" w:rsidRDefault="00553BA5" w:rsidP="00280226">
      <w:pPr>
        <w:rPr>
          <w:sz w:val="24"/>
          <w:szCs w:val="24"/>
        </w:rPr>
      </w:pPr>
    </w:p>
    <w:p w:rsidR="00553BA5" w:rsidRDefault="00553BA5" w:rsidP="00280226">
      <w:pPr>
        <w:rPr>
          <w:sz w:val="24"/>
          <w:szCs w:val="24"/>
        </w:rPr>
      </w:pPr>
      <w:r w:rsidRPr="005D39B5">
        <w:rPr>
          <w:sz w:val="24"/>
          <w:szCs w:val="24"/>
        </w:rPr>
        <w:t>This request is to continue the approval by OMB for the application package</w:t>
      </w:r>
      <w:r w:rsidR="002D52F2" w:rsidRPr="005D39B5">
        <w:rPr>
          <w:sz w:val="24"/>
          <w:szCs w:val="24"/>
        </w:rPr>
        <w:t>,</w:t>
      </w:r>
      <w:r w:rsidRPr="005D39B5">
        <w:rPr>
          <w:sz w:val="24"/>
          <w:szCs w:val="24"/>
        </w:rPr>
        <w:t xml:space="preserve"> </w:t>
      </w:r>
      <w:r w:rsidR="00CF6E66" w:rsidRPr="005D39B5">
        <w:rPr>
          <w:sz w:val="24"/>
          <w:szCs w:val="24"/>
        </w:rPr>
        <w:t>which has had no substantive changes</w:t>
      </w:r>
      <w:r w:rsidR="002D52F2" w:rsidRPr="005D39B5">
        <w:rPr>
          <w:sz w:val="24"/>
          <w:szCs w:val="24"/>
        </w:rPr>
        <w:t xml:space="preserve"> since its last Notice of Action on 6/9/2009</w:t>
      </w:r>
      <w:r w:rsidR="00CF6E66" w:rsidRPr="005D39B5">
        <w:rPr>
          <w:sz w:val="24"/>
          <w:szCs w:val="24"/>
        </w:rPr>
        <w:t>.  A nonsubstantive change, to collect and maintain basic contact information from NHSC applicants who complete the program, is included in this collection of information and described in this Supporting Statement.</w:t>
      </w:r>
      <w:r w:rsidR="0005544B">
        <w:rPr>
          <w:sz w:val="24"/>
          <w:szCs w:val="24"/>
        </w:rPr>
        <w:t xml:space="preserve"> Additionally, two forms </w:t>
      </w:r>
      <w:r w:rsidR="00992123">
        <w:rPr>
          <w:sz w:val="24"/>
          <w:szCs w:val="24"/>
        </w:rPr>
        <w:t xml:space="preserve">(NHSC Checklist and Lender Form) </w:t>
      </w:r>
      <w:r w:rsidR="0005544B">
        <w:rPr>
          <w:sz w:val="24"/>
          <w:szCs w:val="24"/>
        </w:rPr>
        <w:t>hav</w:t>
      </w:r>
      <w:r w:rsidR="00992123">
        <w:rPr>
          <w:sz w:val="24"/>
          <w:szCs w:val="24"/>
        </w:rPr>
        <w:t>e been deleted due to redundancy</w:t>
      </w:r>
      <w:r w:rsidR="0005544B">
        <w:rPr>
          <w:sz w:val="24"/>
          <w:szCs w:val="24"/>
        </w:rPr>
        <w:t xml:space="preserve">. </w:t>
      </w:r>
    </w:p>
    <w:p w:rsidR="00553BA5" w:rsidRDefault="00553BA5" w:rsidP="00280226">
      <w:pPr>
        <w:rPr>
          <w:sz w:val="24"/>
          <w:szCs w:val="24"/>
        </w:rPr>
      </w:pPr>
    </w:p>
    <w:p w:rsidR="00553BA5" w:rsidRDefault="00553BA5" w:rsidP="00280226">
      <w:pPr>
        <w:rPr>
          <w:sz w:val="24"/>
          <w:szCs w:val="24"/>
        </w:rPr>
      </w:pPr>
      <w:r>
        <w:rPr>
          <w:sz w:val="24"/>
          <w:szCs w:val="24"/>
        </w:rPr>
        <w:t xml:space="preserve">2.  </w:t>
      </w:r>
      <w:r>
        <w:rPr>
          <w:sz w:val="24"/>
          <w:szCs w:val="24"/>
          <w:u w:val="single"/>
        </w:rPr>
        <w:t>Purpose and Use of Information</w:t>
      </w:r>
    </w:p>
    <w:p w:rsidR="00553BA5" w:rsidRDefault="00553BA5" w:rsidP="00280226">
      <w:pPr>
        <w:rPr>
          <w:sz w:val="24"/>
          <w:szCs w:val="24"/>
        </w:rPr>
      </w:pPr>
    </w:p>
    <w:p w:rsidR="00553BA5" w:rsidRDefault="00553BA5" w:rsidP="00280226">
      <w:pPr>
        <w:rPr>
          <w:sz w:val="24"/>
          <w:szCs w:val="24"/>
        </w:rPr>
      </w:pPr>
      <w:r>
        <w:rPr>
          <w:sz w:val="24"/>
          <w:szCs w:val="24"/>
        </w:rPr>
        <w:t>Application</w:t>
      </w:r>
    </w:p>
    <w:p w:rsidR="00553BA5" w:rsidRDefault="00553BA5" w:rsidP="00280226">
      <w:pPr>
        <w:rPr>
          <w:sz w:val="24"/>
          <w:szCs w:val="24"/>
        </w:rPr>
      </w:pPr>
    </w:p>
    <w:p w:rsidR="00553BA5" w:rsidRDefault="00553BA5" w:rsidP="00280226">
      <w:pPr>
        <w:rPr>
          <w:sz w:val="24"/>
          <w:szCs w:val="24"/>
        </w:rPr>
      </w:pPr>
      <w:r>
        <w:rPr>
          <w:sz w:val="24"/>
          <w:szCs w:val="24"/>
        </w:rPr>
        <w:t>The purpose of the application form is to obtain information from an applicant that is used to consider an applicant for a NHSC LRP contract award.  Applicants are requested to submit to the Secretary an application to participate in the program. The application asks for personal, professional and financial information required to determine the applicant's eligibility to participate in the NHSC/LRP. In addition, for each of the loans for which repayment is being requested, the applicant is asked to complete a one-page form that identifies past and present lenders, purpose of the loan, original date and amount of the loan, current balance and interest rate, and default status.</w:t>
      </w:r>
    </w:p>
    <w:p w:rsidR="00553BA5" w:rsidRDefault="00553BA5" w:rsidP="00280226">
      <w:pPr>
        <w:rPr>
          <w:sz w:val="24"/>
          <w:szCs w:val="24"/>
        </w:rPr>
      </w:pPr>
    </w:p>
    <w:p w:rsidR="00553BA5" w:rsidRDefault="00553BA5" w:rsidP="00280226">
      <w:pPr>
        <w:rPr>
          <w:sz w:val="24"/>
          <w:szCs w:val="24"/>
        </w:rPr>
      </w:pPr>
      <w:r>
        <w:rPr>
          <w:sz w:val="24"/>
          <w:szCs w:val="24"/>
        </w:rPr>
        <w:t xml:space="preserve">The NHSC/LRP is required by statute to give priority to applicants whose training is in a health profession or specialty determined by the Secretary to be needed by the NHSC, to applicants </w:t>
      </w:r>
      <w:r>
        <w:rPr>
          <w:sz w:val="24"/>
          <w:szCs w:val="24"/>
        </w:rPr>
        <w:lastRenderedPageBreak/>
        <w:t>who have characteristics that increase the probability that the individual will continue to serve in a HPSA after the period of obligated service, and to applicants who are from a disadvantaged background.</w:t>
      </w:r>
    </w:p>
    <w:p w:rsidR="00553BA5" w:rsidRDefault="00553BA5" w:rsidP="00280226">
      <w:pPr>
        <w:rPr>
          <w:sz w:val="24"/>
          <w:szCs w:val="24"/>
        </w:rPr>
      </w:pPr>
    </w:p>
    <w:p w:rsidR="00CF6E66" w:rsidRDefault="00553BA5" w:rsidP="00280226">
      <w:pPr>
        <w:rPr>
          <w:sz w:val="24"/>
          <w:szCs w:val="24"/>
        </w:rPr>
      </w:pPr>
      <w:r>
        <w:rPr>
          <w:sz w:val="24"/>
          <w:szCs w:val="24"/>
        </w:rPr>
        <w:t xml:space="preserve">The application process is completely online.  The application package contains the following forms that will be used by Program applicants and participants: the LRP Application Form, the Employment Verification and Community Site Information Form, the Loan Information and Verification Form, the Authorization to Release Information Form, </w:t>
      </w:r>
      <w:r w:rsidR="001D0A8B">
        <w:rPr>
          <w:sz w:val="24"/>
          <w:szCs w:val="24"/>
        </w:rPr>
        <w:t xml:space="preserve">and </w:t>
      </w:r>
      <w:r>
        <w:rPr>
          <w:sz w:val="24"/>
          <w:szCs w:val="24"/>
        </w:rPr>
        <w:t>the Self-Certification Form</w:t>
      </w:r>
      <w:r w:rsidR="001D0A8B">
        <w:rPr>
          <w:sz w:val="24"/>
          <w:szCs w:val="24"/>
        </w:rPr>
        <w:t>.</w:t>
      </w:r>
      <w:r w:rsidR="0005544B">
        <w:rPr>
          <w:sz w:val="24"/>
          <w:szCs w:val="24"/>
        </w:rPr>
        <w:t xml:space="preserve"> </w:t>
      </w:r>
      <w:r w:rsidR="0005544B" w:rsidRPr="0005544B">
        <w:rPr>
          <w:sz w:val="24"/>
          <w:szCs w:val="24"/>
        </w:rPr>
        <w:t xml:space="preserve"> </w:t>
      </w:r>
      <w:r w:rsidR="0005544B">
        <w:rPr>
          <w:sz w:val="24"/>
          <w:szCs w:val="24"/>
        </w:rPr>
        <w:t xml:space="preserve">This submission no longer includes the NHSC checklist and the NHSC Lender Form because of redundancy and duplication of burden.  </w:t>
      </w:r>
    </w:p>
    <w:p w:rsidR="001D0A8B" w:rsidRDefault="001D0A8B" w:rsidP="00280226">
      <w:pPr>
        <w:rPr>
          <w:sz w:val="24"/>
          <w:szCs w:val="24"/>
        </w:rPr>
      </w:pPr>
    </w:p>
    <w:p w:rsidR="00CF6E66" w:rsidRDefault="00CF6E66" w:rsidP="00CF6E66">
      <w:r w:rsidRPr="005D39B5">
        <w:rPr>
          <w:sz w:val="24"/>
          <w:szCs w:val="24"/>
        </w:rPr>
        <w:t>Once health professionals complete NHSC service, basic contact information such as name, phone number, email address, state (of residence and/or employment), discipline and specialty</w:t>
      </w:r>
      <w:r w:rsidR="002B7C31" w:rsidRPr="005D39B5">
        <w:rPr>
          <w:sz w:val="24"/>
          <w:szCs w:val="24"/>
        </w:rPr>
        <w:t>, uniformed services rank and status (active duty or retired), and NHSC service category (Scholar, Loan Repayor or Volunteer)</w:t>
      </w:r>
      <w:r w:rsidRPr="005D39B5">
        <w:rPr>
          <w:sz w:val="24"/>
          <w:szCs w:val="24"/>
        </w:rPr>
        <w:t xml:space="preserve"> will be collected and  maintained in a database to enable HRSA to communicate with NHSC alumni.  Establishing an active network of current and alumni NHSC health professionals will allow them to serve as a potential resource for the recruitment or mentoring of future and current primary health care providers to practice in underserved communities.</w:t>
      </w:r>
      <w:r>
        <w:t xml:space="preserve">  </w:t>
      </w:r>
    </w:p>
    <w:p w:rsidR="00CF6E66" w:rsidRDefault="00CF6E66" w:rsidP="00280226">
      <w:pPr>
        <w:rPr>
          <w:sz w:val="24"/>
          <w:szCs w:val="24"/>
        </w:rPr>
      </w:pPr>
    </w:p>
    <w:p w:rsidR="00553BA5" w:rsidRDefault="00553BA5" w:rsidP="00280226">
      <w:pPr>
        <w:rPr>
          <w:sz w:val="24"/>
          <w:szCs w:val="24"/>
        </w:rPr>
      </w:pPr>
    </w:p>
    <w:p w:rsidR="00553BA5" w:rsidRDefault="00553BA5" w:rsidP="00280226">
      <w:pPr>
        <w:rPr>
          <w:sz w:val="24"/>
          <w:szCs w:val="24"/>
        </w:rPr>
      </w:pPr>
      <w:r>
        <w:rPr>
          <w:sz w:val="24"/>
          <w:szCs w:val="24"/>
        </w:rPr>
        <w:t xml:space="preserve">3.  </w:t>
      </w:r>
      <w:r>
        <w:rPr>
          <w:sz w:val="24"/>
          <w:szCs w:val="24"/>
          <w:u w:val="single"/>
        </w:rPr>
        <w:t>Use of Improved Information Technology</w:t>
      </w:r>
    </w:p>
    <w:p w:rsidR="00553BA5" w:rsidRDefault="00553BA5" w:rsidP="00280226">
      <w:pPr>
        <w:rPr>
          <w:sz w:val="24"/>
          <w:szCs w:val="24"/>
        </w:rPr>
      </w:pPr>
    </w:p>
    <w:p w:rsidR="00553BA5" w:rsidRDefault="00CF6E66" w:rsidP="00280226">
      <w:pPr>
        <w:rPr>
          <w:sz w:val="24"/>
          <w:szCs w:val="24"/>
        </w:rPr>
      </w:pPr>
      <w:r>
        <w:rPr>
          <w:sz w:val="24"/>
          <w:szCs w:val="24"/>
        </w:rPr>
        <w:t>This information collection activity is fully web-based. A</w:t>
      </w:r>
      <w:r w:rsidR="00553BA5">
        <w:rPr>
          <w:sz w:val="24"/>
          <w:szCs w:val="24"/>
        </w:rPr>
        <w:t>pplication instructions and form</w:t>
      </w:r>
      <w:r>
        <w:rPr>
          <w:sz w:val="24"/>
          <w:szCs w:val="24"/>
        </w:rPr>
        <w:t>s</w:t>
      </w:r>
      <w:r w:rsidR="00553BA5">
        <w:rPr>
          <w:sz w:val="24"/>
          <w:szCs w:val="24"/>
        </w:rPr>
        <w:t xml:space="preserve"> are available on the NHSC web site at </w:t>
      </w:r>
      <w:hyperlink r:id="rId4" w:history="1">
        <w:r w:rsidR="00553BA5" w:rsidRPr="00B70858">
          <w:rPr>
            <w:rStyle w:val="Hyperlink"/>
            <w:sz w:val="24"/>
            <w:szCs w:val="24"/>
          </w:rPr>
          <w:t>http://nhsc.hrsa.gov/loanrepayment/apply.htm</w:t>
        </w:r>
      </w:hyperlink>
      <w:r w:rsidR="00553BA5" w:rsidRPr="00C96688">
        <w:rPr>
          <w:rStyle w:val="SYSHYPERTEXT"/>
          <w:sz w:val="24"/>
          <w:szCs w:val="24"/>
          <w:u w:val="none"/>
        </w:rPr>
        <w:t>.</w:t>
      </w:r>
      <w:r w:rsidR="00553BA5" w:rsidRPr="00C96688">
        <w:rPr>
          <w:sz w:val="24"/>
          <w:szCs w:val="24"/>
        </w:rPr>
        <w:t xml:space="preserve"> </w:t>
      </w:r>
      <w:r w:rsidR="00553BA5">
        <w:rPr>
          <w:sz w:val="24"/>
          <w:szCs w:val="24"/>
        </w:rPr>
        <w:t xml:space="preserve">  </w:t>
      </w:r>
    </w:p>
    <w:p w:rsidR="00553BA5" w:rsidRDefault="00553BA5" w:rsidP="00280226">
      <w:pPr>
        <w:rPr>
          <w:sz w:val="24"/>
          <w:szCs w:val="24"/>
        </w:rPr>
      </w:pPr>
    </w:p>
    <w:p w:rsidR="00553BA5" w:rsidRDefault="00553BA5" w:rsidP="00280226">
      <w:pPr>
        <w:rPr>
          <w:sz w:val="24"/>
          <w:szCs w:val="24"/>
        </w:rPr>
      </w:pPr>
      <w:r>
        <w:rPr>
          <w:sz w:val="24"/>
          <w:szCs w:val="24"/>
        </w:rPr>
        <w:t xml:space="preserve">4.  </w:t>
      </w:r>
      <w:r>
        <w:rPr>
          <w:sz w:val="24"/>
          <w:szCs w:val="24"/>
          <w:u w:val="single"/>
        </w:rPr>
        <w:t>Efforts to Avoid Duplication</w:t>
      </w:r>
    </w:p>
    <w:p w:rsidR="00553BA5" w:rsidRDefault="00553BA5" w:rsidP="00280226">
      <w:pPr>
        <w:rPr>
          <w:sz w:val="24"/>
          <w:szCs w:val="24"/>
        </w:rPr>
      </w:pPr>
    </w:p>
    <w:p w:rsidR="00553BA5" w:rsidRDefault="00553BA5" w:rsidP="00280226">
      <w:pPr>
        <w:rPr>
          <w:sz w:val="24"/>
          <w:szCs w:val="24"/>
        </w:rPr>
      </w:pPr>
      <w:r>
        <w:rPr>
          <w:sz w:val="24"/>
          <w:szCs w:val="24"/>
        </w:rPr>
        <w:t>The information requested in the application and regulations is specific to the applicant and unique to this program.</w:t>
      </w:r>
    </w:p>
    <w:p w:rsidR="00553BA5" w:rsidRDefault="00553BA5" w:rsidP="00280226">
      <w:pPr>
        <w:rPr>
          <w:sz w:val="24"/>
          <w:szCs w:val="24"/>
        </w:rPr>
      </w:pPr>
    </w:p>
    <w:p w:rsidR="00553BA5" w:rsidRDefault="00553BA5" w:rsidP="00280226">
      <w:pPr>
        <w:rPr>
          <w:sz w:val="24"/>
          <w:szCs w:val="24"/>
        </w:rPr>
      </w:pPr>
      <w:r>
        <w:rPr>
          <w:sz w:val="24"/>
          <w:szCs w:val="24"/>
        </w:rPr>
        <w:t xml:space="preserve">5.  </w:t>
      </w:r>
      <w:r>
        <w:rPr>
          <w:sz w:val="24"/>
          <w:szCs w:val="24"/>
          <w:u w:val="single"/>
        </w:rPr>
        <w:t>Involvement of Small Entities</w:t>
      </w:r>
    </w:p>
    <w:p w:rsidR="00553BA5" w:rsidRDefault="00553BA5" w:rsidP="00280226">
      <w:pPr>
        <w:rPr>
          <w:sz w:val="24"/>
          <w:szCs w:val="24"/>
        </w:rPr>
      </w:pPr>
    </w:p>
    <w:p w:rsidR="00553BA5" w:rsidRDefault="00CF6E66" w:rsidP="00280226">
      <w:pPr>
        <w:rPr>
          <w:sz w:val="24"/>
          <w:szCs w:val="24"/>
        </w:rPr>
      </w:pPr>
      <w:r>
        <w:rPr>
          <w:sz w:val="24"/>
          <w:szCs w:val="24"/>
        </w:rPr>
        <w:t xml:space="preserve">The information collection </w:t>
      </w:r>
      <w:r w:rsidR="00553BA5">
        <w:rPr>
          <w:sz w:val="24"/>
          <w:szCs w:val="24"/>
        </w:rPr>
        <w:t xml:space="preserve">will not have a significant impact on small entities. </w:t>
      </w:r>
    </w:p>
    <w:p w:rsidR="00553BA5" w:rsidRDefault="00553BA5" w:rsidP="00280226">
      <w:pPr>
        <w:rPr>
          <w:sz w:val="24"/>
          <w:szCs w:val="24"/>
        </w:rPr>
      </w:pPr>
    </w:p>
    <w:p w:rsidR="00553BA5" w:rsidRDefault="00553BA5" w:rsidP="00280226">
      <w:pPr>
        <w:rPr>
          <w:sz w:val="24"/>
          <w:szCs w:val="24"/>
        </w:rPr>
      </w:pPr>
      <w:r>
        <w:rPr>
          <w:sz w:val="24"/>
          <w:szCs w:val="24"/>
        </w:rPr>
        <w:t xml:space="preserve">6.  </w:t>
      </w:r>
      <w:r>
        <w:rPr>
          <w:sz w:val="24"/>
          <w:szCs w:val="24"/>
          <w:u w:val="single"/>
        </w:rPr>
        <w:t>Consequences if Information is Collected Less Frequently</w:t>
      </w:r>
    </w:p>
    <w:p w:rsidR="00553BA5" w:rsidRDefault="00553BA5" w:rsidP="00280226">
      <w:pPr>
        <w:rPr>
          <w:sz w:val="24"/>
          <w:szCs w:val="24"/>
        </w:rPr>
      </w:pPr>
    </w:p>
    <w:p w:rsidR="00553BA5" w:rsidRDefault="00553BA5" w:rsidP="00280226">
      <w:pPr>
        <w:rPr>
          <w:sz w:val="24"/>
          <w:szCs w:val="24"/>
        </w:rPr>
      </w:pPr>
      <w:r>
        <w:rPr>
          <w:sz w:val="24"/>
          <w:szCs w:val="24"/>
        </w:rPr>
        <w:t>The selection process for the NHSC/LRP applicants necessitates the collection of required data prior to the Secretary entering into a contract for repayment of qualifying education loans. In the absence of collection of these data, review, selection, and approval of qualified applicants cannot be carried out. The NHSC/LRP requests the information once each fiscal year until an applicant is awarded a NHSC/LRP contract.</w:t>
      </w:r>
    </w:p>
    <w:p w:rsidR="00553BA5" w:rsidRDefault="00553BA5" w:rsidP="00280226">
      <w:pPr>
        <w:rPr>
          <w:sz w:val="24"/>
          <w:szCs w:val="24"/>
        </w:rPr>
      </w:pPr>
    </w:p>
    <w:p w:rsidR="00553BA5" w:rsidRDefault="00553BA5" w:rsidP="00280226">
      <w:pPr>
        <w:rPr>
          <w:sz w:val="24"/>
          <w:szCs w:val="24"/>
        </w:rPr>
      </w:pPr>
      <w:r>
        <w:rPr>
          <w:sz w:val="24"/>
          <w:szCs w:val="24"/>
        </w:rPr>
        <w:t xml:space="preserve">7.  </w:t>
      </w:r>
      <w:r>
        <w:rPr>
          <w:sz w:val="24"/>
          <w:szCs w:val="24"/>
          <w:u w:val="single"/>
        </w:rPr>
        <w:t>Consistency with the Guidelines in 5 CFR 1320.5 (d)(2)</w:t>
      </w:r>
    </w:p>
    <w:p w:rsidR="00553BA5" w:rsidRDefault="00553BA5" w:rsidP="00280226">
      <w:pPr>
        <w:rPr>
          <w:sz w:val="24"/>
          <w:szCs w:val="24"/>
        </w:rPr>
      </w:pPr>
    </w:p>
    <w:p w:rsidR="00553BA5" w:rsidRDefault="00553BA5" w:rsidP="00280226">
      <w:pPr>
        <w:rPr>
          <w:sz w:val="24"/>
          <w:szCs w:val="24"/>
        </w:rPr>
      </w:pPr>
      <w:r>
        <w:rPr>
          <w:sz w:val="24"/>
          <w:szCs w:val="24"/>
        </w:rPr>
        <w:t>This information collection is consistent with 5 CFR 1320.5 (d)(2).</w:t>
      </w:r>
    </w:p>
    <w:p w:rsidR="00553BA5" w:rsidRDefault="00553BA5" w:rsidP="00280226">
      <w:pPr>
        <w:rPr>
          <w:sz w:val="24"/>
          <w:szCs w:val="24"/>
        </w:rPr>
      </w:pPr>
    </w:p>
    <w:p w:rsidR="00553BA5" w:rsidRDefault="00553BA5" w:rsidP="00280226">
      <w:pPr>
        <w:rPr>
          <w:sz w:val="24"/>
          <w:szCs w:val="24"/>
        </w:rPr>
      </w:pPr>
      <w:r>
        <w:rPr>
          <w:sz w:val="24"/>
          <w:szCs w:val="24"/>
        </w:rPr>
        <w:t xml:space="preserve">8.  </w:t>
      </w:r>
      <w:r>
        <w:rPr>
          <w:sz w:val="24"/>
          <w:szCs w:val="24"/>
          <w:u w:val="single"/>
        </w:rPr>
        <w:t>Consultation Outside the Agency</w:t>
      </w:r>
    </w:p>
    <w:p w:rsidR="00553BA5" w:rsidRDefault="00553BA5" w:rsidP="00280226">
      <w:pPr>
        <w:rPr>
          <w:sz w:val="24"/>
          <w:szCs w:val="24"/>
        </w:rPr>
      </w:pPr>
    </w:p>
    <w:p w:rsidR="00553BA5" w:rsidRDefault="00553BA5" w:rsidP="00280226">
      <w:pPr>
        <w:rPr>
          <w:sz w:val="24"/>
          <w:szCs w:val="24"/>
        </w:rPr>
      </w:pPr>
      <w:r w:rsidRPr="002D52F2">
        <w:rPr>
          <w:sz w:val="24"/>
          <w:szCs w:val="24"/>
        </w:rPr>
        <w:t xml:space="preserve">The notice required in 5 CFR 1320.8(d) was published in the </w:t>
      </w:r>
      <w:r w:rsidRPr="002D52F2">
        <w:rPr>
          <w:i/>
          <w:iCs/>
          <w:sz w:val="24"/>
          <w:szCs w:val="24"/>
        </w:rPr>
        <w:t>Federal Register</w:t>
      </w:r>
      <w:r w:rsidRPr="002D52F2">
        <w:rPr>
          <w:sz w:val="24"/>
          <w:szCs w:val="24"/>
        </w:rPr>
        <w:t xml:space="preserve"> on April 8, 2010, Vol.75, No. 67, page 17923. </w:t>
      </w:r>
      <w:r w:rsidRPr="007F55DD">
        <w:rPr>
          <w:sz w:val="24"/>
          <w:szCs w:val="24"/>
        </w:rPr>
        <w:t xml:space="preserve">The 30 day notice was published in the </w:t>
      </w:r>
      <w:r w:rsidRPr="007F55DD">
        <w:rPr>
          <w:i/>
          <w:sz w:val="24"/>
          <w:szCs w:val="24"/>
        </w:rPr>
        <w:t>Federal Register</w:t>
      </w:r>
      <w:r w:rsidRPr="007F55DD">
        <w:rPr>
          <w:sz w:val="24"/>
          <w:szCs w:val="24"/>
        </w:rPr>
        <w:t xml:space="preserve"> on </w:t>
      </w:r>
      <w:r w:rsidR="007F55DD">
        <w:rPr>
          <w:sz w:val="24"/>
          <w:szCs w:val="24"/>
        </w:rPr>
        <w:t>August 23, 2010, Vol.75, No. 162</w:t>
      </w:r>
      <w:r w:rsidRPr="007F55DD">
        <w:rPr>
          <w:sz w:val="24"/>
          <w:szCs w:val="24"/>
        </w:rPr>
        <w:t xml:space="preserve">, page </w:t>
      </w:r>
      <w:r w:rsidR="007F55DD">
        <w:rPr>
          <w:sz w:val="24"/>
          <w:szCs w:val="24"/>
        </w:rPr>
        <w:t>51821</w:t>
      </w:r>
      <w:r w:rsidRPr="007F55DD">
        <w:rPr>
          <w:sz w:val="24"/>
          <w:szCs w:val="24"/>
        </w:rPr>
        <w:t>. No comments were received.</w:t>
      </w:r>
      <w:r>
        <w:rPr>
          <w:sz w:val="24"/>
          <w:szCs w:val="24"/>
        </w:rPr>
        <w:t xml:space="preserve"> </w:t>
      </w:r>
    </w:p>
    <w:p w:rsidR="00553BA5" w:rsidRDefault="00553BA5" w:rsidP="00280226">
      <w:pPr>
        <w:rPr>
          <w:sz w:val="24"/>
          <w:szCs w:val="24"/>
        </w:rPr>
      </w:pPr>
    </w:p>
    <w:p w:rsidR="0042181A" w:rsidRDefault="00553BA5" w:rsidP="00280226">
      <w:pPr>
        <w:rPr>
          <w:sz w:val="24"/>
          <w:szCs w:val="24"/>
        </w:rPr>
      </w:pPr>
      <w:r>
        <w:rPr>
          <w:sz w:val="24"/>
          <w:szCs w:val="24"/>
        </w:rPr>
        <w:t>The program has surveyed the following applicants to obtain constructive feedback to improve the application, improve efficiency, and minimize the collection burden. The comments on the clarity and ease of completion of the forms were positive. There were no suggestions for changes or revisions. Persons contacted include:</w:t>
      </w:r>
    </w:p>
    <w:p w:rsidR="0042181A" w:rsidRDefault="0042181A" w:rsidP="00280226">
      <w:pPr>
        <w:rPr>
          <w:sz w:val="24"/>
          <w:szCs w:val="24"/>
        </w:rPr>
      </w:pPr>
    </w:p>
    <w:p w:rsidR="00553BA5" w:rsidRDefault="00553BA5" w:rsidP="00280226">
      <w:pPr>
        <w:rPr>
          <w:sz w:val="24"/>
          <w:szCs w:val="24"/>
        </w:rPr>
      </w:pPr>
      <w:r>
        <w:rPr>
          <w:sz w:val="24"/>
          <w:szCs w:val="24"/>
        </w:rPr>
        <w:t>Applicants:</w:t>
      </w:r>
    </w:p>
    <w:p w:rsidR="00553BA5" w:rsidRDefault="00553BA5" w:rsidP="00280226">
      <w:pPr>
        <w:rPr>
          <w:sz w:val="24"/>
          <w:szCs w:val="24"/>
        </w:rPr>
      </w:pPr>
    </w:p>
    <w:p w:rsidR="00553BA5" w:rsidRPr="00AD3254" w:rsidRDefault="00553BA5" w:rsidP="00280226">
      <w:pPr>
        <w:rPr>
          <w:sz w:val="24"/>
          <w:szCs w:val="24"/>
        </w:rPr>
      </w:pPr>
      <w:r w:rsidRPr="00AD3254">
        <w:rPr>
          <w:sz w:val="24"/>
          <w:szCs w:val="24"/>
        </w:rPr>
        <w:t>Aniika Jackson</w:t>
      </w:r>
      <w:r>
        <w:rPr>
          <w:sz w:val="24"/>
          <w:szCs w:val="24"/>
        </w:rPr>
        <w:t>, DDS</w:t>
      </w:r>
    </w:p>
    <w:p w:rsidR="00553BA5" w:rsidRPr="00AD3254" w:rsidRDefault="00553BA5" w:rsidP="00280226">
      <w:pPr>
        <w:rPr>
          <w:sz w:val="24"/>
          <w:szCs w:val="24"/>
        </w:rPr>
      </w:pPr>
      <w:smartTag w:uri="urn:schemas-microsoft-com:office:smarttags" w:element="address">
        <w:smartTag w:uri="urn:schemas-microsoft-com:office:smarttags" w:element="Street">
          <w:r w:rsidRPr="00AD3254">
            <w:rPr>
              <w:sz w:val="24"/>
              <w:szCs w:val="24"/>
            </w:rPr>
            <w:t>600 E. 8th Street #3T</w:t>
          </w:r>
        </w:smartTag>
      </w:smartTag>
    </w:p>
    <w:p w:rsidR="00553BA5" w:rsidRPr="00AD3254" w:rsidRDefault="00553BA5" w:rsidP="00280226">
      <w:pPr>
        <w:rPr>
          <w:sz w:val="24"/>
          <w:szCs w:val="24"/>
        </w:rPr>
      </w:pPr>
      <w:smartTag w:uri="urn:schemas-microsoft-com:office:smarttags" w:element="City">
        <w:smartTag w:uri="urn:schemas-microsoft-com:office:smarttags" w:element="place">
          <w:r w:rsidRPr="00AD3254">
            <w:rPr>
              <w:sz w:val="24"/>
              <w:szCs w:val="24"/>
            </w:rPr>
            <w:t>Kansas City</w:t>
          </w:r>
        </w:smartTag>
        <w:r w:rsidRPr="00AD3254">
          <w:rPr>
            <w:sz w:val="24"/>
            <w:szCs w:val="24"/>
          </w:rPr>
          <w:t xml:space="preserve">, </w:t>
        </w:r>
        <w:smartTag w:uri="urn:schemas-microsoft-com:office:smarttags" w:element="PostalCode">
          <w:r w:rsidRPr="00AD3254">
            <w:rPr>
              <w:sz w:val="24"/>
              <w:szCs w:val="24"/>
            </w:rPr>
            <w:t>M</w:t>
          </w:r>
          <w:r>
            <w:rPr>
              <w:sz w:val="24"/>
              <w:szCs w:val="24"/>
            </w:rPr>
            <w:t>O</w:t>
          </w:r>
        </w:smartTag>
        <w:r>
          <w:rPr>
            <w:sz w:val="24"/>
            <w:szCs w:val="24"/>
          </w:rPr>
          <w:t xml:space="preserve"> </w:t>
        </w:r>
        <w:smartTag w:uri="urn:schemas-microsoft-com:office:smarttags" w:element="PostalCode">
          <w:r w:rsidRPr="00AD3254">
            <w:rPr>
              <w:sz w:val="24"/>
              <w:szCs w:val="24"/>
            </w:rPr>
            <w:t>64106</w:t>
          </w:r>
        </w:smartTag>
      </w:smartTag>
    </w:p>
    <w:p w:rsidR="00553BA5" w:rsidRPr="00AD3254" w:rsidRDefault="00553BA5" w:rsidP="00280226">
      <w:pPr>
        <w:rPr>
          <w:sz w:val="24"/>
          <w:szCs w:val="24"/>
        </w:rPr>
      </w:pPr>
      <w:r w:rsidRPr="00AD3254">
        <w:rPr>
          <w:sz w:val="24"/>
          <w:szCs w:val="24"/>
        </w:rPr>
        <w:t>504-913-4835</w:t>
      </w:r>
    </w:p>
    <w:p w:rsidR="00553BA5" w:rsidRDefault="00553BA5" w:rsidP="00280226">
      <w:pPr>
        <w:rPr>
          <w:sz w:val="24"/>
          <w:szCs w:val="24"/>
        </w:rPr>
      </w:pPr>
    </w:p>
    <w:p w:rsidR="00553BA5" w:rsidRPr="00AD3254" w:rsidRDefault="00553BA5" w:rsidP="00280226">
      <w:pPr>
        <w:rPr>
          <w:sz w:val="24"/>
          <w:szCs w:val="24"/>
        </w:rPr>
      </w:pPr>
      <w:smartTag w:uri="urn:schemas-microsoft-com:office:smarttags" w:element="PostalCode">
        <w:smartTag w:uri="urn:schemas-microsoft-com:office:smarttags" w:element="PostalCode">
          <w:r w:rsidRPr="00AD3254">
            <w:rPr>
              <w:sz w:val="24"/>
              <w:szCs w:val="24"/>
            </w:rPr>
            <w:t>Felina Ortiz</w:t>
          </w:r>
        </w:smartTag>
        <w:r>
          <w:rPr>
            <w:sz w:val="24"/>
            <w:szCs w:val="24"/>
          </w:rPr>
          <w:t xml:space="preserve">, </w:t>
        </w:r>
        <w:smartTag w:uri="urn:schemas-microsoft-com:office:smarttags" w:element="PostalCode">
          <w:r>
            <w:rPr>
              <w:sz w:val="24"/>
              <w:szCs w:val="24"/>
            </w:rPr>
            <w:t>NM</w:t>
          </w:r>
        </w:smartTag>
      </w:smartTag>
    </w:p>
    <w:p w:rsidR="00553BA5" w:rsidRPr="00AD3254" w:rsidRDefault="00553BA5" w:rsidP="00280226">
      <w:pPr>
        <w:rPr>
          <w:sz w:val="24"/>
          <w:szCs w:val="24"/>
        </w:rPr>
      </w:pPr>
      <w:smartTag w:uri="urn:schemas-microsoft-com:office:smarttags" w:element="PostalCode">
        <w:r w:rsidRPr="00AD3254">
          <w:rPr>
            <w:sz w:val="24"/>
            <w:szCs w:val="24"/>
          </w:rPr>
          <w:t>9704 Triana Place NW</w:t>
        </w:r>
      </w:smartTag>
    </w:p>
    <w:p w:rsidR="00553BA5" w:rsidRPr="00AD3254" w:rsidRDefault="00553BA5" w:rsidP="00280226">
      <w:pPr>
        <w:rPr>
          <w:sz w:val="24"/>
          <w:szCs w:val="24"/>
        </w:rPr>
      </w:pPr>
      <w:smartTag w:uri="urn:schemas-microsoft-com:office:smarttags" w:element="PostalCode">
        <w:smartTag w:uri="urn:schemas-microsoft-com:office:smarttags" w:element="PostalCode">
          <w:r w:rsidRPr="00AD3254">
            <w:rPr>
              <w:sz w:val="24"/>
              <w:szCs w:val="24"/>
            </w:rPr>
            <w:t>Albuquerque</w:t>
          </w:r>
        </w:smartTag>
        <w:r w:rsidRPr="00AD3254">
          <w:rPr>
            <w:sz w:val="24"/>
            <w:szCs w:val="24"/>
          </w:rPr>
          <w:t xml:space="preserve">, </w:t>
        </w:r>
        <w:smartTag w:uri="urn:schemas-microsoft-com:office:smarttags" w:element="PostalCode">
          <w:r>
            <w:rPr>
              <w:sz w:val="24"/>
              <w:szCs w:val="24"/>
            </w:rPr>
            <w:t>NM</w:t>
          </w:r>
        </w:smartTag>
        <w:r w:rsidRPr="00AD3254">
          <w:rPr>
            <w:sz w:val="24"/>
            <w:szCs w:val="24"/>
          </w:rPr>
          <w:t xml:space="preserve"> </w:t>
        </w:r>
        <w:smartTag w:uri="urn:schemas-microsoft-com:office:smarttags" w:element="PostalCode">
          <w:r w:rsidRPr="00AD3254">
            <w:rPr>
              <w:sz w:val="24"/>
              <w:szCs w:val="24"/>
            </w:rPr>
            <w:t>87114</w:t>
          </w:r>
        </w:smartTag>
      </w:smartTag>
    </w:p>
    <w:p w:rsidR="00553BA5" w:rsidRPr="00AD3254" w:rsidRDefault="00553BA5" w:rsidP="00280226">
      <w:pPr>
        <w:rPr>
          <w:sz w:val="24"/>
          <w:szCs w:val="24"/>
        </w:rPr>
      </w:pPr>
      <w:r w:rsidRPr="00AD3254">
        <w:rPr>
          <w:sz w:val="24"/>
          <w:szCs w:val="24"/>
        </w:rPr>
        <w:t>505-553-5084</w:t>
      </w:r>
    </w:p>
    <w:p w:rsidR="00553BA5" w:rsidRDefault="00553BA5" w:rsidP="00280226">
      <w:pPr>
        <w:rPr>
          <w:sz w:val="24"/>
          <w:szCs w:val="24"/>
        </w:rPr>
      </w:pPr>
    </w:p>
    <w:p w:rsidR="00553BA5" w:rsidRDefault="00553BA5" w:rsidP="00280226">
      <w:pPr>
        <w:rPr>
          <w:sz w:val="24"/>
          <w:szCs w:val="24"/>
        </w:rPr>
      </w:pPr>
      <w:r w:rsidRPr="005A252D">
        <w:rPr>
          <w:sz w:val="24"/>
          <w:szCs w:val="24"/>
        </w:rPr>
        <w:t>Adam Tahiru, PA</w:t>
      </w:r>
    </w:p>
    <w:p w:rsidR="0042181A" w:rsidRDefault="0042181A" w:rsidP="00280226">
      <w:pPr>
        <w:rPr>
          <w:sz w:val="24"/>
          <w:szCs w:val="24"/>
        </w:rPr>
      </w:pPr>
      <w:r>
        <w:rPr>
          <w:sz w:val="24"/>
          <w:szCs w:val="24"/>
        </w:rPr>
        <w:t>3883 West 25</w:t>
      </w:r>
      <w:r w:rsidRPr="0042181A">
        <w:rPr>
          <w:sz w:val="24"/>
          <w:szCs w:val="24"/>
          <w:vertAlign w:val="superscript"/>
        </w:rPr>
        <w:t>th</w:t>
      </w:r>
      <w:r>
        <w:rPr>
          <w:sz w:val="24"/>
          <w:szCs w:val="24"/>
        </w:rPr>
        <w:t xml:space="preserve"> Lane</w:t>
      </w:r>
    </w:p>
    <w:p w:rsidR="0042181A" w:rsidRDefault="0042181A" w:rsidP="00280226">
      <w:pPr>
        <w:rPr>
          <w:sz w:val="24"/>
          <w:szCs w:val="24"/>
        </w:rPr>
      </w:pPr>
      <w:r>
        <w:rPr>
          <w:sz w:val="24"/>
          <w:szCs w:val="24"/>
        </w:rPr>
        <w:t>Yuma, AZ 85364</w:t>
      </w:r>
    </w:p>
    <w:p w:rsidR="0042181A" w:rsidRDefault="0042181A" w:rsidP="00280226">
      <w:pPr>
        <w:rPr>
          <w:sz w:val="24"/>
          <w:szCs w:val="24"/>
        </w:rPr>
      </w:pPr>
      <w:r>
        <w:rPr>
          <w:sz w:val="24"/>
          <w:szCs w:val="24"/>
        </w:rPr>
        <w:t>760-530-4528</w:t>
      </w:r>
    </w:p>
    <w:p w:rsidR="00553BA5" w:rsidRDefault="00553BA5" w:rsidP="00280226">
      <w:pPr>
        <w:rPr>
          <w:sz w:val="24"/>
          <w:szCs w:val="24"/>
        </w:rPr>
      </w:pPr>
    </w:p>
    <w:p w:rsidR="00553BA5" w:rsidRDefault="00553BA5" w:rsidP="00280226">
      <w:pPr>
        <w:rPr>
          <w:sz w:val="24"/>
          <w:szCs w:val="24"/>
        </w:rPr>
      </w:pPr>
      <w:r>
        <w:rPr>
          <w:sz w:val="24"/>
          <w:szCs w:val="24"/>
        </w:rPr>
        <w:t xml:space="preserve">9.  </w:t>
      </w:r>
      <w:r>
        <w:rPr>
          <w:sz w:val="24"/>
          <w:szCs w:val="24"/>
          <w:u w:val="single"/>
        </w:rPr>
        <w:t>Remuneration of Respondents</w:t>
      </w:r>
    </w:p>
    <w:p w:rsidR="00553BA5" w:rsidRDefault="00553BA5" w:rsidP="00280226">
      <w:pPr>
        <w:rPr>
          <w:sz w:val="24"/>
          <w:szCs w:val="24"/>
        </w:rPr>
      </w:pPr>
    </w:p>
    <w:p w:rsidR="00553BA5" w:rsidRDefault="00553BA5" w:rsidP="00280226">
      <w:pPr>
        <w:rPr>
          <w:sz w:val="24"/>
          <w:szCs w:val="24"/>
        </w:rPr>
      </w:pPr>
      <w:r>
        <w:rPr>
          <w:sz w:val="24"/>
          <w:szCs w:val="24"/>
        </w:rPr>
        <w:t>Respondents will receive no remuneration.</w:t>
      </w:r>
    </w:p>
    <w:p w:rsidR="00553BA5" w:rsidRDefault="00553BA5" w:rsidP="00280226">
      <w:pPr>
        <w:rPr>
          <w:sz w:val="24"/>
          <w:szCs w:val="24"/>
        </w:rPr>
      </w:pPr>
    </w:p>
    <w:p w:rsidR="00553BA5" w:rsidRDefault="00553BA5" w:rsidP="00280226">
      <w:pPr>
        <w:rPr>
          <w:sz w:val="24"/>
          <w:szCs w:val="24"/>
        </w:rPr>
      </w:pPr>
      <w:r>
        <w:rPr>
          <w:sz w:val="24"/>
          <w:szCs w:val="24"/>
        </w:rPr>
        <w:t xml:space="preserve">10.  </w:t>
      </w:r>
      <w:r>
        <w:rPr>
          <w:sz w:val="24"/>
          <w:szCs w:val="24"/>
          <w:u w:val="single"/>
        </w:rPr>
        <w:t>Assurance of Confidentiality</w:t>
      </w:r>
    </w:p>
    <w:p w:rsidR="00553BA5" w:rsidRDefault="00553BA5" w:rsidP="00280226">
      <w:pPr>
        <w:rPr>
          <w:sz w:val="24"/>
          <w:szCs w:val="24"/>
        </w:rPr>
      </w:pPr>
    </w:p>
    <w:p w:rsidR="00553BA5" w:rsidRDefault="00553BA5" w:rsidP="00280226">
      <w:pPr>
        <w:rPr>
          <w:sz w:val="24"/>
          <w:szCs w:val="24"/>
        </w:rPr>
      </w:pPr>
      <w:r>
        <w:rPr>
          <w:sz w:val="24"/>
          <w:szCs w:val="24"/>
        </w:rPr>
        <w:t>Data collected on the individual NHSC/LRP application forms is stored in a system of records as defined under the Privacy Act of 1974. The application is included in the System of Records Notice, "The Public Health Service and National Health Service Corps Health Care Provider Records System" (09-15-0037). Information provided on each selected application will be maintained for at least 2 years and up to 10 years. This is necessary to permit the monitoring of NHSC/ LRP participants through the completion of their NHSC/LRP service commitments.</w:t>
      </w:r>
    </w:p>
    <w:p w:rsidR="00553BA5" w:rsidRDefault="00553BA5" w:rsidP="00280226">
      <w:pPr>
        <w:rPr>
          <w:sz w:val="24"/>
          <w:szCs w:val="24"/>
        </w:rPr>
      </w:pPr>
    </w:p>
    <w:p w:rsidR="00553BA5" w:rsidRDefault="00553BA5" w:rsidP="00280226">
      <w:pPr>
        <w:rPr>
          <w:sz w:val="24"/>
          <w:szCs w:val="24"/>
        </w:rPr>
      </w:pPr>
      <w:r>
        <w:rPr>
          <w:sz w:val="24"/>
          <w:szCs w:val="24"/>
        </w:rPr>
        <w:t xml:space="preserve">The Right to Financial Privacy Act (RFPA), P.L. 95-630, regulates the Federal Government's access to the financial records of individuals maintained by a financial institution. Section 1102(a) prohibits Government access to financial records unless one of five procedures is used and the records are "reasonably described." The procedure being used by the NHSC/LRP is </w:t>
      </w:r>
      <w:r>
        <w:rPr>
          <w:sz w:val="24"/>
          <w:szCs w:val="24"/>
        </w:rPr>
        <w:lastRenderedPageBreak/>
        <w:t>described in Section 1104(a), which provides that a customer may authorize disclosure of his financial records if he signs a statement identifying the records and specifying the recipient and purpose of the disclosure.  The Loan Information and Verification Form comply with this requirement.</w:t>
      </w:r>
    </w:p>
    <w:p w:rsidR="000E7B66" w:rsidRDefault="000E7B66" w:rsidP="00280226">
      <w:pPr>
        <w:rPr>
          <w:sz w:val="24"/>
          <w:szCs w:val="24"/>
        </w:rPr>
      </w:pPr>
    </w:p>
    <w:p w:rsidR="000E7B66" w:rsidRDefault="000E7B66" w:rsidP="00280226">
      <w:pPr>
        <w:rPr>
          <w:sz w:val="24"/>
          <w:szCs w:val="24"/>
        </w:rPr>
      </w:pPr>
      <w:r w:rsidRPr="004937F9">
        <w:rPr>
          <w:sz w:val="24"/>
          <w:szCs w:val="24"/>
        </w:rPr>
        <w:t xml:space="preserve">The basic contact information </w:t>
      </w:r>
      <w:r w:rsidR="002B7C31" w:rsidRPr="004937F9">
        <w:rPr>
          <w:sz w:val="24"/>
          <w:szCs w:val="24"/>
        </w:rPr>
        <w:t>that is maintained</w:t>
      </w:r>
      <w:r w:rsidRPr="004937F9">
        <w:rPr>
          <w:sz w:val="24"/>
          <w:szCs w:val="24"/>
        </w:rPr>
        <w:t xml:space="preserve"> for the NHSC alumni database</w:t>
      </w:r>
      <w:r w:rsidR="00641FC1" w:rsidRPr="004937F9">
        <w:rPr>
          <w:sz w:val="24"/>
          <w:szCs w:val="24"/>
        </w:rPr>
        <w:t>, including name, phone number, email address, state (of residence and/or employment), discipline and specialty,</w:t>
      </w:r>
      <w:r w:rsidRPr="004937F9">
        <w:rPr>
          <w:sz w:val="24"/>
          <w:szCs w:val="24"/>
        </w:rPr>
        <w:t xml:space="preserve"> will be kept private</w:t>
      </w:r>
      <w:r w:rsidR="002B7C31" w:rsidRPr="004937F9">
        <w:rPr>
          <w:sz w:val="24"/>
          <w:szCs w:val="24"/>
        </w:rPr>
        <w:t>.  The data would be collected and accessed through a secure web portal to allow for the safe collection and storage of information.</w:t>
      </w:r>
    </w:p>
    <w:p w:rsidR="00553BA5" w:rsidRDefault="00553BA5" w:rsidP="00280226">
      <w:pPr>
        <w:rPr>
          <w:sz w:val="24"/>
          <w:szCs w:val="24"/>
        </w:rPr>
      </w:pPr>
    </w:p>
    <w:p w:rsidR="00553BA5" w:rsidRDefault="00553BA5" w:rsidP="00280226">
      <w:pPr>
        <w:rPr>
          <w:sz w:val="24"/>
          <w:szCs w:val="24"/>
        </w:rPr>
      </w:pPr>
      <w:r>
        <w:rPr>
          <w:sz w:val="24"/>
          <w:szCs w:val="24"/>
        </w:rPr>
        <w:t xml:space="preserve">11.  </w:t>
      </w:r>
      <w:r>
        <w:rPr>
          <w:sz w:val="24"/>
          <w:szCs w:val="24"/>
          <w:u w:val="single"/>
        </w:rPr>
        <w:t>Questions of a Sensitive Nature</w:t>
      </w:r>
    </w:p>
    <w:p w:rsidR="00553BA5" w:rsidRDefault="00553BA5" w:rsidP="00280226">
      <w:pPr>
        <w:rPr>
          <w:sz w:val="24"/>
          <w:szCs w:val="24"/>
        </w:rPr>
      </w:pPr>
    </w:p>
    <w:p w:rsidR="00553BA5" w:rsidRDefault="00553BA5" w:rsidP="00280226">
      <w:pPr>
        <w:rPr>
          <w:sz w:val="24"/>
          <w:szCs w:val="24"/>
        </w:rPr>
      </w:pPr>
      <w:r>
        <w:rPr>
          <w:sz w:val="24"/>
          <w:szCs w:val="24"/>
        </w:rPr>
        <w:t>The Social Security number is required by the Debt Collection Act of 1982, to permit collection of claims resulting from participants defaulting on the loan repayment agreement.</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53BA5" w:rsidRDefault="00553BA5" w:rsidP="00280226">
      <w:pPr>
        <w:rPr>
          <w:sz w:val="24"/>
          <w:szCs w:val="24"/>
        </w:rPr>
      </w:pPr>
      <w:r>
        <w:rPr>
          <w:sz w:val="24"/>
          <w:szCs w:val="24"/>
        </w:rPr>
        <w:t>12.</w:t>
      </w:r>
      <w:r w:rsidR="00F935EB">
        <w:rPr>
          <w:sz w:val="24"/>
          <w:szCs w:val="24"/>
        </w:rPr>
        <w:t xml:space="preserve">  </w:t>
      </w:r>
      <w:r>
        <w:rPr>
          <w:sz w:val="24"/>
          <w:szCs w:val="24"/>
          <w:u w:val="single"/>
        </w:rPr>
        <w:t>Estimates of Annualized Hour Burden</w:t>
      </w:r>
    </w:p>
    <w:p w:rsidR="00553BA5" w:rsidRDefault="00553BA5" w:rsidP="00280226">
      <w:pPr>
        <w:rPr>
          <w:sz w:val="24"/>
          <w:szCs w:val="24"/>
        </w:rPr>
      </w:pPr>
    </w:p>
    <w:p w:rsidR="00553BA5" w:rsidRDefault="00553BA5" w:rsidP="00280226">
      <w:pPr>
        <w:rPr>
          <w:sz w:val="24"/>
          <w:szCs w:val="24"/>
        </w:rPr>
      </w:pPr>
      <w:r>
        <w:rPr>
          <w:sz w:val="24"/>
          <w:szCs w:val="24"/>
        </w:rPr>
        <w:t>The estimates of reporting burden are as follows:</w:t>
      </w:r>
    </w:p>
    <w:p w:rsidR="00553BA5" w:rsidRDefault="00553BA5" w:rsidP="00280226">
      <w:pPr>
        <w:rPr>
          <w:sz w:val="24"/>
          <w:szCs w:val="24"/>
        </w:rPr>
      </w:pPr>
    </w:p>
    <w:p w:rsidR="00553BA5" w:rsidRDefault="00553BA5" w:rsidP="00280226">
      <w:pPr>
        <w:rPr>
          <w:sz w:val="24"/>
          <w:szCs w:val="24"/>
        </w:rPr>
      </w:pPr>
    </w:p>
    <w:tbl>
      <w:tblPr>
        <w:tblW w:w="0" w:type="auto"/>
        <w:jc w:val="center"/>
        <w:tblLayout w:type="fixed"/>
        <w:tblCellMar>
          <w:left w:w="100" w:type="dxa"/>
          <w:right w:w="100" w:type="dxa"/>
        </w:tblCellMar>
        <w:tblLook w:val="0000"/>
      </w:tblPr>
      <w:tblGrid>
        <w:gridCol w:w="1890"/>
        <w:gridCol w:w="1170"/>
        <w:gridCol w:w="1080"/>
        <w:gridCol w:w="1035"/>
        <w:gridCol w:w="1170"/>
        <w:gridCol w:w="945"/>
        <w:gridCol w:w="630"/>
        <w:gridCol w:w="1170"/>
      </w:tblGrid>
      <w:tr w:rsidR="00BE27CD" w:rsidRPr="00156121" w:rsidTr="00057206">
        <w:trPr>
          <w:cantSplit/>
          <w:jc w:val="center"/>
        </w:trPr>
        <w:tc>
          <w:tcPr>
            <w:tcW w:w="1890"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t>Form</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rPr>
                <w:sz w:val="18"/>
                <w:szCs w:val="18"/>
              </w:rPr>
              <w:t xml:space="preserve">Number of Respondents </w:t>
            </w:r>
          </w:p>
        </w:tc>
        <w:tc>
          <w:tcPr>
            <w:tcW w:w="1080"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rPr>
                <w:sz w:val="16"/>
                <w:szCs w:val="16"/>
              </w:rPr>
              <w:t>Responses per Respondent</w:t>
            </w:r>
          </w:p>
        </w:tc>
        <w:tc>
          <w:tcPr>
            <w:tcW w:w="1035"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rPr>
                <w:sz w:val="18"/>
                <w:szCs w:val="18"/>
              </w:rPr>
              <w:t>Total Responses</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rPr>
                <w:sz w:val="18"/>
                <w:szCs w:val="18"/>
              </w:rPr>
              <w:t>Hours per Respondent</w:t>
            </w:r>
          </w:p>
        </w:tc>
        <w:tc>
          <w:tcPr>
            <w:tcW w:w="945"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rPr>
                <w:sz w:val="18"/>
                <w:szCs w:val="18"/>
              </w:rPr>
              <w:t xml:space="preserve"> Total Hour Burden</w:t>
            </w:r>
          </w:p>
        </w:tc>
        <w:tc>
          <w:tcPr>
            <w:tcW w:w="630"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rPr>
                <w:sz w:val="18"/>
                <w:szCs w:val="18"/>
              </w:rPr>
              <w:t>Hour Cost</w:t>
            </w:r>
          </w:p>
        </w:tc>
        <w:tc>
          <w:tcPr>
            <w:tcW w:w="1170" w:type="dxa"/>
            <w:tcBorders>
              <w:top w:val="single" w:sz="6" w:space="0" w:color="auto"/>
              <w:left w:val="single" w:sz="6" w:space="0" w:color="auto"/>
              <w:bottom w:val="nil"/>
              <w:right w:val="single" w:sz="6" w:space="0" w:color="auto"/>
            </w:tcBorders>
          </w:tcPr>
          <w:p w:rsidR="00BE27CD" w:rsidRPr="00156121" w:rsidRDefault="00BE27CD" w:rsidP="00057206">
            <w:pPr>
              <w:spacing w:before="100" w:after="55"/>
            </w:pPr>
            <w:r w:rsidRPr="00156121">
              <w:rPr>
                <w:sz w:val="18"/>
                <w:szCs w:val="18"/>
              </w:rPr>
              <w:t>Total Hour Cost</w:t>
            </w:r>
          </w:p>
        </w:tc>
      </w:tr>
      <w:tr w:rsidR="00BE27CD" w:rsidRPr="00156121" w:rsidTr="00057206">
        <w:trPr>
          <w:cantSplit/>
          <w:jc w:val="center"/>
        </w:trPr>
        <w:tc>
          <w:tcPr>
            <w:tcW w:w="1890" w:type="dxa"/>
            <w:tcBorders>
              <w:top w:val="single" w:sz="6" w:space="0" w:color="auto"/>
              <w:left w:val="single" w:sz="6" w:space="0" w:color="auto"/>
              <w:bottom w:val="nil"/>
              <w:right w:val="nil"/>
            </w:tcBorders>
          </w:tcPr>
          <w:p w:rsidR="00BE27CD" w:rsidRPr="00156121" w:rsidRDefault="00BE27CD" w:rsidP="00057206">
            <w:pPr>
              <w:spacing w:before="100" w:after="55"/>
            </w:pPr>
            <w:r>
              <w:t xml:space="preserve">LRP </w:t>
            </w:r>
            <w:r w:rsidRPr="00156121">
              <w:t>Application Form</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5,175</w:t>
            </w:r>
          </w:p>
        </w:tc>
        <w:tc>
          <w:tcPr>
            <w:tcW w:w="108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1*</w:t>
            </w:r>
          </w:p>
        </w:tc>
        <w:tc>
          <w:tcPr>
            <w:tcW w:w="1035"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5,175</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w:t>
            </w:r>
            <w:r>
              <w:t>3</w:t>
            </w:r>
          </w:p>
        </w:tc>
        <w:tc>
          <w:tcPr>
            <w:tcW w:w="945"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1,553</w:t>
            </w:r>
          </w:p>
        </w:tc>
        <w:tc>
          <w:tcPr>
            <w:tcW w:w="63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$20</w:t>
            </w:r>
          </w:p>
        </w:tc>
        <w:tc>
          <w:tcPr>
            <w:tcW w:w="1170" w:type="dxa"/>
            <w:tcBorders>
              <w:top w:val="single" w:sz="6" w:space="0" w:color="auto"/>
              <w:left w:val="single" w:sz="6" w:space="0" w:color="auto"/>
              <w:bottom w:val="nil"/>
              <w:right w:val="single" w:sz="6" w:space="0" w:color="auto"/>
            </w:tcBorders>
          </w:tcPr>
          <w:p w:rsidR="00BE27CD" w:rsidRPr="00156121" w:rsidRDefault="00BE27CD" w:rsidP="00057206">
            <w:pPr>
              <w:spacing w:before="100" w:after="55"/>
              <w:jc w:val="center"/>
            </w:pPr>
            <w:r w:rsidRPr="00156121">
              <w:t>$</w:t>
            </w:r>
            <w:r>
              <w:t>31,060</w:t>
            </w:r>
          </w:p>
        </w:tc>
      </w:tr>
      <w:tr w:rsidR="00BE27CD" w:rsidRPr="00286255" w:rsidTr="00057206">
        <w:trPr>
          <w:cantSplit/>
          <w:jc w:val="center"/>
        </w:trPr>
        <w:tc>
          <w:tcPr>
            <w:tcW w:w="1890" w:type="dxa"/>
            <w:tcBorders>
              <w:top w:val="single" w:sz="6" w:space="0" w:color="auto"/>
              <w:left w:val="single" w:sz="6" w:space="0" w:color="auto"/>
              <w:bottom w:val="nil"/>
              <w:right w:val="nil"/>
            </w:tcBorders>
          </w:tcPr>
          <w:p w:rsidR="00BE27CD" w:rsidRPr="00156121" w:rsidRDefault="00BE27CD" w:rsidP="00057206">
            <w:pPr>
              <w:spacing w:before="100" w:after="55"/>
            </w:pPr>
            <w:r>
              <w:t xml:space="preserve">Employment and Verification and </w:t>
            </w:r>
            <w:r w:rsidRPr="00156121">
              <w:t>Community  Site Information Form</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5175</w:t>
            </w:r>
          </w:p>
        </w:tc>
        <w:tc>
          <w:tcPr>
            <w:tcW w:w="108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1</w:t>
            </w:r>
          </w:p>
        </w:tc>
        <w:tc>
          <w:tcPr>
            <w:tcW w:w="1035"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5,175</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w:t>
            </w:r>
            <w:r>
              <w:t>7</w:t>
            </w:r>
            <w:r w:rsidRPr="00156121">
              <w:t>5</w:t>
            </w:r>
          </w:p>
        </w:tc>
        <w:tc>
          <w:tcPr>
            <w:tcW w:w="945"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3,881</w:t>
            </w:r>
          </w:p>
        </w:tc>
        <w:tc>
          <w:tcPr>
            <w:tcW w:w="63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$20</w:t>
            </w:r>
          </w:p>
        </w:tc>
        <w:tc>
          <w:tcPr>
            <w:tcW w:w="1170" w:type="dxa"/>
            <w:tcBorders>
              <w:top w:val="single" w:sz="6" w:space="0" w:color="auto"/>
              <w:left w:val="single" w:sz="6" w:space="0" w:color="auto"/>
              <w:bottom w:val="nil"/>
              <w:right w:val="single" w:sz="6" w:space="0" w:color="auto"/>
            </w:tcBorders>
          </w:tcPr>
          <w:p w:rsidR="00BE27CD" w:rsidRPr="00286255" w:rsidRDefault="00BE27CD" w:rsidP="00057206">
            <w:pPr>
              <w:spacing w:before="100" w:after="55"/>
              <w:jc w:val="center"/>
            </w:pPr>
            <w:r>
              <w:t>$</w:t>
            </w:r>
            <w:r w:rsidRPr="00286255">
              <w:t>77,620</w:t>
            </w:r>
          </w:p>
        </w:tc>
      </w:tr>
      <w:tr w:rsidR="00BE27CD" w:rsidRPr="00297034" w:rsidTr="00057206">
        <w:trPr>
          <w:cantSplit/>
          <w:trHeight w:val="678"/>
          <w:jc w:val="center"/>
        </w:trPr>
        <w:tc>
          <w:tcPr>
            <w:tcW w:w="1890"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t>Loan Information and Verification Form</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5,175</w:t>
            </w:r>
          </w:p>
        </w:tc>
        <w:tc>
          <w:tcPr>
            <w:tcW w:w="108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3</w:t>
            </w:r>
          </w:p>
        </w:tc>
        <w:tc>
          <w:tcPr>
            <w:tcW w:w="1035"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15,525</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w:t>
            </w:r>
            <w:r>
              <w:t>3</w:t>
            </w:r>
          </w:p>
        </w:tc>
        <w:tc>
          <w:tcPr>
            <w:tcW w:w="945"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4,658</w:t>
            </w:r>
          </w:p>
        </w:tc>
        <w:tc>
          <w:tcPr>
            <w:tcW w:w="63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$20</w:t>
            </w:r>
          </w:p>
        </w:tc>
        <w:tc>
          <w:tcPr>
            <w:tcW w:w="1170" w:type="dxa"/>
            <w:tcBorders>
              <w:top w:val="single" w:sz="6" w:space="0" w:color="auto"/>
              <w:left w:val="single" w:sz="6" w:space="0" w:color="auto"/>
              <w:bottom w:val="nil"/>
              <w:right w:val="single" w:sz="6" w:space="0" w:color="auto"/>
            </w:tcBorders>
          </w:tcPr>
          <w:p w:rsidR="00BE27CD" w:rsidRPr="00297034" w:rsidRDefault="00BE27CD" w:rsidP="00057206">
            <w:pPr>
              <w:spacing w:before="100" w:after="55"/>
              <w:jc w:val="center"/>
            </w:pPr>
            <w:r w:rsidRPr="00297034">
              <w:t>$93,160</w:t>
            </w:r>
          </w:p>
        </w:tc>
      </w:tr>
      <w:tr w:rsidR="00BE27CD" w:rsidRPr="00297034" w:rsidTr="00057206">
        <w:trPr>
          <w:cantSplit/>
          <w:jc w:val="center"/>
        </w:trPr>
        <w:tc>
          <w:tcPr>
            <w:tcW w:w="1890" w:type="dxa"/>
            <w:tcBorders>
              <w:top w:val="single" w:sz="6" w:space="0" w:color="auto"/>
              <w:left w:val="single" w:sz="6" w:space="0" w:color="auto"/>
              <w:bottom w:val="nil"/>
              <w:right w:val="nil"/>
            </w:tcBorders>
          </w:tcPr>
          <w:p w:rsidR="00BE27CD" w:rsidRPr="00156121" w:rsidRDefault="00BE27CD" w:rsidP="00057206">
            <w:pPr>
              <w:spacing w:before="100" w:after="55"/>
            </w:pPr>
            <w:r w:rsidRPr="00156121">
              <w:t>Authorization to Release Information</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5,175</w:t>
            </w:r>
          </w:p>
        </w:tc>
        <w:tc>
          <w:tcPr>
            <w:tcW w:w="108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1</w:t>
            </w:r>
          </w:p>
        </w:tc>
        <w:tc>
          <w:tcPr>
            <w:tcW w:w="1035"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5,175</w:t>
            </w:r>
          </w:p>
        </w:tc>
        <w:tc>
          <w:tcPr>
            <w:tcW w:w="117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.1</w:t>
            </w:r>
          </w:p>
        </w:tc>
        <w:tc>
          <w:tcPr>
            <w:tcW w:w="945"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t>518</w:t>
            </w:r>
          </w:p>
        </w:tc>
        <w:tc>
          <w:tcPr>
            <w:tcW w:w="630" w:type="dxa"/>
            <w:tcBorders>
              <w:top w:val="single" w:sz="6" w:space="0" w:color="auto"/>
              <w:left w:val="single" w:sz="6" w:space="0" w:color="auto"/>
              <w:bottom w:val="nil"/>
              <w:right w:val="nil"/>
            </w:tcBorders>
          </w:tcPr>
          <w:p w:rsidR="00BE27CD" w:rsidRPr="00156121" w:rsidRDefault="00BE27CD" w:rsidP="00057206">
            <w:pPr>
              <w:spacing w:before="100" w:after="55"/>
              <w:jc w:val="center"/>
            </w:pPr>
            <w:r w:rsidRPr="00156121">
              <w:t>$20</w:t>
            </w:r>
          </w:p>
        </w:tc>
        <w:tc>
          <w:tcPr>
            <w:tcW w:w="1170" w:type="dxa"/>
            <w:tcBorders>
              <w:top w:val="single" w:sz="6" w:space="0" w:color="auto"/>
              <w:left w:val="single" w:sz="6" w:space="0" w:color="auto"/>
              <w:bottom w:val="nil"/>
              <w:right w:val="single" w:sz="6" w:space="0" w:color="auto"/>
            </w:tcBorders>
          </w:tcPr>
          <w:p w:rsidR="00BE27CD" w:rsidRPr="00297034" w:rsidRDefault="00BE27CD" w:rsidP="00057206">
            <w:pPr>
              <w:spacing w:before="100" w:after="55"/>
              <w:jc w:val="center"/>
            </w:pPr>
            <w:r w:rsidRPr="00297034">
              <w:t>$10,360</w:t>
            </w:r>
          </w:p>
        </w:tc>
      </w:tr>
      <w:tr w:rsidR="00BE27CD" w:rsidTr="00057206">
        <w:trPr>
          <w:cantSplit/>
          <w:jc w:val="center"/>
        </w:trPr>
        <w:tc>
          <w:tcPr>
            <w:tcW w:w="1890" w:type="dxa"/>
            <w:tcBorders>
              <w:top w:val="single" w:sz="6" w:space="0" w:color="auto"/>
              <w:left w:val="single" w:sz="6" w:space="0" w:color="auto"/>
              <w:bottom w:val="single" w:sz="6" w:space="0" w:color="auto"/>
              <w:right w:val="nil"/>
            </w:tcBorders>
          </w:tcPr>
          <w:p w:rsidR="00BE27CD" w:rsidRDefault="00E944C7" w:rsidP="00057206">
            <w:pPr>
              <w:spacing w:before="100" w:after="55"/>
            </w:pPr>
            <w:r>
              <w:t>NHSC</w:t>
            </w:r>
            <w:r w:rsidR="00BE27CD">
              <w:t xml:space="preserve"> Alumni</w:t>
            </w:r>
          </w:p>
          <w:p w:rsidR="00BE27CD" w:rsidRDefault="00BE27CD" w:rsidP="00057206">
            <w:pPr>
              <w:spacing w:before="100" w:after="55"/>
            </w:pPr>
            <w:r>
              <w:t>Database</w:t>
            </w:r>
          </w:p>
        </w:tc>
        <w:tc>
          <w:tcPr>
            <w:tcW w:w="1170" w:type="dxa"/>
            <w:tcBorders>
              <w:top w:val="single" w:sz="6" w:space="0" w:color="auto"/>
              <w:left w:val="single" w:sz="6" w:space="0" w:color="auto"/>
              <w:bottom w:val="single" w:sz="6" w:space="0" w:color="auto"/>
              <w:right w:val="nil"/>
            </w:tcBorders>
          </w:tcPr>
          <w:p w:rsidR="00BE27CD" w:rsidRDefault="00BE27CD" w:rsidP="00057206">
            <w:pPr>
              <w:spacing w:before="100" w:after="55"/>
              <w:jc w:val="center"/>
            </w:pPr>
            <w:r>
              <w:t>5,000</w:t>
            </w:r>
          </w:p>
        </w:tc>
        <w:tc>
          <w:tcPr>
            <w:tcW w:w="1080" w:type="dxa"/>
            <w:tcBorders>
              <w:top w:val="single" w:sz="6" w:space="0" w:color="auto"/>
              <w:left w:val="single" w:sz="6" w:space="0" w:color="auto"/>
              <w:bottom w:val="single" w:sz="6" w:space="0" w:color="auto"/>
              <w:right w:val="nil"/>
            </w:tcBorders>
          </w:tcPr>
          <w:p w:rsidR="00BE27CD" w:rsidRPr="00013D07" w:rsidRDefault="00BE27CD" w:rsidP="00057206">
            <w:pPr>
              <w:spacing w:before="100" w:after="55"/>
              <w:jc w:val="center"/>
            </w:pPr>
            <w:r>
              <w:t>1</w:t>
            </w:r>
          </w:p>
        </w:tc>
        <w:tc>
          <w:tcPr>
            <w:tcW w:w="1035" w:type="dxa"/>
            <w:tcBorders>
              <w:top w:val="single" w:sz="6" w:space="0" w:color="auto"/>
              <w:left w:val="single" w:sz="6" w:space="0" w:color="auto"/>
              <w:bottom w:val="single" w:sz="6" w:space="0" w:color="auto"/>
              <w:right w:val="nil"/>
            </w:tcBorders>
          </w:tcPr>
          <w:p w:rsidR="00BE27CD" w:rsidRDefault="00BE27CD" w:rsidP="00057206">
            <w:pPr>
              <w:spacing w:before="100" w:after="55"/>
              <w:jc w:val="center"/>
            </w:pPr>
            <w:r>
              <w:t>5,000</w:t>
            </w:r>
          </w:p>
        </w:tc>
        <w:tc>
          <w:tcPr>
            <w:tcW w:w="1170" w:type="dxa"/>
            <w:tcBorders>
              <w:top w:val="single" w:sz="6" w:space="0" w:color="auto"/>
              <w:left w:val="single" w:sz="6" w:space="0" w:color="auto"/>
              <w:bottom w:val="single" w:sz="6" w:space="0" w:color="auto"/>
              <w:right w:val="nil"/>
            </w:tcBorders>
          </w:tcPr>
          <w:p w:rsidR="00BE27CD" w:rsidRDefault="00BE27CD" w:rsidP="00057206">
            <w:pPr>
              <w:spacing w:before="100" w:after="55"/>
              <w:jc w:val="center"/>
            </w:pPr>
            <w:r>
              <w:t>.20</w:t>
            </w:r>
          </w:p>
        </w:tc>
        <w:tc>
          <w:tcPr>
            <w:tcW w:w="945" w:type="dxa"/>
            <w:tcBorders>
              <w:top w:val="single" w:sz="6" w:space="0" w:color="auto"/>
              <w:left w:val="single" w:sz="6" w:space="0" w:color="auto"/>
              <w:bottom w:val="single" w:sz="6" w:space="0" w:color="auto"/>
              <w:right w:val="nil"/>
            </w:tcBorders>
          </w:tcPr>
          <w:p w:rsidR="00BE27CD" w:rsidRDefault="00BE27CD" w:rsidP="00057206">
            <w:pPr>
              <w:spacing w:before="100" w:after="55"/>
              <w:jc w:val="center"/>
            </w:pPr>
            <w:r>
              <w:t>1,000</w:t>
            </w:r>
          </w:p>
        </w:tc>
        <w:tc>
          <w:tcPr>
            <w:tcW w:w="630" w:type="dxa"/>
            <w:tcBorders>
              <w:top w:val="single" w:sz="6" w:space="0" w:color="auto"/>
              <w:left w:val="single" w:sz="6" w:space="0" w:color="auto"/>
              <w:bottom w:val="single" w:sz="6" w:space="0" w:color="auto"/>
              <w:right w:val="nil"/>
            </w:tcBorders>
          </w:tcPr>
          <w:p w:rsidR="00BE27CD" w:rsidRPr="00156121" w:rsidRDefault="00BE27CD" w:rsidP="00057206">
            <w:pPr>
              <w:spacing w:before="100" w:after="55"/>
              <w:jc w:val="center"/>
            </w:pPr>
            <w:r>
              <w:t>$20</w:t>
            </w:r>
          </w:p>
        </w:tc>
        <w:tc>
          <w:tcPr>
            <w:tcW w:w="1170" w:type="dxa"/>
            <w:tcBorders>
              <w:top w:val="single" w:sz="6" w:space="0" w:color="auto"/>
              <w:left w:val="single" w:sz="6" w:space="0" w:color="auto"/>
              <w:bottom w:val="single" w:sz="6" w:space="0" w:color="auto"/>
              <w:right w:val="single" w:sz="6" w:space="0" w:color="auto"/>
            </w:tcBorders>
          </w:tcPr>
          <w:p w:rsidR="00BE27CD" w:rsidRDefault="00BE27CD" w:rsidP="00057206">
            <w:pPr>
              <w:spacing w:before="100" w:after="55"/>
              <w:jc w:val="center"/>
            </w:pPr>
            <w:r>
              <w:t>$20,000</w:t>
            </w:r>
          </w:p>
        </w:tc>
      </w:tr>
      <w:tr w:rsidR="00BE27CD" w:rsidRPr="00297034" w:rsidTr="00057206">
        <w:trPr>
          <w:cantSplit/>
          <w:jc w:val="center"/>
        </w:trPr>
        <w:tc>
          <w:tcPr>
            <w:tcW w:w="1890" w:type="dxa"/>
            <w:tcBorders>
              <w:top w:val="single" w:sz="6" w:space="0" w:color="auto"/>
              <w:left w:val="single" w:sz="6" w:space="0" w:color="auto"/>
              <w:bottom w:val="single" w:sz="6" w:space="0" w:color="auto"/>
              <w:right w:val="nil"/>
            </w:tcBorders>
          </w:tcPr>
          <w:p w:rsidR="00BE27CD" w:rsidRPr="00156121" w:rsidRDefault="00BE27CD" w:rsidP="00057206">
            <w:pPr>
              <w:spacing w:before="100" w:after="55"/>
            </w:pPr>
            <w:r>
              <w:t>Self-Certification Form</w:t>
            </w:r>
          </w:p>
        </w:tc>
        <w:tc>
          <w:tcPr>
            <w:tcW w:w="1170" w:type="dxa"/>
            <w:tcBorders>
              <w:top w:val="single" w:sz="6" w:space="0" w:color="auto"/>
              <w:left w:val="single" w:sz="6" w:space="0" w:color="auto"/>
              <w:bottom w:val="single" w:sz="6" w:space="0" w:color="auto"/>
              <w:right w:val="nil"/>
            </w:tcBorders>
          </w:tcPr>
          <w:p w:rsidR="00BE27CD" w:rsidRPr="00156121" w:rsidRDefault="00BE27CD" w:rsidP="00057206">
            <w:pPr>
              <w:spacing w:before="100" w:after="55"/>
              <w:jc w:val="center"/>
            </w:pPr>
            <w:r>
              <w:t>5,175</w:t>
            </w:r>
          </w:p>
        </w:tc>
        <w:tc>
          <w:tcPr>
            <w:tcW w:w="1080" w:type="dxa"/>
            <w:tcBorders>
              <w:top w:val="single" w:sz="6" w:space="0" w:color="auto"/>
              <w:left w:val="single" w:sz="6" w:space="0" w:color="auto"/>
              <w:bottom w:val="single" w:sz="6" w:space="0" w:color="auto"/>
              <w:right w:val="nil"/>
            </w:tcBorders>
          </w:tcPr>
          <w:p w:rsidR="00BE27CD" w:rsidRPr="00013D07" w:rsidRDefault="00BE27CD" w:rsidP="00057206">
            <w:pPr>
              <w:spacing w:before="100" w:after="55"/>
              <w:jc w:val="center"/>
            </w:pPr>
            <w:r w:rsidRPr="00013D07">
              <w:t>1</w:t>
            </w:r>
          </w:p>
        </w:tc>
        <w:tc>
          <w:tcPr>
            <w:tcW w:w="1035" w:type="dxa"/>
            <w:tcBorders>
              <w:top w:val="single" w:sz="6" w:space="0" w:color="auto"/>
              <w:left w:val="single" w:sz="6" w:space="0" w:color="auto"/>
              <w:bottom w:val="single" w:sz="6" w:space="0" w:color="auto"/>
              <w:right w:val="nil"/>
            </w:tcBorders>
          </w:tcPr>
          <w:p w:rsidR="00BE27CD" w:rsidRPr="00156121" w:rsidRDefault="00BE27CD" w:rsidP="00057206">
            <w:pPr>
              <w:spacing w:before="100" w:after="55"/>
              <w:jc w:val="center"/>
            </w:pPr>
            <w:r>
              <w:t>5,175</w:t>
            </w:r>
          </w:p>
        </w:tc>
        <w:tc>
          <w:tcPr>
            <w:tcW w:w="1170" w:type="dxa"/>
            <w:tcBorders>
              <w:top w:val="single" w:sz="6" w:space="0" w:color="auto"/>
              <w:left w:val="single" w:sz="6" w:space="0" w:color="auto"/>
              <w:bottom w:val="single" w:sz="6" w:space="0" w:color="auto"/>
              <w:right w:val="nil"/>
            </w:tcBorders>
          </w:tcPr>
          <w:p w:rsidR="00BE27CD" w:rsidRPr="00013D07" w:rsidRDefault="00BE27CD" w:rsidP="00057206">
            <w:pPr>
              <w:spacing w:before="100" w:after="55"/>
              <w:jc w:val="center"/>
            </w:pPr>
            <w:r>
              <w:t>.1</w:t>
            </w:r>
          </w:p>
        </w:tc>
        <w:tc>
          <w:tcPr>
            <w:tcW w:w="945" w:type="dxa"/>
            <w:tcBorders>
              <w:top w:val="single" w:sz="6" w:space="0" w:color="auto"/>
              <w:left w:val="single" w:sz="6" w:space="0" w:color="auto"/>
              <w:bottom w:val="single" w:sz="6" w:space="0" w:color="auto"/>
              <w:right w:val="nil"/>
            </w:tcBorders>
          </w:tcPr>
          <w:p w:rsidR="00BE27CD" w:rsidRPr="00156121" w:rsidRDefault="00BE27CD" w:rsidP="00057206">
            <w:pPr>
              <w:spacing w:before="100" w:after="55"/>
              <w:jc w:val="center"/>
            </w:pPr>
            <w:r>
              <w:t>518</w:t>
            </w:r>
          </w:p>
        </w:tc>
        <w:tc>
          <w:tcPr>
            <w:tcW w:w="630" w:type="dxa"/>
            <w:tcBorders>
              <w:top w:val="single" w:sz="6" w:space="0" w:color="auto"/>
              <w:left w:val="single" w:sz="6" w:space="0" w:color="auto"/>
              <w:bottom w:val="single" w:sz="6" w:space="0" w:color="auto"/>
              <w:right w:val="nil"/>
            </w:tcBorders>
          </w:tcPr>
          <w:p w:rsidR="00BE27CD" w:rsidRPr="00156121" w:rsidRDefault="00BE27CD" w:rsidP="00057206">
            <w:pPr>
              <w:spacing w:before="100" w:after="55"/>
              <w:jc w:val="center"/>
            </w:pPr>
            <w:r w:rsidRPr="00156121">
              <w:t>$20</w:t>
            </w:r>
          </w:p>
        </w:tc>
        <w:tc>
          <w:tcPr>
            <w:tcW w:w="1170" w:type="dxa"/>
            <w:tcBorders>
              <w:top w:val="single" w:sz="6" w:space="0" w:color="auto"/>
              <w:left w:val="single" w:sz="6" w:space="0" w:color="auto"/>
              <w:bottom w:val="single" w:sz="6" w:space="0" w:color="auto"/>
              <w:right w:val="single" w:sz="6" w:space="0" w:color="auto"/>
            </w:tcBorders>
          </w:tcPr>
          <w:p w:rsidR="00BE27CD" w:rsidRPr="00297034" w:rsidRDefault="00BE27CD" w:rsidP="00057206">
            <w:pPr>
              <w:spacing w:before="100" w:after="55"/>
              <w:jc w:val="center"/>
            </w:pPr>
            <w:r>
              <w:t>$10,360</w:t>
            </w:r>
          </w:p>
        </w:tc>
      </w:tr>
      <w:tr w:rsidR="00BE27CD" w:rsidRPr="00297034" w:rsidTr="00057206">
        <w:trPr>
          <w:cantSplit/>
          <w:jc w:val="center"/>
        </w:trPr>
        <w:tc>
          <w:tcPr>
            <w:tcW w:w="1890" w:type="dxa"/>
            <w:tcBorders>
              <w:top w:val="single" w:sz="6" w:space="0" w:color="auto"/>
              <w:left w:val="single" w:sz="6" w:space="0" w:color="auto"/>
              <w:bottom w:val="single" w:sz="6" w:space="0" w:color="auto"/>
              <w:right w:val="nil"/>
            </w:tcBorders>
          </w:tcPr>
          <w:p w:rsidR="00BE27CD" w:rsidRPr="00156121" w:rsidRDefault="00BE27CD" w:rsidP="00057206">
            <w:pPr>
              <w:spacing w:before="100" w:after="55"/>
            </w:pPr>
            <w:r w:rsidRPr="00156121">
              <w:t>Total</w:t>
            </w:r>
          </w:p>
        </w:tc>
        <w:tc>
          <w:tcPr>
            <w:tcW w:w="1170" w:type="dxa"/>
            <w:tcBorders>
              <w:top w:val="single" w:sz="6" w:space="0" w:color="auto"/>
              <w:left w:val="single" w:sz="6" w:space="0" w:color="auto"/>
              <w:bottom w:val="single" w:sz="6" w:space="0" w:color="auto"/>
              <w:right w:val="nil"/>
            </w:tcBorders>
            <w:shd w:val="pct50" w:color="auto" w:fill="auto"/>
            <w:vAlign w:val="bottom"/>
          </w:tcPr>
          <w:p w:rsidR="00BE27CD" w:rsidRPr="00156121" w:rsidRDefault="00BE27CD" w:rsidP="00057206">
            <w:pPr>
              <w:spacing w:before="100" w:after="55"/>
              <w:jc w:val="center"/>
            </w:pPr>
          </w:p>
        </w:tc>
        <w:tc>
          <w:tcPr>
            <w:tcW w:w="1080" w:type="dxa"/>
            <w:tcBorders>
              <w:top w:val="single" w:sz="6" w:space="0" w:color="auto"/>
              <w:left w:val="single" w:sz="6" w:space="0" w:color="auto"/>
              <w:bottom w:val="single" w:sz="6" w:space="0" w:color="auto"/>
              <w:right w:val="nil"/>
            </w:tcBorders>
            <w:shd w:val="pct50" w:color="auto" w:fill="auto"/>
            <w:vAlign w:val="bottom"/>
          </w:tcPr>
          <w:p w:rsidR="00BE27CD" w:rsidRPr="00156121" w:rsidRDefault="00BE27CD" w:rsidP="00057206">
            <w:pPr>
              <w:spacing w:before="100" w:after="55"/>
              <w:jc w:val="center"/>
            </w:pPr>
          </w:p>
        </w:tc>
        <w:tc>
          <w:tcPr>
            <w:tcW w:w="1035" w:type="dxa"/>
            <w:tcBorders>
              <w:top w:val="single" w:sz="6" w:space="0" w:color="auto"/>
              <w:left w:val="single" w:sz="6" w:space="0" w:color="auto"/>
              <w:bottom w:val="single" w:sz="6" w:space="0" w:color="auto"/>
              <w:right w:val="nil"/>
            </w:tcBorders>
            <w:vAlign w:val="bottom"/>
          </w:tcPr>
          <w:p w:rsidR="00BE27CD" w:rsidRPr="00156121" w:rsidRDefault="00BE27CD" w:rsidP="00057206">
            <w:pPr>
              <w:spacing w:before="100" w:after="55"/>
              <w:jc w:val="center"/>
            </w:pPr>
            <w:r>
              <w:t>41,225</w:t>
            </w:r>
          </w:p>
        </w:tc>
        <w:tc>
          <w:tcPr>
            <w:tcW w:w="1170" w:type="dxa"/>
            <w:tcBorders>
              <w:top w:val="single" w:sz="6" w:space="0" w:color="auto"/>
              <w:left w:val="single" w:sz="6" w:space="0" w:color="auto"/>
              <w:bottom w:val="single" w:sz="6" w:space="0" w:color="auto"/>
              <w:right w:val="nil"/>
            </w:tcBorders>
            <w:shd w:val="pct50" w:color="auto" w:fill="auto"/>
            <w:vAlign w:val="bottom"/>
          </w:tcPr>
          <w:p w:rsidR="00BE27CD" w:rsidRPr="00156121" w:rsidRDefault="00BE27CD" w:rsidP="00057206">
            <w:pPr>
              <w:spacing w:before="100" w:after="55"/>
              <w:jc w:val="center"/>
            </w:pPr>
          </w:p>
        </w:tc>
        <w:tc>
          <w:tcPr>
            <w:tcW w:w="945" w:type="dxa"/>
            <w:tcBorders>
              <w:top w:val="single" w:sz="6" w:space="0" w:color="auto"/>
              <w:left w:val="single" w:sz="6" w:space="0" w:color="auto"/>
              <w:bottom w:val="single" w:sz="6" w:space="0" w:color="auto"/>
              <w:right w:val="nil"/>
            </w:tcBorders>
            <w:vAlign w:val="bottom"/>
          </w:tcPr>
          <w:p w:rsidR="00BE27CD" w:rsidRPr="00156121" w:rsidRDefault="00BE27CD" w:rsidP="00057206">
            <w:pPr>
              <w:spacing w:before="100" w:after="55"/>
              <w:jc w:val="center"/>
            </w:pPr>
            <w:r>
              <w:t>12,128</w:t>
            </w:r>
          </w:p>
        </w:tc>
        <w:tc>
          <w:tcPr>
            <w:tcW w:w="630" w:type="dxa"/>
            <w:tcBorders>
              <w:top w:val="single" w:sz="6" w:space="0" w:color="auto"/>
              <w:left w:val="single" w:sz="6" w:space="0" w:color="auto"/>
              <w:bottom w:val="single" w:sz="6" w:space="0" w:color="auto"/>
              <w:right w:val="nil"/>
            </w:tcBorders>
            <w:shd w:val="pct50" w:color="auto" w:fill="auto"/>
            <w:vAlign w:val="bottom"/>
          </w:tcPr>
          <w:p w:rsidR="00BE27CD" w:rsidRPr="00156121" w:rsidRDefault="00BE27CD" w:rsidP="00057206">
            <w:pPr>
              <w:spacing w:before="100" w:after="55"/>
              <w:jc w:val="center"/>
            </w:pPr>
          </w:p>
        </w:tc>
        <w:tc>
          <w:tcPr>
            <w:tcW w:w="1170" w:type="dxa"/>
            <w:tcBorders>
              <w:top w:val="single" w:sz="6" w:space="0" w:color="auto"/>
              <w:left w:val="single" w:sz="6" w:space="0" w:color="auto"/>
              <w:bottom w:val="single" w:sz="6" w:space="0" w:color="auto"/>
              <w:right w:val="single" w:sz="6" w:space="0" w:color="auto"/>
            </w:tcBorders>
            <w:vAlign w:val="bottom"/>
          </w:tcPr>
          <w:p w:rsidR="00BE27CD" w:rsidRPr="00297034" w:rsidRDefault="00BE27CD" w:rsidP="00057206">
            <w:pPr>
              <w:spacing w:before="100" w:after="55"/>
              <w:jc w:val="center"/>
            </w:pPr>
            <w:r>
              <w:t>$242,560</w:t>
            </w:r>
          </w:p>
        </w:tc>
      </w:tr>
    </w:tbl>
    <w:p w:rsidR="00553BA5" w:rsidRDefault="00553BA5" w:rsidP="00280226">
      <w:pPr>
        <w:rPr>
          <w:sz w:val="24"/>
          <w:szCs w:val="24"/>
        </w:rPr>
      </w:pPr>
      <w:r>
        <w:rPr>
          <w:sz w:val="24"/>
          <w:szCs w:val="24"/>
        </w:rPr>
        <w:t>*An applicant response includes completion of one of each of the above-listed forms, and may include the completion of additional Loan Verification Forms (one for each educational loan for which he or she is seeking repayment).</w:t>
      </w:r>
    </w:p>
    <w:p w:rsidR="00553BA5" w:rsidRDefault="00553BA5" w:rsidP="00280226">
      <w:pPr>
        <w:rPr>
          <w:sz w:val="24"/>
          <w:szCs w:val="24"/>
        </w:rPr>
      </w:pPr>
    </w:p>
    <w:p w:rsidR="00553BA5" w:rsidRDefault="00553BA5" w:rsidP="00280226">
      <w:pPr>
        <w:rPr>
          <w:sz w:val="24"/>
          <w:szCs w:val="24"/>
        </w:rPr>
      </w:pPr>
    </w:p>
    <w:p w:rsidR="00553BA5" w:rsidRDefault="00553BA5" w:rsidP="00280226">
      <w:pPr>
        <w:rPr>
          <w:sz w:val="24"/>
          <w:szCs w:val="24"/>
        </w:rPr>
      </w:pPr>
      <w:r>
        <w:rPr>
          <w:sz w:val="24"/>
          <w:szCs w:val="24"/>
        </w:rPr>
        <w:t>Basis for estimates:</w:t>
      </w:r>
    </w:p>
    <w:p w:rsidR="00553BA5" w:rsidRDefault="00553BA5" w:rsidP="00280226">
      <w:pPr>
        <w:rPr>
          <w:sz w:val="24"/>
          <w:szCs w:val="24"/>
        </w:rPr>
      </w:pPr>
    </w:p>
    <w:p w:rsidR="00553BA5" w:rsidRDefault="007C02EF" w:rsidP="00280226">
      <w:pPr>
        <w:rPr>
          <w:sz w:val="24"/>
          <w:szCs w:val="24"/>
        </w:rPr>
      </w:pPr>
      <w:r>
        <w:rPr>
          <w:sz w:val="24"/>
          <w:szCs w:val="24"/>
        </w:rPr>
        <w:t>Applicants: T</w:t>
      </w:r>
      <w:r w:rsidR="00553BA5">
        <w:rPr>
          <w:sz w:val="24"/>
          <w:szCs w:val="24"/>
        </w:rPr>
        <w:t>he program estimates that the number of applicants will average 5,175 per year for the next 3 years. Each applicant must complete an application once per fiscal year until they are awarded a NHSC/LRP contract. The application consists of general information (name, address, school attended, degree obtained, where to be employed, etc.) and information for each loan to be repaid (average of 4 per applicant). Information from different applicants may vary, but it appears that the burden estimates for the forms remain reasonable based on consultat</w:t>
      </w:r>
      <w:r w:rsidR="00123A02">
        <w:rPr>
          <w:sz w:val="24"/>
          <w:szCs w:val="24"/>
        </w:rPr>
        <w:t xml:space="preserve">ion with previous respondents. </w:t>
      </w:r>
      <w:r w:rsidR="002B7C31" w:rsidRPr="005D39B5">
        <w:rPr>
          <w:sz w:val="24"/>
          <w:szCs w:val="24"/>
        </w:rPr>
        <w:t>The program estimates that 5000 applicants may complete their NHSC service. These alumni will take an estimated 0.</w:t>
      </w:r>
      <w:r w:rsidR="00893CA3">
        <w:rPr>
          <w:sz w:val="24"/>
          <w:szCs w:val="24"/>
        </w:rPr>
        <w:t>2</w:t>
      </w:r>
      <w:r w:rsidR="002B7C31" w:rsidRPr="005D39B5">
        <w:rPr>
          <w:sz w:val="24"/>
          <w:szCs w:val="24"/>
        </w:rPr>
        <w:t xml:space="preserve"> hours annually to update or provide basic contact information for the alumni database.</w:t>
      </w:r>
      <w:r w:rsidR="002B7C31">
        <w:rPr>
          <w:sz w:val="24"/>
          <w:szCs w:val="24"/>
        </w:rPr>
        <w:t xml:space="preserve"> </w:t>
      </w:r>
    </w:p>
    <w:p w:rsidR="002B7C31" w:rsidRDefault="002B7C31" w:rsidP="00280226">
      <w:pPr>
        <w:rPr>
          <w:sz w:val="24"/>
          <w:szCs w:val="24"/>
        </w:rPr>
      </w:pPr>
    </w:p>
    <w:p w:rsidR="002B7C31" w:rsidRDefault="002B7C31" w:rsidP="00280226">
      <w:pPr>
        <w:rPr>
          <w:sz w:val="24"/>
          <w:szCs w:val="24"/>
        </w:rPr>
        <w:sectPr w:rsidR="002B7C31" w:rsidSect="00280226">
          <w:pgSz w:w="12240" w:h="15840"/>
          <w:pgMar w:top="1440" w:right="1440" w:bottom="1440" w:left="1440" w:header="1440" w:footer="1440" w:gutter="0"/>
          <w:cols w:space="720"/>
        </w:sectPr>
      </w:pPr>
    </w:p>
    <w:p w:rsidR="00553BA5" w:rsidRDefault="00553BA5" w:rsidP="00280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lastRenderedPageBreak/>
        <w:t xml:space="preserve">13.    </w:t>
      </w:r>
      <w:r>
        <w:rPr>
          <w:sz w:val="24"/>
          <w:szCs w:val="24"/>
          <w:u w:val="single"/>
        </w:rPr>
        <w:t>Estimates of Annualized Cost Burden to Respondents</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capital or start-up costs to respondents.  There are no operation or maintenance costs to lenders; all information is maintained for usual business purposes.</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14.</w:t>
      </w:r>
      <w:r>
        <w:rPr>
          <w:sz w:val="24"/>
          <w:szCs w:val="24"/>
        </w:rPr>
        <w:tab/>
      </w:r>
      <w:r>
        <w:rPr>
          <w:sz w:val="24"/>
          <w:szCs w:val="24"/>
          <w:u w:val="single"/>
        </w:rPr>
        <w:t>Estimates of Annualized Cost to the Government</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CE5E70"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E5E70">
        <w:rPr>
          <w:rStyle w:val="Emphasis"/>
          <w:i w:val="0"/>
          <w:sz w:val="24"/>
          <w:szCs w:val="24"/>
        </w:rPr>
        <w:t>The processing of the NHSC/LRP application forms is handled by a contractor for an annual cost of $2,025,759.00.</w:t>
      </w:r>
      <w:r>
        <w:rPr>
          <w:rStyle w:val="Emphasis"/>
        </w:rPr>
        <w:t xml:space="preserve">  </w:t>
      </w:r>
      <w:r w:rsidR="00553BA5">
        <w:rPr>
          <w:sz w:val="24"/>
          <w:szCs w:val="24"/>
        </w:rPr>
        <w:t xml:space="preserve">This contract is monitored by a division director, who spends 25% of her time providing technical assistance, training and monitoring the contractor’s performance for a cost of $38,750. </w:t>
      </w:r>
      <w:r w:rsidR="00641FC1">
        <w:rPr>
          <w:sz w:val="24"/>
          <w:szCs w:val="24"/>
        </w:rPr>
        <w:t xml:space="preserve"> </w:t>
      </w:r>
      <w:r w:rsidR="00641FC1" w:rsidRPr="005D39B5">
        <w:rPr>
          <w:sz w:val="24"/>
          <w:szCs w:val="24"/>
        </w:rPr>
        <w:t xml:space="preserve">The </w:t>
      </w:r>
      <w:r w:rsidR="00123A02" w:rsidRPr="005D39B5">
        <w:rPr>
          <w:sz w:val="24"/>
          <w:szCs w:val="24"/>
        </w:rPr>
        <w:t xml:space="preserve">secure </w:t>
      </w:r>
      <w:r w:rsidR="00641FC1" w:rsidRPr="005D39B5">
        <w:rPr>
          <w:sz w:val="24"/>
          <w:szCs w:val="24"/>
        </w:rPr>
        <w:t xml:space="preserve">database to maintain basic contact information of NHSC applicants who complete their service </w:t>
      </w:r>
      <w:r w:rsidR="00123A02" w:rsidRPr="005D39B5">
        <w:rPr>
          <w:sz w:val="24"/>
          <w:szCs w:val="24"/>
        </w:rPr>
        <w:t>is being developed by a contractor for a cost of $45,000.</w:t>
      </w:r>
      <w:r w:rsidR="00123A02">
        <w:rPr>
          <w:sz w:val="24"/>
          <w:szCs w:val="24"/>
        </w:rPr>
        <w:t xml:space="preserve">  </w:t>
      </w:r>
      <w:r w:rsidR="00553BA5">
        <w:rPr>
          <w:sz w:val="24"/>
          <w:szCs w:val="24"/>
        </w:rPr>
        <w:t>The annual contract cost</w:t>
      </w:r>
      <w:r w:rsidR="00123A02">
        <w:rPr>
          <w:sz w:val="24"/>
          <w:szCs w:val="24"/>
        </w:rPr>
        <w:t xml:space="preserve">s to the Government </w:t>
      </w:r>
      <w:r w:rsidR="00123A02" w:rsidRPr="00CE5E70">
        <w:rPr>
          <w:sz w:val="24"/>
          <w:szCs w:val="24"/>
        </w:rPr>
        <w:t xml:space="preserve">are </w:t>
      </w:r>
      <w:r w:rsidRPr="00CE5E70">
        <w:rPr>
          <w:rStyle w:val="Emphasis"/>
          <w:i w:val="0"/>
          <w:sz w:val="24"/>
          <w:szCs w:val="24"/>
        </w:rPr>
        <w:t>$2,109,509.00.</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15.</w:t>
      </w:r>
      <w:r>
        <w:rPr>
          <w:sz w:val="24"/>
          <w:szCs w:val="24"/>
        </w:rPr>
        <w:tab/>
      </w:r>
      <w:r>
        <w:rPr>
          <w:sz w:val="24"/>
          <w:szCs w:val="24"/>
          <w:u w:val="single"/>
        </w:rPr>
        <w:t>Changes in Burden</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A74B5" w:rsidRDefault="00553BA5" w:rsidP="0005544B">
      <w:pPr>
        <w:rPr>
          <w:sz w:val="24"/>
          <w:szCs w:val="24"/>
        </w:rPr>
      </w:pPr>
      <w:r w:rsidRPr="008425C5">
        <w:rPr>
          <w:sz w:val="24"/>
          <w:szCs w:val="24"/>
        </w:rPr>
        <w:t xml:space="preserve">The current OMB inventory contains </w:t>
      </w:r>
      <w:r w:rsidR="002B7C31" w:rsidRPr="008425C5">
        <w:rPr>
          <w:sz w:val="24"/>
          <w:szCs w:val="24"/>
        </w:rPr>
        <w:t>8,030</w:t>
      </w:r>
      <w:r w:rsidRPr="008425C5">
        <w:rPr>
          <w:sz w:val="24"/>
          <w:szCs w:val="24"/>
        </w:rPr>
        <w:t xml:space="preserve"> hours for this program. </w:t>
      </w:r>
      <w:r w:rsidR="00A91279">
        <w:rPr>
          <w:sz w:val="24"/>
          <w:szCs w:val="24"/>
        </w:rPr>
        <w:t xml:space="preserve"> </w:t>
      </w:r>
      <w:r w:rsidRPr="008425C5">
        <w:rPr>
          <w:sz w:val="24"/>
          <w:szCs w:val="24"/>
        </w:rPr>
        <w:t xml:space="preserve">The new request is for </w:t>
      </w:r>
      <w:r w:rsidR="00057206">
        <w:rPr>
          <w:sz w:val="24"/>
          <w:szCs w:val="24"/>
        </w:rPr>
        <w:t>12,128</w:t>
      </w:r>
      <w:r w:rsidR="002B7C31" w:rsidRPr="008425C5">
        <w:rPr>
          <w:sz w:val="24"/>
          <w:szCs w:val="24"/>
        </w:rPr>
        <w:t xml:space="preserve"> burden hours, an increase of </w:t>
      </w:r>
      <w:r w:rsidR="00A91279">
        <w:rPr>
          <w:sz w:val="24"/>
          <w:szCs w:val="24"/>
        </w:rPr>
        <w:t xml:space="preserve">4,098 hours.  </w:t>
      </w:r>
      <w:r w:rsidRPr="008425C5">
        <w:rPr>
          <w:sz w:val="24"/>
          <w:szCs w:val="24"/>
        </w:rPr>
        <w:t>The previous approval conta</w:t>
      </w:r>
      <w:r w:rsidR="002B7C31" w:rsidRPr="008425C5">
        <w:rPr>
          <w:sz w:val="24"/>
          <w:szCs w:val="24"/>
        </w:rPr>
        <w:t>ined an annual estimate of 4,433</w:t>
      </w:r>
      <w:r w:rsidRPr="008425C5">
        <w:rPr>
          <w:sz w:val="24"/>
          <w:szCs w:val="24"/>
        </w:rPr>
        <w:t xml:space="preserve"> for the number of respondents for this program</w:t>
      </w:r>
      <w:r w:rsidR="002B7C31" w:rsidRPr="008425C5">
        <w:rPr>
          <w:sz w:val="24"/>
          <w:szCs w:val="24"/>
        </w:rPr>
        <w:t xml:space="preserve">, which included the </w:t>
      </w:r>
      <w:r w:rsidRPr="008425C5">
        <w:rPr>
          <w:sz w:val="24"/>
          <w:szCs w:val="24"/>
        </w:rPr>
        <w:t xml:space="preserve">increase in funding from the </w:t>
      </w:r>
      <w:r w:rsidRPr="008425C5">
        <w:rPr>
          <w:bCs/>
          <w:sz w:val="24"/>
          <w:szCs w:val="24"/>
        </w:rPr>
        <w:t>American Recovery and Reinvestment Act of 2009</w:t>
      </w:r>
      <w:r w:rsidR="002B7C31" w:rsidRPr="008425C5">
        <w:rPr>
          <w:bCs/>
          <w:sz w:val="24"/>
          <w:szCs w:val="24"/>
        </w:rPr>
        <w:t>.</w:t>
      </w:r>
      <w:r w:rsidR="00A91279">
        <w:rPr>
          <w:bCs/>
          <w:sz w:val="24"/>
          <w:szCs w:val="24"/>
        </w:rPr>
        <w:t xml:space="preserve"> </w:t>
      </w:r>
      <w:r w:rsidRPr="008425C5">
        <w:rPr>
          <w:b/>
          <w:bCs/>
        </w:rPr>
        <w:t xml:space="preserve"> </w:t>
      </w:r>
      <w:r w:rsidR="002B7C31" w:rsidRPr="008425C5">
        <w:rPr>
          <w:b/>
          <w:bCs/>
        </w:rPr>
        <w:t xml:space="preserve"> </w:t>
      </w:r>
      <w:r w:rsidR="002B7C31" w:rsidRPr="008425C5">
        <w:rPr>
          <w:bCs/>
          <w:sz w:val="24"/>
          <w:szCs w:val="24"/>
        </w:rPr>
        <w:t>Due to an additional increase in funding from the</w:t>
      </w:r>
      <w:r w:rsidRPr="008425C5">
        <w:rPr>
          <w:sz w:val="24"/>
          <w:szCs w:val="24"/>
        </w:rPr>
        <w:t xml:space="preserve"> Affordable Care Act of 2010, the program is expecting the number of applications to increase to approximately 5,175 ann</w:t>
      </w:r>
      <w:r w:rsidR="00A91279">
        <w:rPr>
          <w:sz w:val="24"/>
          <w:szCs w:val="24"/>
        </w:rPr>
        <w:t xml:space="preserve">ual respondents.  </w:t>
      </w:r>
      <w:r w:rsidRPr="008425C5">
        <w:rPr>
          <w:sz w:val="24"/>
          <w:szCs w:val="24"/>
        </w:rPr>
        <w:t xml:space="preserve">This is an increase of </w:t>
      </w:r>
      <w:r w:rsidR="002B7C31" w:rsidRPr="008425C5">
        <w:rPr>
          <w:sz w:val="24"/>
          <w:szCs w:val="24"/>
        </w:rPr>
        <w:t>742</w:t>
      </w:r>
      <w:r w:rsidRPr="008425C5">
        <w:rPr>
          <w:sz w:val="24"/>
          <w:szCs w:val="24"/>
        </w:rPr>
        <w:t xml:space="preserve"> respondents for this activity.  </w:t>
      </w:r>
      <w:r w:rsidR="002B7C31" w:rsidRPr="008425C5">
        <w:rPr>
          <w:sz w:val="24"/>
          <w:szCs w:val="24"/>
        </w:rPr>
        <w:t xml:space="preserve">To collect and maintain basic contact information from applicants who complete their NHSC service, an additional 1,000 hours of annual burden is requested. </w:t>
      </w:r>
      <w:r w:rsidR="0005544B" w:rsidRPr="0005544B">
        <w:rPr>
          <w:sz w:val="24"/>
          <w:szCs w:val="24"/>
        </w:rPr>
        <w:t xml:space="preserve">The net program change increase in total annual burden hours is 12,128, 11,128 of which is due to new statute and 1,000 of which is due to agency discretion. Two forms have </w:t>
      </w:r>
      <w:r w:rsidR="0005544B">
        <w:rPr>
          <w:sz w:val="24"/>
          <w:szCs w:val="24"/>
        </w:rPr>
        <w:t xml:space="preserve">been deleted due to redundancy </w:t>
      </w:r>
      <w:r w:rsidR="00775955">
        <w:rPr>
          <w:sz w:val="24"/>
          <w:szCs w:val="24"/>
        </w:rPr>
        <w:t xml:space="preserve">and duplication. </w:t>
      </w:r>
      <w:r w:rsidR="0005544B">
        <w:rPr>
          <w:sz w:val="24"/>
          <w:szCs w:val="24"/>
        </w:rPr>
        <w:t xml:space="preserve"> </w:t>
      </w:r>
    </w:p>
    <w:p w:rsidR="0005544B" w:rsidRDefault="0005544B" w:rsidP="006A7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16. </w:t>
      </w:r>
      <w:r>
        <w:rPr>
          <w:sz w:val="24"/>
          <w:szCs w:val="24"/>
        </w:rPr>
        <w:tab/>
      </w:r>
      <w:r>
        <w:rPr>
          <w:sz w:val="24"/>
          <w:szCs w:val="24"/>
          <w:u w:val="single"/>
        </w:rPr>
        <w:t>Time Schedule, Publication and Analysis Plans</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plans for tabulation, statistical analysis, or publication of data requested.</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17. </w:t>
      </w:r>
      <w:r>
        <w:rPr>
          <w:sz w:val="24"/>
          <w:szCs w:val="24"/>
        </w:rPr>
        <w:tab/>
      </w:r>
      <w:r>
        <w:rPr>
          <w:sz w:val="24"/>
          <w:szCs w:val="24"/>
          <w:u w:val="single"/>
        </w:rPr>
        <w:t>Exemption for Display of Expiration Date</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exemption is requested.</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18.</w:t>
      </w:r>
      <w:r>
        <w:rPr>
          <w:sz w:val="24"/>
          <w:szCs w:val="24"/>
        </w:rPr>
        <w:tab/>
      </w:r>
      <w:r>
        <w:rPr>
          <w:sz w:val="24"/>
          <w:szCs w:val="24"/>
          <w:u w:val="single"/>
        </w:rPr>
        <w:t>Certifications</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This project fully complies with the requirements in 5 CFR 1320.5(d)(2). </w:t>
      </w:r>
    </w:p>
    <w:p w:rsidR="00553BA5" w:rsidRDefault="00553BA5"/>
    <w:sectPr w:rsidR="00553BA5" w:rsidSect="0050214B">
      <w:type w:val="continuous"/>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280226"/>
    <w:rsid w:val="000006A7"/>
    <w:rsid w:val="00005A24"/>
    <w:rsid w:val="00013D07"/>
    <w:rsid w:val="00015850"/>
    <w:rsid w:val="0005544B"/>
    <w:rsid w:val="00057206"/>
    <w:rsid w:val="00091F2F"/>
    <w:rsid w:val="000C108A"/>
    <w:rsid w:val="000E3F38"/>
    <w:rsid w:val="000E7B66"/>
    <w:rsid w:val="00123A02"/>
    <w:rsid w:val="00150C54"/>
    <w:rsid w:val="00156121"/>
    <w:rsid w:val="001D0A8B"/>
    <w:rsid w:val="001D3965"/>
    <w:rsid w:val="00203216"/>
    <w:rsid w:val="00205D46"/>
    <w:rsid w:val="0020678B"/>
    <w:rsid w:val="002158CF"/>
    <w:rsid w:val="00252009"/>
    <w:rsid w:val="00277F9F"/>
    <w:rsid w:val="00280226"/>
    <w:rsid w:val="00286255"/>
    <w:rsid w:val="00297034"/>
    <w:rsid w:val="002B7C31"/>
    <w:rsid w:val="002D52F2"/>
    <w:rsid w:val="00324B16"/>
    <w:rsid w:val="003766A2"/>
    <w:rsid w:val="00382546"/>
    <w:rsid w:val="0042181A"/>
    <w:rsid w:val="004937F9"/>
    <w:rsid w:val="004B0E4D"/>
    <w:rsid w:val="004C4F4A"/>
    <w:rsid w:val="0050214B"/>
    <w:rsid w:val="00517F1D"/>
    <w:rsid w:val="00553BA5"/>
    <w:rsid w:val="005A252D"/>
    <w:rsid w:val="005B3F60"/>
    <w:rsid w:val="005D39B5"/>
    <w:rsid w:val="005E0249"/>
    <w:rsid w:val="0062040B"/>
    <w:rsid w:val="006308E8"/>
    <w:rsid w:val="00641FC1"/>
    <w:rsid w:val="006A74B5"/>
    <w:rsid w:val="00737200"/>
    <w:rsid w:val="0074196D"/>
    <w:rsid w:val="0076237E"/>
    <w:rsid w:val="00767E32"/>
    <w:rsid w:val="00775955"/>
    <w:rsid w:val="00784AA8"/>
    <w:rsid w:val="007C02EF"/>
    <w:rsid w:val="007D6ABC"/>
    <w:rsid w:val="007F55DD"/>
    <w:rsid w:val="008425C5"/>
    <w:rsid w:val="00874EA2"/>
    <w:rsid w:val="00893CA3"/>
    <w:rsid w:val="008D4707"/>
    <w:rsid w:val="008E2B7C"/>
    <w:rsid w:val="009111FF"/>
    <w:rsid w:val="00942C75"/>
    <w:rsid w:val="00963D42"/>
    <w:rsid w:val="00972436"/>
    <w:rsid w:val="00992123"/>
    <w:rsid w:val="00A91279"/>
    <w:rsid w:val="00AD3254"/>
    <w:rsid w:val="00AF36C5"/>
    <w:rsid w:val="00B70858"/>
    <w:rsid w:val="00BA5688"/>
    <w:rsid w:val="00BE27CD"/>
    <w:rsid w:val="00C11109"/>
    <w:rsid w:val="00C637D1"/>
    <w:rsid w:val="00C67562"/>
    <w:rsid w:val="00C90FF6"/>
    <w:rsid w:val="00C96688"/>
    <w:rsid w:val="00CB0563"/>
    <w:rsid w:val="00CE5E70"/>
    <w:rsid w:val="00CF6E66"/>
    <w:rsid w:val="00E77A1D"/>
    <w:rsid w:val="00E944C7"/>
    <w:rsid w:val="00EB31F1"/>
    <w:rsid w:val="00ED40BD"/>
    <w:rsid w:val="00F749E6"/>
    <w:rsid w:val="00F935EB"/>
    <w:rsid w:val="00FA14A7"/>
    <w:rsid w:val="00FA4CFC"/>
    <w:rsid w:val="00FD0475"/>
    <w:rsid w:val="00FF2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26"/>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80226"/>
    <w:rPr>
      <w:color w:val="0000FF"/>
      <w:u w:val="single"/>
    </w:rPr>
  </w:style>
  <w:style w:type="character" w:styleId="CommentReference">
    <w:name w:val="annotation reference"/>
    <w:basedOn w:val="DefaultParagraphFont"/>
    <w:uiPriority w:val="99"/>
    <w:semiHidden/>
    <w:rsid w:val="00280226"/>
    <w:rPr>
      <w:rFonts w:cs="Times New Roman"/>
      <w:sz w:val="16"/>
      <w:szCs w:val="16"/>
    </w:rPr>
  </w:style>
  <w:style w:type="paragraph" w:styleId="CommentText">
    <w:name w:val="annotation text"/>
    <w:basedOn w:val="Normal"/>
    <w:link w:val="CommentTextChar"/>
    <w:uiPriority w:val="99"/>
    <w:semiHidden/>
    <w:rsid w:val="00280226"/>
  </w:style>
  <w:style w:type="character" w:customStyle="1" w:styleId="CommentTextChar">
    <w:name w:val="Comment Text Char"/>
    <w:basedOn w:val="DefaultParagraphFont"/>
    <w:link w:val="CommentText"/>
    <w:uiPriority w:val="99"/>
    <w:semiHidden/>
    <w:locked/>
    <w:rsid w:val="002802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80226"/>
    <w:rPr>
      <w:b/>
      <w:bCs/>
    </w:rPr>
  </w:style>
  <w:style w:type="character" w:customStyle="1" w:styleId="CommentSubjectChar">
    <w:name w:val="Comment Subject Char"/>
    <w:basedOn w:val="CommentTextChar"/>
    <w:link w:val="CommentSubject"/>
    <w:uiPriority w:val="99"/>
    <w:semiHidden/>
    <w:locked/>
    <w:rsid w:val="00280226"/>
    <w:rPr>
      <w:b/>
      <w:bCs/>
    </w:rPr>
  </w:style>
  <w:style w:type="paragraph" w:styleId="BalloonText">
    <w:name w:val="Balloon Text"/>
    <w:basedOn w:val="Normal"/>
    <w:link w:val="BalloonTextChar"/>
    <w:uiPriority w:val="99"/>
    <w:semiHidden/>
    <w:rsid w:val="002802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0226"/>
    <w:rPr>
      <w:rFonts w:ascii="Tahoma" w:hAnsi="Tahoma" w:cs="Tahoma"/>
      <w:sz w:val="16"/>
      <w:szCs w:val="16"/>
    </w:rPr>
  </w:style>
  <w:style w:type="character" w:styleId="Hyperlink">
    <w:name w:val="Hyperlink"/>
    <w:basedOn w:val="DefaultParagraphFont"/>
    <w:uiPriority w:val="99"/>
    <w:rsid w:val="00C96688"/>
    <w:rPr>
      <w:rFonts w:cs="Times New Roman"/>
      <w:color w:val="0000FF"/>
      <w:u w:val="single"/>
    </w:rPr>
  </w:style>
  <w:style w:type="character" w:styleId="Emphasis">
    <w:name w:val="Emphasis"/>
    <w:basedOn w:val="DefaultParagraphFont"/>
    <w:uiPriority w:val="20"/>
    <w:qFormat/>
    <w:locked/>
    <w:rsid w:val="00CE5E70"/>
    <w:rPr>
      <w:i/>
      <w:iCs/>
    </w:rPr>
  </w:style>
</w:styles>
</file>

<file path=word/webSettings.xml><?xml version="1.0" encoding="utf-8"?>
<w:webSettings xmlns:r="http://schemas.openxmlformats.org/officeDocument/2006/relationships" xmlns:w="http://schemas.openxmlformats.org/wordprocessingml/2006/main">
  <w:divs>
    <w:div w:id="19764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hsc.hrsa.gov/loanrepayment/appl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1783</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 for National Health Service Corps Loan Repayment Program</vt:lpstr>
    </vt:vector>
  </TitlesOfParts>
  <Company>Hrsa</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National Health Service Corps Loan Repayment Program</dc:title>
  <dc:subject/>
  <dc:creator>Hrsa</dc:creator>
  <cp:keywords/>
  <dc:description/>
  <cp:lastModifiedBy>NSingh</cp:lastModifiedBy>
  <cp:revision>2</cp:revision>
  <cp:lastPrinted>2010-08-27T14:09:00Z</cp:lastPrinted>
  <dcterms:created xsi:type="dcterms:W3CDTF">2010-08-27T15:15:00Z</dcterms:created>
  <dcterms:modified xsi:type="dcterms:W3CDTF">2010-08-27T15:15:00Z</dcterms:modified>
</cp:coreProperties>
</file>