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60C" w:rsidRPr="006A1BB5" w:rsidRDefault="008A360C" w:rsidP="008A360C">
      <w:pPr>
        <w:tabs>
          <w:tab w:val="center" w:pos="4680"/>
        </w:tabs>
        <w:suppressAutoHyphens/>
        <w:spacing w:line="240" w:lineRule="atLeast"/>
        <w:rPr>
          <w:rFonts w:ascii="Times New Roman" w:hAnsi="Times New Roman"/>
          <w:b/>
          <w:bCs/>
        </w:rPr>
      </w:pPr>
      <w:r>
        <w:rPr>
          <w:b/>
          <w:bCs/>
        </w:rPr>
        <w:tab/>
      </w:r>
      <w:r w:rsidRPr="006A1BB5">
        <w:rPr>
          <w:rFonts w:ascii="Times New Roman" w:hAnsi="Times New Roman"/>
          <w:b/>
          <w:bCs/>
        </w:rPr>
        <w:t>SUPPORTING STATEMENT</w:t>
      </w:r>
    </w:p>
    <w:p w:rsidR="006A1BB5" w:rsidRPr="006A1BB5" w:rsidRDefault="00E427E6" w:rsidP="008A360C">
      <w:pPr>
        <w:tabs>
          <w:tab w:val="center" w:pos="4680"/>
        </w:tabs>
        <w:suppressAutoHyphens/>
        <w:spacing w:line="240" w:lineRule="atLeast"/>
        <w:jc w:val="center"/>
        <w:rPr>
          <w:rFonts w:ascii="Times New Roman" w:hAnsi="Times New Roman"/>
          <w:b/>
          <w:bCs/>
        </w:rPr>
      </w:pPr>
      <w:r>
        <w:rPr>
          <w:rFonts w:ascii="Times New Roman" w:hAnsi="Times New Roman"/>
          <w:b/>
          <w:bCs/>
        </w:rPr>
        <w:t>Rule</w:t>
      </w:r>
      <w:r w:rsidR="00332363">
        <w:rPr>
          <w:rFonts w:ascii="Times New Roman" w:hAnsi="Times New Roman"/>
          <w:b/>
          <w:bCs/>
        </w:rPr>
        <w:t xml:space="preserve"> </w:t>
      </w:r>
      <w:r>
        <w:rPr>
          <w:rFonts w:ascii="Times New Roman" w:hAnsi="Times New Roman"/>
          <w:b/>
          <w:bCs/>
        </w:rPr>
        <w:t>702 of Regulation MC</w:t>
      </w:r>
    </w:p>
    <w:p w:rsidR="008A360C" w:rsidRPr="006A1BB5" w:rsidRDefault="008A360C" w:rsidP="008A360C">
      <w:pPr>
        <w:tabs>
          <w:tab w:val="center" w:pos="4680"/>
        </w:tabs>
        <w:suppressAutoHyphens/>
        <w:spacing w:line="240" w:lineRule="atLeast"/>
        <w:jc w:val="center"/>
        <w:rPr>
          <w:rFonts w:ascii="Times New Roman" w:hAnsi="Times New Roman"/>
          <w:b/>
          <w:bCs/>
        </w:rPr>
      </w:pPr>
    </w:p>
    <w:p w:rsidR="008A360C" w:rsidRDefault="00E9758E" w:rsidP="00E9758E">
      <w:pPr>
        <w:tabs>
          <w:tab w:val="center" w:pos="4680"/>
        </w:tabs>
        <w:suppressAutoHyphens/>
        <w:spacing w:line="240" w:lineRule="atLeast"/>
        <w:ind w:firstLine="720"/>
        <w:rPr>
          <w:rFonts w:ascii="Times New Roman" w:hAnsi="Times New Roman"/>
        </w:rPr>
      </w:pPr>
      <w:r>
        <w:rPr>
          <w:rFonts w:ascii="Times New Roman" w:hAnsi="Times New Roman"/>
        </w:rPr>
        <w:tab/>
      </w:r>
      <w:r w:rsidR="008A360C">
        <w:rPr>
          <w:rFonts w:ascii="Times New Roman" w:hAnsi="Times New Roman"/>
        </w:rPr>
        <w:t xml:space="preserve">This submission </w:t>
      </w:r>
      <w:r w:rsidR="00E427E6">
        <w:rPr>
          <w:rFonts w:ascii="Times New Roman" w:hAnsi="Times New Roman"/>
        </w:rPr>
        <w:t xml:space="preserve">is being made </w:t>
      </w:r>
      <w:r w:rsidR="008A360C">
        <w:rPr>
          <w:rFonts w:ascii="Times New Roman" w:hAnsi="Times New Roman"/>
        </w:rPr>
        <w:t>pursuant to the Paperwork Reduction Act of 1995, 44 U.S.C. Section 3501 et seq.</w:t>
      </w:r>
    </w:p>
    <w:p w:rsidR="008A360C" w:rsidRPr="00636C07" w:rsidRDefault="008A360C">
      <w:pPr>
        <w:tabs>
          <w:tab w:val="center" w:pos="4680"/>
        </w:tabs>
        <w:suppressAutoHyphens/>
        <w:spacing w:line="240" w:lineRule="atLeast"/>
        <w:rPr>
          <w:rFonts w:ascii="Times New Roman" w:hAnsi="Times New Roman"/>
        </w:rPr>
      </w:pPr>
    </w:p>
    <w:p w:rsidR="008A360C" w:rsidRPr="00636C07" w:rsidRDefault="008A360C">
      <w:pPr>
        <w:pStyle w:val="Heading1"/>
        <w:spacing w:line="240" w:lineRule="auto"/>
        <w:rPr>
          <w:rFonts w:ascii="Times New Roman" w:hAnsi="Times New Roman"/>
        </w:rPr>
      </w:pPr>
      <w:r w:rsidRPr="00636C07">
        <w:rPr>
          <w:rFonts w:ascii="Times New Roman" w:hAnsi="Times New Roman"/>
        </w:rPr>
        <w:t>A.</w:t>
      </w:r>
      <w:r w:rsidRPr="00636C07">
        <w:rPr>
          <w:rFonts w:ascii="Times New Roman" w:hAnsi="Times New Roman"/>
        </w:rPr>
        <w:tab/>
        <w:t>JUSTIFICATION</w:t>
      </w:r>
    </w:p>
    <w:p w:rsidR="008A360C" w:rsidRPr="00636C07" w:rsidRDefault="008A360C">
      <w:pPr>
        <w:tabs>
          <w:tab w:val="left" w:pos="-720"/>
        </w:tabs>
        <w:suppressAutoHyphens/>
        <w:rPr>
          <w:rFonts w:ascii="Times New Roman" w:hAnsi="Times New Roman"/>
          <w:b/>
          <w:bCs/>
        </w:rPr>
      </w:pPr>
    </w:p>
    <w:p w:rsidR="008A360C" w:rsidRPr="00636C07" w:rsidRDefault="008A360C" w:rsidP="008A360C">
      <w:pPr>
        <w:tabs>
          <w:tab w:val="left" w:pos="-720"/>
          <w:tab w:val="left" w:pos="0"/>
        </w:tabs>
        <w:suppressAutoHyphens/>
        <w:ind w:left="360"/>
        <w:rPr>
          <w:rFonts w:ascii="Times New Roman" w:hAnsi="Times New Roman"/>
          <w:b/>
          <w:bCs/>
        </w:rPr>
      </w:pPr>
      <w:r>
        <w:rPr>
          <w:rFonts w:ascii="Times New Roman" w:hAnsi="Times New Roman"/>
          <w:b/>
          <w:bCs/>
        </w:rPr>
        <w:tab/>
        <w:t>1.</w:t>
      </w:r>
      <w:r>
        <w:rPr>
          <w:rFonts w:ascii="Times New Roman" w:hAnsi="Times New Roman"/>
          <w:b/>
          <w:bCs/>
        </w:rPr>
        <w:tab/>
      </w:r>
      <w:r w:rsidRPr="00636C07">
        <w:rPr>
          <w:rFonts w:ascii="Times New Roman" w:hAnsi="Times New Roman"/>
          <w:b/>
          <w:bCs/>
        </w:rPr>
        <w:t>Necessity for the Information Collection</w:t>
      </w:r>
    </w:p>
    <w:p w:rsidR="008A360C" w:rsidRPr="00636C07" w:rsidRDefault="008A360C">
      <w:pPr>
        <w:pStyle w:val="Document1"/>
        <w:keepNext w:val="0"/>
        <w:keepLines w:val="0"/>
        <w:tabs>
          <w:tab w:val="left" w:pos="0"/>
        </w:tabs>
        <w:spacing w:line="240" w:lineRule="auto"/>
        <w:rPr>
          <w:rFonts w:ascii="Times New Roman" w:hAnsi="Times New Roman"/>
        </w:rPr>
      </w:pPr>
    </w:p>
    <w:p w:rsidR="00E427E6" w:rsidRDefault="008A360C">
      <w:pPr>
        <w:tabs>
          <w:tab w:val="left" w:pos="-720"/>
        </w:tabs>
        <w:suppressAutoHyphens/>
        <w:spacing w:line="240" w:lineRule="atLeast"/>
        <w:rPr>
          <w:rFonts w:ascii="Times New Roman" w:hAnsi="Times New Roman"/>
        </w:rPr>
      </w:pPr>
      <w:r w:rsidRPr="00636C07">
        <w:rPr>
          <w:rFonts w:ascii="Times New Roman" w:hAnsi="Times New Roman"/>
        </w:rPr>
        <w:tab/>
      </w:r>
      <w:r>
        <w:rPr>
          <w:rFonts w:ascii="Times New Roman" w:hAnsi="Times New Roman"/>
        </w:rPr>
        <w:t xml:space="preserve">On </w:t>
      </w:r>
      <w:r w:rsidR="004E28E3">
        <w:rPr>
          <w:rFonts w:ascii="Times New Roman" w:hAnsi="Times New Roman"/>
        </w:rPr>
        <w:t>July 21, 2010, President Obama signed into law the Dodd-Frank Wall Street Reform and Consumer Protection Act.</w:t>
      </w:r>
      <w:r w:rsidR="00531C3D">
        <w:rPr>
          <w:rStyle w:val="FootnoteReference"/>
        </w:rPr>
        <w:footnoteReference w:id="1"/>
      </w:r>
      <w:r w:rsidR="00531C3D">
        <w:rPr>
          <w:rFonts w:ascii="Times New Roman" w:hAnsi="Times New Roman"/>
        </w:rPr>
        <w:t xml:space="preserve">  </w:t>
      </w:r>
      <w:r w:rsidR="004E28E3">
        <w:rPr>
          <w:rFonts w:ascii="Times New Roman" w:hAnsi="Times New Roman"/>
        </w:rPr>
        <w:t xml:space="preserve">The Dodd-Frank Act requires </w:t>
      </w:r>
      <w:r w:rsidR="00E427E6">
        <w:rPr>
          <w:rFonts w:ascii="Times New Roman" w:hAnsi="Times New Roman"/>
        </w:rPr>
        <w:t>the Commission to adopt rules to mitigate specified conflicts of interest.</w:t>
      </w:r>
      <w:r w:rsidR="00531C3D">
        <w:rPr>
          <w:rStyle w:val="FootnoteReference"/>
        </w:rPr>
        <w:footnoteReference w:id="2"/>
      </w:r>
      <w:r w:rsidR="00E427E6">
        <w:rPr>
          <w:rFonts w:ascii="Times New Roman" w:hAnsi="Times New Roman"/>
        </w:rPr>
        <w:t xml:space="preserve">  Specifically, Section 765(a) of the Dodd-Frank Act requires the Commission to adopt rules, which rules may include numerical limits on the control of, or voting rights with respect to, any clearing agency</w:t>
      </w:r>
      <w:r w:rsidR="006F6201">
        <w:rPr>
          <w:rFonts w:ascii="Times New Roman" w:hAnsi="Times New Roman"/>
        </w:rPr>
        <w:t xml:space="preserve"> that clears security-based swaps (“security-based swap clearing agency”)</w:t>
      </w:r>
      <w:r w:rsidR="00E427E6">
        <w:rPr>
          <w:rFonts w:ascii="Times New Roman" w:hAnsi="Times New Roman"/>
        </w:rPr>
        <w:t xml:space="preserve">, or on the control of any security-based swap execution facility (“SB SEF”) or </w:t>
      </w:r>
      <w:r w:rsidR="006F6201">
        <w:rPr>
          <w:rFonts w:ascii="Times New Roman" w:hAnsi="Times New Roman"/>
        </w:rPr>
        <w:t xml:space="preserve">national securities exchange that posts or makes available for trading security-based swaps </w:t>
      </w:r>
      <w:r w:rsidR="00E427E6">
        <w:rPr>
          <w:rFonts w:ascii="Times New Roman" w:hAnsi="Times New Roman"/>
        </w:rPr>
        <w:t>(“SBS exchange”), by specified entities such as a bank holding company with total consolidated assets of $50 billion or more, a nonbank financial company, an affiliate of such bank holding company or nonbank financial company, a security-based swap dealer, or a major security-based swap participant.</w:t>
      </w:r>
      <w:r w:rsidR="00531C3D">
        <w:rPr>
          <w:rFonts w:ascii="Times New Roman" w:hAnsi="Times New Roman"/>
        </w:rPr>
        <w:t xml:space="preserve">  </w:t>
      </w:r>
      <w:r w:rsidR="00E427E6">
        <w:rPr>
          <w:rFonts w:ascii="Times New Roman" w:hAnsi="Times New Roman"/>
        </w:rPr>
        <w:t>Section 765(c) of the Dodd-Frank Act further provides that in adopting rules under Section 765, the Commission shall consider any conflicts of interest arising from the amount of equity ownership and voting by a single investor; the ability of owners to vote, cause the vote of, or withhold votes entitled to be cast on any matters by the holders of the ownership interest; and the governance arrangements of any derivatives clearing organization that clears swaps, or swap execution facility or board of trade designated as a contract market that posts swaps of makes swaps available for trading.</w:t>
      </w:r>
      <w:r w:rsidR="00531C3D">
        <w:rPr>
          <w:rStyle w:val="FootnoteReference"/>
        </w:rPr>
        <w:footnoteReference w:id="3"/>
      </w:r>
      <w:r w:rsidR="00E427E6">
        <w:rPr>
          <w:rFonts w:ascii="Times New Roman" w:hAnsi="Times New Roman"/>
        </w:rPr>
        <w:t xml:space="preserve">  Section 765(b) provides that the Commission shall adopt final rules if it determines that such rules are necessary or appropriate to improve the governance of, mitigate the systemic risk, promote competition or mitigate conflicts of interest in connection with a security-based swap dealer’s or major security-based swap participant</w:t>
      </w:r>
      <w:r w:rsidR="006F6201">
        <w:rPr>
          <w:rFonts w:ascii="Times New Roman" w:hAnsi="Times New Roman"/>
        </w:rPr>
        <w:t>’</w:t>
      </w:r>
      <w:r w:rsidR="00E427E6">
        <w:rPr>
          <w:rFonts w:ascii="Times New Roman" w:hAnsi="Times New Roman"/>
        </w:rPr>
        <w:t>s conduct of business with a security-based swap clearing agency, SB SEF, and SBS exchange an</w:t>
      </w:r>
      <w:r w:rsidR="006F6201">
        <w:rPr>
          <w:rFonts w:ascii="Times New Roman" w:hAnsi="Times New Roman"/>
        </w:rPr>
        <w:t>d</w:t>
      </w:r>
      <w:r w:rsidR="00E427E6">
        <w:rPr>
          <w:rFonts w:ascii="Times New Roman" w:hAnsi="Times New Roman"/>
        </w:rPr>
        <w:t xml:space="preserve"> in which such security based swap dealer or major security-based swap participant has a material debt or equity investment.</w:t>
      </w:r>
      <w:r w:rsidR="00BC5F2A">
        <w:rPr>
          <w:rStyle w:val="FootnoteReference"/>
        </w:rPr>
        <w:footnoteReference w:id="4"/>
      </w:r>
      <w:r w:rsidR="00531C3D">
        <w:rPr>
          <w:rFonts w:ascii="Times New Roman" w:hAnsi="Times New Roman"/>
        </w:rPr>
        <w:t xml:space="preserve"> </w:t>
      </w:r>
      <w:r w:rsidR="00E427E6">
        <w:rPr>
          <w:rFonts w:ascii="Times New Roman" w:hAnsi="Times New Roman"/>
        </w:rPr>
        <w:t xml:space="preserve">The Commission is required to adopt such rules by January </w:t>
      </w:r>
      <w:r w:rsidR="006F6201">
        <w:rPr>
          <w:rFonts w:ascii="Times New Roman" w:hAnsi="Times New Roman"/>
        </w:rPr>
        <w:t>17,</w:t>
      </w:r>
      <w:r w:rsidR="00E427E6">
        <w:rPr>
          <w:rFonts w:ascii="Times New Roman" w:hAnsi="Times New Roman"/>
        </w:rPr>
        <w:t xml:space="preserve"> 2011, which is 180 days after the enactment of the Dodd-Frank Act.  </w:t>
      </w:r>
    </w:p>
    <w:p w:rsidR="00E427E6" w:rsidRDefault="00E427E6">
      <w:pPr>
        <w:tabs>
          <w:tab w:val="left" w:pos="-720"/>
        </w:tabs>
        <w:suppressAutoHyphens/>
        <w:spacing w:line="240" w:lineRule="atLeast"/>
        <w:rPr>
          <w:rFonts w:ascii="Times New Roman" w:hAnsi="Times New Roman"/>
        </w:rPr>
      </w:pPr>
    </w:p>
    <w:p w:rsidR="00E427E6" w:rsidRDefault="00531C3D">
      <w:pPr>
        <w:tabs>
          <w:tab w:val="left" w:pos="-720"/>
        </w:tabs>
        <w:suppressAutoHyphens/>
        <w:spacing w:line="240" w:lineRule="atLeast"/>
        <w:rPr>
          <w:rFonts w:ascii="Times New Roman" w:hAnsi="Times New Roman"/>
        </w:rPr>
      </w:pPr>
      <w:r>
        <w:rPr>
          <w:rFonts w:ascii="Times New Roman" w:hAnsi="Times New Roman"/>
        </w:rPr>
        <w:tab/>
        <w:t>Regulation MC under the Exchange Act</w:t>
      </w:r>
      <w:r w:rsidR="004D4823">
        <w:rPr>
          <w:rFonts w:ascii="Times New Roman" w:hAnsi="Times New Roman"/>
        </w:rPr>
        <w:t xml:space="preserve">, and Rules 700, 701, and 702 </w:t>
      </w:r>
      <w:proofErr w:type="spellStart"/>
      <w:r w:rsidR="004D4823">
        <w:rPr>
          <w:rFonts w:ascii="Times New Roman" w:hAnsi="Times New Roman"/>
        </w:rPr>
        <w:t>thereunder</w:t>
      </w:r>
      <w:proofErr w:type="spellEnd"/>
      <w:r w:rsidR="004D4823">
        <w:rPr>
          <w:rFonts w:ascii="Times New Roman" w:hAnsi="Times New Roman"/>
        </w:rPr>
        <w:t>, are</w:t>
      </w:r>
      <w:r>
        <w:rPr>
          <w:rFonts w:ascii="Times New Roman" w:hAnsi="Times New Roman"/>
        </w:rPr>
        <w:t xml:space="preserve"> intended to mitigate conflicts of interest with respect to security-based swap clearing agencies, SB SEFs, and SBS exchanges.</w:t>
      </w:r>
    </w:p>
    <w:p w:rsidR="008A360C" w:rsidRPr="002E4A5A" w:rsidRDefault="008A360C" w:rsidP="008A360C">
      <w:pPr>
        <w:tabs>
          <w:tab w:val="left" w:pos="-720"/>
        </w:tabs>
        <w:suppressAutoHyphens/>
        <w:spacing w:line="240" w:lineRule="atLeast"/>
      </w:pPr>
      <w:r w:rsidRPr="002E4A5A">
        <w:tab/>
        <w:t xml:space="preserve"> </w:t>
      </w:r>
    </w:p>
    <w:p w:rsidR="008F528B" w:rsidRDefault="008A360C" w:rsidP="00332363">
      <w:pPr>
        <w:tabs>
          <w:tab w:val="left" w:pos="-720"/>
          <w:tab w:val="left" w:pos="0"/>
        </w:tabs>
        <w:suppressAutoHyphens/>
        <w:ind w:left="720"/>
        <w:rPr>
          <w:rFonts w:ascii="Times New Roman" w:hAnsi="Times New Roman"/>
          <w:b/>
          <w:bCs/>
        </w:rPr>
      </w:pPr>
      <w:r w:rsidRPr="002E4A5A">
        <w:rPr>
          <w:rFonts w:ascii="Times New Roman" w:hAnsi="Times New Roman"/>
          <w:b/>
          <w:bCs/>
        </w:rPr>
        <w:lastRenderedPageBreak/>
        <w:t>2.</w:t>
      </w:r>
      <w:r w:rsidRPr="002E4A5A">
        <w:rPr>
          <w:rFonts w:ascii="Times New Roman" w:hAnsi="Times New Roman"/>
          <w:b/>
          <w:bCs/>
        </w:rPr>
        <w:tab/>
        <w:t>Purpose of the Information Collection</w:t>
      </w:r>
    </w:p>
    <w:p w:rsidR="004D4823" w:rsidRPr="00332363" w:rsidRDefault="004D4823" w:rsidP="00332363">
      <w:pPr>
        <w:tabs>
          <w:tab w:val="left" w:pos="-720"/>
          <w:tab w:val="left" w:pos="0"/>
        </w:tabs>
        <w:suppressAutoHyphens/>
        <w:ind w:left="720"/>
        <w:rPr>
          <w:rFonts w:ascii="Times New Roman" w:hAnsi="Times New Roman"/>
          <w:b/>
          <w:bCs/>
        </w:rPr>
      </w:pPr>
    </w:p>
    <w:p w:rsidR="00B97A47" w:rsidRPr="00B97A47" w:rsidRDefault="008A360C" w:rsidP="00490747">
      <w:pPr>
        <w:ind w:left="-90" w:firstLine="810"/>
        <w:rPr>
          <w:rFonts w:ascii="Times New Roman" w:hAnsi="Times New Roman"/>
          <w:szCs w:val="26"/>
        </w:rPr>
      </w:pPr>
      <w:r w:rsidRPr="00B97A47">
        <w:rPr>
          <w:rFonts w:ascii="Times New Roman" w:hAnsi="Times New Roman"/>
        </w:rPr>
        <w:t xml:space="preserve">The </w:t>
      </w:r>
      <w:r w:rsidR="004768C2" w:rsidRPr="00B97A47">
        <w:rPr>
          <w:rFonts w:ascii="Times New Roman" w:hAnsi="Times New Roman"/>
        </w:rPr>
        <w:t>information collection requirement</w:t>
      </w:r>
      <w:r w:rsidR="00BC5F2A" w:rsidRPr="00B97A47">
        <w:rPr>
          <w:rFonts w:ascii="Times New Roman" w:hAnsi="Times New Roman"/>
        </w:rPr>
        <w:t>s</w:t>
      </w:r>
      <w:r w:rsidR="004768C2" w:rsidRPr="00B97A47">
        <w:rPr>
          <w:rFonts w:ascii="Times New Roman" w:hAnsi="Times New Roman"/>
        </w:rPr>
        <w:t xml:space="preserve"> of </w:t>
      </w:r>
      <w:r w:rsidR="00531C3D" w:rsidRPr="00B97A47">
        <w:rPr>
          <w:rFonts w:ascii="Times New Roman" w:hAnsi="Times New Roman"/>
        </w:rPr>
        <w:t>Rule 702</w:t>
      </w:r>
      <w:r w:rsidR="00B97A47">
        <w:rPr>
          <w:rFonts w:ascii="Times New Roman" w:hAnsi="Times New Roman"/>
        </w:rPr>
        <w:t xml:space="preserve"> </w:t>
      </w:r>
      <w:r w:rsidR="00BC5F2A" w:rsidRPr="00B97A47">
        <w:rPr>
          <w:rFonts w:ascii="Times New Roman" w:hAnsi="Times New Roman"/>
        </w:rPr>
        <w:t>of Regulation MC are intended to mitigate conflicts of interest with respect to SB SEFs and SBS exchanges.</w:t>
      </w:r>
    </w:p>
    <w:p w:rsidR="00B97A47" w:rsidRPr="00B97A47" w:rsidRDefault="00B97A47" w:rsidP="00490747">
      <w:pPr>
        <w:ind w:left="-90"/>
        <w:rPr>
          <w:rFonts w:ascii="Times New Roman" w:hAnsi="Times New Roman"/>
          <w:szCs w:val="26"/>
        </w:rPr>
      </w:pPr>
    </w:p>
    <w:p w:rsidR="00B97A47" w:rsidRDefault="00B97A47" w:rsidP="00490747">
      <w:pPr>
        <w:ind w:firstLine="720"/>
        <w:rPr>
          <w:rFonts w:ascii="Times New Roman" w:hAnsi="Times New Roman"/>
          <w:szCs w:val="26"/>
        </w:rPr>
      </w:pPr>
      <w:r w:rsidRPr="00B97A47">
        <w:rPr>
          <w:rFonts w:ascii="Times New Roman" w:hAnsi="Times New Roman"/>
          <w:szCs w:val="26"/>
        </w:rPr>
        <w:t>Rule 702(c) under Regulation MC would require SB SEFs</w:t>
      </w:r>
      <w:r w:rsidR="006F6201">
        <w:rPr>
          <w:rFonts w:ascii="Times New Roman" w:hAnsi="Times New Roman"/>
          <w:szCs w:val="26"/>
        </w:rPr>
        <w:t xml:space="preserve"> and</w:t>
      </w:r>
      <w:r w:rsidRPr="00B97A47">
        <w:rPr>
          <w:rFonts w:ascii="Times New Roman" w:hAnsi="Times New Roman"/>
          <w:szCs w:val="26"/>
        </w:rPr>
        <w:t xml:space="preserve"> SBS </w:t>
      </w:r>
      <w:r w:rsidR="006F6201">
        <w:rPr>
          <w:rFonts w:ascii="Times New Roman" w:hAnsi="Times New Roman"/>
          <w:szCs w:val="26"/>
        </w:rPr>
        <w:t>exchanges or facilities of national securities exchanges that post or make available for trading security-based swaps (“</w:t>
      </w:r>
      <w:r w:rsidRPr="00B97A47">
        <w:rPr>
          <w:rFonts w:ascii="Times New Roman" w:hAnsi="Times New Roman"/>
          <w:szCs w:val="26"/>
        </w:rPr>
        <w:t>SBS exchange facilit</w:t>
      </w:r>
      <w:r w:rsidR="006F6201">
        <w:rPr>
          <w:rFonts w:ascii="Times New Roman" w:hAnsi="Times New Roman"/>
          <w:szCs w:val="26"/>
        </w:rPr>
        <w:t>ies”)</w:t>
      </w:r>
      <w:r w:rsidRPr="00B97A47">
        <w:rPr>
          <w:rFonts w:ascii="Times New Roman" w:hAnsi="Times New Roman"/>
          <w:szCs w:val="26"/>
        </w:rPr>
        <w:t xml:space="preserve"> to have rules that would:  (1) provide for an effective mechanism to divest any participant or member, as applicable, of any interest owned in excess of the proposed 20% ownership limit; (2) not to give effect to the portio</w:t>
      </w:r>
      <w:r w:rsidR="00A613BC">
        <w:rPr>
          <w:rFonts w:ascii="Times New Roman" w:hAnsi="Times New Roman"/>
          <w:szCs w:val="26"/>
        </w:rPr>
        <w:t>n of any voting interest held</w:t>
      </w:r>
      <w:r w:rsidRPr="00B97A47">
        <w:rPr>
          <w:rFonts w:ascii="Times New Roman" w:hAnsi="Times New Roman"/>
          <w:szCs w:val="26"/>
        </w:rPr>
        <w:t xml:space="preserve"> by one or more participants or members, as applicable, in excess of the proposed 20% voting limit; and (3) provide an effective mechanism for the SB SEF, SBS exchange or SBS exchange facility to obtain information relating to ownership and voting interests in such entity.  Establishing such rules would result in a paperwork burden for a SB SEF, SBS exchange, or SBS exchange facility, as applicable.  In addition, if a SB SEF, SBS exchange, or SBS exchange facility were to request to receive ownership and voting information from participants or members pursuant to Rule 702(c), which would be a collection of information.  The purpose of the collection of information in proposed Rule 702(c) under Regulation MC</w:t>
      </w:r>
      <w:r w:rsidRPr="00B97A47" w:rsidDel="00897196">
        <w:rPr>
          <w:rFonts w:ascii="Times New Roman" w:hAnsi="Times New Roman"/>
          <w:szCs w:val="26"/>
        </w:rPr>
        <w:t xml:space="preserve"> </w:t>
      </w:r>
      <w:r w:rsidRPr="00B97A47">
        <w:rPr>
          <w:rFonts w:ascii="Times New Roman" w:hAnsi="Times New Roman"/>
          <w:szCs w:val="26"/>
        </w:rPr>
        <w:t>is to enable a SB SEF, SBS exchange, or SBS exchange facility to monitor voting interests with respect to such entity, and enable the SB SEF, SBS exchange, or SBS exchange facility, as applicable, to take necessary action if the ownership or voting rights by a participant or member or group of participants or members, as applicable, exceed those allowed under proposed Rule 702(b).</w:t>
      </w:r>
    </w:p>
    <w:p w:rsidR="00490747" w:rsidRPr="00B97A47" w:rsidRDefault="00490747" w:rsidP="00490747">
      <w:pPr>
        <w:rPr>
          <w:rFonts w:ascii="Times New Roman" w:hAnsi="Times New Roman"/>
        </w:rPr>
      </w:pPr>
    </w:p>
    <w:p w:rsidR="00490747" w:rsidRPr="00490747" w:rsidRDefault="00B97A47" w:rsidP="00490747">
      <w:pPr>
        <w:ind w:firstLine="720"/>
        <w:rPr>
          <w:rFonts w:ascii="Times New Roman" w:hAnsi="Times New Roman"/>
        </w:rPr>
      </w:pPr>
      <w:r w:rsidRPr="00490747">
        <w:rPr>
          <w:rFonts w:ascii="Times New Roman" w:hAnsi="Times New Roman"/>
        </w:rPr>
        <w:t xml:space="preserve">Rule 702(e) under Regulation MC would require SB SEFs and SBS exchanges to establish a </w:t>
      </w:r>
      <w:r w:rsidR="00490747">
        <w:rPr>
          <w:rFonts w:ascii="Times New Roman" w:hAnsi="Times New Roman"/>
        </w:rPr>
        <w:t>regulatory oversight committee (“</w:t>
      </w:r>
      <w:r w:rsidRPr="00490747">
        <w:rPr>
          <w:rFonts w:ascii="Times New Roman" w:hAnsi="Times New Roman"/>
        </w:rPr>
        <w:t>ROC</w:t>
      </w:r>
      <w:r w:rsidR="00490747">
        <w:rPr>
          <w:rFonts w:ascii="Times New Roman" w:hAnsi="Times New Roman"/>
        </w:rPr>
        <w:t>”)</w:t>
      </w:r>
      <w:r w:rsidRPr="00490747">
        <w:rPr>
          <w:rFonts w:ascii="Times New Roman" w:hAnsi="Times New Roman"/>
        </w:rPr>
        <w:t xml:space="preserve"> that is composed solely of independent directors,</w:t>
      </w:r>
      <w:r w:rsidRPr="00490747">
        <w:rPr>
          <w:rStyle w:val="FootnoteReference"/>
          <w:rFonts w:ascii="Times New Roman" w:hAnsi="Times New Roman"/>
        </w:rPr>
        <w:t xml:space="preserve"> </w:t>
      </w:r>
      <w:r w:rsidRPr="00490747">
        <w:rPr>
          <w:rFonts w:ascii="Times New Roman" w:hAnsi="Times New Roman"/>
        </w:rPr>
        <w:t xml:space="preserve">to oversee the SB SEF’s and SBS exchange’s obligations under Section 3D of the Exchange Act. </w:t>
      </w:r>
      <w:r w:rsidR="006F6201">
        <w:rPr>
          <w:rFonts w:ascii="Times New Roman" w:hAnsi="Times New Roman"/>
        </w:rPr>
        <w:t xml:space="preserve"> </w:t>
      </w:r>
      <w:r w:rsidRPr="00490747">
        <w:rPr>
          <w:rFonts w:ascii="Times New Roman" w:hAnsi="Times New Roman"/>
        </w:rPr>
        <w:t xml:space="preserve">The proposed rule would require that any recommendation of the ROC that is not adopted or implemented by the SB SEF’s or SBS exchange’s </w:t>
      </w:r>
      <w:r w:rsidR="006F6201">
        <w:rPr>
          <w:rFonts w:ascii="Times New Roman" w:hAnsi="Times New Roman"/>
        </w:rPr>
        <w:t>board of directors (“Board”)</w:t>
      </w:r>
      <w:r w:rsidRPr="00490747">
        <w:rPr>
          <w:rFonts w:ascii="Times New Roman" w:hAnsi="Times New Roman"/>
        </w:rPr>
        <w:t xml:space="preserve"> be reported promptly to the Commission.</w:t>
      </w:r>
      <w:r w:rsidR="00490747" w:rsidRPr="00490747">
        <w:rPr>
          <w:rFonts w:ascii="Times New Roman" w:hAnsi="Times New Roman"/>
        </w:rPr>
        <w:t xml:space="preserve">  The purpose of the collection of information in proposed Rule 702(e) under Regulation MC is to provide the Commission with information regarding the instances in which the SB SEF or SBS exchange does not adopt or implement a recommendation of the ROC, which would help the Commission in its oversight of SB SEFs and SBS exchanges.  The information collection also should promote sound regulatory policies and foster the effectiveness of the ROC by putting the SB SEF or SBS exchange on notice that the Commission must be apprised promptly of any recommendation that is made by the ROC that is not adopted or implemented.</w:t>
      </w:r>
    </w:p>
    <w:p w:rsidR="00381A25" w:rsidRDefault="00381A25" w:rsidP="00490747">
      <w:pPr>
        <w:rPr>
          <w:rFonts w:ascii="Times New Roman" w:hAnsi="Times New Roman"/>
        </w:rPr>
      </w:pPr>
    </w:p>
    <w:p w:rsidR="008F528B" w:rsidRDefault="008A360C" w:rsidP="004A617D">
      <w:pPr>
        <w:pStyle w:val="BodyTextIndent"/>
        <w:ind w:firstLine="0"/>
        <w:rPr>
          <w:rFonts w:ascii="Times New Roman" w:hAnsi="Times New Roman"/>
        </w:rPr>
      </w:pPr>
      <w:r w:rsidRPr="002E4A5A">
        <w:rPr>
          <w:rFonts w:ascii="Times New Roman" w:hAnsi="Times New Roman"/>
        </w:rPr>
        <w:t>3.</w:t>
      </w:r>
      <w:r w:rsidRPr="002E4A5A">
        <w:rPr>
          <w:rFonts w:ascii="Times New Roman" w:hAnsi="Times New Roman"/>
        </w:rPr>
        <w:tab/>
        <w:t>Role of Improved Information Technology</w:t>
      </w:r>
      <w:r w:rsidRPr="002E4A5A">
        <w:rPr>
          <w:rFonts w:ascii="Times New Roman" w:hAnsi="Times New Roman"/>
        </w:rPr>
        <w:tab/>
      </w:r>
    </w:p>
    <w:p w:rsidR="008F528B" w:rsidRDefault="008F528B">
      <w:pPr>
        <w:tabs>
          <w:tab w:val="left" w:pos="-720"/>
        </w:tabs>
        <w:suppressAutoHyphens/>
        <w:spacing w:line="240" w:lineRule="atLeast"/>
        <w:rPr>
          <w:rFonts w:ascii="Times New Roman" w:hAnsi="Times New Roman"/>
        </w:rPr>
      </w:pPr>
    </w:p>
    <w:p w:rsidR="008A360C" w:rsidRPr="002E4A5A" w:rsidRDefault="008F528B">
      <w:pPr>
        <w:tabs>
          <w:tab w:val="left" w:pos="-720"/>
        </w:tabs>
        <w:suppressAutoHyphens/>
        <w:spacing w:line="240" w:lineRule="atLeast"/>
        <w:rPr>
          <w:rFonts w:ascii="Times New Roman" w:hAnsi="Times New Roman"/>
        </w:rPr>
      </w:pPr>
      <w:r>
        <w:rPr>
          <w:rFonts w:ascii="Times New Roman" w:hAnsi="Times New Roman"/>
        </w:rPr>
        <w:tab/>
      </w:r>
      <w:r w:rsidR="00490747">
        <w:rPr>
          <w:rFonts w:ascii="Times New Roman" w:hAnsi="Times New Roman"/>
        </w:rPr>
        <w:t xml:space="preserve">SB SEFs would report information required under Rule 702(e) to an electronic mailbox at the Commission. </w:t>
      </w:r>
    </w:p>
    <w:p w:rsidR="008A360C" w:rsidRPr="002E4A5A" w:rsidRDefault="008A360C">
      <w:pPr>
        <w:keepLines/>
        <w:tabs>
          <w:tab w:val="left" w:pos="-720"/>
        </w:tabs>
        <w:suppressAutoHyphens/>
        <w:rPr>
          <w:rFonts w:ascii="Times New Roman" w:hAnsi="Times New Roman"/>
        </w:rPr>
      </w:pPr>
    </w:p>
    <w:p w:rsidR="008A360C" w:rsidRPr="002E4A5A" w:rsidRDefault="008A360C" w:rsidP="008A360C">
      <w:pPr>
        <w:tabs>
          <w:tab w:val="left" w:pos="-720"/>
          <w:tab w:val="left" w:pos="0"/>
        </w:tabs>
        <w:suppressAutoHyphens/>
        <w:ind w:left="720"/>
        <w:rPr>
          <w:rFonts w:ascii="Times New Roman" w:hAnsi="Times New Roman"/>
          <w:b/>
          <w:bCs/>
        </w:rPr>
      </w:pPr>
      <w:r w:rsidRPr="002E4A5A">
        <w:rPr>
          <w:rFonts w:ascii="Times New Roman" w:hAnsi="Times New Roman"/>
          <w:b/>
          <w:bCs/>
        </w:rPr>
        <w:t>4.</w:t>
      </w:r>
      <w:r w:rsidRPr="002E4A5A">
        <w:rPr>
          <w:rFonts w:ascii="Times New Roman" w:hAnsi="Times New Roman"/>
          <w:b/>
          <w:bCs/>
        </w:rPr>
        <w:tab/>
        <w:t>Efforts to Identify Duplication</w:t>
      </w:r>
    </w:p>
    <w:p w:rsidR="008F528B" w:rsidRDefault="008F528B">
      <w:pPr>
        <w:tabs>
          <w:tab w:val="left" w:pos="-720"/>
        </w:tabs>
        <w:suppressAutoHyphens/>
        <w:rPr>
          <w:rFonts w:ascii="Times New Roman" w:hAnsi="Times New Roman"/>
        </w:rPr>
      </w:pPr>
    </w:p>
    <w:p w:rsidR="00490747" w:rsidRDefault="004768C2" w:rsidP="004A617D">
      <w:pPr>
        <w:ind w:firstLine="720"/>
        <w:rPr>
          <w:rFonts w:ascii="Times New Roman" w:hAnsi="Times New Roman"/>
        </w:rPr>
      </w:pPr>
      <w:r>
        <w:rPr>
          <w:rFonts w:ascii="Times New Roman" w:hAnsi="Times New Roman"/>
        </w:rPr>
        <w:lastRenderedPageBreak/>
        <w:t xml:space="preserve">In </w:t>
      </w:r>
      <w:r w:rsidR="00490747">
        <w:rPr>
          <w:rFonts w:ascii="Times New Roman" w:hAnsi="Times New Roman"/>
        </w:rPr>
        <w:t xml:space="preserve">establishing Rule 702, the Commission has taken steps to minimize the compliance burden on </w:t>
      </w:r>
      <w:r w:rsidR="00494E03">
        <w:rPr>
          <w:rFonts w:ascii="Times New Roman" w:hAnsi="Times New Roman"/>
        </w:rPr>
        <w:t>SB SEFs, SBS e</w:t>
      </w:r>
      <w:r w:rsidR="00490747">
        <w:rPr>
          <w:rFonts w:ascii="Times New Roman" w:hAnsi="Times New Roman"/>
        </w:rPr>
        <w:t>xchanges</w:t>
      </w:r>
      <w:r w:rsidR="00332363">
        <w:rPr>
          <w:rFonts w:ascii="Times New Roman" w:hAnsi="Times New Roman"/>
        </w:rPr>
        <w:t>,</w:t>
      </w:r>
      <w:r w:rsidR="00490747">
        <w:rPr>
          <w:rFonts w:ascii="Times New Roman" w:hAnsi="Times New Roman"/>
        </w:rPr>
        <w:t xml:space="preserve"> and SBS exchange facilities. </w:t>
      </w:r>
    </w:p>
    <w:p w:rsidR="008A360C" w:rsidRPr="00636C07" w:rsidRDefault="008A360C" w:rsidP="004A617D">
      <w:pPr>
        <w:tabs>
          <w:tab w:val="left" w:pos="-720"/>
        </w:tabs>
        <w:suppressAutoHyphens/>
        <w:rPr>
          <w:rFonts w:ascii="Times New Roman" w:hAnsi="Times New Roman"/>
        </w:rPr>
      </w:pPr>
      <w:r>
        <w:rPr>
          <w:rFonts w:ascii="Times New Roman" w:hAnsi="Times New Roman"/>
        </w:rPr>
        <w:t xml:space="preserve"> </w:t>
      </w:r>
    </w:p>
    <w:p w:rsidR="008A360C" w:rsidRPr="00636C07" w:rsidRDefault="008A360C" w:rsidP="008A360C">
      <w:pPr>
        <w:tabs>
          <w:tab w:val="left" w:pos="-720"/>
          <w:tab w:val="left" w:pos="0"/>
        </w:tabs>
        <w:suppressAutoHyphens/>
        <w:ind w:left="720"/>
        <w:rPr>
          <w:rFonts w:ascii="Times New Roman" w:hAnsi="Times New Roman"/>
        </w:rPr>
      </w:pPr>
      <w:r w:rsidRPr="00636C07">
        <w:rPr>
          <w:rFonts w:ascii="Times New Roman" w:hAnsi="Times New Roman"/>
          <w:b/>
          <w:bCs/>
        </w:rPr>
        <w:t>5.</w:t>
      </w:r>
      <w:r w:rsidRPr="00636C07">
        <w:rPr>
          <w:rFonts w:ascii="Times New Roman" w:hAnsi="Times New Roman"/>
          <w:b/>
          <w:bCs/>
        </w:rPr>
        <w:tab/>
        <w:t>Effect on Small Entities</w:t>
      </w:r>
    </w:p>
    <w:p w:rsidR="008A360C" w:rsidRPr="00636C07" w:rsidRDefault="008A360C">
      <w:pPr>
        <w:tabs>
          <w:tab w:val="left" w:pos="-720"/>
        </w:tabs>
        <w:suppressAutoHyphens/>
        <w:rPr>
          <w:rFonts w:ascii="Times New Roman" w:hAnsi="Times New Roman"/>
        </w:rPr>
      </w:pPr>
    </w:p>
    <w:p w:rsidR="007529BE" w:rsidRDefault="00490747" w:rsidP="007529BE">
      <w:pPr>
        <w:widowControl/>
        <w:tabs>
          <w:tab w:val="left" w:pos="-720"/>
        </w:tabs>
        <w:suppressAutoHyphens/>
        <w:ind w:firstLine="720"/>
        <w:rPr>
          <w:rFonts w:ascii="Times New Roman" w:hAnsi="Times New Roman"/>
          <w:spacing w:val="-3"/>
        </w:rPr>
      </w:pPr>
      <w:r>
        <w:rPr>
          <w:rFonts w:ascii="Times New Roman" w:hAnsi="Times New Roman"/>
          <w:spacing w:val="-3"/>
        </w:rPr>
        <w:t xml:space="preserve">Not applicable. </w:t>
      </w:r>
    </w:p>
    <w:p w:rsidR="007529BE" w:rsidRDefault="008A360C">
      <w:pPr>
        <w:tabs>
          <w:tab w:val="left" w:pos="-720"/>
        </w:tabs>
        <w:suppressAutoHyphens/>
        <w:spacing w:line="240" w:lineRule="atLeast"/>
        <w:rPr>
          <w:rFonts w:ascii="Times New Roman" w:hAnsi="Times New Roman"/>
        </w:rPr>
      </w:pPr>
      <w:r w:rsidRPr="00636C07">
        <w:rPr>
          <w:rFonts w:ascii="Times New Roman" w:hAnsi="Times New Roman"/>
        </w:rPr>
        <w:tab/>
      </w:r>
    </w:p>
    <w:p w:rsidR="008A360C" w:rsidRPr="00636C07" w:rsidRDefault="008A360C" w:rsidP="008A360C">
      <w:pPr>
        <w:tabs>
          <w:tab w:val="left" w:pos="-720"/>
          <w:tab w:val="left" w:pos="0"/>
        </w:tabs>
        <w:suppressAutoHyphens/>
        <w:ind w:left="720"/>
        <w:rPr>
          <w:rFonts w:ascii="Times New Roman" w:hAnsi="Times New Roman"/>
        </w:rPr>
      </w:pPr>
      <w:r w:rsidRPr="00636C07">
        <w:rPr>
          <w:rFonts w:ascii="Times New Roman" w:hAnsi="Times New Roman"/>
          <w:b/>
          <w:bCs/>
        </w:rPr>
        <w:t>6.</w:t>
      </w:r>
      <w:r w:rsidRPr="00636C07">
        <w:rPr>
          <w:rFonts w:ascii="Times New Roman" w:hAnsi="Times New Roman"/>
          <w:b/>
          <w:bCs/>
        </w:rPr>
        <w:tab/>
        <w:t xml:space="preserve">Consequences of </w:t>
      </w:r>
      <w:r>
        <w:rPr>
          <w:rFonts w:ascii="Times New Roman" w:hAnsi="Times New Roman"/>
          <w:b/>
          <w:bCs/>
        </w:rPr>
        <w:t>Less Frequent Collection</w:t>
      </w:r>
    </w:p>
    <w:p w:rsidR="008F528B" w:rsidRDefault="008F528B" w:rsidP="008F528B">
      <w:pPr>
        <w:widowControl/>
        <w:tabs>
          <w:tab w:val="left" w:pos="-720"/>
        </w:tabs>
        <w:suppressAutoHyphens/>
        <w:rPr>
          <w:rFonts w:ascii="Times New Roman" w:hAnsi="Times New Roman"/>
          <w:spacing w:val="-3"/>
        </w:rPr>
      </w:pPr>
    </w:p>
    <w:p w:rsidR="0003245C" w:rsidRDefault="008F528B" w:rsidP="00494E03">
      <w:pPr>
        <w:widowControl/>
        <w:tabs>
          <w:tab w:val="left" w:pos="-720"/>
        </w:tabs>
        <w:suppressAutoHyphens/>
        <w:ind w:firstLine="720"/>
        <w:rPr>
          <w:rFonts w:ascii="Times New Roman" w:hAnsi="Times New Roman"/>
          <w:spacing w:val="-3"/>
        </w:rPr>
      </w:pPr>
      <w:r>
        <w:rPr>
          <w:rFonts w:ascii="Times New Roman" w:hAnsi="Times New Roman"/>
          <w:spacing w:val="-3"/>
        </w:rPr>
        <w:t>A l</w:t>
      </w:r>
      <w:r w:rsidR="00AD22C8">
        <w:rPr>
          <w:rFonts w:ascii="Times New Roman" w:hAnsi="Times New Roman"/>
          <w:spacing w:val="-3"/>
        </w:rPr>
        <w:t xml:space="preserve">ess frequent collection </w:t>
      </w:r>
      <w:r w:rsidR="00490747">
        <w:rPr>
          <w:rFonts w:ascii="Times New Roman" w:hAnsi="Times New Roman"/>
          <w:spacing w:val="-3"/>
        </w:rPr>
        <w:t xml:space="preserve">under Rule 702 </w:t>
      </w:r>
      <w:r w:rsidR="00AD22C8">
        <w:rPr>
          <w:rFonts w:ascii="Times New Roman" w:hAnsi="Times New Roman"/>
          <w:spacing w:val="-3"/>
        </w:rPr>
        <w:t xml:space="preserve">would impair the </w:t>
      </w:r>
      <w:r w:rsidR="0003245C">
        <w:rPr>
          <w:rFonts w:ascii="Times New Roman" w:hAnsi="Times New Roman"/>
          <w:spacing w:val="-3"/>
        </w:rPr>
        <w:t xml:space="preserve">Commission’s ability to </w:t>
      </w:r>
      <w:r w:rsidR="0003245C" w:rsidRPr="00B97A47">
        <w:rPr>
          <w:rFonts w:ascii="Times New Roman" w:hAnsi="Times New Roman"/>
          <w:szCs w:val="26"/>
        </w:rPr>
        <w:t>take necessary action if the ownership or voting rights by a participant or member or group of participants or members</w:t>
      </w:r>
      <w:r w:rsidR="00494E03">
        <w:rPr>
          <w:rFonts w:ascii="Times New Roman" w:hAnsi="Times New Roman"/>
          <w:szCs w:val="26"/>
        </w:rPr>
        <w:t xml:space="preserve"> in a SB SEF, SBS exchange or SBS exchange facility</w:t>
      </w:r>
      <w:r w:rsidR="0003245C" w:rsidRPr="00B97A47">
        <w:rPr>
          <w:rFonts w:ascii="Times New Roman" w:hAnsi="Times New Roman"/>
          <w:szCs w:val="26"/>
        </w:rPr>
        <w:t>, as applicable, exceed</w:t>
      </w:r>
      <w:r w:rsidR="00494E03">
        <w:rPr>
          <w:rFonts w:ascii="Times New Roman" w:hAnsi="Times New Roman"/>
          <w:szCs w:val="26"/>
        </w:rPr>
        <w:t>ed</w:t>
      </w:r>
      <w:r w:rsidR="0003245C" w:rsidRPr="00B97A47">
        <w:rPr>
          <w:rFonts w:ascii="Times New Roman" w:hAnsi="Times New Roman"/>
          <w:szCs w:val="26"/>
        </w:rPr>
        <w:t xml:space="preserve"> those allowed under proposed Rule 702(b)</w:t>
      </w:r>
      <w:r w:rsidR="00494E03">
        <w:rPr>
          <w:rFonts w:ascii="Times New Roman" w:hAnsi="Times New Roman"/>
          <w:szCs w:val="26"/>
        </w:rPr>
        <w:t xml:space="preserve">, and would impair the Commission’s </w:t>
      </w:r>
      <w:r w:rsidR="0003245C">
        <w:rPr>
          <w:rFonts w:ascii="Times New Roman" w:hAnsi="Times New Roman"/>
          <w:szCs w:val="26"/>
        </w:rPr>
        <w:t xml:space="preserve">oversight of SB SEFs and SBS exchanges when the recommendation of a </w:t>
      </w:r>
      <w:r w:rsidR="0003245C" w:rsidRPr="00490747">
        <w:rPr>
          <w:rFonts w:ascii="Times New Roman" w:hAnsi="Times New Roman"/>
        </w:rPr>
        <w:t>ROC is not adopted or implemented</w:t>
      </w:r>
      <w:r w:rsidR="0003245C">
        <w:rPr>
          <w:rFonts w:ascii="Times New Roman" w:hAnsi="Times New Roman"/>
        </w:rPr>
        <w:t xml:space="preserve"> under proposed Rule 702(e). </w:t>
      </w:r>
    </w:p>
    <w:p w:rsidR="008A360C" w:rsidRPr="00636C07" w:rsidRDefault="008A360C">
      <w:pPr>
        <w:tabs>
          <w:tab w:val="left" w:pos="-720"/>
        </w:tabs>
        <w:suppressAutoHyphens/>
        <w:rPr>
          <w:rFonts w:ascii="Times New Roman" w:hAnsi="Times New Roman"/>
        </w:rPr>
      </w:pPr>
    </w:p>
    <w:p w:rsidR="008A360C" w:rsidRPr="00636C07" w:rsidRDefault="008A360C" w:rsidP="008A360C">
      <w:pPr>
        <w:pStyle w:val="BodyTextIndent"/>
        <w:keepNext w:val="0"/>
        <w:keepLines w:val="0"/>
        <w:ind w:firstLine="0"/>
        <w:rPr>
          <w:rFonts w:ascii="Times New Roman" w:hAnsi="Times New Roman"/>
        </w:rPr>
      </w:pPr>
      <w:r w:rsidRPr="00636C07">
        <w:rPr>
          <w:rFonts w:ascii="Times New Roman" w:hAnsi="Times New Roman"/>
        </w:rPr>
        <w:t>7.</w:t>
      </w:r>
      <w:r w:rsidRPr="00636C07">
        <w:rPr>
          <w:rFonts w:ascii="Times New Roman" w:hAnsi="Times New Roman"/>
        </w:rPr>
        <w:tab/>
        <w:t>Inconsistencies with Guidelines in 5 CFR 1320.5(d</w:t>
      </w:r>
      <w:proofErr w:type="gramStart"/>
      <w:r w:rsidRPr="00636C07">
        <w:rPr>
          <w:rFonts w:ascii="Times New Roman" w:hAnsi="Times New Roman"/>
        </w:rPr>
        <w:t>)(</w:t>
      </w:r>
      <w:proofErr w:type="gramEnd"/>
      <w:r w:rsidRPr="00636C07">
        <w:rPr>
          <w:rFonts w:ascii="Times New Roman" w:hAnsi="Times New Roman"/>
        </w:rPr>
        <w:t>2)</w:t>
      </w:r>
    </w:p>
    <w:p w:rsidR="008A360C" w:rsidRPr="00636C07" w:rsidRDefault="008A360C">
      <w:pPr>
        <w:pStyle w:val="TOC6"/>
        <w:tabs>
          <w:tab w:val="clear" w:pos="9360"/>
          <w:tab w:val="left" w:pos="-720"/>
          <w:tab w:val="left" w:pos="0"/>
        </w:tabs>
        <w:spacing w:line="240" w:lineRule="auto"/>
        <w:rPr>
          <w:rFonts w:ascii="Times New Roman" w:hAnsi="Times New Roman"/>
        </w:rPr>
      </w:pPr>
    </w:p>
    <w:p w:rsidR="008A360C" w:rsidRPr="00636C07" w:rsidRDefault="008A360C">
      <w:pPr>
        <w:tabs>
          <w:tab w:val="left" w:pos="-720"/>
        </w:tabs>
        <w:suppressAutoHyphens/>
        <w:rPr>
          <w:rFonts w:ascii="Times New Roman" w:hAnsi="Times New Roman"/>
        </w:rPr>
      </w:pPr>
      <w:r w:rsidRPr="00636C07">
        <w:rPr>
          <w:rFonts w:ascii="Times New Roman" w:hAnsi="Times New Roman"/>
        </w:rPr>
        <w:tab/>
      </w:r>
      <w:r w:rsidR="00C04A3B">
        <w:rPr>
          <w:rFonts w:ascii="Times New Roman" w:hAnsi="Times New Roman"/>
        </w:rPr>
        <w:t>Not applicable.</w:t>
      </w:r>
    </w:p>
    <w:p w:rsidR="008A360C" w:rsidRDefault="008A360C">
      <w:pPr>
        <w:tabs>
          <w:tab w:val="left" w:pos="-720"/>
          <w:tab w:val="left" w:pos="0"/>
        </w:tabs>
        <w:suppressAutoHyphens/>
        <w:ind w:left="720" w:hanging="720"/>
        <w:rPr>
          <w:rFonts w:ascii="Times New Roman" w:hAnsi="Times New Roman"/>
          <w:b/>
          <w:bCs/>
        </w:rPr>
      </w:pPr>
    </w:p>
    <w:p w:rsidR="008A360C" w:rsidRPr="00636C07" w:rsidRDefault="008A360C" w:rsidP="008A360C">
      <w:pPr>
        <w:tabs>
          <w:tab w:val="left" w:pos="-720"/>
          <w:tab w:val="left" w:pos="0"/>
        </w:tabs>
        <w:suppressAutoHyphens/>
        <w:ind w:left="720"/>
        <w:rPr>
          <w:rFonts w:ascii="Times New Roman" w:hAnsi="Times New Roman"/>
        </w:rPr>
      </w:pPr>
      <w:r w:rsidRPr="00636C07">
        <w:rPr>
          <w:rFonts w:ascii="Times New Roman" w:hAnsi="Times New Roman"/>
          <w:b/>
          <w:bCs/>
        </w:rPr>
        <w:t>8.</w:t>
      </w:r>
      <w:r w:rsidRPr="00636C07">
        <w:rPr>
          <w:rFonts w:ascii="Times New Roman" w:hAnsi="Times New Roman"/>
          <w:b/>
          <w:bCs/>
        </w:rPr>
        <w:tab/>
        <w:t xml:space="preserve">Consultation </w:t>
      </w:r>
      <w:proofErr w:type="gramStart"/>
      <w:r w:rsidRPr="00636C07">
        <w:rPr>
          <w:rFonts w:ascii="Times New Roman" w:hAnsi="Times New Roman"/>
          <w:b/>
          <w:bCs/>
        </w:rPr>
        <w:t>Outside</w:t>
      </w:r>
      <w:proofErr w:type="gramEnd"/>
      <w:r w:rsidRPr="00636C07">
        <w:rPr>
          <w:rFonts w:ascii="Times New Roman" w:hAnsi="Times New Roman"/>
          <w:b/>
          <w:bCs/>
        </w:rPr>
        <w:t xml:space="preserve"> the Agency</w:t>
      </w:r>
    </w:p>
    <w:p w:rsidR="008A360C" w:rsidRPr="00636C07" w:rsidRDefault="008A360C">
      <w:pPr>
        <w:tabs>
          <w:tab w:val="left" w:pos="-720"/>
        </w:tabs>
        <w:suppressAutoHyphens/>
        <w:rPr>
          <w:rFonts w:ascii="Times New Roman" w:hAnsi="Times New Roman"/>
        </w:rPr>
      </w:pPr>
    </w:p>
    <w:p w:rsidR="00AD22C8" w:rsidRPr="00636C07" w:rsidRDefault="00AD22C8" w:rsidP="00AD22C8">
      <w:pPr>
        <w:tabs>
          <w:tab w:val="left" w:pos="-720"/>
        </w:tabs>
        <w:suppressAutoHyphens/>
        <w:rPr>
          <w:rFonts w:ascii="Times New Roman" w:hAnsi="Times New Roman"/>
        </w:rPr>
      </w:pPr>
      <w:r w:rsidRPr="00636C07">
        <w:rPr>
          <w:rFonts w:ascii="Times New Roman" w:hAnsi="Times New Roman"/>
        </w:rPr>
        <w:tab/>
      </w:r>
      <w:r w:rsidR="00C04A3B">
        <w:rPr>
          <w:rFonts w:ascii="Times New Roman" w:hAnsi="Times New Roman"/>
        </w:rPr>
        <w:t>Not applicable.  No consultation outside the agency took place.</w:t>
      </w:r>
    </w:p>
    <w:p w:rsidR="008A360C" w:rsidRPr="00636C07" w:rsidRDefault="008A360C">
      <w:pPr>
        <w:pStyle w:val="Document1"/>
        <w:keepNext w:val="0"/>
        <w:keepLines w:val="0"/>
        <w:spacing w:line="240" w:lineRule="auto"/>
        <w:rPr>
          <w:rFonts w:ascii="Times New Roman" w:hAnsi="Times New Roman"/>
        </w:rPr>
      </w:pPr>
    </w:p>
    <w:p w:rsidR="008A360C" w:rsidRPr="00636C07" w:rsidRDefault="008A360C" w:rsidP="008A360C">
      <w:pPr>
        <w:tabs>
          <w:tab w:val="left" w:pos="-720"/>
          <w:tab w:val="left" w:pos="0"/>
        </w:tabs>
        <w:suppressAutoHyphens/>
        <w:ind w:left="720"/>
        <w:rPr>
          <w:rFonts w:ascii="Times New Roman" w:hAnsi="Times New Roman"/>
        </w:rPr>
      </w:pPr>
      <w:r w:rsidRPr="00636C07">
        <w:rPr>
          <w:rFonts w:ascii="Times New Roman" w:hAnsi="Times New Roman"/>
          <w:b/>
          <w:bCs/>
        </w:rPr>
        <w:t>9.</w:t>
      </w:r>
      <w:r w:rsidRPr="00636C07">
        <w:rPr>
          <w:rFonts w:ascii="Times New Roman" w:hAnsi="Times New Roman"/>
          <w:b/>
          <w:bCs/>
        </w:rPr>
        <w:tab/>
        <w:t>Payment or Gift to Respondents</w:t>
      </w:r>
    </w:p>
    <w:p w:rsidR="008A360C" w:rsidRPr="00636C07" w:rsidRDefault="008A360C">
      <w:pPr>
        <w:tabs>
          <w:tab w:val="left" w:pos="-720"/>
        </w:tabs>
        <w:suppressAutoHyphens/>
        <w:rPr>
          <w:rFonts w:ascii="Times New Roman" w:hAnsi="Times New Roman"/>
        </w:rPr>
      </w:pPr>
    </w:p>
    <w:p w:rsidR="008A360C" w:rsidRPr="00636C07" w:rsidRDefault="008A360C">
      <w:pPr>
        <w:tabs>
          <w:tab w:val="left" w:pos="-720"/>
        </w:tabs>
        <w:suppressAutoHyphens/>
        <w:rPr>
          <w:rFonts w:ascii="Times New Roman" w:hAnsi="Times New Roman"/>
        </w:rPr>
      </w:pPr>
      <w:r w:rsidRPr="00636C07">
        <w:rPr>
          <w:rFonts w:ascii="Times New Roman" w:hAnsi="Times New Roman"/>
        </w:rPr>
        <w:tab/>
        <w:t>Not applicable.</w:t>
      </w:r>
    </w:p>
    <w:p w:rsidR="008A360C" w:rsidRPr="00636C07" w:rsidRDefault="008A360C">
      <w:pPr>
        <w:tabs>
          <w:tab w:val="left" w:pos="-720"/>
        </w:tabs>
        <w:suppressAutoHyphens/>
        <w:rPr>
          <w:rFonts w:ascii="Times New Roman" w:hAnsi="Times New Roman"/>
        </w:rPr>
      </w:pPr>
    </w:p>
    <w:p w:rsidR="008A360C" w:rsidRPr="00636C07" w:rsidRDefault="008A360C" w:rsidP="008A360C">
      <w:pPr>
        <w:tabs>
          <w:tab w:val="left" w:pos="-720"/>
          <w:tab w:val="left" w:pos="0"/>
        </w:tabs>
        <w:suppressAutoHyphens/>
        <w:ind w:left="720"/>
        <w:rPr>
          <w:rFonts w:ascii="Times New Roman" w:hAnsi="Times New Roman"/>
        </w:rPr>
      </w:pPr>
      <w:r>
        <w:rPr>
          <w:rFonts w:ascii="Times New Roman" w:hAnsi="Times New Roman"/>
          <w:b/>
          <w:bCs/>
        </w:rPr>
        <w:t>10.</w:t>
      </w:r>
      <w:r>
        <w:rPr>
          <w:rFonts w:ascii="Times New Roman" w:hAnsi="Times New Roman"/>
          <w:b/>
          <w:bCs/>
        </w:rPr>
        <w:tab/>
        <w:t>Assurance</w:t>
      </w:r>
      <w:r w:rsidRPr="00636C07">
        <w:rPr>
          <w:rFonts w:ascii="Times New Roman" w:hAnsi="Times New Roman"/>
          <w:b/>
          <w:bCs/>
        </w:rPr>
        <w:t xml:space="preserve"> of Confidentiality</w:t>
      </w:r>
    </w:p>
    <w:p w:rsidR="008F528B" w:rsidRDefault="008F528B" w:rsidP="004A617D">
      <w:pPr>
        <w:rPr>
          <w:rFonts w:ascii="Times New Roman" w:hAnsi="Times New Roman"/>
        </w:rPr>
      </w:pPr>
    </w:p>
    <w:p w:rsidR="00C04A3B" w:rsidRPr="00BC14C5" w:rsidRDefault="00C04A3B" w:rsidP="00C04A3B">
      <w:pPr>
        <w:ind w:firstLine="720"/>
      </w:pPr>
      <w:r w:rsidRPr="00C04A3B">
        <w:rPr>
          <w:rFonts w:ascii="Times New Roman" w:hAnsi="Times New Roman"/>
        </w:rPr>
        <w:t>Other than information for which a SB SEF, SBS exchange or SBS exchange facility requests confidential treatment and which may be withheld from the public in accordance with the provisions of 5 U.S.C. 522, the collection of information pur</w:t>
      </w:r>
      <w:r w:rsidR="00494E03">
        <w:rPr>
          <w:rFonts w:ascii="Times New Roman" w:hAnsi="Times New Roman"/>
        </w:rPr>
        <w:t xml:space="preserve">suant to </w:t>
      </w:r>
      <w:r w:rsidRPr="00C04A3B">
        <w:rPr>
          <w:rFonts w:ascii="Times New Roman" w:hAnsi="Times New Roman"/>
        </w:rPr>
        <w:t>Rule</w:t>
      </w:r>
      <w:r w:rsidR="00494E03">
        <w:rPr>
          <w:rFonts w:ascii="Times New Roman" w:hAnsi="Times New Roman"/>
        </w:rPr>
        <w:t>s</w:t>
      </w:r>
      <w:r w:rsidRPr="00C04A3B">
        <w:rPr>
          <w:rFonts w:ascii="Times New Roman" w:hAnsi="Times New Roman"/>
        </w:rPr>
        <w:t xml:space="preserve"> 702(c) and (e) would not be confidential and would be publicly available.</w:t>
      </w:r>
    </w:p>
    <w:p w:rsidR="008A360C" w:rsidRPr="00636C07" w:rsidRDefault="008A360C">
      <w:pPr>
        <w:tabs>
          <w:tab w:val="left" w:pos="-720"/>
        </w:tabs>
        <w:suppressAutoHyphens/>
        <w:rPr>
          <w:rFonts w:ascii="Times New Roman" w:hAnsi="Times New Roman"/>
        </w:rPr>
      </w:pPr>
    </w:p>
    <w:p w:rsidR="008A360C" w:rsidRPr="00636C07" w:rsidRDefault="008A360C" w:rsidP="008A360C">
      <w:pPr>
        <w:tabs>
          <w:tab w:val="left" w:pos="-720"/>
          <w:tab w:val="left" w:pos="0"/>
        </w:tabs>
        <w:suppressAutoHyphens/>
        <w:ind w:left="720"/>
        <w:rPr>
          <w:rFonts w:ascii="Times New Roman" w:hAnsi="Times New Roman"/>
          <w:b/>
          <w:bCs/>
        </w:rPr>
      </w:pPr>
      <w:r w:rsidRPr="00636C07">
        <w:rPr>
          <w:rFonts w:ascii="Times New Roman" w:hAnsi="Times New Roman"/>
          <w:b/>
          <w:bCs/>
        </w:rPr>
        <w:t>11.</w:t>
      </w:r>
      <w:r w:rsidRPr="00636C07">
        <w:rPr>
          <w:rFonts w:ascii="Times New Roman" w:hAnsi="Times New Roman"/>
          <w:b/>
          <w:bCs/>
        </w:rPr>
        <w:tab/>
        <w:t>Sensitive Questions</w:t>
      </w:r>
    </w:p>
    <w:p w:rsidR="008A360C" w:rsidRPr="00636C07" w:rsidRDefault="008A360C">
      <w:pPr>
        <w:pStyle w:val="TOC6"/>
        <w:tabs>
          <w:tab w:val="clear" w:pos="9360"/>
          <w:tab w:val="left" w:pos="-720"/>
          <w:tab w:val="left" w:pos="0"/>
        </w:tabs>
        <w:spacing w:line="240" w:lineRule="auto"/>
        <w:rPr>
          <w:rFonts w:ascii="Times New Roman" w:hAnsi="Times New Roman"/>
        </w:rPr>
      </w:pPr>
    </w:p>
    <w:p w:rsidR="008A360C" w:rsidRDefault="008A360C">
      <w:pPr>
        <w:tabs>
          <w:tab w:val="left" w:pos="-720"/>
        </w:tabs>
        <w:suppressAutoHyphens/>
        <w:rPr>
          <w:rFonts w:ascii="Times New Roman" w:hAnsi="Times New Roman"/>
        </w:rPr>
      </w:pPr>
      <w:r w:rsidRPr="00636C07">
        <w:rPr>
          <w:rFonts w:ascii="Times New Roman" w:hAnsi="Times New Roman"/>
        </w:rPr>
        <w:tab/>
        <w:t>Not applicable.</w:t>
      </w:r>
    </w:p>
    <w:p w:rsidR="008A360C" w:rsidRDefault="008A360C">
      <w:pPr>
        <w:tabs>
          <w:tab w:val="left" w:pos="-720"/>
        </w:tabs>
        <w:suppressAutoHyphens/>
        <w:rPr>
          <w:rFonts w:ascii="Times New Roman" w:hAnsi="Times New Roman"/>
        </w:rPr>
      </w:pPr>
    </w:p>
    <w:p w:rsidR="009A3F17" w:rsidRDefault="008A360C" w:rsidP="00332363">
      <w:pPr>
        <w:tabs>
          <w:tab w:val="left" w:pos="-720"/>
          <w:tab w:val="left" w:pos="0"/>
        </w:tabs>
        <w:suppressAutoHyphens/>
        <w:ind w:left="720"/>
        <w:rPr>
          <w:rFonts w:ascii="Times New Roman" w:hAnsi="Times New Roman"/>
        </w:rPr>
      </w:pPr>
      <w:r>
        <w:rPr>
          <w:rFonts w:ascii="Times New Roman" w:hAnsi="Times New Roman"/>
          <w:b/>
          <w:bCs/>
        </w:rPr>
        <w:t>12.</w:t>
      </w:r>
      <w:r>
        <w:rPr>
          <w:rFonts w:ascii="Times New Roman" w:hAnsi="Times New Roman"/>
          <w:b/>
          <w:bCs/>
        </w:rPr>
        <w:tab/>
        <w:t xml:space="preserve">Estimate of Reporting </w:t>
      </w:r>
      <w:r w:rsidRPr="00636C07">
        <w:rPr>
          <w:rFonts w:ascii="Times New Roman" w:hAnsi="Times New Roman"/>
          <w:b/>
          <w:bCs/>
        </w:rPr>
        <w:t>Burden</w:t>
      </w:r>
    </w:p>
    <w:p w:rsidR="008F528B" w:rsidRDefault="008F528B" w:rsidP="00E9758E">
      <w:pPr>
        <w:tabs>
          <w:tab w:val="left" w:pos="-720"/>
        </w:tabs>
        <w:suppressAutoHyphens/>
        <w:rPr>
          <w:rFonts w:ascii="Times New Roman" w:hAnsi="Times New Roman"/>
        </w:rPr>
      </w:pPr>
    </w:p>
    <w:p w:rsidR="00E9758E" w:rsidRPr="00E9758E" w:rsidRDefault="008F528B" w:rsidP="00E9758E">
      <w:pPr>
        <w:tabs>
          <w:tab w:val="left" w:pos="-720"/>
        </w:tabs>
        <w:suppressAutoHyphens/>
        <w:rPr>
          <w:rFonts w:ascii="Times New Roman" w:hAnsi="Times New Roman"/>
          <w:szCs w:val="26"/>
        </w:rPr>
      </w:pPr>
      <w:r>
        <w:rPr>
          <w:rFonts w:ascii="Times New Roman" w:hAnsi="Times New Roman"/>
          <w:szCs w:val="26"/>
        </w:rPr>
        <w:tab/>
      </w:r>
      <w:r w:rsidR="00E9758E" w:rsidRPr="00E9758E">
        <w:rPr>
          <w:rFonts w:ascii="Times New Roman" w:hAnsi="Times New Roman"/>
          <w:szCs w:val="26"/>
        </w:rPr>
        <w:t xml:space="preserve">The Commission estimates </w:t>
      </w:r>
      <w:r w:rsidR="00C04A3B" w:rsidRPr="00E9758E">
        <w:rPr>
          <w:rFonts w:ascii="Times New Roman" w:hAnsi="Times New Roman"/>
          <w:szCs w:val="26"/>
        </w:rPr>
        <w:t>that approximately</w:t>
      </w:r>
      <w:r w:rsidR="00E9758E" w:rsidRPr="00E9758E">
        <w:rPr>
          <w:rFonts w:ascii="Times New Roman" w:hAnsi="Times New Roman"/>
          <w:szCs w:val="26"/>
        </w:rPr>
        <w:t xml:space="preserve"> 20 SB SEFs and 15 SBS exchanges or SBS exchange facilities will have </w:t>
      </w:r>
      <w:r w:rsidR="00C04A3B" w:rsidRPr="00E9758E">
        <w:rPr>
          <w:rFonts w:ascii="Times New Roman" w:hAnsi="Times New Roman"/>
          <w:szCs w:val="26"/>
        </w:rPr>
        <w:t>a one-time paperwork burden of 15 hours per entity associated with the drafting</w:t>
      </w:r>
      <w:r w:rsidR="00E9758E" w:rsidRPr="00E9758E">
        <w:rPr>
          <w:rFonts w:ascii="Times New Roman" w:hAnsi="Times New Roman"/>
          <w:szCs w:val="26"/>
        </w:rPr>
        <w:t xml:space="preserve"> and implementation of any </w:t>
      </w:r>
      <w:r w:rsidR="00C04A3B" w:rsidRPr="00E9758E">
        <w:rPr>
          <w:rFonts w:ascii="Times New Roman" w:hAnsi="Times New Roman"/>
          <w:szCs w:val="26"/>
        </w:rPr>
        <w:t xml:space="preserve">rules </w:t>
      </w:r>
      <w:r w:rsidR="00E9758E" w:rsidRPr="00E9758E">
        <w:rPr>
          <w:rFonts w:ascii="Times New Roman" w:hAnsi="Times New Roman"/>
          <w:szCs w:val="26"/>
        </w:rPr>
        <w:t xml:space="preserve">required under proposed Rule 702(c), for a </w:t>
      </w:r>
      <w:r w:rsidR="00E9758E" w:rsidRPr="00E9758E">
        <w:rPr>
          <w:rFonts w:ascii="Times New Roman" w:hAnsi="Times New Roman"/>
          <w:szCs w:val="26"/>
        </w:rPr>
        <w:lastRenderedPageBreak/>
        <w:t xml:space="preserve">total of 525 hours (15 hours x 35 respondents).  </w:t>
      </w:r>
    </w:p>
    <w:p w:rsidR="00E9758E" w:rsidRPr="00E9758E" w:rsidRDefault="00E9758E" w:rsidP="00E9758E">
      <w:pPr>
        <w:tabs>
          <w:tab w:val="left" w:pos="-720"/>
        </w:tabs>
        <w:suppressAutoHyphens/>
        <w:rPr>
          <w:rFonts w:ascii="Times New Roman" w:hAnsi="Times New Roman"/>
        </w:rPr>
      </w:pPr>
    </w:p>
    <w:p w:rsidR="00E9758E" w:rsidRPr="00E9758E" w:rsidRDefault="00E9758E" w:rsidP="00E9758E">
      <w:pPr>
        <w:ind w:firstLine="720"/>
        <w:rPr>
          <w:rFonts w:ascii="Times New Roman" w:hAnsi="Times New Roman"/>
          <w:szCs w:val="26"/>
        </w:rPr>
      </w:pPr>
      <w:r w:rsidRPr="00E9758E">
        <w:rPr>
          <w:rFonts w:ascii="Times New Roman" w:hAnsi="Times New Roman"/>
          <w:szCs w:val="26"/>
        </w:rPr>
        <w:t xml:space="preserve">The Commission estimates that each SB SEF, SBS exchange, or SBS exchange facility would request information approximately 4 times per year from approximately 20 participants or members to comply with Rule 702(c). </w:t>
      </w:r>
    </w:p>
    <w:p w:rsidR="00E9758E" w:rsidRPr="00E9758E" w:rsidRDefault="00E9758E" w:rsidP="00E9758E">
      <w:pPr>
        <w:ind w:firstLine="720"/>
        <w:rPr>
          <w:rFonts w:ascii="Times New Roman" w:hAnsi="Times New Roman"/>
          <w:szCs w:val="26"/>
        </w:rPr>
      </w:pPr>
    </w:p>
    <w:p w:rsidR="006848D8" w:rsidRDefault="00E9758E" w:rsidP="00E9758E">
      <w:pPr>
        <w:ind w:firstLine="720"/>
        <w:rPr>
          <w:rFonts w:ascii="Times New Roman" w:hAnsi="Times New Roman"/>
          <w:szCs w:val="26"/>
        </w:rPr>
      </w:pPr>
      <w:r w:rsidRPr="00E9758E">
        <w:rPr>
          <w:rFonts w:ascii="Times New Roman" w:hAnsi="Times New Roman"/>
          <w:szCs w:val="26"/>
        </w:rPr>
        <w:t>The Commission estimates that the preparation and sending of each of the 4 requests for information would require approximately 4 hours, and reviewing the responses to each of the 4 requests for information would require 10 hours.  This would result in a total annual reporting and recordkeeping burden of 56 hours ((4 requests X 4 hours) + (4 requests X 10 hours)) for each SB SEF, SBS exchange, or SBS exchange facility, as applicable, and a total annual burden for all SB SEFs, SBS exchanges, and SBS exchange facilities of 1,960 hours (56 hours X 35 respondents).  The Commission estimates that each participant or member would require 1 hour to prepare and send the response to the request, for a total annual reporting and recordkeeping burden for each participant or member of 4 hours (4 requests X 1 hour) and a total annual burden for all participants or members of 2,800 hours (700 participants or members X 4 hours).</w:t>
      </w:r>
    </w:p>
    <w:p w:rsidR="006848D8" w:rsidRDefault="006848D8" w:rsidP="00E9758E">
      <w:pPr>
        <w:ind w:firstLine="720"/>
        <w:rPr>
          <w:rFonts w:ascii="Times New Roman" w:hAnsi="Times New Roman"/>
          <w:szCs w:val="26"/>
        </w:rPr>
      </w:pPr>
    </w:p>
    <w:p w:rsidR="00E9758E" w:rsidRDefault="00E9758E" w:rsidP="00E9758E">
      <w:pPr>
        <w:ind w:firstLine="720"/>
        <w:rPr>
          <w:rFonts w:ascii="Times New Roman" w:hAnsi="Times New Roman"/>
          <w:szCs w:val="26"/>
        </w:rPr>
      </w:pPr>
      <w:r w:rsidRPr="00E9758E">
        <w:rPr>
          <w:rFonts w:ascii="Times New Roman" w:hAnsi="Times New Roman"/>
          <w:szCs w:val="26"/>
        </w:rPr>
        <w:t xml:space="preserve">Therefore, the Commission estimates that SB SEFs, SBS exchanges and SBS exchange facilities will have a total one-time paperwork burden of 525 hours and a total annual burden of </w:t>
      </w:r>
      <w:r w:rsidR="00494E03">
        <w:rPr>
          <w:rFonts w:ascii="Times New Roman" w:hAnsi="Times New Roman"/>
          <w:szCs w:val="26"/>
        </w:rPr>
        <w:t>1,960 hours</w:t>
      </w:r>
      <w:r w:rsidRPr="00E9758E">
        <w:rPr>
          <w:rFonts w:ascii="Times New Roman" w:hAnsi="Times New Roman"/>
          <w:szCs w:val="26"/>
        </w:rPr>
        <w:t xml:space="preserve"> to comply with the collection of information required by Rule 702(c). </w:t>
      </w:r>
    </w:p>
    <w:p w:rsidR="00332363" w:rsidRDefault="00332363" w:rsidP="00E9758E">
      <w:pPr>
        <w:ind w:firstLine="720"/>
        <w:rPr>
          <w:rFonts w:ascii="Times New Roman" w:hAnsi="Times New Roman"/>
          <w:szCs w:val="26"/>
        </w:rPr>
      </w:pPr>
    </w:p>
    <w:p w:rsidR="00494E03" w:rsidRDefault="00494E03" w:rsidP="00494E03">
      <w:pPr>
        <w:ind w:firstLine="720"/>
        <w:rPr>
          <w:rFonts w:ascii="Times New Roman" w:hAnsi="Times New Roman"/>
        </w:rPr>
      </w:pPr>
      <w:r w:rsidRPr="000F3C56">
        <w:rPr>
          <w:rFonts w:ascii="Times New Roman" w:hAnsi="Times New Roman"/>
        </w:rPr>
        <w:t xml:space="preserve">The Commission estimates that </w:t>
      </w:r>
      <w:r>
        <w:rPr>
          <w:rFonts w:ascii="Times New Roman" w:hAnsi="Times New Roman"/>
        </w:rPr>
        <w:t>SB SEF participants</w:t>
      </w:r>
      <w:r w:rsidRPr="000F3C56">
        <w:rPr>
          <w:rFonts w:ascii="Times New Roman" w:hAnsi="Times New Roman"/>
        </w:rPr>
        <w:t xml:space="preserve"> </w:t>
      </w:r>
      <w:r>
        <w:rPr>
          <w:rFonts w:ascii="Times New Roman" w:hAnsi="Times New Roman"/>
        </w:rPr>
        <w:t xml:space="preserve">and SBS exchange members </w:t>
      </w:r>
      <w:r w:rsidRPr="000F3C56">
        <w:rPr>
          <w:rFonts w:ascii="Times New Roman" w:hAnsi="Times New Roman"/>
        </w:rPr>
        <w:t>will have a tota</w:t>
      </w:r>
      <w:r>
        <w:rPr>
          <w:rFonts w:ascii="Times New Roman" w:hAnsi="Times New Roman"/>
        </w:rPr>
        <w:t>l annual paperwork burden of 2,800</w:t>
      </w:r>
      <w:r w:rsidRPr="000F3C56">
        <w:rPr>
          <w:rFonts w:ascii="Times New Roman" w:hAnsi="Times New Roman"/>
        </w:rPr>
        <w:t xml:space="preserve"> hours to comply with the collection </w:t>
      </w:r>
      <w:r>
        <w:rPr>
          <w:rFonts w:ascii="Times New Roman" w:hAnsi="Times New Roman"/>
        </w:rPr>
        <w:t xml:space="preserve">of information required by Rule 702(c). </w:t>
      </w:r>
    </w:p>
    <w:p w:rsidR="00494E03" w:rsidRPr="00E9758E" w:rsidRDefault="00494E03" w:rsidP="00E9758E">
      <w:pPr>
        <w:ind w:firstLine="720"/>
        <w:rPr>
          <w:rFonts w:ascii="Times New Roman" w:hAnsi="Times New Roman"/>
          <w:szCs w:val="26"/>
        </w:rPr>
      </w:pPr>
    </w:p>
    <w:p w:rsidR="00494E03" w:rsidRDefault="00494E03" w:rsidP="00494E03">
      <w:pPr>
        <w:ind w:firstLine="720"/>
        <w:rPr>
          <w:rFonts w:ascii="Times New Roman" w:hAnsi="Times New Roman"/>
          <w:szCs w:val="26"/>
        </w:rPr>
      </w:pPr>
      <w:r w:rsidRPr="00E9758E">
        <w:rPr>
          <w:rFonts w:ascii="Times New Roman" w:hAnsi="Times New Roman"/>
          <w:szCs w:val="26"/>
        </w:rPr>
        <w:t>The Commission estimates that the preparation and sending of each of the 4 requests for information would require approximately 4 hours, and reviewing the responses to each of the 4 requests for information would require 10 hours.  This would result in a total annual reporting and recordkeeping burden of 56 hours ((4 requests X 4 hours) + (4 requests X 10 hours)) for each SB SEF, SBS exchange, or SBS exchange facility, as applicable, and a total annual burden for all SB SEFs, SBS exchanges, and SBS exchange facilities of 1,960 hours (56 hours X 35 respondents).  The Commission estimates that each participant or member would require 1 hour to prepare and send the response to the request, for a total annual reporting and recordkeeping burden for each participant or member of 4 hours (4 requests X 1 hour) and a total annual burden for all participants or members of 2,800 hours (700 participants or members X 4 hours).</w:t>
      </w:r>
    </w:p>
    <w:p w:rsidR="00494E03" w:rsidRDefault="00494E03" w:rsidP="000F3C56">
      <w:pPr>
        <w:ind w:firstLine="720"/>
        <w:rPr>
          <w:rFonts w:ascii="Times New Roman" w:hAnsi="Times New Roman"/>
        </w:rPr>
      </w:pPr>
    </w:p>
    <w:p w:rsidR="006848D8" w:rsidRPr="000F3C56" w:rsidRDefault="00494E03" w:rsidP="000F3C56">
      <w:pPr>
        <w:ind w:firstLine="720"/>
        <w:rPr>
          <w:rFonts w:ascii="Times New Roman" w:hAnsi="Times New Roman"/>
        </w:rPr>
      </w:pPr>
      <w:r>
        <w:rPr>
          <w:rFonts w:ascii="Times New Roman" w:hAnsi="Times New Roman"/>
        </w:rPr>
        <w:t>The</w:t>
      </w:r>
      <w:r w:rsidR="006848D8" w:rsidRPr="000F3C56">
        <w:rPr>
          <w:rFonts w:ascii="Times New Roman" w:hAnsi="Times New Roman"/>
        </w:rPr>
        <w:t xml:space="preserve"> Commission estimates </w:t>
      </w:r>
      <w:r w:rsidR="00031547">
        <w:rPr>
          <w:rFonts w:ascii="Times New Roman" w:hAnsi="Times New Roman"/>
        </w:rPr>
        <w:t xml:space="preserve">that </w:t>
      </w:r>
      <w:r w:rsidR="006848D8" w:rsidRPr="000F3C56">
        <w:rPr>
          <w:rFonts w:ascii="Times New Roman" w:hAnsi="Times New Roman"/>
        </w:rPr>
        <w:t>approximately 20 SB SEFs and 15 SBS exchange</w:t>
      </w:r>
      <w:r>
        <w:rPr>
          <w:rFonts w:ascii="Times New Roman" w:hAnsi="Times New Roman"/>
        </w:rPr>
        <w:t>s</w:t>
      </w:r>
      <w:r w:rsidR="006848D8" w:rsidRPr="000F3C56">
        <w:rPr>
          <w:rFonts w:ascii="Times New Roman" w:hAnsi="Times New Roman"/>
        </w:rPr>
        <w:t xml:space="preserve"> will have a total annual paperwork burden of </w:t>
      </w:r>
      <w:r w:rsidR="00031547">
        <w:rPr>
          <w:rFonts w:ascii="Times New Roman" w:hAnsi="Times New Roman"/>
        </w:rPr>
        <w:t xml:space="preserve">12 hours per entity to comply with the collection of information required by Rule 702(e).  The Commission estimates </w:t>
      </w:r>
      <w:r w:rsidR="00031547" w:rsidRPr="000F3C56">
        <w:rPr>
          <w:rFonts w:ascii="Times New Roman" w:hAnsi="Times New Roman"/>
        </w:rPr>
        <w:t xml:space="preserve">that </w:t>
      </w:r>
      <w:r w:rsidR="00031547">
        <w:rPr>
          <w:rFonts w:ascii="Times New Roman" w:hAnsi="Times New Roman"/>
        </w:rPr>
        <w:t xml:space="preserve">a Board of a SB SEF or SBS exchange could decide not to adopt a ROC recommendation up to 12 times per year, and that it would take a SB SEF or SBS exchange 1 hour to complete, review and prepare the notice required by Rule 702(e) upon such occurrence.  Therefore, the Commission estimates that SB </w:t>
      </w:r>
      <w:r w:rsidR="00031547">
        <w:rPr>
          <w:rFonts w:ascii="Times New Roman" w:hAnsi="Times New Roman"/>
        </w:rPr>
        <w:lastRenderedPageBreak/>
        <w:t xml:space="preserve">SEFs and SBS exchanges will have a total annual paperwork burden of </w:t>
      </w:r>
      <w:r w:rsidR="006848D8" w:rsidRPr="000F3C56">
        <w:rPr>
          <w:rFonts w:ascii="Times New Roman" w:hAnsi="Times New Roman"/>
        </w:rPr>
        <w:t>420 hours</w:t>
      </w:r>
      <w:r w:rsidR="006848D8" w:rsidRPr="000F3C56">
        <w:rPr>
          <w:rStyle w:val="FootnoteReference"/>
          <w:rFonts w:ascii="Times New Roman" w:hAnsi="Times New Roman"/>
        </w:rPr>
        <w:footnoteReference w:id="5"/>
      </w:r>
      <w:r w:rsidR="000F3C56" w:rsidRPr="000F3C56">
        <w:rPr>
          <w:rFonts w:ascii="Times New Roman" w:hAnsi="Times New Roman"/>
        </w:rPr>
        <w:t xml:space="preserve"> to comply with the collection of information required by Rule 702(e).  </w:t>
      </w:r>
    </w:p>
    <w:p w:rsidR="007A6599" w:rsidRPr="00636C07" w:rsidRDefault="007A6599">
      <w:pPr>
        <w:tabs>
          <w:tab w:val="left" w:pos="-720"/>
        </w:tabs>
        <w:suppressAutoHyphens/>
        <w:rPr>
          <w:rFonts w:ascii="Times New Roman" w:hAnsi="Times New Roman"/>
        </w:rPr>
      </w:pPr>
    </w:p>
    <w:p w:rsidR="008A360C" w:rsidRPr="00636C07" w:rsidRDefault="008A360C" w:rsidP="008A360C">
      <w:pPr>
        <w:tabs>
          <w:tab w:val="left" w:pos="-720"/>
          <w:tab w:val="left" w:pos="0"/>
        </w:tabs>
        <w:suppressAutoHyphens/>
        <w:ind w:left="720"/>
        <w:rPr>
          <w:rFonts w:ascii="Times New Roman" w:hAnsi="Times New Roman"/>
        </w:rPr>
      </w:pPr>
      <w:r w:rsidRPr="00636C07">
        <w:rPr>
          <w:rFonts w:ascii="Times New Roman" w:hAnsi="Times New Roman"/>
          <w:b/>
          <w:bCs/>
        </w:rPr>
        <w:t>13.</w:t>
      </w:r>
      <w:r w:rsidRPr="00636C07">
        <w:rPr>
          <w:rFonts w:ascii="Times New Roman" w:hAnsi="Times New Roman"/>
          <w:b/>
          <w:bCs/>
        </w:rPr>
        <w:tab/>
        <w:t>Estimate of Total Annual Cost Burden</w:t>
      </w:r>
    </w:p>
    <w:p w:rsidR="008A360C" w:rsidRPr="00636C07" w:rsidRDefault="008A360C">
      <w:pPr>
        <w:tabs>
          <w:tab w:val="left" w:pos="-720"/>
        </w:tabs>
        <w:suppressAutoHyphens/>
        <w:rPr>
          <w:rFonts w:ascii="Times New Roman" w:hAnsi="Times New Roman"/>
        </w:rPr>
      </w:pPr>
    </w:p>
    <w:p w:rsidR="00BC1CF5" w:rsidRPr="00BC1CF5" w:rsidRDefault="00BC1CF5" w:rsidP="00BC1CF5">
      <w:pPr>
        <w:tabs>
          <w:tab w:val="left" w:pos="-720"/>
        </w:tabs>
        <w:suppressAutoHyphens/>
        <w:rPr>
          <w:rFonts w:ascii="Times New Roman" w:hAnsi="Times New Roman"/>
        </w:rPr>
      </w:pPr>
      <w:r>
        <w:rPr>
          <w:rFonts w:ascii="Times New Roman" w:hAnsi="Times New Roman"/>
        </w:rPr>
        <w:tab/>
      </w:r>
      <w:r w:rsidR="000F3C56">
        <w:rPr>
          <w:rFonts w:ascii="Times New Roman" w:hAnsi="Times New Roman"/>
        </w:rPr>
        <w:t xml:space="preserve">Not applicable. </w:t>
      </w:r>
    </w:p>
    <w:p w:rsidR="00025304" w:rsidRDefault="00025304">
      <w:pPr>
        <w:tabs>
          <w:tab w:val="left" w:pos="-720"/>
        </w:tabs>
        <w:suppressAutoHyphens/>
        <w:rPr>
          <w:rFonts w:ascii="Times New Roman" w:hAnsi="Times New Roman"/>
        </w:rPr>
      </w:pPr>
    </w:p>
    <w:p w:rsidR="008A360C" w:rsidRPr="00636C07" w:rsidRDefault="008A360C" w:rsidP="008A360C">
      <w:pPr>
        <w:tabs>
          <w:tab w:val="left" w:pos="-720"/>
        </w:tabs>
        <w:suppressAutoHyphens/>
        <w:ind w:left="720"/>
        <w:rPr>
          <w:rFonts w:ascii="Times New Roman" w:hAnsi="Times New Roman"/>
        </w:rPr>
      </w:pPr>
      <w:r w:rsidRPr="00636C07">
        <w:rPr>
          <w:rFonts w:ascii="Times New Roman" w:hAnsi="Times New Roman"/>
          <w:b/>
          <w:bCs/>
        </w:rPr>
        <w:t>14.  Estimate of Cost to the Federal Government</w:t>
      </w:r>
    </w:p>
    <w:p w:rsidR="008A360C" w:rsidRPr="00636C07" w:rsidRDefault="008A360C">
      <w:pPr>
        <w:keepLines/>
        <w:tabs>
          <w:tab w:val="left" w:pos="-720"/>
        </w:tabs>
        <w:suppressAutoHyphens/>
        <w:spacing w:line="240" w:lineRule="atLeast"/>
        <w:rPr>
          <w:rFonts w:ascii="Times New Roman" w:hAnsi="Times New Roman"/>
        </w:rPr>
      </w:pPr>
      <w:r w:rsidRPr="00636C07">
        <w:rPr>
          <w:rFonts w:ascii="Times New Roman" w:hAnsi="Times New Roman"/>
        </w:rPr>
        <w:tab/>
        <w:t xml:space="preserve"> </w:t>
      </w:r>
      <w:r w:rsidRPr="00636C07">
        <w:rPr>
          <w:rFonts w:ascii="Times New Roman" w:hAnsi="Times New Roman"/>
          <w:highlight w:val="cyan"/>
        </w:rPr>
        <w:t xml:space="preserve"> </w:t>
      </w:r>
    </w:p>
    <w:p w:rsidR="008A360C" w:rsidRPr="009306AC" w:rsidRDefault="008A360C">
      <w:pPr>
        <w:pStyle w:val="Document1"/>
        <w:keepNext w:val="0"/>
        <w:keepLines w:val="0"/>
        <w:spacing w:line="240" w:lineRule="auto"/>
        <w:rPr>
          <w:rFonts w:ascii="Times New Roman" w:hAnsi="Times New Roman"/>
          <w:b/>
        </w:rPr>
      </w:pPr>
      <w:r>
        <w:rPr>
          <w:rFonts w:ascii="Times New Roman" w:hAnsi="Times New Roman"/>
        </w:rPr>
        <w:tab/>
      </w:r>
      <w:r w:rsidR="000F3C56">
        <w:rPr>
          <w:rFonts w:ascii="Times New Roman" w:hAnsi="Times New Roman"/>
        </w:rPr>
        <w:t>Not applicable.</w:t>
      </w:r>
    </w:p>
    <w:p w:rsidR="008A360C" w:rsidRPr="00636C07" w:rsidRDefault="008A360C">
      <w:pPr>
        <w:pStyle w:val="Document1"/>
        <w:keepNext w:val="0"/>
        <w:keepLines w:val="0"/>
        <w:spacing w:line="240" w:lineRule="auto"/>
        <w:rPr>
          <w:rFonts w:ascii="Times New Roman" w:hAnsi="Times New Roman"/>
        </w:rPr>
      </w:pPr>
    </w:p>
    <w:p w:rsidR="008A360C" w:rsidRPr="00636C07" w:rsidRDefault="008A360C" w:rsidP="008A360C">
      <w:pPr>
        <w:tabs>
          <w:tab w:val="left" w:pos="-720"/>
        </w:tabs>
        <w:suppressAutoHyphens/>
        <w:ind w:left="720"/>
        <w:rPr>
          <w:rFonts w:ascii="Times New Roman" w:hAnsi="Times New Roman"/>
        </w:rPr>
      </w:pPr>
      <w:r w:rsidRPr="00636C07">
        <w:rPr>
          <w:rFonts w:ascii="Times New Roman" w:hAnsi="Times New Roman"/>
          <w:b/>
          <w:bCs/>
        </w:rPr>
        <w:t>15.  Explanation of Changes in Burden</w:t>
      </w:r>
    </w:p>
    <w:p w:rsidR="008A360C" w:rsidRPr="00636C07" w:rsidRDefault="008A360C">
      <w:pPr>
        <w:rPr>
          <w:rFonts w:ascii="Times New Roman" w:hAnsi="Times New Roman"/>
          <w:color w:val="000000"/>
        </w:rPr>
      </w:pPr>
      <w:r w:rsidRPr="00636C07">
        <w:rPr>
          <w:rFonts w:ascii="Times New Roman" w:hAnsi="Times New Roman"/>
        </w:rPr>
        <w:tab/>
      </w:r>
    </w:p>
    <w:p w:rsidR="008A360C" w:rsidRDefault="009E51FD" w:rsidP="009E51FD">
      <w:pPr>
        <w:tabs>
          <w:tab w:val="left" w:pos="-720"/>
        </w:tabs>
        <w:suppressAutoHyphens/>
        <w:spacing w:line="240" w:lineRule="atLeast"/>
        <w:rPr>
          <w:rFonts w:ascii="Times New Roman" w:hAnsi="Times New Roman"/>
        </w:rPr>
      </w:pPr>
      <w:r>
        <w:rPr>
          <w:rFonts w:ascii="Times New Roman" w:hAnsi="Times New Roman"/>
        </w:rPr>
        <w:tab/>
      </w:r>
      <w:r w:rsidR="006B579F">
        <w:rPr>
          <w:rFonts w:ascii="Times New Roman" w:hAnsi="Times New Roman"/>
        </w:rPr>
        <w:t>Not applicable.  This is the first request for approval of the collection of information for this rule.</w:t>
      </w:r>
      <w:r>
        <w:rPr>
          <w:rFonts w:ascii="Times New Roman" w:hAnsi="Times New Roman"/>
        </w:rPr>
        <w:t xml:space="preserve"> </w:t>
      </w:r>
    </w:p>
    <w:p w:rsidR="008A360C" w:rsidRPr="00636C07" w:rsidRDefault="008A360C">
      <w:pPr>
        <w:tabs>
          <w:tab w:val="left" w:pos="-720"/>
        </w:tabs>
        <w:suppressAutoHyphens/>
        <w:rPr>
          <w:rFonts w:ascii="Times New Roman" w:hAnsi="Times New Roman"/>
        </w:rPr>
      </w:pPr>
    </w:p>
    <w:p w:rsidR="008A360C" w:rsidRPr="00636C07" w:rsidRDefault="008A360C" w:rsidP="008A360C">
      <w:pPr>
        <w:tabs>
          <w:tab w:val="left" w:pos="-720"/>
          <w:tab w:val="left" w:pos="0"/>
        </w:tabs>
        <w:suppressAutoHyphens/>
        <w:ind w:left="720"/>
        <w:rPr>
          <w:rFonts w:ascii="Times New Roman" w:hAnsi="Times New Roman"/>
        </w:rPr>
      </w:pPr>
      <w:r w:rsidRPr="00636C07">
        <w:rPr>
          <w:rFonts w:ascii="Times New Roman" w:hAnsi="Times New Roman"/>
          <w:b/>
          <w:bCs/>
        </w:rPr>
        <w:t>16.</w:t>
      </w:r>
      <w:r w:rsidRPr="00636C07">
        <w:rPr>
          <w:rFonts w:ascii="Times New Roman" w:hAnsi="Times New Roman"/>
          <w:b/>
          <w:bCs/>
        </w:rPr>
        <w:tab/>
        <w:t>Information Collection Planned for Statistical Purposes</w:t>
      </w:r>
    </w:p>
    <w:p w:rsidR="008A360C" w:rsidRPr="00636C07" w:rsidRDefault="008A360C">
      <w:pPr>
        <w:tabs>
          <w:tab w:val="left" w:pos="-720"/>
        </w:tabs>
        <w:suppressAutoHyphens/>
        <w:rPr>
          <w:rFonts w:ascii="Times New Roman" w:hAnsi="Times New Roman"/>
        </w:rPr>
      </w:pPr>
    </w:p>
    <w:p w:rsidR="008A360C" w:rsidRPr="00636C07" w:rsidRDefault="008A360C">
      <w:pPr>
        <w:tabs>
          <w:tab w:val="left" w:pos="-720"/>
        </w:tabs>
        <w:suppressAutoHyphens/>
        <w:rPr>
          <w:rFonts w:ascii="Times New Roman" w:hAnsi="Times New Roman"/>
        </w:rPr>
      </w:pPr>
      <w:r w:rsidRPr="00636C07">
        <w:rPr>
          <w:rFonts w:ascii="Times New Roman" w:hAnsi="Times New Roman"/>
        </w:rPr>
        <w:tab/>
        <w:t>Not applicable.</w:t>
      </w:r>
    </w:p>
    <w:p w:rsidR="008A360C" w:rsidRPr="00636C07" w:rsidRDefault="008A360C">
      <w:pPr>
        <w:tabs>
          <w:tab w:val="left" w:pos="-720"/>
        </w:tabs>
        <w:suppressAutoHyphens/>
        <w:rPr>
          <w:rFonts w:ascii="Times New Roman" w:hAnsi="Times New Roman"/>
        </w:rPr>
      </w:pPr>
    </w:p>
    <w:p w:rsidR="008A360C" w:rsidRPr="00636C07" w:rsidRDefault="008A360C" w:rsidP="008A360C">
      <w:pPr>
        <w:tabs>
          <w:tab w:val="left" w:pos="-720"/>
          <w:tab w:val="left" w:pos="0"/>
        </w:tabs>
        <w:suppressAutoHyphens/>
        <w:ind w:left="720"/>
        <w:rPr>
          <w:rFonts w:ascii="Times New Roman" w:hAnsi="Times New Roman"/>
        </w:rPr>
      </w:pPr>
      <w:r w:rsidRPr="00636C07">
        <w:rPr>
          <w:rFonts w:ascii="Times New Roman" w:hAnsi="Times New Roman"/>
          <w:b/>
          <w:bCs/>
        </w:rPr>
        <w:t>17.</w:t>
      </w:r>
      <w:r w:rsidRPr="00636C07">
        <w:rPr>
          <w:rFonts w:ascii="Times New Roman" w:hAnsi="Times New Roman"/>
          <w:b/>
          <w:bCs/>
        </w:rPr>
        <w:tab/>
      </w:r>
      <w:r>
        <w:rPr>
          <w:rFonts w:ascii="Times New Roman" w:hAnsi="Times New Roman"/>
          <w:b/>
          <w:bCs/>
        </w:rPr>
        <w:t>Approval to not Display Expiration Date</w:t>
      </w:r>
    </w:p>
    <w:p w:rsidR="008A360C" w:rsidRPr="00636C07" w:rsidRDefault="008A360C">
      <w:pPr>
        <w:tabs>
          <w:tab w:val="left" w:pos="-720"/>
        </w:tabs>
        <w:suppressAutoHyphens/>
        <w:rPr>
          <w:rFonts w:ascii="Times New Roman" w:hAnsi="Times New Roman"/>
        </w:rPr>
      </w:pPr>
    </w:p>
    <w:p w:rsidR="00887367" w:rsidRDefault="000D714A" w:rsidP="00887367">
      <w:pPr>
        <w:spacing w:line="240" w:lineRule="atLeast"/>
        <w:ind w:firstLine="720"/>
        <w:rPr>
          <w:rFonts w:ascii="Times New Roman" w:hAnsi="Times New Roman"/>
          <w:color w:val="000000"/>
        </w:rPr>
      </w:pPr>
      <w:r>
        <w:rPr>
          <w:rFonts w:ascii="Times New Roman" w:hAnsi="Times New Roman"/>
          <w:color w:val="000000"/>
        </w:rPr>
        <w:t>Not applicable.</w:t>
      </w:r>
    </w:p>
    <w:p w:rsidR="008A360C" w:rsidRPr="00636C07" w:rsidRDefault="008A360C">
      <w:pPr>
        <w:tabs>
          <w:tab w:val="left" w:pos="-720"/>
        </w:tabs>
        <w:suppressAutoHyphens/>
        <w:rPr>
          <w:rFonts w:ascii="Times New Roman" w:hAnsi="Times New Roman"/>
        </w:rPr>
      </w:pPr>
    </w:p>
    <w:p w:rsidR="008A360C" w:rsidRPr="00636C07" w:rsidRDefault="008A360C" w:rsidP="008A360C">
      <w:pPr>
        <w:keepNext/>
        <w:keepLines/>
        <w:tabs>
          <w:tab w:val="left" w:pos="-720"/>
          <w:tab w:val="left" w:pos="0"/>
        </w:tabs>
        <w:suppressAutoHyphens/>
        <w:ind w:left="720"/>
        <w:rPr>
          <w:rFonts w:ascii="Times New Roman" w:hAnsi="Times New Roman"/>
        </w:rPr>
      </w:pPr>
      <w:r w:rsidRPr="00636C07">
        <w:rPr>
          <w:rFonts w:ascii="Times New Roman" w:hAnsi="Times New Roman"/>
          <w:b/>
          <w:bCs/>
        </w:rPr>
        <w:t>18.</w:t>
      </w:r>
      <w:r w:rsidRPr="00636C07">
        <w:rPr>
          <w:rFonts w:ascii="Times New Roman" w:hAnsi="Times New Roman"/>
          <w:b/>
          <w:bCs/>
        </w:rPr>
        <w:tab/>
        <w:t>Exception</w:t>
      </w:r>
      <w:r>
        <w:rPr>
          <w:rFonts w:ascii="Times New Roman" w:hAnsi="Times New Roman"/>
          <w:b/>
          <w:bCs/>
        </w:rPr>
        <w:t>s</w:t>
      </w:r>
      <w:r w:rsidRPr="00636C07">
        <w:rPr>
          <w:rFonts w:ascii="Times New Roman" w:hAnsi="Times New Roman"/>
          <w:b/>
          <w:bCs/>
        </w:rPr>
        <w:t xml:space="preserve"> to Certification</w:t>
      </w:r>
      <w:r>
        <w:rPr>
          <w:rFonts w:ascii="Times New Roman" w:hAnsi="Times New Roman"/>
          <w:b/>
          <w:bCs/>
        </w:rPr>
        <w:t xml:space="preserve"> Statement</w:t>
      </w:r>
    </w:p>
    <w:p w:rsidR="008A360C" w:rsidRPr="00636C07" w:rsidRDefault="008A360C">
      <w:pPr>
        <w:keepLines/>
        <w:tabs>
          <w:tab w:val="left" w:pos="-720"/>
        </w:tabs>
        <w:suppressAutoHyphens/>
        <w:rPr>
          <w:rFonts w:ascii="Times New Roman" w:hAnsi="Times New Roman"/>
        </w:rPr>
      </w:pPr>
    </w:p>
    <w:p w:rsidR="008A360C" w:rsidRPr="00636C07" w:rsidRDefault="008A360C">
      <w:pPr>
        <w:keepLines/>
        <w:tabs>
          <w:tab w:val="left" w:pos="-720"/>
        </w:tabs>
        <w:suppressAutoHyphens/>
        <w:rPr>
          <w:rFonts w:ascii="Times New Roman" w:hAnsi="Times New Roman"/>
        </w:rPr>
      </w:pPr>
      <w:r w:rsidRPr="00636C07">
        <w:rPr>
          <w:rFonts w:ascii="Times New Roman" w:hAnsi="Times New Roman"/>
        </w:rPr>
        <w:tab/>
        <w:t>Not applicable.</w:t>
      </w:r>
    </w:p>
    <w:p w:rsidR="008A360C" w:rsidRPr="00636C07" w:rsidRDefault="008A360C">
      <w:pPr>
        <w:keepLines/>
        <w:tabs>
          <w:tab w:val="left" w:pos="-720"/>
        </w:tabs>
        <w:suppressAutoHyphens/>
        <w:rPr>
          <w:rFonts w:ascii="Times New Roman" w:hAnsi="Times New Roman"/>
        </w:rPr>
      </w:pPr>
    </w:p>
    <w:p w:rsidR="008A360C" w:rsidRPr="00636C07" w:rsidRDefault="008A360C">
      <w:pPr>
        <w:tabs>
          <w:tab w:val="left" w:pos="-720"/>
        </w:tabs>
        <w:suppressAutoHyphens/>
        <w:rPr>
          <w:rFonts w:ascii="Times New Roman" w:hAnsi="Times New Roman"/>
        </w:rPr>
      </w:pPr>
      <w:r w:rsidRPr="00636C07">
        <w:rPr>
          <w:rFonts w:ascii="Times New Roman" w:hAnsi="Times New Roman"/>
          <w:b/>
          <w:bCs/>
        </w:rPr>
        <w:t>B.</w:t>
      </w:r>
      <w:r w:rsidRPr="00636C07">
        <w:rPr>
          <w:rFonts w:ascii="Times New Roman" w:hAnsi="Times New Roman"/>
          <w:b/>
          <w:bCs/>
        </w:rPr>
        <w:tab/>
        <w:t>COLLECTIONS OF INFORMATION EMPLOYING STATISTICAL METHODS</w:t>
      </w:r>
    </w:p>
    <w:p w:rsidR="008A360C" w:rsidRPr="00636C07" w:rsidRDefault="008A360C">
      <w:pPr>
        <w:tabs>
          <w:tab w:val="left" w:pos="-720"/>
        </w:tabs>
        <w:suppressAutoHyphens/>
        <w:rPr>
          <w:rFonts w:ascii="Times New Roman" w:hAnsi="Times New Roman"/>
        </w:rPr>
      </w:pPr>
    </w:p>
    <w:p w:rsidR="008A360C" w:rsidRPr="00636C07" w:rsidRDefault="008A360C">
      <w:pPr>
        <w:tabs>
          <w:tab w:val="left" w:pos="-720"/>
        </w:tabs>
        <w:suppressAutoHyphens/>
        <w:rPr>
          <w:rFonts w:ascii="Times New Roman" w:hAnsi="Times New Roman"/>
        </w:rPr>
      </w:pPr>
      <w:r w:rsidRPr="00636C07">
        <w:rPr>
          <w:rFonts w:ascii="Times New Roman" w:hAnsi="Times New Roman"/>
        </w:rPr>
        <w:tab/>
        <w:t>Not applicable.</w:t>
      </w:r>
    </w:p>
    <w:p w:rsidR="008A360C" w:rsidRPr="00636C07" w:rsidRDefault="008A360C">
      <w:pPr>
        <w:tabs>
          <w:tab w:val="left" w:pos="-720"/>
        </w:tabs>
        <w:suppressAutoHyphens/>
        <w:rPr>
          <w:rFonts w:ascii="Times New Roman" w:hAnsi="Times New Roman"/>
        </w:rPr>
      </w:pPr>
    </w:p>
    <w:sectPr w:rsidR="008A360C" w:rsidRPr="00636C07" w:rsidSect="00D5054C">
      <w:headerReference w:type="default" r:id="rId8"/>
      <w:footerReference w:type="even" r:id="rId9"/>
      <w:footerReference w:type="default" r:id="rId10"/>
      <w:endnotePr>
        <w:numFmt w:val="decimal"/>
      </w:endnotePr>
      <w:pgSz w:w="12240" w:h="15840" w:code="1"/>
      <w:pgMar w:top="1440" w:right="1440" w:bottom="1440" w:left="1440" w:header="1440" w:footer="1440"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3765" w:rsidRDefault="00C23765">
      <w:pPr>
        <w:widowControl/>
        <w:spacing w:line="20" w:lineRule="exact"/>
        <w:rPr>
          <w:sz w:val="20"/>
        </w:rPr>
      </w:pPr>
    </w:p>
  </w:endnote>
  <w:endnote w:type="continuationSeparator" w:id="0">
    <w:p w:rsidR="00C23765" w:rsidRDefault="00C23765">
      <w:r>
        <w:rPr>
          <w:sz w:val="20"/>
        </w:rPr>
        <w:t xml:space="preserve"> </w:t>
      </w:r>
    </w:p>
  </w:endnote>
  <w:endnote w:type="continuationNotice" w:id="1">
    <w:p w:rsidR="00C23765" w:rsidRDefault="00C23765">
      <w:r>
        <w:rPr>
          <w:sz w:val="20"/>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Kino MT">
    <w:charset w:val="00"/>
    <w:family w:val="auto"/>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Footlight MT Light">
    <w:panose1 w:val="0204060206030A020304"/>
    <w:charset w:val="00"/>
    <w:family w:val="roman"/>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8C2" w:rsidRDefault="00A27697">
    <w:pPr>
      <w:pStyle w:val="Footer"/>
      <w:framePr w:wrap="around" w:vAnchor="text" w:hAnchor="margin" w:xAlign="center" w:y="1"/>
      <w:rPr>
        <w:rStyle w:val="PageNumber"/>
      </w:rPr>
    </w:pPr>
    <w:r>
      <w:rPr>
        <w:rStyle w:val="PageNumber"/>
      </w:rPr>
      <w:fldChar w:fldCharType="begin"/>
    </w:r>
    <w:r w:rsidR="004768C2">
      <w:rPr>
        <w:rStyle w:val="PageNumber"/>
      </w:rPr>
      <w:instrText xml:space="preserve">PAGE  </w:instrText>
    </w:r>
    <w:r>
      <w:rPr>
        <w:rStyle w:val="PageNumber"/>
      </w:rPr>
      <w:fldChar w:fldCharType="end"/>
    </w:r>
  </w:p>
  <w:p w:rsidR="004768C2" w:rsidRDefault="004768C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8C2" w:rsidRDefault="00A27697">
    <w:pPr>
      <w:pStyle w:val="Footer"/>
      <w:framePr w:wrap="around" w:vAnchor="text" w:hAnchor="margin" w:xAlign="center" w:y="1"/>
      <w:rPr>
        <w:rStyle w:val="PageNumber"/>
      </w:rPr>
    </w:pPr>
    <w:r>
      <w:rPr>
        <w:rStyle w:val="PageNumber"/>
      </w:rPr>
      <w:fldChar w:fldCharType="begin"/>
    </w:r>
    <w:r w:rsidR="004768C2">
      <w:rPr>
        <w:rStyle w:val="PageNumber"/>
      </w:rPr>
      <w:instrText xml:space="preserve">PAGE  </w:instrText>
    </w:r>
    <w:r>
      <w:rPr>
        <w:rStyle w:val="PageNumber"/>
      </w:rPr>
      <w:fldChar w:fldCharType="separate"/>
    </w:r>
    <w:r w:rsidR="004D4823">
      <w:rPr>
        <w:rStyle w:val="PageNumber"/>
        <w:noProof/>
      </w:rPr>
      <w:t>5</w:t>
    </w:r>
    <w:r>
      <w:rPr>
        <w:rStyle w:val="PageNumber"/>
      </w:rPr>
      <w:fldChar w:fldCharType="end"/>
    </w:r>
  </w:p>
  <w:p w:rsidR="004768C2" w:rsidRDefault="004768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3765" w:rsidRDefault="00C23765">
      <w:r>
        <w:rPr>
          <w:sz w:val="20"/>
        </w:rPr>
        <w:separator/>
      </w:r>
    </w:p>
  </w:footnote>
  <w:footnote w:type="continuationSeparator" w:id="0">
    <w:p w:rsidR="00C23765" w:rsidRDefault="00C23765">
      <w:r>
        <w:continuationSeparator/>
      </w:r>
    </w:p>
  </w:footnote>
  <w:footnote w:id="1">
    <w:p w:rsidR="00531C3D" w:rsidRPr="00BC5F2A" w:rsidRDefault="00531C3D" w:rsidP="00531C3D">
      <w:pPr>
        <w:pStyle w:val="FootnoteText"/>
        <w:spacing w:after="120" w:line="240" w:lineRule="auto"/>
        <w:ind w:left="720" w:hanging="720"/>
        <w:rPr>
          <w:sz w:val="24"/>
          <w:szCs w:val="24"/>
        </w:rPr>
      </w:pPr>
      <w:r w:rsidRPr="00BC5F2A">
        <w:rPr>
          <w:rStyle w:val="FootnoteReference"/>
          <w:rFonts w:ascii="Times New Roman" w:hAnsi="Times New Roman"/>
        </w:rPr>
        <w:footnoteRef/>
      </w:r>
      <w:r w:rsidRPr="00BC5F2A">
        <w:rPr>
          <w:sz w:val="24"/>
          <w:szCs w:val="24"/>
        </w:rPr>
        <w:t xml:space="preserve"> </w:t>
      </w:r>
      <w:r w:rsidRPr="00BC5F2A">
        <w:rPr>
          <w:sz w:val="24"/>
          <w:szCs w:val="24"/>
        </w:rPr>
        <w:tab/>
        <w:t xml:space="preserve">The Dodd-Frank Wall Street Reform and Consumer Protection Act (Pub. L. No.  </w:t>
      </w:r>
      <w:proofErr w:type="gramStart"/>
      <w:r w:rsidRPr="00BC5F2A">
        <w:rPr>
          <w:sz w:val="24"/>
          <w:szCs w:val="24"/>
        </w:rPr>
        <w:t>111-203, H.R. 4173).</w:t>
      </w:r>
      <w:proofErr w:type="gramEnd"/>
      <w:r w:rsidRPr="00BC5F2A">
        <w:rPr>
          <w:sz w:val="24"/>
          <w:szCs w:val="24"/>
        </w:rPr>
        <w:t xml:space="preserve">  </w:t>
      </w:r>
    </w:p>
  </w:footnote>
  <w:footnote w:id="2">
    <w:p w:rsidR="00531C3D" w:rsidRPr="00BC5F2A" w:rsidRDefault="00531C3D" w:rsidP="00531C3D">
      <w:pPr>
        <w:pStyle w:val="FootnoteText"/>
        <w:spacing w:after="120" w:line="240" w:lineRule="auto"/>
        <w:ind w:left="720" w:hanging="720"/>
      </w:pPr>
      <w:r w:rsidRPr="00BC5F2A">
        <w:rPr>
          <w:rStyle w:val="FootnoteReference"/>
          <w:rFonts w:ascii="Times New Roman" w:hAnsi="Times New Roman"/>
        </w:rPr>
        <w:footnoteRef/>
      </w:r>
      <w:r w:rsidRPr="00BC5F2A">
        <w:rPr>
          <w:sz w:val="24"/>
          <w:szCs w:val="24"/>
        </w:rPr>
        <w:t xml:space="preserve"> </w:t>
      </w:r>
      <w:r w:rsidRPr="00BC5F2A">
        <w:rPr>
          <w:sz w:val="24"/>
          <w:szCs w:val="24"/>
        </w:rPr>
        <w:tab/>
      </w:r>
      <w:r w:rsidRPr="00BC5F2A">
        <w:rPr>
          <w:sz w:val="24"/>
          <w:szCs w:val="24"/>
          <w:u w:val="single"/>
        </w:rPr>
        <w:t>See</w:t>
      </w:r>
      <w:r w:rsidRPr="00BC5F2A">
        <w:rPr>
          <w:sz w:val="24"/>
          <w:szCs w:val="24"/>
        </w:rPr>
        <w:t xml:space="preserve"> Pub. L. No. 111-203, Section 765(a).</w:t>
      </w:r>
      <w:r w:rsidRPr="00BC5F2A">
        <w:t xml:space="preserve"> </w:t>
      </w:r>
    </w:p>
  </w:footnote>
  <w:footnote w:id="3">
    <w:p w:rsidR="00531C3D" w:rsidRPr="00BC5F2A" w:rsidRDefault="00531C3D" w:rsidP="00BC5F2A">
      <w:pPr>
        <w:pStyle w:val="FootnoteText"/>
        <w:spacing w:after="120" w:line="240" w:lineRule="auto"/>
        <w:ind w:left="720" w:hanging="720"/>
      </w:pPr>
      <w:r w:rsidRPr="00BC5F2A">
        <w:rPr>
          <w:rStyle w:val="FootnoteReference"/>
          <w:rFonts w:ascii="Times New Roman" w:hAnsi="Times New Roman"/>
        </w:rPr>
        <w:footnoteRef/>
      </w:r>
      <w:r w:rsidRPr="00BC5F2A">
        <w:t xml:space="preserve"> </w:t>
      </w:r>
      <w:r w:rsidRPr="00BC5F2A">
        <w:tab/>
      </w:r>
      <w:r w:rsidRPr="00BC5F2A">
        <w:rPr>
          <w:sz w:val="24"/>
          <w:szCs w:val="24"/>
          <w:u w:val="single"/>
        </w:rPr>
        <w:t>See</w:t>
      </w:r>
      <w:r w:rsidRPr="00BC5F2A">
        <w:rPr>
          <w:sz w:val="24"/>
          <w:szCs w:val="24"/>
        </w:rPr>
        <w:t xml:space="preserve"> Pub. L. No. 111-203, Section 765(c).</w:t>
      </w:r>
    </w:p>
  </w:footnote>
  <w:footnote w:id="4">
    <w:p w:rsidR="00BC5F2A" w:rsidRDefault="00BC5F2A">
      <w:pPr>
        <w:pStyle w:val="FootnoteText"/>
      </w:pPr>
      <w:r w:rsidRPr="00BC5F2A">
        <w:rPr>
          <w:rStyle w:val="FootnoteReference"/>
          <w:rFonts w:ascii="Times New Roman" w:hAnsi="Times New Roman"/>
        </w:rPr>
        <w:footnoteRef/>
      </w:r>
      <w:r w:rsidRPr="00BC5F2A">
        <w:t xml:space="preserve"> </w:t>
      </w:r>
      <w:r w:rsidRPr="00BC5F2A">
        <w:tab/>
      </w:r>
      <w:r w:rsidRPr="00BC5F2A">
        <w:rPr>
          <w:sz w:val="24"/>
          <w:szCs w:val="24"/>
          <w:u w:val="single"/>
        </w:rPr>
        <w:t>See</w:t>
      </w:r>
      <w:r w:rsidRPr="00BC5F2A">
        <w:rPr>
          <w:sz w:val="24"/>
          <w:szCs w:val="24"/>
        </w:rPr>
        <w:t xml:space="preserve"> Pub. L. No. 111-203, Section 765(b).</w:t>
      </w:r>
    </w:p>
  </w:footnote>
  <w:footnote w:id="5">
    <w:p w:rsidR="006848D8" w:rsidRPr="00BC14C5" w:rsidRDefault="006848D8" w:rsidP="006848D8">
      <w:pPr>
        <w:pStyle w:val="FootnoteText"/>
        <w:tabs>
          <w:tab w:val="left" w:pos="720"/>
        </w:tabs>
        <w:spacing w:after="120"/>
        <w:ind w:left="720" w:hanging="720"/>
        <w:rPr>
          <w:sz w:val="24"/>
          <w:szCs w:val="24"/>
        </w:rPr>
      </w:pPr>
      <w:r w:rsidRPr="00BC14C5">
        <w:rPr>
          <w:rStyle w:val="FootnoteReference"/>
        </w:rPr>
        <w:footnoteRef/>
      </w:r>
      <w:r w:rsidRPr="00BC14C5">
        <w:rPr>
          <w:sz w:val="24"/>
          <w:szCs w:val="24"/>
        </w:rPr>
        <w:t xml:space="preserve"> </w:t>
      </w:r>
      <w:r w:rsidRPr="00BC14C5">
        <w:rPr>
          <w:sz w:val="24"/>
          <w:szCs w:val="24"/>
        </w:rPr>
        <w:tab/>
        <w:t>(</w:t>
      </w:r>
      <w:r w:rsidR="00494E03">
        <w:rPr>
          <w:sz w:val="24"/>
          <w:szCs w:val="24"/>
        </w:rPr>
        <w:t>35 respondents</w:t>
      </w:r>
      <w:r w:rsidRPr="00BC14C5">
        <w:rPr>
          <w:sz w:val="24"/>
          <w:szCs w:val="24"/>
        </w:rPr>
        <w:t xml:space="preserve"> x 12 (estimated number of notices prepared annually by each SB SEFs pur</w:t>
      </w:r>
      <w:r w:rsidR="000F3C56">
        <w:rPr>
          <w:sz w:val="24"/>
          <w:szCs w:val="24"/>
        </w:rPr>
        <w:t>suant to the proposed Rule 702(e</w:t>
      </w:r>
      <w:r w:rsidRPr="00BC14C5">
        <w:rPr>
          <w:sz w:val="24"/>
          <w:szCs w:val="24"/>
        </w:rPr>
        <w:t>)) x 1 hour (estimate of total time to complete, review, and prepare required notice) = 420 hours.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8C2" w:rsidRDefault="00A27697">
    <w:pPr>
      <w:suppressAutoHyphens/>
      <w:spacing w:line="240" w:lineRule="atLeast"/>
      <w:rPr>
        <w:sz w:val="20"/>
      </w:rPr>
    </w:pPr>
    <w:r>
      <w:rPr>
        <w:noProof/>
        <w:sz w:val="20"/>
      </w:rPr>
      <w:pict>
        <v:rect id="_x0000_s1025" style="position:absolute;margin-left:1in;margin-top:0;width:468pt;height:12pt;z-index:251657728;mso-position-horizontal-relative:page" o:allowincell="f" filled="f" stroked="f" strokeweight="0">
          <v:textbox inset="0,0,0,0">
            <w:txbxContent>
              <w:p w:rsidR="004768C2" w:rsidRDefault="004768C2">
                <w:pPr>
                  <w:tabs>
                    <w:tab w:val="center" w:pos="4680"/>
                    <w:tab w:val="right" w:pos="9360"/>
                  </w:tabs>
                </w:pPr>
                <w:r>
                  <w:rPr>
                    <w:sz w:val="20"/>
                  </w:rPr>
                  <w:tab/>
                </w:r>
              </w:p>
            </w:txbxContent>
          </v:textbox>
          <w10:wrap anchorx="page"/>
        </v:rect>
      </w:pict>
    </w:r>
  </w:p>
  <w:p w:rsidR="004768C2" w:rsidRDefault="004768C2">
    <w:pPr>
      <w:suppressAutoHyphens/>
      <w:spacing w:after="140" w:line="100" w:lineRule="exact"/>
      <w:rPr>
        <w:sz w:val="10"/>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C11E0"/>
    <w:multiLevelType w:val="hybridMultilevel"/>
    <w:tmpl w:val="D52E0654"/>
    <w:lvl w:ilvl="0" w:tplc="AFFAB6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97F0CEA"/>
    <w:multiLevelType w:val="hybridMultilevel"/>
    <w:tmpl w:val="89F277F4"/>
    <w:lvl w:ilvl="0" w:tplc="E3F605F8">
      <w:start w:val="1"/>
      <w:numFmt w:val="upperLetter"/>
      <w:lvlText w:val="%1."/>
      <w:lvlJc w:val="left"/>
      <w:pPr>
        <w:tabs>
          <w:tab w:val="num" w:pos="1305"/>
        </w:tabs>
        <w:ind w:left="1305" w:hanging="570"/>
      </w:pPr>
      <w:rPr>
        <w:rFonts w:hint="default"/>
      </w:rPr>
    </w:lvl>
    <w:lvl w:ilvl="1" w:tplc="04090019" w:tentative="1">
      <w:start w:val="1"/>
      <w:numFmt w:val="lowerLetter"/>
      <w:lvlText w:val="%2."/>
      <w:lvlJc w:val="left"/>
      <w:pPr>
        <w:tabs>
          <w:tab w:val="num" w:pos="1815"/>
        </w:tabs>
        <w:ind w:left="1815" w:hanging="360"/>
      </w:pPr>
    </w:lvl>
    <w:lvl w:ilvl="2" w:tplc="0409001B" w:tentative="1">
      <w:start w:val="1"/>
      <w:numFmt w:val="lowerRoman"/>
      <w:lvlText w:val="%3."/>
      <w:lvlJc w:val="right"/>
      <w:pPr>
        <w:tabs>
          <w:tab w:val="num" w:pos="2535"/>
        </w:tabs>
        <w:ind w:left="2535" w:hanging="180"/>
      </w:pPr>
    </w:lvl>
    <w:lvl w:ilvl="3" w:tplc="0409000F" w:tentative="1">
      <w:start w:val="1"/>
      <w:numFmt w:val="decimal"/>
      <w:lvlText w:val="%4."/>
      <w:lvlJc w:val="left"/>
      <w:pPr>
        <w:tabs>
          <w:tab w:val="num" w:pos="3255"/>
        </w:tabs>
        <w:ind w:left="3255" w:hanging="360"/>
      </w:pPr>
    </w:lvl>
    <w:lvl w:ilvl="4" w:tplc="04090019" w:tentative="1">
      <w:start w:val="1"/>
      <w:numFmt w:val="lowerLetter"/>
      <w:lvlText w:val="%5."/>
      <w:lvlJc w:val="left"/>
      <w:pPr>
        <w:tabs>
          <w:tab w:val="num" w:pos="3975"/>
        </w:tabs>
        <w:ind w:left="3975" w:hanging="360"/>
      </w:pPr>
    </w:lvl>
    <w:lvl w:ilvl="5" w:tplc="0409001B" w:tentative="1">
      <w:start w:val="1"/>
      <w:numFmt w:val="lowerRoman"/>
      <w:lvlText w:val="%6."/>
      <w:lvlJc w:val="right"/>
      <w:pPr>
        <w:tabs>
          <w:tab w:val="num" w:pos="4695"/>
        </w:tabs>
        <w:ind w:left="4695" w:hanging="180"/>
      </w:pPr>
    </w:lvl>
    <w:lvl w:ilvl="6" w:tplc="0409000F" w:tentative="1">
      <w:start w:val="1"/>
      <w:numFmt w:val="decimal"/>
      <w:lvlText w:val="%7."/>
      <w:lvlJc w:val="left"/>
      <w:pPr>
        <w:tabs>
          <w:tab w:val="num" w:pos="5415"/>
        </w:tabs>
        <w:ind w:left="5415" w:hanging="360"/>
      </w:pPr>
    </w:lvl>
    <w:lvl w:ilvl="7" w:tplc="04090019" w:tentative="1">
      <w:start w:val="1"/>
      <w:numFmt w:val="lowerLetter"/>
      <w:lvlText w:val="%8."/>
      <w:lvlJc w:val="left"/>
      <w:pPr>
        <w:tabs>
          <w:tab w:val="num" w:pos="6135"/>
        </w:tabs>
        <w:ind w:left="6135" w:hanging="360"/>
      </w:pPr>
    </w:lvl>
    <w:lvl w:ilvl="8" w:tplc="0409001B" w:tentative="1">
      <w:start w:val="1"/>
      <w:numFmt w:val="lowerRoman"/>
      <w:lvlText w:val="%9."/>
      <w:lvlJc w:val="right"/>
      <w:pPr>
        <w:tabs>
          <w:tab w:val="num" w:pos="6855"/>
        </w:tabs>
        <w:ind w:left="6855" w:hanging="180"/>
      </w:pPr>
    </w:lvl>
  </w:abstractNum>
  <w:abstractNum w:abstractNumId="2">
    <w:nsid w:val="5548776C"/>
    <w:multiLevelType w:val="hybridMultilevel"/>
    <w:tmpl w:val="55D2E7FC"/>
    <w:lvl w:ilvl="0" w:tplc="9D7C08D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o:shapelayout v:ext="edit">
      <o:idmap v:ext="edit" data="1"/>
    </o:shapelayout>
  </w:hdrShapeDefaults>
  <w:footnotePr>
    <w:footnote w:id="-1"/>
    <w:footnote w:id="0"/>
  </w:footnotePr>
  <w:endnotePr>
    <w:numFmt w:val="decimal"/>
    <w:endnote w:id="-1"/>
    <w:endnote w:id="0"/>
    <w:endnote w:id="1"/>
  </w:endnotePr>
  <w:compat/>
  <w:rsids>
    <w:rsidRoot w:val="00636C07"/>
    <w:rsid w:val="00025304"/>
    <w:rsid w:val="00031547"/>
    <w:rsid w:val="0003245C"/>
    <w:rsid w:val="000A157C"/>
    <w:rsid w:val="000D4A28"/>
    <w:rsid w:val="000D714A"/>
    <w:rsid w:val="000F3C56"/>
    <w:rsid w:val="00104BB4"/>
    <w:rsid w:val="00112582"/>
    <w:rsid w:val="00144121"/>
    <w:rsid w:val="001E0416"/>
    <w:rsid w:val="001E1E6A"/>
    <w:rsid w:val="00253CF3"/>
    <w:rsid w:val="00261C32"/>
    <w:rsid w:val="002840B2"/>
    <w:rsid w:val="002B0A91"/>
    <w:rsid w:val="002C302F"/>
    <w:rsid w:val="002F4D32"/>
    <w:rsid w:val="00305805"/>
    <w:rsid w:val="00332363"/>
    <w:rsid w:val="003423E7"/>
    <w:rsid w:val="003506B8"/>
    <w:rsid w:val="00381A25"/>
    <w:rsid w:val="00457269"/>
    <w:rsid w:val="00471004"/>
    <w:rsid w:val="0047655D"/>
    <w:rsid w:val="004768C2"/>
    <w:rsid w:val="00490747"/>
    <w:rsid w:val="00494E03"/>
    <w:rsid w:val="004A617D"/>
    <w:rsid w:val="004B534E"/>
    <w:rsid w:val="004D4823"/>
    <w:rsid w:val="004E28E3"/>
    <w:rsid w:val="00531C3D"/>
    <w:rsid w:val="00541809"/>
    <w:rsid w:val="00567B12"/>
    <w:rsid w:val="005A1912"/>
    <w:rsid w:val="005D1855"/>
    <w:rsid w:val="00613F72"/>
    <w:rsid w:val="00636C07"/>
    <w:rsid w:val="0068089E"/>
    <w:rsid w:val="006848D8"/>
    <w:rsid w:val="00684DF3"/>
    <w:rsid w:val="006A0B63"/>
    <w:rsid w:val="006A1BB5"/>
    <w:rsid w:val="006B579F"/>
    <w:rsid w:val="006F6201"/>
    <w:rsid w:val="00723F05"/>
    <w:rsid w:val="00726806"/>
    <w:rsid w:val="007529BE"/>
    <w:rsid w:val="00775A62"/>
    <w:rsid w:val="00783933"/>
    <w:rsid w:val="007A6599"/>
    <w:rsid w:val="007B43ED"/>
    <w:rsid w:val="007B664F"/>
    <w:rsid w:val="007D5CAB"/>
    <w:rsid w:val="0083758C"/>
    <w:rsid w:val="00887367"/>
    <w:rsid w:val="008A360C"/>
    <w:rsid w:val="008F528B"/>
    <w:rsid w:val="009306AC"/>
    <w:rsid w:val="009442FC"/>
    <w:rsid w:val="00964D32"/>
    <w:rsid w:val="0096724E"/>
    <w:rsid w:val="009A3F17"/>
    <w:rsid w:val="009E51FD"/>
    <w:rsid w:val="00A27697"/>
    <w:rsid w:val="00A54B56"/>
    <w:rsid w:val="00A613BC"/>
    <w:rsid w:val="00AD22C8"/>
    <w:rsid w:val="00AE3F32"/>
    <w:rsid w:val="00B1071E"/>
    <w:rsid w:val="00B57B17"/>
    <w:rsid w:val="00B90825"/>
    <w:rsid w:val="00B97A47"/>
    <w:rsid w:val="00BC1CF5"/>
    <w:rsid w:val="00BC5F2A"/>
    <w:rsid w:val="00BF6EDB"/>
    <w:rsid w:val="00BF7A17"/>
    <w:rsid w:val="00C04A3B"/>
    <w:rsid w:val="00C225BA"/>
    <w:rsid w:val="00C23765"/>
    <w:rsid w:val="00C27796"/>
    <w:rsid w:val="00C87C1B"/>
    <w:rsid w:val="00CD0D17"/>
    <w:rsid w:val="00CE07EC"/>
    <w:rsid w:val="00D5054C"/>
    <w:rsid w:val="00D95580"/>
    <w:rsid w:val="00DD36E6"/>
    <w:rsid w:val="00DE7B90"/>
    <w:rsid w:val="00E427E6"/>
    <w:rsid w:val="00E55707"/>
    <w:rsid w:val="00E70C49"/>
    <w:rsid w:val="00E9758E"/>
    <w:rsid w:val="00E97784"/>
    <w:rsid w:val="00EC06F2"/>
    <w:rsid w:val="00EE61D8"/>
    <w:rsid w:val="00F16BD4"/>
    <w:rsid w:val="00FC5AEC"/>
    <w:rsid w:val="00FE2063"/>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054C"/>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D5054C"/>
    <w:pPr>
      <w:keepNext/>
      <w:tabs>
        <w:tab w:val="left" w:pos="-720"/>
      </w:tabs>
      <w:suppressAutoHyphens/>
      <w:spacing w:line="480" w:lineRule="atLeas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D5054C"/>
    <w:rPr>
      <w:sz w:val="20"/>
    </w:rPr>
  </w:style>
  <w:style w:type="character" w:styleId="EndnoteReference">
    <w:name w:val="endnote reference"/>
    <w:basedOn w:val="DefaultParagraphFont"/>
    <w:semiHidden/>
    <w:rsid w:val="00D5054C"/>
    <w:rPr>
      <w:rFonts w:ascii="Courier" w:hAnsi="Courier"/>
      <w:sz w:val="24"/>
      <w:szCs w:val="24"/>
      <w:vertAlign w:val="superscript"/>
      <w:lang w:val="en-US"/>
    </w:rPr>
  </w:style>
  <w:style w:type="paragraph" w:styleId="FootnoteText">
    <w:name w:val="footnote text"/>
    <w:aliases w:val="fn,Footnote Text Char Char Char Char Char Char Char Char Char Char Char Char Char Char Char Char Char,Footnote Text Char Char Char Char Char Char Char Char Char Char Char Char Char Char Char Char Char Char Char Char,Footnote Text Char1,ft"/>
    <w:basedOn w:val="Normal"/>
    <w:link w:val="FootnoteTextChar"/>
    <w:uiPriority w:val="99"/>
    <w:rsid w:val="00D5054C"/>
    <w:pPr>
      <w:tabs>
        <w:tab w:val="left" w:pos="-720"/>
      </w:tabs>
      <w:suppressAutoHyphens/>
      <w:spacing w:line="240" w:lineRule="atLeast"/>
    </w:pPr>
    <w:rPr>
      <w:rFonts w:ascii="Times New Roman" w:hAnsi="Times New Roman"/>
      <w:sz w:val="20"/>
      <w:szCs w:val="20"/>
    </w:rPr>
  </w:style>
  <w:style w:type="character" w:styleId="FootnoteReference">
    <w:name w:val="footnote reference"/>
    <w:aliases w:val="Style 19,Style 16"/>
    <w:basedOn w:val="DefaultParagraphFont"/>
    <w:uiPriority w:val="99"/>
    <w:rsid w:val="00D5054C"/>
    <w:rPr>
      <w:rFonts w:ascii="Courier" w:hAnsi="Courier"/>
      <w:sz w:val="24"/>
      <w:szCs w:val="24"/>
      <w:vertAlign w:val="superscript"/>
      <w:lang w:val="en-US"/>
    </w:rPr>
  </w:style>
  <w:style w:type="character" w:customStyle="1" w:styleId="2">
    <w:name w:val="2"/>
    <w:basedOn w:val="DefaultParagraphFont"/>
    <w:rsid w:val="00D5054C"/>
    <w:rPr>
      <w:rFonts w:ascii="Courier" w:hAnsi="Courier"/>
      <w:sz w:val="24"/>
      <w:szCs w:val="24"/>
      <w:lang w:val="en-US"/>
    </w:rPr>
  </w:style>
  <w:style w:type="character" w:customStyle="1" w:styleId="Heading">
    <w:name w:val="Heading"/>
    <w:basedOn w:val="DefaultParagraphFont"/>
    <w:rsid w:val="00D5054C"/>
  </w:style>
  <w:style w:type="character" w:customStyle="1" w:styleId="RightPar">
    <w:name w:val="Right Par"/>
    <w:basedOn w:val="DefaultParagraphFont"/>
    <w:rsid w:val="00D5054C"/>
  </w:style>
  <w:style w:type="character" w:customStyle="1" w:styleId="Bibliogrphy">
    <w:name w:val="Bibliogrphy"/>
    <w:basedOn w:val="DefaultParagraphFont"/>
    <w:rsid w:val="00D5054C"/>
  </w:style>
  <w:style w:type="character" w:customStyle="1" w:styleId="Subheading">
    <w:name w:val="Subheading"/>
    <w:basedOn w:val="DefaultParagraphFont"/>
    <w:rsid w:val="00D5054C"/>
  </w:style>
  <w:style w:type="character" w:customStyle="1" w:styleId="1">
    <w:name w:val="1"/>
    <w:basedOn w:val="DefaultParagraphFont"/>
    <w:rsid w:val="00D5054C"/>
    <w:rPr>
      <w:rFonts w:ascii="Courier" w:hAnsi="Courier"/>
      <w:sz w:val="24"/>
      <w:szCs w:val="24"/>
      <w:lang w:val="en-US"/>
    </w:rPr>
  </w:style>
  <w:style w:type="character" w:customStyle="1" w:styleId="Document8">
    <w:name w:val="Document 8"/>
    <w:basedOn w:val="DefaultParagraphFont"/>
    <w:rsid w:val="00D5054C"/>
  </w:style>
  <w:style w:type="character" w:customStyle="1" w:styleId="Document4">
    <w:name w:val="Document 4"/>
    <w:basedOn w:val="DefaultParagraphFont"/>
    <w:rsid w:val="00D5054C"/>
    <w:rPr>
      <w:b/>
      <w:bCs/>
      <w:i/>
      <w:iCs/>
      <w:sz w:val="24"/>
      <w:szCs w:val="24"/>
    </w:rPr>
  </w:style>
  <w:style w:type="character" w:customStyle="1" w:styleId="Document6">
    <w:name w:val="Document 6"/>
    <w:basedOn w:val="DefaultParagraphFont"/>
    <w:rsid w:val="00D5054C"/>
  </w:style>
  <w:style w:type="character" w:customStyle="1" w:styleId="Document5">
    <w:name w:val="Document 5"/>
    <w:basedOn w:val="DefaultParagraphFont"/>
    <w:rsid w:val="00D5054C"/>
  </w:style>
  <w:style w:type="character" w:customStyle="1" w:styleId="Document2">
    <w:name w:val="Document 2"/>
    <w:basedOn w:val="DefaultParagraphFont"/>
    <w:rsid w:val="00D5054C"/>
    <w:rPr>
      <w:rFonts w:ascii="Courier" w:hAnsi="Courier"/>
      <w:sz w:val="24"/>
      <w:szCs w:val="24"/>
      <w:lang w:val="en-US"/>
    </w:rPr>
  </w:style>
  <w:style w:type="character" w:customStyle="1" w:styleId="Document7">
    <w:name w:val="Document 7"/>
    <w:basedOn w:val="DefaultParagraphFont"/>
    <w:rsid w:val="00D5054C"/>
  </w:style>
  <w:style w:type="character" w:customStyle="1" w:styleId="RightPar1">
    <w:name w:val="Right Par 1"/>
    <w:basedOn w:val="DefaultParagraphFont"/>
    <w:rsid w:val="00D5054C"/>
  </w:style>
  <w:style w:type="character" w:customStyle="1" w:styleId="RightPar2">
    <w:name w:val="Right Par 2"/>
    <w:basedOn w:val="DefaultParagraphFont"/>
    <w:rsid w:val="00D5054C"/>
  </w:style>
  <w:style w:type="character" w:customStyle="1" w:styleId="Document3">
    <w:name w:val="Document 3"/>
    <w:basedOn w:val="DefaultParagraphFont"/>
    <w:rsid w:val="00D5054C"/>
    <w:rPr>
      <w:rFonts w:ascii="Courier" w:hAnsi="Courier"/>
      <w:sz w:val="24"/>
      <w:szCs w:val="24"/>
      <w:lang w:val="en-US"/>
    </w:rPr>
  </w:style>
  <w:style w:type="character" w:customStyle="1" w:styleId="RightPar3">
    <w:name w:val="Right Par 3"/>
    <w:basedOn w:val="DefaultParagraphFont"/>
    <w:rsid w:val="00D5054C"/>
  </w:style>
  <w:style w:type="character" w:customStyle="1" w:styleId="RightPar4">
    <w:name w:val="Right Par 4"/>
    <w:basedOn w:val="DefaultParagraphFont"/>
    <w:rsid w:val="00D5054C"/>
  </w:style>
  <w:style w:type="character" w:customStyle="1" w:styleId="RightPar5">
    <w:name w:val="Right Par 5"/>
    <w:basedOn w:val="DefaultParagraphFont"/>
    <w:rsid w:val="00D5054C"/>
  </w:style>
  <w:style w:type="character" w:customStyle="1" w:styleId="RightPar6">
    <w:name w:val="Right Par 6"/>
    <w:basedOn w:val="DefaultParagraphFont"/>
    <w:rsid w:val="00D5054C"/>
  </w:style>
  <w:style w:type="character" w:customStyle="1" w:styleId="RightPar7">
    <w:name w:val="Right Par 7"/>
    <w:basedOn w:val="DefaultParagraphFont"/>
    <w:rsid w:val="00D5054C"/>
  </w:style>
  <w:style w:type="character" w:customStyle="1" w:styleId="RightPar8">
    <w:name w:val="Right Par 8"/>
    <w:basedOn w:val="DefaultParagraphFont"/>
    <w:rsid w:val="00D5054C"/>
  </w:style>
  <w:style w:type="paragraph" w:customStyle="1" w:styleId="Document1">
    <w:name w:val="Document 1"/>
    <w:rsid w:val="00D5054C"/>
    <w:pPr>
      <w:keepNext/>
      <w:keepLines/>
      <w:widowControl w:val="0"/>
      <w:tabs>
        <w:tab w:val="left" w:pos="-720"/>
      </w:tabs>
      <w:suppressAutoHyphens/>
      <w:autoSpaceDE w:val="0"/>
      <w:autoSpaceDN w:val="0"/>
      <w:adjustRightInd w:val="0"/>
      <w:spacing w:line="240" w:lineRule="atLeast"/>
    </w:pPr>
    <w:rPr>
      <w:rFonts w:ascii="Courier" w:hAnsi="Courier"/>
      <w:sz w:val="24"/>
      <w:szCs w:val="24"/>
    </w:rPr>
  </w:style>
  <w:style w:type="character" w:customStyle="1" w:styleId="DocInit">
    <w:name w:val="Doc Init"/>
    <w:basedOn w:val="DefaultParagraphFont"/>
    <w:rsid w:val="00D5054C"/>
  </w:style>
  <w:style w:type="character" w:customStyle="1" w:styleId="TechInit">
    <w:name w:val="Tech Init"/>
    <w:basedOn w:val="DefaultParagraphFont"/>
    <w:rsid w:val="00D5054C"/>
    <w:rPr>
      <w:rFonts w:ascii="Courier" w:hAnsi="Courier"/>
      <w:sz w:val="24"/>
      <w:szCs w:val="24"/>
      <w:lang w:val="en-US"/>
    </w:rPr>
  </w:style>
  <w:style w:type="character" w:customStyle="1" w:styleId="Technical5">
    <w:name w:val="Technical 5"/>
    <w:basedOn w:val="DefaultParagraphFont"/>
    <w:rsid w:val="00D5054C"/>
  </w:style>
  <w:style w:type="character" w:customStyle="1" w:styleId="Technical6">
    <w:name w:val="Technical 6"/>
    <w:basedOn w:val="DefaultParagraphFont"/>
    <w:rsid w:val="00D5054C"/>
  </w:style>
  <w:style w:type="character" w:customStyle="1" w:styleId="Technical2">
    <w:name w:val="Technical 2"/>
    <w:basedOn w:val="DefaultParagraphFont"/>
    <w:rsid w:val="00D5054C"/>
    <w:rPr>
      <w:rFonts w:ascii="Courier" w:hAnsi="Courier"/>
      <w:sz w:val="24"/>
      <w:szCs w:val="24"/>
      <w:lang w:val="en-US"/>
    </w:rPr>
  </w:style>
  <w:style w:type="character" w:customStyle="1" w:styleId="Technical3">
    <w:name w:val="Technical 3"/>
    <w:basedOn w:val="DefaultParagraphFont"/>
    <w:rsid w:val="00D5054C"/>
    <w:rPr>
      <w:rFonts w:ascii="Courier" w:hAnsi="Courier"/>
      <w:sz w:val="24"/>
      <w:szCs w:val="24"/>
      <w:lang w:val="en-US"/>
    </w:rPr>
  </w:style>
  <w:style w:type="character" w:customStyle="1" w:styleId="Technical4">
    <w:name w:val="Technical 4"/>
    <w:basedOn w:val="DefaultParagraphFont"/>
    <w:rsid w:val="00D5054C"/>
  </w:style>
  <w:style w:type="character" w:customStyle="1" w:styleId="Technical1">
    <w:name w:val="Technical 1"/>
    <w:basedOn w:val="DefaultParagraphFont"/>
    <w:rsid w:val="00D5054C"/>
    <w:rPr>
      <w:rFonts w:ascii="Courier" w:hAnsi="Courier"/>
      <w:sz w:val="24"/>
      <w:szCs w:val="24"/>
      <w:lang w:val="en-US"/>
    </w:rPr>
  </w:style>
  <w:style w:type="character" w:customStyle="1" w:styleId="Technical7">
    <w:name w:val="Technical 7"/>
    <w:basedOn w:val="DefaultParagraphFont"/>
    <w:rsid w:val="00D5054C"/>
  </w:style>
  <w:style w:type="character" w:customStyle="1" w:styleId="Technical8">
    <w:name w:val="Technical 8"/>
    <w:basedOn w:val="DefaultParagraphFont"/>
    <w:rsid w:val="00D5054C"/>
  </w:style>
  <w:style w:type="paragraph" w:customStyle="1" w:styleId="text">
    <w:name w:val="text"/>
    <w:rsid w:val="00D5054C"/>
    <w:pPr>
      <w:widowControl w:val="0"/>
      <w:tabs>
        <w:tab w:val="left" w:pos="-720"/>
      </w:tabs>
      <w:suppressAutoHyphens/>
      <w:autoSpaceDE w:val="0"/>
      <w:autoSpaceDN w:val="0"/>
      <w:adjustRightInd w:val="0"/>
      <w:spacing w:line="240" w:lineRule="atLeast"/>
      <w:jc w:val="both"/>
    </w:pPr>
    <w:rPr>
      <w:rFonts w:ascii="Kino MT" w:hAnsi="Kino MT"/>
      <w:spacing w:val="-3"/>
      <w:sz w:val="24"/>
      <w:szCs w:val="24"/>
    </w:rPr>
  </w:style>
  <w:style w:type="paragraph" w:customStyle="1" w:styleId="footnotes">
    <w:name w:val="footnotes"/>
    <w:rsid w:val="00D5054C"/>
    <w:pPr>
      <w:widowControl w:val="0"/>
      <w:tabs>
        <w:tab w:val="left" w:pos="-720"/>
      </w:tabs>
      <w:suppressAutoHyphens/>
      <w:autoSpaceDE w:val="0"/>
      <w:autoSpaceDN w:val="0"/>
      <w:adjustRightInd w:val="0"/>
      <w:spacing w:line="240" w:lineRule="atLeast"/>
      <w:jc w:val="both"/>
    </w:pPr>
    <w:rPr>
      <w:rFonts w:ascii="Arial" w:hAnsi="Arial" w:cs="Arial"/>
      <w:spacing w:val="-2"/>
      <w:sz w:val="16"/>
      <w:szCs w:val="16"/>
    </w:rPr>
  </w:style>
  <w:style w:type="character" w:customStyle="1" w:styleId="DefaultParagraphFo">
    <w:name w:val="Default Paragraph Fo"/>
    <w:basedOn w:val="DefaultParagraphFont"/>
    <w:rsid w:val="00D5054C"/>
  </w:style>
  <w:style w:type="character" w:customStyle="1" w:styleId="EquationCaption">
    <w:name w:val="_Equation Caption"/>
    <w:basedOn w:val="DefaultParagraphFont"/>
    <w:rsid w:val="00D5054C"/>
  </w:style>
  <w:style w:type="paragraph" w:styleId="Header">
    <w:name w:val="header"/>
    <w:basedOn w:val="Normal"/>
    <w:rsid w:val="00D5054C"/>
    <w:pPr>
      <w:tabs>
        <w:tab w:val="left" w:pos="0"/>
        <w:tab w:val="center" w:pos="4320"/>
        <w:tab w:val="right" w:pos="8640"/>
        <w:tab w:val="left" w:pos="9360"/>
      </w:tabs>
      <w:suppressAutoHyphens/>
      <w:spacing w:line="240" w:lineRule="atLeast"/>
    </w:pPr>
  </w:style>
  <w:style w:type="paragraph" w:styleId="Footer">
    <w:name w:val="footer"/>
    <w:basedOn w:val="Normal"/>
    <w:rsid w:val="00D5054C"/>
    <w:pPr>
      <w:tabs>
        <w:tab w:val="left" w:pos="0"/>
        <w:tab w:val="center" w:pos="4320"/>
        <w:tab w:val="right" w:pos="8640"/>
        <w:tab w:val="left" w:pos="9360"/>
      </w:tabs>
      <w:suppressAutoHyphens/>
      <w:spacing w:line="240" w:lineRule="atLeast"/>
    </w:pPr>
  </w:style>
  <w:style w:type="character" w:styleId="PageNumber">
    <w:name w:val="page number"/>
    <w:basedOn w:val="DefaultParagraphFont"/>
    <w:rsid w:val="00D5054C"/>
  </w:style>
  <w:style w:type="paragraph" w:customStyle="1" w:styleId="item">
    <w:name w:val="item"/>
    <w:rsid w:val="00D5054C"/>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utoSpaceDE w:val="0"/>
      <w:autoSpaceDN w:val="0"/>
      <w:adjustRightInd w:val="0"/>
      <w:spacing w:line="240" w:lineRule="atLeast"/>
      <w:jc w:val="both"/>
    </w:pPr>
    <w:rPr>
      <w:rFonts w:ascii="Courier" w:hAnsi="Courier"/>
      <w:spacing w:val="-3"/>
      <w:sz w:val="24"/>
      <w:szCs w:val="24"/>
    </w:rPr>
  </w:style>
  <w:style w:type="character" w:customStyle="1" w:styleId="14B">
    <w:name w:val="14B"/>
    <w:basedOn w:val="DefaultParagraphFont"/>
    <w:rsid w:val="00D5054C"/>
    <w:rPr>
      <w:rFonts w:ascii="Footlight MT Light" w:hAnsi="Footlight MT Light"/>
      <w:b/>
      <w:bCs/>
      <w:sz w:val="28"/>
      <w:szCs w:val="28"/>
      <w:lang w:val="en-US"/>
    </w:rPr>
  </w:style>
  <w:style w:type="character" w:customStyle="1" w:styleId="12B">
    <w:name w:val="12B"/>
    <w:basedOn w:val="DefaultParagraphFont"/>
    <w:rsid w:val="00D5054C"/>
    <w:rPr>
      <w:rFonts w:ascii="Footlight MT Light" w:hAnsi="Footlight MT Light"/>
      <w:b/>
      <w:bCs/>
      <w:sz w:val="24"/>
      <w:szCs w:val="24"/>
      <w:lang w:val="en-US"/>
    </w:rPr>
  </w:style>
  <w:style w:type="character" w:customStyle="1" w:styleId="18b">
    <w:name w:val="18b"/>
    <w:basedOn w:val="DefaultParagraphFont"/>
    <w:rsid w:val="00D5054C"/>
    <w:rPr>
      <w:rFonts w:ascii="Footlight MT Light" w:hAnsi="Footlight MT Light"/>
      <w:b/>
      <w:bCs/>
      <w:sz w:val="36"/>
      <w:szCs w:val="36"/>
      <w:lang w:val="en-US"/>
    </w:rPr>
  </w:style>
  <w:style w:type="character" w:customStyle="1" w:styleId="Unnamed1">
    <w:name w:val="Unnamed 1"/>
    <w:basedOn w:val="DefaultParagraphFont"/>
    <w:rsid w:val="00D5054C"/>
    <w:rPr>
      <w:rFonts w:ascii="Courier" w:hAnsi="Courier"/>
      <w:sz w:val="24"/>
      <w:szCs w:val="24"/>
      <w:lang w:val="en-US"/>
    </w:rPr>
  </w:style>
  <w:style w:type="character" w:customStyle="1" w:styleId="3">
    <w:name w:val="3"/>
    <w:basedOn w:val="DefaultParagraphFont"/>
    <w:rsid w:val="00D5054C"/>
    <w:rPr>
      <w:rFonts w:ascii="Courier" w:hAnsi="Courier"/>
      <w:sz w:val="24"/>
      <w:szCs w:val="24"/>
      <w:lang w:val="en-US"/>
    </w:rPr>
  </w:style>
  <w:style w:type="paragraph" w:customStyle="1" w:styleId="LETTERS">
    <w:name w:val="LETTERS"/>
    <w:rsid w:val="00D5054C"/>
    <w:pPr>
      <w:widowControl w:val="0"/>
      <w:tabs>
        <w:tab w:val="left" w:pos="1440"/>
        <w:tab w:val="left" w:pos="2160"/>
        <w:tab w:val="left" w:pos="2880"/>
        <w:tab w:val="left" w:pos="4608"/>
        <w:tab w:val="right" w:pos="8928"/>
      </w:tabs>
      <w:suppressAutoHyphens/>
      <w:autoSpaceDE w:val="0"/>
      <w:autoSpaceDN w:val="0"/>
      <w:adjustRightInd w:val="0"/>
      <w:spacing w:line="240" w:lineRule="atLeast"/>
    </w:pPr>
    <w:rPr>
      <w:rFonts w:ascii="Courier" w:hAnsi="Courier"/>
      <w:sz w:val="24"/>
      <w:szCs w:val="24"/>
    </w:rPr>
  </w:style>
  <w:style w:type="character" w:customStyle="1" w:styleId="SINGLE">
    <w:name w:val="SINGLE"/>
    <w:basedOn w:val="DefaultParagraphFont"/>
    <w:rsid w:val="00D5054C"/>
    <w:rPr>
      <w:rFonts w:ascii="Courier" w:hAnsi="Courier"/>
      <w:sz w:val="24"/>
      <w:szCs w:val="24"/>
      <w:lang w:val="en-US"/>
    </w:rPr>
  </w:style>
  <w:style w:type="paragraph" w:customStyle="1" w:styleId="DOUBLE">
    <w:name w:val="DOUBLE"/>
    <w:rsid w:val="00D5054C"/>
    <w:pPr>
      <w:widowControl w:val="0"/>
      <w:tabs>
        <w:tab w:val="left" w:pos="-720"/>
      </w:tabs>
      <w:suppressAutoHyphens/>
      <w:autoSpaceDE w:val="0"/>
      <w:autoSpaceDN w:val="0"/>
      <w:adjustRightInd w:val="0"/>
      <w:spacing w:line="480" w:lineRule="atLeast"/>
    </w:pPr>
    <w:rPr>
      <w:rFonts w:ascii="Courier" w:hAnsi="Courier"/>
      <w:sz w:val="24"/>
      <w:szCs w:val="24"/>
    </w:rPr>
  </w:style>
  <w:style w:type="character" w:customStyle="1" w:styleId="STQUOTE1">
    <w:name w:val="STQUOTE1"/>
    <w:basedOn w:val="DefaultParagraphFont"/>
    <w:rsid w:val="00D5054C"/>
    <w:rPr>
      <w:rFonts w:ascii="Courier" w:hAnsi="Courier"/>
      <w:sz w:val="24"/>
      <w:szCs w:val="24"/>
      <w:lang w:val="en-US"/>
    </w:rPr>
  </w:style>
  <w:style w:type="paragraph" w:customStyle="1" w:styleId="STQUOTE2">
    <w:name w:val="STQUOTE2"/>
    <w:rsid w:val="00D5054C"/>
    <w:pPr>
      <w:widowControl w:val="0"/>
      <w:tabs>
        <w:tab w:val="left" w:pos="720"/>
        <w:tab w:val="left" w:pos="1440"/>
        <w:tab w:val="left" w:pos="2160"/>
        <w:tab w:val="left" w:pos="2880"/>
        <w:tab w:val="left" w:pos="4608"/>
        <w:tab w:val="right" w:pos="8928"/>
      </w:tabs>
      <w:suppressAutoHyphens/>
      <w:autoSpaceDE w:val="0"/>
      <w:autoSpaceDN w:val="0"/>
      <w:adjustRightInd w:val="0"/>
      <w:spacing w:line="240" w:lineRule="atLeast"/>
      <w:ind w:left="1440" w:right="720" w:hanging="1440"/>
    </w:pPr>
    <w:rPr>
      <w:rFonts w:ascii="Courier" w:hAnsi="Courier"/>
      <w:sz w:val="24"/>
      <w:szCs w:val="24"/>
    </w:rPr>
  </w:style>
  <w:style w:type="paragraph" w:customStyle="1" w:styleId="PERSONAL">
    <w:name w:val="PERSONAL"/>
    <w:rsid w:val="00D5054C"/>
    <w:pPr>
      <w:widowControl w:val="0"/>
      <w:tabs>
        <w:tab w:val="left" w:pos="1440"/>
      </w:tabs>
      <w:suppressAutoHyphens/>
      <w:autoSpaceDE w:val="0"/>
      <w:autoSpaceDN w:val="0"/>
      <w:adjustRightInd w:val="0"/>
      <w:spacing w:line="240" w:lineRule="atLeast"/>
    </w:pPr>
    <w:rPr>
      <w:rFonts w:ascii="Courier" w:hAnsi="Courier"/>
      <w:sz w:val="24"/>
      <w:szCs w:val="24"/>
    </w:rPr>
  </w:style>
  <w:style w:type="paragraph" w:customStyle="1" w:styleId="TABSI10">
    <w:name w:val="TABSI10"/>
    <w:rsid w:val="00D5054C"/>
    <w:pPr>
      <w:widowControl w:val="0"/>
      <w:tabs>
        <w:tab w:val="left" w:pos="1440"/>
        <w:tab w:val="left" w:pos="2160"/>
        <w:tab w:val="left" w:pos="2880"/>
        <w:tab w:val="left" w:pos="4608"/>
        <w:tab w:val="right" w:pos="8928"/>
      </w:tabs>
      <w:suppressAutoHyphens/>
      <w:autoSpaceDE w:val="0"/>
      <w:autoSpaceDN w:val="0"/>
      <w:adjustRightInd w:val="0"/>
      <w:spacing w:line="240" w:lineRule="atLeast"/>
    </w:pPr>
    <w:rPr>
      <w:rFonts w:ascii="Courier" w:hAnsi="Courier"/>
      <w:sz w:val="24"/>
      <w:szCs w:val="24"/>
    </w:rPr>
  </w:style>
  <w:style w:type="paragraph" w:customStyle="1" w:styleId="TABSI5">
    <w:name w:val="TABSI5"/>
    <w:rsid w:val="00D5054C"/>
    <w:pPr>
      <w:widowControl w:val="0"/>
      <w:tabs>
        <w:tab w:val="left" w:pos="720"/>
        <w:tab w:val="left" w:pos="1440"/>
        <w:tab w:val="left" w:pos="2160"/>
        <w:tab w:val="left" w:pos="2880"/>
        <w:tab w:val="left" w:pos="4608"/>
        <w:tab w:val="right" w:pos="8928"/>
      </w:tabs>
      <w:suppressAutoHyphens/>
      <w:autoSpaceDE w:val="0"/>
      <w:autoSpaceDN w:val="0"/>
      <w:adjustRightInd w:val="0"/>
      <w:spacing w:line="240" w:lineRule="atLeast"/>
    </w:pPr>
    <w:rPr>
      <w:rFonts w:ascii="Courier" w:hAnsi="Courier"/>
      <w:sz w:val="24"/>
      <w:szCs w:val="24"/>
    </w:rPr>
  </w:style>
  <w:style w:type="paragraph" w:customStyle="1" w:styleId="Tearsheetp2">
    <w:name w:val="Tearsheet.p2"/>
    <w:rsid w:val="00D5054C"/>
    <w:pPr>
      <w:widowControl w:val="0"/>
      <w:tabs>
        <w:tab w:val="left" w:pos="7200"/>
        <w:tab w:val="left" w:pos="11232"/>
      </w:tabs>
      <w:suppressAutoHyphens/>
      <w:autoSpaceDE w:val="0"/>
      <w:autoSpaceDN w:val="0"/>
      <w:adjustRightInd w:val="0"/>
      <w:spacing w:line="240" w:lineRule="atLeast"/>
    </w:pPr>
    <w:rPr>
      <w:rFonts w:ascii="Courier" w:hAnsi="Courier"/>
      <w:sz w:val="24"/>
      <w:szCs w:val="24"/>
    </w:rPr>
  </w:style>
  <w:style w:type="paragraph" w:customStyle="1" w:styleId="Tearsheetp1">
    <w:name w:val="Tearsheet.p1"/>
    <w:rsid w:val="00D5054C"/>
    <w:pPr>
      <w:widowControl w:val="0"/>
      <w:tabs>
        <w:tab w:val="left" w:pos="3312"/>
        <w:tab w:val="left" w:pos="5184"/>
        <w:tab w:val="left" w:pos="8784"/>
      </w:tabs>
      <w:suppressAutoHyphens/>
      <w:autoSpaceDE w:val="0"/>
      <w:autoSpaceDN w:val="0"/>
      <w:adjustRightInd w:val="0"/>
      <w:spacing w:line="240" w:lineRule="atLeast"/>
    </w:pPr>
    <w:rPr>
      <w:rFonts w:ascii="Courier New" w:hAnsi="Courier New" w:cs="Courier New"/>
      <w:sz w:val="24"/>
      <w:szCs w:val="24"/>
    </w:rPr>
  </w:style>
  <w:style w:type="character" w:customStyle="1" w:styleId="CAPaper">
    <w:name w:val="CA Paper"/>
    <w:basedOn w:val="DefaultParagraphFont"/>
    <w:rsid w:val="00D5054C"/>
    <w:rPr>
      <w:rFonts w:ascii="Courier" w:hAnsi="Courier"/>
      <w:sz w:val="24"/>
      <w:szCs w:val="24"/>
      <w:lang w:val="en-US"/>
    </w:rPr>
  </w:style>
  <w:style w:type="character" w:customStyle="1" w:styleId="BulletList">
    <w:name w:val="Bullet List"/>
    <w:basedOn w:val="DefaultParagraphFont"/>
    <w:rsid w:val="00D5054C"/>
  </w:style>
  <w:style w:type="character" w:customStyle="1" w:styleId="kkc1">
    <w:name w:val="kkc 1"/>
    <w:basedOn w:val="DefaultParagraphFont"/>
    <w:rsid w:val="00D5054C"/>
  </w:style>
  <w:style w:type="paragraph" w:styleId="TOC1">
    <w:name w:val="toc 1"/>
    <w:basedOn w:val="Normal"/>
    <w:next w:val="Normal"/>
    <w:autoRedefine/>
    <w:semiHidden/>
    <w:rsid w:val="00D5054C"/>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rsid w:val="00D5054C"/>
    <w:pPr>
      <w:tabs>
        <w:tab w:val="right" w:leader="dot" w:pos="9360"/>
      </w:tabs>
      <w:suppressAutoHyphens/>
      <w:spacing w:line="240" w:lineRule="atLeast"/>
      <w:ind w:left="1440" w:right="720" w:hanging="720"/>
    </w:pPr>
  </w:style>
  <w:style w:type="paragraph" w:styleId="TOC3">
    <w:name w:val="toc 3"/>
    <w:basedOn w:val="Normal"/>
    <w:next w:val="Normal"/>
    <w:autoRedefine/>
    <w:semiHidden/>
    <w:rsid w:val="00D5054C"/>
    <w:pPr>
      <w:tabs>
        <w:tab w:val="right" w:leader="dot" w:pos="9360"/>
      </w:tabs>
      <w:suppressAutoHyphens/>
      <w:spacing w:line="240" w:lineRule="atLeast"/>
      <w:ind w:left="2160" w:right="720" w:hanging="720"/>
    </w:pPr>
  </w:style>
  <w:style w:type="paragraph" w:styleId="TOC4">
    <w:name w:val="toc 4"/>
    <w:basedOn w:val="Normal"/>
    <w:next w:val="Normal"/>
    <w:autoRedefine/>
    <w:semiHidden/>
    <w:rsid w:val="00D5054C"/>
    <w:pPr>
      <w:tabs>
        <w:tab w:val="right" w:leader="dot" w:pos="9360"/>
      </w:tabs>
      <w:suppressAutoHyphens/>
      <w:spacing w:line="240" w:lineRule="atLeast"/>
      <w:ind w:left="2880" w:right="720" w:hanging="720"/>
    </w:pPr>
  </w:style>
  <w:style w:type="paragraph" w:styleId="TOC5">
    <w:name w:val="toc 5"/>
    <w:basedOn w:val="Normal"/>
    <w:next w:val="Normal"/>
    <w:autoRedefine/>
    <w:semiHidden/>
    <w:rsid w:val="00D5054C"/>
    <w:pPr>
      <w:tabs>
        <w:tab w:val="right" w:leader="dot" w:pos="9360"/>
      </w:tabs>
      <w:suppressAutoHyphens/>
      <w:spacing w:line="240" w:lineRule="atLeast"/>
      <w:ind w:left="3600" w:right="720" w:hanging="720"/>
    </w:pPr>
  </w:style>
  <w:style w:type="paragraph" w:styleId="TOC6">
    <w:name w:val="toc 6"/>
    <w:basedOn w:val="Normal"/>
    <w:next w:val="Normal"/>
    <w:autoRedefine/>
    <w:semiHidden/>
    <w:rsid w:val="00D5054C"/>
    <w:pPr>
      <w:tabs>
        <w:tab w:val="right" w:pos="9360"/>
      </w:tabs>
      <w:suppressAutoHyphens/>
      <w:spacing w:line="240" w:lineRule="atLeast"/>
      <w:ind w:left="720" w:hanging="720"/>
    </w:pPr>
  </w:style>
  <w:style w:type="paragraph" w:styleId="TOC7">
    <w:name w:val="toc 7"/>
    <w:basedOn w:val="Normal"/>
    <w:next w:val="Normal"/>
    <w:autoRedefine/>
    <w:semiHidden/>
    <w:rsid w:val="00D5054C"/>
    <w:pPr>
      <w:suppressAutoHyphens/>
      <w:spacing w:line="240" w:lineRule="atLeast"/>
      <w:ind w:left="720" w:hanging="720"/>
    </w:pPr>
  </w:style>
  <w:style w:type="paragraph" w:styleId="TOC8">
    <w:name w:val="toc 8"/>
    <w:basedOn w:val="Normal"/>
    <w:next w:val="Normal"/>
    <w:autoRedefine/>
    <w:semiHidden/>
    <w:rsid w:val="00D5054C"/>
    <w:pPr>
      <w:tabs>
        <w:tab w:val="right" w:pos="9360"/>
      </w:tabs>
      <w:suppressAutoHyphens/>
      <w:spacing w:line="240" w:lineRule="atLeast"/>
      <w:ind w:left="720" w:hanging="720"/>
    </w:pPr>
  </w:style>
  <w:style w:type="paragraph" w:styleId="TOC9">
    <w:name w:val="toc 9"/>
    <w:basedOn w:val="Normal"/>
    <w:next w:val="Normal"/>
    <w:autoRedefine/>
    <w:semiHidden/>
    <w:rsid w:val="00D5054C"/>
    <w:pPr>
      <w:tabs>
        <w:tab w:val="right" w:leader="dot" w:pos="9360"/>
      </w:tabs>
      <w:suppressAutoHyphens/>
      <w:spacing w:line="240" w:lineRule="atLeast"/>
      <w:ind w:left="720" w:hanging="720"/>
    </w:pPr>
  </w:style>
  <w:style w:type="paragraph" w:styleId="Index1">
    <w:name w:val="index 1"/>
    <w:basedOn w:val="Normal"/>
    <w:next w:val="Normal"/>
    <w:autoRedefine/>
    <w:semiHidden/>
    <w:rsid w:val="00D5054C"/>
    <w:pPr>
      <w:tabs>
        <w:tab w:val="right" w:leader="dot" w:pos="9360"/>
      </w:tabs>
      <w:suppressAutoHyphens/>
      <w:spacing w:line="240" w:lineRule="atLeast"/>
      <w:ind w:left="1440" w:right="720" w:hanging="1440"/>
    </w:pPr>
  </w:style>
  <w:style w:type="paragraph" w:styleId="Index2">
    <w:name w:val="index 2"/>
    <w:basedOn w:val="Normal"/>
    <w:next w:val="Normal"/>
    <w:autoRedefine/>
    <w:semiHidden/>
    <w:rsid w:val="00D5054C"/>
    <w:pPr>
      <w:tabs>
        <w:tab w:val="right" w:leader="dot" w:pos="9360"/>
      </w:tabs>
      <w:suppressAutoHyphens/>
      <w:spacing w:line="240" w:lineRule="atLeast"/>
      <w:ind w:left="1440" w:right="720" w:hanging="720"/>
    </w:pPr>
  </w:style>
  <w:style w:type="paragraph" w:styleId="TOAHeading">
    <w:name w:val="toa heading"/>
    <w:basedOn w:val="Normal"/>
    <w:next w:val="Normal"/>
    <w:semiHidden/>
    <w:rsid w:val="00D5054C"/>
    <w:pPr>
      <w:tabs>
        <w:tab w:val="right" w:pos="9360"/>
      </w:tabs>
      <w:suppressAutoHyphens/>
      <w:spacing w:line="240" w:lineRule="atLeast"/>
    </w:pPr>
  </w:style>
  <w:style w:type="paragraph" w:styleId="Caption">
    <w:name w:val="caption"/>
    <w:basedOn w:val="Normal"/>
    <w:next w:val="Normal"/>
    <w:qFormat/>
    <w:rsid w:val="00D5054C"/>
    <w:rPr>
      <w:sz w:val="20"/>
    </w:rPr>
  </w:style>
  <w:style w:type="character" w:customStyle="1" w:styleId="EquationCaption1">
    <w:name w:val="_Equation Caption1"/>
    <w:rsid w:val="00D5054C"/>
  </w:style>
  <w:style w:type="paragraph" w:styleId="BodyTextIndent">
    <w:name w:val="Body Text Indent"/>
    <w:basedOn w:val="Normal"/>
    <w:rsid w:val="00D5054C"/>
    <w:pPr>
      <w:keepNext/>
      <w:keepLines/>
      <w:tabs>
        <w:tab w:val="left" w:pos="-720"/>
        <w:tab w:val="left" w:pos="0"/>
      </w:tabs>
      <w:suppressAutoHyphens/>
      <w:ind w:left="720" w:hanging="720"/>
    </w:pPr>
    <w:rPr>
      <w:b/>
      <w:bCs/>
    </w:rPr>
  </w:style>
  <w:style w:type="paragraph" w:styleId="BalloonText">
    <w:name w:val="Balloon Text"/>
    <w:basedOn w:val="Normal"/>
    <w:semiHidden/>
    <w:rsid w:val="0014041E"/>
    <w:rPr>
      <w:rFonts w:ascii="Tahoma" w:hAnsi="Tahoma" w:cs="Tahoma"/>
      <w:sz w:val="16"/>
      <w:szCs w:val="16"/>
    </w:rPr>
  </w:style>
  <w:style w:type="paragraph" w:styleId="DocumentMap">
    <w:name w:val="Document Map"/>
    <w:basedOn w:val="Normal"/>
    <w:semiHidden/>
    <w:rsid w:val="004713FA"/>
    <w:pPr>
      <w:shd w:val="clear" w:color="auto" w:fill="000080"/>
    </w:pPr>
    <w:rPr>
      <w:rFonts w:ascii="Tahoma" w:hAnsi="Tahoma" w:cs="Tahoma"/>
      <w:sz w:val="20"/>
      <w:szCs w:val="20"/>
    </w:rPr>
  </w:style>
  <w:style w:type="character" w:customStyle="1" w:styleId="FootnoteTextChar">
    <w:name w:val="Footnote Text Char"/>
    <w:aliases w:val="fn Char,Footnote Text Char Char Char Char Char Char Char Char Char Char Char Char Char Char Char Char Char Char,Footnote Text Char Char Char Char Char Char Char Char Char Char Char Char Char Char Char Char Char Char Char Char Char"/>
    <w:basedOn w:val="DefaultParagraphFont"/>
    <w:link w:val="FootnoteText"/>
    <w:uiPriority w:val="99"/>
    <w:rsid w:val="00D60CA9"/>
    <w:rPr>
      <w:lang w:val="en-US" w:eastAsia="en-US" w:bidi="ar-SA"/>
    </w:rPr>
  </w:style>
  <w:style w:type="character" w:styleId="CommentReference">
    <w:name w:val="annotation reference"/>
    <w:basedOn w:val="DefaultParagraphFont"/>
    <w:rsid w:val="004768C2"/>
    <w:rPr>
      <w:sz w:val="16"/>
      <w:szCs w:val="16"/>
    </w:rPr>
  </w:style>
  <w:style w:type="paragraph" w:styleId="CommentText">
    <w:name w:val="annotation text"/>
    <w:basedOn w:val="Normal"/>
    <w:link w:val="CommentTextChar"/>
    <w:rsid w:val="004768C2"/>
    <w:rPr>
      <w:sz w:val="20"/>
      <w:szCs w:val="20"/>
    </w:rPr>
  </w:style>
  <w:style w:type="character" w:customStyle="1" w:styleId="CommentTextChar">
    <w:name w:val="Comment Text Char"/>
    <w:basedOn w:val="DefaultParagraphFont"/>
    <w:link w:val="CommentText"/>
    <w:rsid w:val="004768C2"/>
    <w:rPr>
      <w:rFonts w:ascii="Courier" w:hAnsi="Courier"/>
    </w:rPr>
  </w:style>
  <w:style w:type="paragraph" w:styleId="CommentSubject">
    <w:name w:val="annotation subject"/>
    <w:basedOn w:val="CommentText"/>
    <w:next w:val="CommentText"/>
    <w:link w:val="CommentSubjectChar"/>
    <w:rsid w:val="004768C2"/>
    <w:rPr>
      <w:b/>
      <w:bCs/>
    </w:rPr>
  </w:style>
  <w:style w:type="character" w:customStyle="1" w:styleId="CommentSubjectChar">
    <w:name w:val="Comment Subject Char"/>
    <w:basedOn w:val="CommentTextChar"/>
    <w:link w:val="CommentSubject"/>
    <w:rsid w:val="004768C2"/>
    <w:rPr>
      <w:b/>
      <w:bCs/>
    </w:rPr>
  </w:style>
</w:styles>
</file>

<file path=word/webSettings.xml><?xml version="1.0" encoding="utf-8"?>
<w:webSettings xmlns:r="http://schemas.openxmlformats.org/officeDocument/2006/relationships" xmlns:w="http://schemas.openxmlformats.org/wordprocessingml/2006/main">
  <w:divs>
    <w:div w:id="1622112221">
      <w:bodyDiv w:val="1"/>
      <w:marLeft w:val="0"/>
      <w:marRight w:val="0"/>
      <w:marTop w:val="0"/>
      <w:marBottom w:val="0"/>
      <w:divBdr>
        <w:top w:val="none" w:sz="0" w:space="0" w:color="auto"/>
        <w:left w:val="none" w:sz="0" w:space="0" w:color="auto"/>
        <w:bottom w:val="none" w:sz="0" w:space="0" w:color="auto"/>
        <w:right w:val="none" w:sz="0" w:space="0" w:color="auto"/>
      </w:divBdr>
    </w:div>
    <w:div w:id="208321438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F3EE0-0243-4171-8BB7-6F1940819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1679</Words>
  <Characters>9574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Securities Exchange and Commision</Company>
  <LinksUpToDate>false</LinksUpToDate>
  <CharactersWithSpaces>11231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dc:creator>
  <cp:keywords/>
  <dc:description/>
  <cp:lastModifiedBy>schandlers</cp:lastModifiedBy>
  <cp:revision>3</cp:revision>
  <cp:lastPrinted>2010-08-26T13:12:00Z</cp:lastPrinted>
  <dcterms:created xsi:type="dcterms:W3CDTF">2010-10-14T13:23:00Z</dcterms:created>
  <dcterms:modified xsi:type="dcterms:W3CDTF">2010-10-14T13:25:00Z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gFAAXJDLFUo5N7sPuRirzZT8XRJdXsYRfQ2KDaHN+orPxBKW+YoWQDjANR++zwFoE4r7T+P8wwRcHTUD
5lpeKV5cCtTe7pZ10TzUkna54gqBS2fILuPXmIXMmZ9GS0DJ0n3Km8HknCtlifcD5lpeKV5cCtTe
7pZ10TzUkna54gqBS2fILuPXmIXMmfHiv8BjzMxfi/Rvzc19QpTwEvmJuKBDu1DBDT0SuvMgekXS
jo3CdygMH5PD/pqQh</vt:lpwstr>
  </property>
  <property fmtid="{D5CDD505-2E9C-101B-9397-08002B2CF9AE}" pid="3" name="MAIL_MSG_ID2">
    <vt:lpwstr>//Grb8Mx+bSlS4AVkP5/p0Ihh/fPua6f57E00TqGBFTcRs565rbVWwkNoGM
andCYBuCVu1BrnhlgehawxtfC6P9CNeR5aihEQ==</vt:lpwstr>
  </property>
  <property fmtid="{D5CDD505-2E9C-101B-9397-08002B2CF9AE}" pid="4" name="RESPONSE_SENDER_NAME">
    <vt:lpwstr>sAAAE34RQVAK31mklAtLtWRvD3KIwPWFkUxahSCXdBGV348=</vt:lpwstr>
  </property>
  <property fmtid="{D5CDD505-2E9C-101B-9397-08002B2CF9AE}" pid="5" name="EMAIL_OWNER_ADDRESS">
    <vt:lpwstr>sAAAUYtyAkeNWR5IRVS+6GiWN/8flEQri0zoFyQdT4rCIl4=</vt:lpwstr>
  </property>
</Properties>
</file>