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CF" w:rsidRDefault="00385046" w:rsidP="00636C07">
      <w:pPr>
        <w:tabs>
          <w:tab w:val="center" w:pos="4680"/>
        </w:tabs>
        <w:suppressAutoHyphens/>
        <w:spacing w:line="240" w:lineRule="atLeast"/>
        <w:rPr>
          <w:rFonts w:ascii="Times New Roman" w:hAnsi="Times New Roman"/>
          <w:b/>
          <w:bCs/>
        </w:rPr>
      </w:pPr>
      <w:r w:rsidRPr="00BD31E7">
        <w:rPr>
          <w:rFonts w:ascii="Times New Roman" w:hAnsi="Times New Roman"/>
          <w:b/>
          <w:bCs/>
        </w:rPr>
        <w:tab/>
      </w:r>
    </w:p>
    <w:p w:rsidR="005D2BB0" w:rsidRPr="00BD31E7" w:rsidRDefault="00636C07" w:rsidP="00636C07">
      <w:pPr>
        <w:tabs>
          <w:tab w:val="center" w:pos="4680"/>
        </w:tabs>
        <w:suppressAutoHyphens/>
        <w:spacing w:line="240" w:lineRule="atLeast"/>
        <w:rPr>
          <w:rFonts w:ascii="Times New Roman" w:hAnsi="Times New Roman"/>
          <w:b/>
          <w:bCs/>
        </w:rPr>
      </w:pPr>
      <w:r w:rsidRPr="00BD31E7">
        <w:rPr>
          <w:rFonts w:ascii="Times New Roman" w:hAnsi="Times New Roman"/>
          <w:b/>
          <w:bCs/>
        </w:rPr>
        <w:t>SUPPORTING STATEMENT</w:t>
      </w:r>
    </w:p>
    <w:p w:rsidR="005D2BB0" w:rsidRPr="00BD31E7" w:rsidRDefault="005D2BB0" w:rsidP="005D2BB0">
      <w:pPr>
        <w:jc w:val="center"/>
        <w:rPr>
          <w:rFonts w:ascii="Times New Roman" w:hAnsi="Times New Roman"/>
          <w:b/>
        </w:rPr>
      </w:pPr>
      <w:r w:rsidRPr="00BD31E7">
        <w:rPr>
          <w:rFonts w:ascii="Times New Roman" w:hAnsi="Times New Roman"/>
          <w:b/>
        </w:rPr>
        <w:t>Rule 13Aa-2T –</w:t>
      </w:r>
      <w:r w:rsidR="006E3DE1" w:rsidRPr="00BD31E7">
        <w:rPr>
          <w:rFonts w:ascii="Times New Roman" w:hAnsi="Times New Roman"/>
          <w:b/>
        </w:rPr>
        <w:t xml:space="preserve"> Interim Rule for Reporting Security-Based Swap Transactions</w:t>
      </w:r>
    </w:p>
    <w:p w:rsidR="00385046" w:rsidRPr="00BD31E7" w:rsidRDefault="00385046">
      <w:pPr>
        <w:tabs>
          <w:tab w:val="center" w:pos="4680"/>
        </w:tabs>
        <w:suppressAutoHyphens/>
        <w:spacing w:line="240" w:lineRule="atLeast"/>
        <w:rPr>
          <w:rFonts w:ascii="Times New Roman" w:hAnsi="Times New Roman"/>
        </w:rPr>
      </w:pPr>
    </w:p>
    <w:p w:rsidR="000327D6" w:rsidRPr="00BD31E7" w:rsidRDefault="000327D6">
      <w:pPr>
        <w:tabs>
          <w:tab w:val="center" w:pos="4680"/>
        </w:tabs>
        <w:suppressAutoHyphens/>
        <w:spacing w:line="240" w:lineRule="atLeast"/>
        <w:rPr>
          <w:rFonts w:ascii="Times New Roman" w:hAnsi="Times New Roman"/>
        </w:rPr>
      </w:pPr>
      <w:r w:rsidRPr="00BD31E7">
        <w:rPr>
          <w:rFonts w:ascii="Times New Roman" w:hAnsi="Times New Roman"/>
        </w:rPr>
        <w:t>This submission pursuant to the Paperwork Reduction Act of 1995, 44 U.S.C. Section 3501 et seq., consists of this supporting statement and the following exhibits:</w:t>
      </w:r>
    </w:p>
    <w:p w:rsidR="000327D6" w:rsidRPr="00BD31E7" w:rsidRDefault="000327D6">
      <w:pPr>
        <w:tabs>
          <w:tab w:val="center" w:pos="4680"/>
        </w:tabs>
        <w:suppressAutoHyphens/>
        <w:spacing w:line="240" w:lineRule="atLeast"/>
        <w:rPr>
          <w:rFonts w:ascii="Times New Roman" w:hAnsi="Times New Roman"/>
        </w:rPr>
      </w:pPr>
    </w:p>
    <w:p w:rsidR="000327D6" w:rsidRPr="00BD31E7" w:rsidRDefault="000327D6" w:rsidP="000327D6">
      <w:pPr>
        <w:numPr>
          <w:ilvl w:val="0"/>
          <w:numId w:val="3"/>
        </w:numPr>
        <w:tabs>
          <w:tab w:val="center" w:pos="4680"/>
        </w:tabs>
        <w:suppressAutoHyphens/>
        <w:spacing w:line="240" w:lineRule="atLeast"/>
        <w:rPr>
          <w:rFonts w:ascii="Times New Roman" w:hAnsi="Times New Roman"/>
        </w:rPr>
      </w:pPr>
      <w:r w:rsidRPr="00BD31E7">
        <w:rPr>
          <w:rFonts w:ascii="Times New Roman" w:hAnsi="Times New Roman"/>
        </w:rPr>
        <w:t>Statutory Authority</w:t>
      </w:r>
    </w:p>
    <w:p w:rsidR="000327D6" w:rsidRPr="00BD31E7" w:rsidRDefault="000327D6" w:rsidP="005D2BB0">
      <w:pPr>
        <w:numPr>
          <w:ilvl w:val="0"/>
          <w:numId w:val="3"/>
        </w:numPr>
        <w:tabs>
          <w:tab w:val="center" w:pos="4680"/>
        </w:tabs>
        <w:suppressAutoHyphens/>
        <w:spacing w:line="240" w:lineRule="atLeast"/>
        <w:rPr>
          <w:rFonts w:ascii="Times New Roman" w:hAnsi="Times New Roman"/>
        </w:rPr>
      </w:pPr>
      <w:r w:rsidRPr="00BD31E7">
        <w:rPr>
          <w:rFonts w:ascii="Times New Roman" w:hAnsi="Times New Roman"/>
        </w:rPr>
        <w:t>Written Statement Supporting Need for Emergency Consideration</w:t>
      </w:r>
    </w:p>
    <w:p w:rsidR="000327D6" w:rsidRPr="00BD31E7" w:rsidRDefault="000327D6">
      <w:pPr>
        <w:tabs>
          <w:tab w:val="center" w:pos="4680"/>
        </w:tabs>
        <w:suppressAutoHyphens/>
        <w:spacing w:line="240" w:lineRule="atLeast"/>
        <w:rPr>
          <w:rFonts w:ascii="Times New Roman" w:hAnsi="Times New Roman"/>
        </w:rPr>
      </w:pPr>
    </w:p>
    <w:p w:rsidR="00385046" w:rsidRPr="00BD31E7" w:rsidRDefault="00385046">
      <w:pPr>
        <w:pStyle w:val="Heading1"/>
        <w:spacing w:line="240" w:lineRule="auto"/>
        <w:rPr>
          <w:rFonts w:ascii="Times New Roman" w:hAnsi="Times New Roman"/>
        </w:rPr>
      </w:pPr>
      <w:r w:rsidRPr="00BD31E7">
        <w:rPr>
          <w:rFonts w:ascii="Times New Roman" w:hAnsi="Times New Roman"/>
        </w:rPr>
        <w:t>A.</w:t>
      </w:r>
      <w:r w:rsidRPr="00BD31E7">
        <w:rPr>
          <w:rFonts w:ascii="Times New Roman" w:hAnsi="Times New Roman"/>
        </w:rPr>
        <w:tab/>
        <w:t>JUSTIFICATION</w:t>
      </w:r>
    </w:p>
    <w:p w:rsidR="00385046" w:rsidRPr="00BD31E7" w:rsidRDefault="00385046">
      <w:pPr>
        <w:tabs>
          <w:tab w:val="left" w:pos="-720"/>
        </w:tabs>
        <w:suppressAutoHyphens/>
        <w:rPr>
          <w:rFonts w:ascii="Times New Roman" w:hAnsi="Times New Roman"/>
          <w:b/>
          <w:bCs/>
        </w:rPr>
      </w:pPr>
    </w:p>
    <w:p w:rsidR="00385046" w:rsidRPr="00BD31E7" w:rsidRDefault="00636C07" w:rsidP="00636C07">
      <w:pPr>
        <w:tabs>
          <w:tab w:val="left" w:pos="-720"/>
          <w:tab w:val="left" w:pos="0"/>
        </w:tabs>
        <w:suppressAutoHyphens/>
        <w:ind w:left="360"/>
        <w:rPr>
          <w:rFonts w:ascii="Times New Roman" w:hAnsi="Times New Roman"/>
          <w:b/>
          <w:bCs/>
        </w:rPr>
      </w:pPr>
      <w:r w:rsidRPr="00BD31E7">
        <w:rPr>
          <w:rFonts w:ascii="Times New Roman" w:hAnsi="Times New Roman"/>
          <w:b/>
          <w:bCs/>
        </w:rPr>
        <w:tab/>
        <w:t>1.</w:t>
      </w:r>
      <w:r w:rsidRPr="00BD31E7">
        <w:rPr>
          <w:rFonts w:ascii="Times New Roman" w:hAnsi="Times New Roman"/>
          <w:b/>
          <w:bCs/>
        </w:rPr>
        <w:tab/>
      </w:r>
      <w:r w:rsidR="00385046" w:rsidRPr="00BD31E7">
        <w:rPr>
          <w:rFonts w:ascii="Times New Roman" w:hAnsi="Times New Roman"/>
          <w:b/>
          <w:bCs/>
        </w:rPr>
        <w:t>Necessity for the Information Collection</w:t>
      </w:r>
    </w:p>
    <w:p w:rsidR="00385046" w:rsidRPr="00BD31E7" w:rsidRDefault="00385046">
      <w:pPr>
        <w:pStyle w:val="Document1"/>
        <w:keepNext w:val="0"/>
        <w:keepLines w:val="0"/>
        <w:tabs>
          <w:tab w:val="left" w:pos="0"/>
        </w:tabs>
        <w:spacing w:line="240" w:lineRule="auto"/>
        <w:rPr>
          <w:rFonts w:ascii="Times New Roman" w:hAnsi="Times New Roman"/>
        </w:rPr>
      </w:pPr>
    </w:p>
    <w:p w:rsidR="005D2BB0" w:rsidRDefault="00D512E3" w:rsidP="00DE18E0">
      <w:pPr>
        <w:ind w:firstLine="720"/>
        <w:rPr>
          <w:rFonts w:ascii="Times New Roman" w:hAnsi="Times New Roman"/>
          <w:color w:val="000000"/>
        </w:rPr>
      </w:pPr>
      <w:r w:rsidRPr="00BD31E7">
        <w:rPr>
          <w:rFonts w:ascii="Times New Roman" w:hAnsi="Times New Roman"/>
          <w:color w:val="000000"/>
        </w:rPr>
        <w:t xml:space="preserve">On July 21, 2010, the President signed into law the </w:t>
      </w:r>
      <w:r w:rsidR="006E3DE1" w:rsidRPr="00BD31E7">
        <w:rPr>
          <w:rFonts w:ascii="Times New Roman" w:hAnsi="Times New Roman"/>
          <w:iCs/>
        </w:rPr>
        <w:t>Dodd-Frank Wall Street Reform and Consumer Protection Act (“Dodd-Frank Act”)</w:t>
      </w:r>
      <w:r w:rsidR="006E3DE1" w:rsidRPr="00BD31E7">
        <w:rPr>
          <w:rFonts w:ascii="Times New Roman" w:hAnsi="Times New Roman"/>
          <w:color w:val="000000"/>
        </w:rPr>
        <w:t>.</w:t>
      </w:r>
      <w:r w:rsidRPr="00BD31E7">
        <w:rPr>
          <w:rStyle w:val="FootnoteReference"/>
          <w:rFonts w:ascii="Times New Roman" w:hAnsi="Times New Roman"/>
          <w:color w:val="000000"/>
        </w:rPr>
        <w:footnoteReference w:id="1"/>
      </w:r>
      <w:r w:rsidRPr="00BD31E7">
        <w:rPr>
          <w:rFonts w:ascii="Times New Roman" w:hAnsi="Times New Roman"/>
          <w:color w:val="000000"/>
        </w:rPr>
        <w:t xml:space="preserve"> </w:t>
      </w:r>
      <w:r w:rsidR="006E3DE1" w:rsidRPr="00BD31E7">
        <w:rPr>
          <w:rFonts w:ascii="Times New Roman" w:hAnsi="Times New Roman"/>
          <w:color w:val="000000"/>
        </w:rPr>
        <w:t xml:space="preserve"> Section 13A(a)(2) of the Exchange Act</w:t>
      </w:r>
      <w:r w:rsidR="00DE18E0">
        <w:rPr>
          <w:rFonts w:ascii="Times New Roman" w:hAnsi="Times New Roman"/>
          <w:color w:val="000000"/>
        </w:rPr>
        <w:t>, as amended by the Dodd-Frank Act</w:t>
      </w:r>
      <w:r w:rsidR="006E3DE1" w:rsidRPr="00BD31E7">
        <w:rPr>
          <w:rFonts w:ascii="Times New Roman" w:hAnsi="Times New Roman"/>
          <w:color w:val="000000"/>
        </w:rPr>
        <w:t xml:space="preserve"> requires that </w:t>
      </w:r>
      <w:r w:rsidR="00DE18E0" w:rsidRPr="00BD31E7">
        <w:rPr>
          <w:rFonts w:ascii="Times New Roman" w:hAnsi="Times New Roman"/>
        </w:rPr>
        <w:t xml:space="preserve">the Commission to promulgate an interim final rule providing for the reporting of </w:t>
      </w:r>
      <w:r w:rsidR="006E3DE1" w:rsidRPr="00BD31E7">
        <w:rPr>
          <w:rFonts w:ascii="Times New Roman" w:hAnsi="Times New Roman"/>
        </w:rPr>
        <w:t>security-based swap transactions entered into before July 2</w:t>
      </w:r>
      <w:r w:rsidR="00EE7BD6">
        <w:rPr>
          <w:rFonts w:ascii="Times New Roman" w:hAnsi="Times New Roman"/>
        </w:rPr>
        <w:t>1</w:t>
      </w:r>
      <w:r w:rsidR="006E3DE1" w:rsidRPr="00BD31E7">
        <w:rPr>
          <w:rFonts w:ascii="Times New Roman" w:hAnsi="Times New Roman"/>
        </w:rPr>
        <w:t>, 2010, the terms of which had not expired as of that date (“pre-enactment security-based swap</w:t>
      </w:r>
      <w:r w:rsidR="00DE18E0">
        <w:rPr>
          <w:rFonts w:ascii="Times New Roman" w:hAnsi="Times New Roman"/>
        </w:rPr>
        <w:t xml:space="preserve"> transactions</w:t>
      </w:r>
      <w:r w:rsidR="006E3DE1" w:rsidRPr="00BD31E7">
        <w:rPr>
          <w:rFonts w:ascii="Times New Roman" w:hAnsi="Times New Roman"/>
        </w:rPr>
        <w:t xml:space="preserve">”), </w:t>
      </w:r>
      <w:r w:rsidR="006E3DE1" w:rsidRPr="00BD31E7">
        <w:rPr>
          <w:rFonts w:ascii="Times New Roman" w:hAnsi="Times New Roman"/>
          <w:color w:val="000000"/>
        </w:rPr>
        <w:t>be reported to a registered security-based swap data repository or the Commission by a date that is not later than:  (i) 30 days after issuance of the interim final rule; or (ii) such other period as the Commission determines to be appropriate</w:t>
      </w:r>
      <w:r w:rsidR="006E3DE1" w:rsidRPr="00BD31E7">
        <w:rPr>
          <w:rFonts w:ascii="Times New Roman" w:hAnsi="Times New Roman"/>
        </w:rPr>
        <w:t xml:space="preserve"> within 90 days of the enactment of the Dodd-Frank Act.</w:t>
      </w:r>
    </w:p>
    <w:p w:rsidR="00FA513F" w:rsidRPr="00BD31E7" w:rsidRDefault="00FA513F" w:rsidP="00BD31E7">
      <w:pPr>
        <w:ind w:firstLine="720"/>
        <w:rPr>
          <w:rFonts w:ascii="Times New Roman" w:hAnsi="Times New Roman"/>
        </w:rPr>
      </w:pPr>
    </w:p>
    <w:p w:rsidR="006E3DE1" w:rsidRPr="00BD31E7" w:rsidRDefault="00DE18E0" w:rsidP="006E3DE1">
      <w:pPr>
        <w:ind w:firstLine="720"/>
        <w:rPr>
          <w:rFonts w:ascii="Times New Roman" w:hAnsi="Times New Roman"/>
        </w:rPr>
      </w:pPr>
      <w:r>
        <w:rPr>
          <w:rFonts w:ascii="Times New Roman" w:hAnsi="Times New Roman"/>
        </w:rPr>
        <w:t>The</w:t>
      </w:r>
      <w:r w:rsidR="005D2BB0" w:rsidRPr="00BD31E7">
        <w:rPr>
          <w:rFonts w:ascii="Times New Roman" w:hAnsi="Times New Roman"/>
        </w:rPr>
        <w:t xml:space="preserve"> </w:t>
      </w:r>
      <w:r w:rsidR="006E3DE1" w:rsidRPr="00BD31E7">
        <w:rPr>
          <w:rFonts w:ascii="Times New Roman" w:hAnsi="Times New Roman"/>
        </w:rPr>
        <w:t xml:space="preserve">Commission </w:t>
      </w:r>
      <w:r>
        <w:rPr>
          <w:rFonts w:ascii="Times New Roman" w:hAnsi="Times New Roman"/>
        </w:rPr>
        <w:t xml:space="preserve">staff expects that the Commission will adopt on October 13, 2010 </w:t>
      </w:r>
      <w:r w:rsidR="006E3DE1" w:rsidRPr="00BD31E7">
        <w:rPr>
          <w:rFonts w:ascii="Times New Roman" w:hAnsi="Times New Roman"/>
          <w:color w:val="000000"/>
        </w:rPr>
        <w:t>Rule 13Aa-2T</w:t>
      </w:r>
      <w:r w:rsidR="006E3DE1" w:rsidRPr="00BD31E7">
        <w:rPr>
          <w:rFonts w:ascii="Times New Roman" w:hAnsi="Times New Roman"/>
        </w:rPr>
        <w:t xml:space="preserve"> under the Exchange Act to specify the reporting requirements applicable to pre-enactment security-based swap</w:t>
      </w:r>
      <w:r>
        <w:rPr>
          <w:rFonts w:ascii="Times New Roman" w:hAnsi="Times New Roman"/>
        </w:rPr>
        <w:t xml:space="preserve"> transactions</w:t>
      </w:r>
      <w:r w:rsidR="006E3DE1" w:rsidRPr="00BD31E7">
        <w:rPr>
          <w:rFonts w:ascii="Times New Roman" w:hAnsi="Times New Roman"/>
        </w:rPr>
        <w:t xml:space="preserve">.  </w:t>
      </w:r>
      <w:r w:rsidR="00DE0D47" w:rsidRPr="00DE0D47">
        <w:rPr>
          <w:rFonts w:ascii="Times New Roman" w:hAnsi="Times New Roman"/>
        </w:rPr>
        <w:t xml:space="preserve">Rule 13Aa-2T </w:t>
      </w:r>
      <w:r w:rsidR="006E3DE1" w:rsidRPr="00BD31E7">
        <w:rPr>
          <w:rFonts w:ascii="Times New Roman" w:hAnsi="Times New Roman"/>
        </w:rPr>
        <w:t xml:space="preserve">requires specified counterparties to a pre-enactment security-based swap transaction to:  (1) report certain information relating to pre-enactment security-based swaps to a registered security-based swap data repository or to the Commission by the compliance date established in the security-based swap reporting rules required by Section 3C(e) and 13A(a)(1) of the Exchange Act, or within 60 days after a registered security-based swap data repository commences operations to receive and maintain data concerning such security-based swaps, whichever occurs first; and (2) report information relating to pre-enactment security-based swaps to the Commission upon request during an interim period. </w:t>
      </w:r>
      <w:r>
        <w:rPr>
          <w:rFonts w:ascii="Times New Roman" w:hAnsi="Times New Roman"/>
        </w:rPr>
        <w:t xml:space="preserve">The rule will expire on </w:t>
      </w:r>
      <w:r w:rsidR="00DE0D47" w:rsidRPr="00DE0D47">
        <w:rPr>
          <w:rFonts w:ascii="Times New Roman" w:hAnsi="Times New Roman"/>
        </w:rPr>
        <w:t>the effective date of the permanent recordkeeping and reporting rules for security-based swap transactions to be adopted by the Commission or January 12, 2012, whichever occurs first</w:t>
      </w:r>
      <w:r w:rsidR="000179A0">
        <w:rPr>
          <w:rFonts w:ascii="Times New Roman" w:hAnsi="Times New Roman"/>
        </w:rPr>
        <w:t>.</w:t>
      </w:r>
    </w:p>
    <w:p w:rsidR="006E3DE1" w:rsidRPr="00BD31E7" w:rsidRDefault="006E3DE1" w:rsidP="006E3DE1">
      <w:pPr>
        <w:ind w:firstLine="720"/>
        <w:rPr>
          <w:rFonts w:ascii="Times New Roman" w:hAnsi="Times New Roman"/>
        </w:rPr>
      </w:pPr>
    </w:p>
    <w:p w:rsidR="006E3DE1" w:rsidRPr="00BD31E7" w:rsidRDefault="00DE18E0" w:rsidP="006E3DE1">
      <w:pPr>
        <w:ind w:firstLine="720"/>
        <w:rPr>
          <w:rFonts w:ascii="Times New Roman" w:hAnsi="Times New Roman"/>
        </w:rPr>
      </w:pPr>
      <w:r>
        <w:rPr>
          <w:rFonts w:ascii="Times New Roman" w:hAnsi="Times New Roman"/>
        </w:rPr>
        <w:t>The</w:t>
      </w:r>
      <w:r w:rsidR="006E3DE1" w:rsidRPr="00BD31E7">
        <w:rPr>
          <w:rFonts w:ascii="Times New Roman" w:hAnsi="Times New Roman"/>
        </w:rPr>
        <w:t xml:space="preserve"> Commission is</w:t>
      </w:r>
      <w:r>
        <w:rPr>
          <w:rFonts w:ascii="Times New Roman" w:hAnsi="Times New Roman"/>
        </w:rPr>
        <w:t xml:space="preserve"> also</w:t>
      </w:r>
      <w:r w:rsidR="006E3DE1" w:rsidRPr="00BD31E7">
        <w:rPr>
          <w:rFonts w:ascii="Times New Roman" w:hAnsi="Times New Roman"/>
        </w:rPr>
        <w:t xml:space="preserve"> issuing an Interpretive Note to Rule 13Aa2-T requiring a counterparty to a pre-enactment security-based swap transaction that may be required to report such transaction to retain in its existing format all information and documents, to the extent and </w:t>
      </w:r>
      <w:r w:rsidR="006E3DE1" w:rsidRPr="00BD31E7">
        <w:rPr>
          <w:rFonts w:ascii="Times New Roman" w:hAnsi="Times New Roman"/>
        </w:rPr>
        <w:lastRenderedPageBreak/>
        <w:t xml:space="preserve">in such form as they </w:t>
      </w:r>
      <w:r w:rsidR="00E52FD6">
        <w:rPr>
          <w:rFonts w:ascii="Times New Roman" w:hAnsi="Times New Roman"/>
        </w:rPr>
        <w:t>currently</w:t>
      </w:r>
      <w:r w:rsidR="00E52FD6" w:rsidRPr="00BD31E7">
        <w:rPr>
          <w:rFonts w:ascii="Times New Roman" w:hAnsi="Times New Roman"/>
        </w:rPr>
        <w:t xml:space="preserve"> </w:t>
      </w:r>
      <w:r w:rsidR="006E3DE1" w:rsidRPr="00BD31E7">
        <w:rPr>
          <w:rFonts w:ascii="Times New Roman" w:hAnsi="Times New Roman"/>
        </w:rPr>
        <w:t>exist relating to the terms of the security-based swap transaction, including but not limited to:  (i) any information necessary to identify and value the transaction; (ii) the date and time of execution of the transaction; (iii) information relevant to the price of the transaction; (iv) whether the transaction was accepted for clearing by any clearing agency or derivatives clearing organization, and, if so, the identity of such clearing agency or derivatives clearing organization; (v) any modification(s) to the terms of the transaction; and (vi) the final confirmation of the transaction.</w:t>
      </w:r>
    </w:p>
    <w:p w:rsidR="00385046" w:rsidRPr="00BD31E7" w:rsidRDefault="00385046" w:rsidP="005D2BB0">
      <w:pPr>
        <w:tabs>
          <w:tab w:val="left" w:pos="-720"/>
        </w:tabs>
        <w:suppressAutoHyphens/>
        <w:spacing w:line="240" w:lineRule="atLeast"/>
        <w:rPr>
          <w:rFonts w:ascii="Times New Roman" w:hAnsi="Times New Roman"/>
        </w:rPr>
      </w:pPr>
    </w:p>
    <w:p w:rsidR="00385046" w:rsidRPr="00BD31E7" w:rsidRDefault="00636C07" w:rsidP="00D32D88">
      <w:pPr>
        <w:tabs>
          <w:tab w:val="left" w:pos="-720"/>
          <w:tab w:val="left" w:pos="0"/>
        </w:tabs>
        <w:suppressAutoHyphens/>
        <w:ind w:left="720"/>
        <w:rPr>
          <w:rFonts w:ascii="Times New Roman" w:hAnsi="Times New Roman"/>
          <w:b/>
          <w:bCs/>
        </w:rPr>
      </w:pPr>
      <w:r w:rsidRPr="00BD31E7">
        <w:rPr>
          <w:rFonts w:ascii="Times New Roman" w:hAnsi="Times New Roman"/>
          <w:b/>
          <w:bCs/>
        </w:rPr>
        <w:t>2.</w:t>
      </w:r>
      <w:r w:rsidRPr="00BD31E7">
        <w:rPr>
          <w:rFonts w:ascii="Times New Roman" w:hAnsi="Times New Roman"/>
          <w:b/>
          <w:bCs/>
        </w:rPr>
        <w:tab/>
      </w:r>
      <w:r w:rsidR="00385046" w:rsidRPr="00BD31E7">
        <w:rPr>
          <w:rFonts w:ascii="Times New Roman" w:hAnsi="Times New Roman"/>
          <w:b/>
          <w:bCs/>
        </w:rPr>
        <w:t>Purpose of the Information Collection</w:t>
      </w:r>
    </w:p>
    <w:p w:rsidR="00385046" w:rsidRPr="00BD31E7" w:rsidRDefault="00385046">
      <w:pPr>
        <w:pStyle w:val="Document1"/>
        <w:keepNext w:val="0"/>
        <w:keepLines w:val="0"/>
        <w:tabs>
          <w:tab w:val="left" w:pos="0"/>
        </w:tabs>
        <w:spacing w:line="240" w:lineRule="auto"/>
        <w:rPr>
          <w:rFonts w:ascii="Times New Roman" w:hAnsi="Times New Roman"/>
        </w:rPr>
      </w:pPr>
    </w:p>
    <w:p w:rsidR="006E3DE1" w:rsidRPr="00BD31E7" w:rsidRDefault="00DE18E0" w:rsidP="00BD31E7">
      <w:pPr>
        <w:pStyle w:val="NormalWeb"/>
        <w:spacing w:before="0" w:beforeAutospacing="0" w:after="0" w:afterAutospacing="0"/>
        <w:ind w:firstLine="720"/>
        <w:rPr>
          <w:rFonts w:ascii="Times New Roman" w:hAnsi="Times New Roman"/>
          <w:sz w:val="24"/>
          <w:szCs w:val="24"/>
        </w:rPr>
      </w:pPr>
      <w:r>
        <w:rPr>
          <w:rFonts w:ascii="Times New Roman" w:hAnsi="Times New Roman"/>
          <w:sz w:val="24"/>
          <w:szCs w:val="24"/>
        </w:rPr>
        <w:t xml:space="preserve">The information collection pursuant to Rule 13Aa-2T will: </w:t>
      </w:r>
      <w:r w:rsidR="005D2BB0" w:rsidRPr="00BD31E7">
        <w:rPr>
          <w:rFonts w:ascii="Times New Roman" w:hAnsi="Times New Roman"/>
          <w:sz w:val="24"/>
          <w:szCs w:val="24"/>
        </w:rPr>
        <w:t>fulfill the Congressional mandate for the Commission to promulgate an interim final rule “providing for the reporting” of pre-enactment security-based swap</w:t>
      </w:r>
      <w:r>
        <w:rPr>
          <w:rFonts w:ascii="Times New Roman" w:hAnsi="Times New Roman"/>
          <w:sz w:val="24"/>
          <w:szCs w:val="24"/>
        </w:rPr>
        <w:t>:,</w:t>
      </w:r>
      <w:r w:rsidR="007D5B78">
        <w:rPr>
          <w:rFonts w:ascii="Times New Roman" w:hAnsi="Times New Roman"/>
          <w:sz w:val="24"/>
          <w:szCs w:val="24"/>
        </w:rPr>
        <w:t xml:space="preserve"> </w:t>
      </w:r>
      <w:r>
        <w:rPr>
          <w:rFonts w:ascii="Times New Roman" w:hAnsi="Times New Roman"/>
          <w:sz w:val="24"/>
          <w:szCs w:val="24"/>
        </w:rPr>
        <w:t xml:space="preserve">provide </w:t>
      </w:r>
      <w:r w:rsidR="006E3DE1" w:rsidRPr="00BD31E7">
        <w:rPr>
          <w:rFonts w:ascii="Times New Roman" w:hAnsi="Times New Roman"/>
          <w:sz w:val="24"/>
          <w:szCs w:val="24"/>
        </w:rPr>
        <w:t>insight about the size and operation of the OTC derivatives market</w:t>
      </w:r>
      <w:r>
        <w:rPr>
          <w:rFonts w:ascii="Times New Roman" w:hAnsi="Times New Roman"/>
          <w:sz w:val="24"/>
          <w:szCs w:val="24"/>
        </w:rPr>
        <w:t xml:space="preserve"> and a </w:t>
      </w:r>
      <w:r w:rsidR="006E3DE1" w:rsidRPr="00BD31E7">
        <w:rPr>
          <w:rFonts w:ascii="Times New Roman" w:hAnsi="Times New Roman"/>
          <w:sz w:val="24"/>
          <w:szCs w:val="24"/>
        </w:rPr>
        <w:t>benchmark against which to assess the development of the security-based swap market over time</w:t>
      </w:r>
      <w:r>
        <w:rPr>
          <w:rFonts w:ascii="Times New Roman" w:hAnsi="Times New Roman"/>
          <w:sz w:val="24"/>
          <w:szCs w:val="24"/>
        </w:rPr>
        <w:t xml:space="preserve">; provide </w:t>
      </w:r>
      <w:r w:rsidR="006E3DE1" w:rsidRPr="00BD31E7">
        <w:rPr>
          <w:rFonts w:ascii="Times New Roman" w:hAnsi="Times New Roman"/>
          <w:sz w:val="24"/>
          <w:szCs w:val="24"/>
        </w:rPr>
        <w:t>the Commission information to assist with its analysis of the permanent reporting and other rules required by the Dodd-Frank Act</w:t>
      </w:r>
      <w:r>
        <w:rPr>
          <w:rFonts w:ascii="Times New Roman" w:hAnsi="Times New Roman"/>
          <w:sz w:val="24"/>
          <w:szCs w:val="24"/>
        </w:rPr>
        <w:t xml:space="preserve">; </w:t>
      </w:r>
      <w:r w:rsidR="006E3DE1" w:rsidRPr="00BD31E7">
        <w:rPr>
          <w:rFonts w:ascii="Times New Roman" w:hAnsi="Times New Roman"/>
          <w:sz w:val="24"/>
          <w:szCs w:val="24"/>
        </w:rPr>
        <w:t>be used to assess activities and risks in the security-based swap markets or securities markets more generally</w:t>
      </w:r>
      <w:r>
        <w:rPr>
          <w:rFonts w:ascii="Times New Roman" w:hAnsi="Times New Roman"/>
          <w:sz w:val="24"/>
          <w:szCs w:val="24"/>
        </w:rPr>
        <w:t>;</w:t>
      </w:r>
      <w:r w:rsidR="006E3DE1" w:rsidRPr="00BD31E7">
        <w:rPr>
          <w:rFonts w:ascii="Times New Roman" w:hAnsi="Times New Roman"/>
          <w:sz w:val="24"/>
          <w:szCs w:val="24"/>
        </w:rPr>
        <w:t xml:space="preserve"> facilitate general market oversigh</w:t>
      </w:r>
      <w:r w:rsidR="00DE0D47">
        <w:rPr>
          <w:rFonts w:ascii="Times New Roman" w:hAnsi="Times New Roman"/>
          <w:sz w:val="24"/>
          <w:szCs w:val="24"/>
        </w:rPr>
        <w:t>t</w:t>
      </w:r>
      <w:r>
        <w:rPr>
          <w:rFonts w:ascii="Times New Roman" w:hAnsi="Times New Roman"/>
          <w:sz w:val="24"/>
          <w:szCs w:val="24"/>
        </w:rPr>
        <w:t xml:space="preserve">; </w:t>
      </w:r>
      <w:r w:rsidR="006E3DE1" w:rsidRPr="00BD31E7">
        <w:rPr>
          <w:rFonts w:ascii="Times New Roman" w:hAnsi="Times New Roman"/>
          <w:sz w:val="24"/>
          <w:szCs w:val="24"/>
        </w:rPr>
        <w:t>facilitate the reports the Commission is required to provide to Congress on security-based swaps and the security-based swaps marketplace.</w:t>
      </w:r>
      <w:r w:rsidR="006E3DE1" w:rsidRPr="00BD31E7">
        <w:rPr>
          <w:rStyle w:val="FootnoteReference"/>
          <w:rFonts w:ascii="Times New Roman" w:hAnsi="Times New Roman"/>
        </w:rPr>
        <w:footnoteReference w:id="2"/>
      </w:r>
    </w:p>
    <w:p w:rsidR="00385046" w:rsidRPr="00BD31E7" w:rsidRDefault="00385046">
      <w:pPr>
        <w:pStyle w:val="Document1"/>
        <w:keepNext w:val="0"/>
        <w:keepLines w:val="0"/>
        <w:spacing w:line="240" w:lineRule="auto"/>
        <w:rPr>
          <w:rFonts w:ascii="Times New Roman" w:hAnsi="Times New Roman"/>
        </w:rPr>
      </w:pPr>
    </w:p>
    <w:p w:rsidR="00385046" w:rsidRPr="00BD31E7" w:rsidRDefault="00385046" w:rsidP="00D32D88">
      <w:pPr>
        <w:pStyle w:val="BodyTextIndent"/>
        <w:ind w:firstLine="0"/>
        <w:rPr>
          <w:rFonts w:ascii="Times New Roman" w:hAnsi="Times New Roman"/>
        </w:rPr>
      </w:pPr>
      <w:r w:rsidRPr="00BD31E7">
        <w:rPr>
          <w:rFonts w:ascii="Times New Roman" w:hAnsi="Times New Roman"/>
        </w:rPr>
        <w:t>3.</w:t>
      </w:r>
      <w:r w:rsidRPr="00BD31E7">
        <w:rPr>
          <w:rFonts w:ascii="Times New Roman" w:hAnsi="Times New Roman"/>
        </w:rPr>
        <w:tab/>
        <w:t>Role of Improved Information Technology</w:t>
      </w:r>
    </w:p>
    <w:p w:rsidR="00385046" w:rsidRPr="00BD31E7" w:rsidRDefault="00385046">
      <w:pPr>
        <w:tabs>
          <w:tab w:val="left" w:pos="-720"/>
        </w:tabs>
        <w:suppressAutoHyphens/>
        <w:rPr>
          <w:rFonts w:ascii="Times New Roman" w:hAnsi="Times New Roman"/>
        </w:rPr>
      </w:pPr>
    </w:p>
    <w:p w:rsidR="005D2BB0" w:rsidRPr="00BD31E7" w:rsidRDefault="00385046" w:rsidP="005D2BB0">
      <w:pPr>
        <w:tabs>
          <w:tab w:val="left" w:pos="-720"/>
        </w:tabs>
        <w:suppressAutoHyphens/>
        <w:rPr>
          <w:rFonts w:ascii="Times New Roman" w:hAnsi="Times New Roman"/>
          <w:color w:val="000000"/>
        </w:rPr>
      </w:pPr>
      <w:r w:rsidRPr="00BD31E7">
        <w:rPr>
          <w:rFonts w:ascii="Times New Roman" w:hAnsi="Times New Roman"/>
        </w:rPr>
        <w:tab/>
      </w:r>
      <w:r w:rsidR="006E3DE1" w:rsidRPr="00BD31E7">
        <w:rPr>
          <w:rFonts w:ascii="Times New Roman" w:hAnsi="Times New Roman"/>
          <w:spacing w:val="-3"/>
        </w:rPr>
        <w:t xml:space="preserve">Under </w:t>
      </w:r>
      <w:r w:rsidR="006E3DE1" w:rsidRPr="00BD31E7">
        <w:rPr>
          <w:rFonts w:ascii="Times New Roman" w:hAnsi="Times New Roman"/>
        </w:rPr>
        <w:t xml:space="preserve">Rule 13Aa-2T, specified counterparties will be required to report certain information relating to pre-enactment security-based swaps </w:t>
      </w:r>
      <w:r w:rsidR="00A410E2">
        <w:rPr>
          <w:rFonts w:ascii="Times New Roman" w:hAnsi="Times New Roman"/>
        </w:rPr>
        <w:t>to the Commission in a form and manner prescribed by the Commission</w:t>
      </w:r>
      <w:r w:rsidR="000179A0">
        <w:rPr>
          <w:rFonts w:ascii="Times New Roman" w:hAnsi="Times New Roman"/>
        </w:rPr>
        <w:t>, which could include electronic submission</w:t>
      </w:r>
      <w:r w:rsidR="00A410E2">
        <w:rPr>
          <w:rFonts w:ascii="Times New Roman" w:hAnsi="Times New Roman"/>
        </w:rPr>
        <w:t xml:space="preserve">. </w:t>
      </w:r>
      <w:r w:rsidR="004814E4">
        <w:rPr>
          <w:rFonts w:ascii="Times New Roman" w:hAnsi="Times New Roman"/>
          <w:spacing w:val="-3"/>
        </w:rPr>
        <w:t xml:space="preserve">  </w:t>
      </w:r>
    </w:p>
    <w:p w:rsidR="00385046" w:rsidRPr="00BD31E7" w:rsidRDefault="00385046">
      <w:pPr>
        <w:keepLines/>
        <w:tabs>
          <w:tab w:val="left" w:pos="-720"/>
        </w:tabs>
        <w:suppressAutoHyphens/>
        <w:rPr>
          <w:rFonts w:ascii="Times New Roman" w:hAnsi="Times New Roman"/>
        </w:rPr>
      </w:pPr>
    </w:p>
    <w:p w:rsidR="00385046" w:rsidRPr="00BD31E7" w:rsidRDefault="00385046" w:rsidP="00D32D88">
      <w:pPr>
        <w:tabs>
          <w:tab w:val="left" w:pos="-720"/>
          <w:tab w:val="left" w:pos="0"/>
        </w:tabs>
        <w:suppressAutoHyphens/>
        <w:ind w:left="720"/>
        <w:rPr>
          <w:rFonts w:ascii="Times New Roman" w:hAnsi="Times New Roman"/>
          <w:b/>
          <w:bCs/>
        </w:rPr>
      </w:pPr>
      <w:r w:rsidRPr="00BD31E7">
        <w:rPr>
          <w:rFonts w:ascii="Times New Roman" w:hAnsi="Times New Roman"/>
          <w:b/>
          <w:bCs/>
        </w:rPr>
        <w:t>4.</w:t>
      </w:r>
      <w:r w:rsidRPr="00BD31E7">
        <w:rPr>
          <w:rFonts w:ascii="Times New Roman" w:hAnsi="Times New Roman"/>
          <w:b/>
          <w:bCs/>
        </w:rPr>
        <w:tab/>
        <w:t>Effo</w:t>
      </w:r>
      <w:r w:rsidR="00636C07" w:rsidRPr="00BD31E7">
        <w:rPr>
          <w:rFonts w:ascii="Times New Roman" w:hAnsi="Times New Roman"/>
          <w:b/>
          <w:bCs/>
        </w:rPr>
        <w:t>rts to Identify Duplication</w:t>
      </w:r>
    </w:p>
    <w:p w:rsidR="00385046" w:rsidRPr="00BD31E7" w:rsidRDefault="00385046">
      <w:pPr>
        <w:tabs>
          <w:tab w:val="left" w:pos="-720"/>
        </w:tabs>
        <w:suppressAutoHyphens/>
        <w:rPr>
          <w:rFonts w:ascii="Times New Roman" w:hAnsi="Times New Roman"/>
        </w:rPr>
      </w:pPr>
    </w:p>
    <w:p w:rsidR="005D2BB0" w:rsidRPr="00BD31E7" w:rsidRDefault="00385046" w:rsidP="005D2BB0">
      <w:pPr>
        <w:tabs>
          <w:tab w:val="left" w:pos="-720"/>
        </w:tabs>
        <w:suppressAutoHyphens/>
        <w:rPr>
          <w:rFonts w:ascii="Times New Roman" w:hAnsi="Times New Roman"/>
          <w:spacing w:val="-3"/>
        </w:rPr>
      </w:pPr>
      <w:r w:rsidRPr="00BD31E7">
        <w:rPr>
          <w:rFonts w:ascii="Times New Roman" w:hAnsi="Times New Roman"/>
        </w:rPr>
        <w:tab/>
      </w:r>
      <w:r w:rsidR="000179A0">
        <w:rPr>
          <w:rFonts w:ascii="Times New Roman" w:hAnsi="Times New Roman"/>
          <w:spacing w:val="-3"/>
        </w:rPr>
        <w:t>To the extent that information is reported to the Commission, t</w:t>
      </w:r>
      <w:r w:rsidR="00DE18E0">
        <w:rPr>
          <w:rFonts w:ascii="Times New Roman" w:hAnsi="Times New Roman"/>
          <w:spacing w:val="-3"/>
        </w:rPr>
        <w:t>he Commission believes that any counterparty to a pre-enactment security-based swap transaction that may be required to report such transaction, as part of its regular business operations, would already main</w:t>
      </w:r>
      <w:r w:rsidR="00F32EAE">
        <w:rPr>
          <w:rFonts w:ascii="Times New Roman" w:hAnsi="Times New Roman"/>
          <w:spacing w:val="-3"/>
        </w:rPr>
        <w:t>tain</w:t>
      </w:r>
      <w:r w:rsidR="00DE18E0">
        <w:rPr>
          <w:rFonts w:ascii="Times New Roman" w:hAnsi="Times New Roman"/>
          <w:spacing w:val="-3"/>
        </w:rPr>
        <w:t xml:space="preserve"> records of any such transaction, and that such records likely include the minimum information</w:t>
      </w:r>
      <w:r w:rsidR="000179A0">
        <w:rPr>
          <w:rFonts w:ascii="Times New Roman" w:hAnsi="Times New Roman"/>
          <w:spacing w:val="-3"/>
        </w:rPr>
        <w:t>.</w:t>
      </w:r>
    </w:p>
    <w:p w:rsidR="00385046" w:rsidRPr="00BD31E7" w:rsidRDefault="00385046">
      <w:pPr>
        <w:pStyle w:val="Document1"/>
        <w:keepNext w:val="0"/>
        <w:keepLines w:val="0"/>
        <w:spacing w:line="240" w:lineRule="auto"/>
        <w:rPr>
          <w:rFonts w:ascii="Times New Roman" w:hAnsi="Times New Roman"/>
        </w:rPr>
      </w:pPr>
    </w:p>
    <w:p w:rsidR="00385046" w:rsidRPr="00BD31E7" w:rsidRDefault="00385046" w:rsidP="00D32D88">
      <w:pPr>
        <w:tabs>
          <w:tab w:val="left" w:pos="-720"/>
          <w:tab w:val="left" w:pos="0"/>
        </w:tabs>
        <w:suppressAutoHyphens/>
        <w:ind w:left="720"/>
        <w:rPr>
          <w:rFonts w:ascii="Times New Roman" w:hAnsi="Times New Roman"/>
        </w:rPr>
      </w:pPr>
      <w:r w:rsidRPr="00BD31E7">
        <w:rPr>
          <w:rFonts w:ascii="Times New Roman" w:hAnsi="Times New Roman"/>
          <w:b/>
          <w:bCs/>
        </w:rPr>
        <w:t>5.</w:t>
      </w:r>
      <w:r w:rsidRPr="00BD31E7">
        <w:rPr>
          <w:rFonts w:ascii="Times New Roman" w:hAnsi="Times New Roman"/>
          <w:b/>
          <w:bCs/>
        </w:rPr>
        <w:tab/>
        <w:t>Effect on Small Entities</w:t>
      </w:r>
    </w:p>
    <w:p w:rsidR="00385046" w:rsidRPr="00BD31E7" w:rsidRDefault="00385046">
      <w:pPr>
        <w:tabs>
          <w:tab w:val="left" w:pos="-720"/>
        </w:tabs>
        <w:suppressAutoHyphens/>
        <w:rPr>
          <w:rFonts w:ascii="Times New Roman" w:hAnsi="Times New Roman"/>
        </w:rPr>
      </w:pPr>
    </w:p>
    <w:p w:rsidR="00385046" w:rsidRPr="00BD31E7" w:rsidRDefault="00385046" w:rsidP="002C400B">
      <w:pPr>
        <w:tabs>
          <w:tab w:val="left" w:pos="-720"/>
        </w:tabs>
        <w:suppressAutoHyphens/>
        <w:spacing w:line="240" w:lineRule="atLeast"/>
        <w:rPr>
          <w:rFonts w:ascii="Times New Roman" w:hAnsi="Times New Roman"/>
        </w:rPr>
      </w:pPr>
      <w:r w:rsidRPr="00BD31E7">
        <w:rPr>
          <w:rFonts w:ascii="Times New Roman" w:hAnsi="Times New Roman"/>
        </w:rPr>
        <w:tab/>
        <w:t xml:space="preserve">Not applicable. </w:t>
      </w:r>
      <w:r w:rsidR="002C400B" w:rsidRPr="00BD31E7">
        <w:rPr>
          <w:rFonts w:ascii="Times New Roman" w:hAnsi="Times New Roman"/>
        </w:rPr>
        <w:t xml:space="preserve"> The interim final temporary rules apply only to counterparties that may engage in security-based swap transactions.  Prior to the effective date of the Dodd-Frank Act, only an eligible contract participant (as defined in Section 1(a)(12) of the Commodity Exchange Act) may enter into security-based swap transactions.  For this reason, t</w:t>
      </w:r>
      <w:r w:rsidR="00D9781D" w:rsidRPr="00BD31E7">
        <w:rPr>
          <w:rFonts w:ascii="Times New Roman" w:hAnsi="Times New Roman"/>
        </w:rPr>
        <w:t xml:space="preserve">he Commission </w:t>
      </w:r>
      <w:r w:rsidR="005D2BB0" w:rsidRPr="00BD31E7">
        <w:rPr>
          <w:rFonts w:ascii="Times New Roman" w:hAnsi="Times New Roman"/>
        </w:rPr>
        <w:t xml:space="preserve">has </w:t>
      </w:r>
      <w:r w:rsidR="00D9781D" w:rsidRPr="00BD31E7">
        <w:rPr>
          <w:rFonts w:ascii="Times New Roman" w:hAnsi="Times New Roman"/>
        </w:rPr>
        <w:t>certified that the rule would not have a significant</w:t>
      </w:r>
      <w:r w:rsidR="002C400B" w:rsidRPr="00BD31E7">
        <w:rPr>
          <w:rFonts w:ascii="Times New Roman" w:hAnsi="Times New Roman"/>
        </w:rPr>
        <w:t xml:space="preserve"> economic</w:t>
      </w:r>
      <w:r w:rsidR="00D9781D" w:rsidRPr="00BD31E7">
        <w:rPr>
          <w:rFonts w:ascii="Times New Roman" w:hAnsi="Times New Roman"/>
        </w:rPr>
        <w:t xml:space="preserve"> impact on a substantial number of small entities.</w:t>
      </w:r>
    </w:p>
    <w:p w:rsidR="00385046" w:rsidRPr="00BD31E7" w:rsidRDefault="00385046">
      <w:pPr>
        <w:tabs>
          <w:tab w:val="left" w:pos="-720"/>
        </w:tabs>
        <w:suppressAutoHyphens/>
        <w:rPr>
          <w:rFonts w:ascii="Times New Roman" w:hAnsi="Times New Roman"/>
        </w:rPr>
      </w:pPr>
    </w:p>
    <w:p w:rsidR="00385046" w:rsidRPr="00BD31E7" w:rsidRDefault="00385046" w:rsidP="00D32D88">
      <w:pPr>
        <w:tabs>
          <w:tab w:val="left" w:pos="-720"/>
          <w:tab w:val="left" w:pos="0"/>
        </w:tabs>
        <w:suppressAutoHyphens/>
        <w:ind w:left="720"/>
        <w:rPr>
          <w:rFonts w:ascii="Times New Roman" w:hAnsi="Times New Roman"/>
        </w:rPr>
      </w:pPr>
      <w:r w:rsidRPr="00BD31E7">
        <w:rPr>
          <w:rFonts w:ascii="Times New Roman" w:hAnsi="Times New Roman"/>
          <w:b/>
          <w:bCs/>
        </w:rPr>
        <w:lastRenderedPageBreak/>
        <w:t>6.</w:t>
      </w:r>
      <w:r w:rsidRPr="00BD31E7">
        <w:rPr>
          <w:rFonts w:ascii="Times New Roman" w:hAnsi="Times New Roman"/>
          <w:b/>
          <w:bCs/>
        </w:rPr>
        <w:tab/>
        <w:t xml:space="preserve">Consequences of </w:t>
      </w:r>
      <w:r w:rsidR="00636C07" w:rsidRPr="00BD31E7">
        <w:rPr>
          <w:rFonts w:ascii="Times New Roman" w:hAnsi="Times New Roman"/>
          <w:b/>
          <w:bCs/>
        </w:rPr>
        <w:t>Less Frequent Collection</w:t>
      </w:r>
    </w:p>
    <w:p w:rsidR="00385046" w:rsidRPr="00BD31E7" w:rsidRDefault="00385046">
      <w:pPr>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r w:rsidRPr="00BD31E7">
        <w:rPr>
          <w:rFonts w:ascii="Times New Roman" w:hAnsi="Times New Roman"/>
        </w:rPr>
        <w:tab/>
      </w:r>
      <w:r w:rsidR="00BC2531" w:rsidRPr="00BD31E7">
        <w:rPr>
          <w:rFonts w:ascii="Times New Roman" w:hAnsi="Times New Roman"/>
        </w:rPr>
        <w:t>C</w:t>
      </w:r>
      <w:r w:rsidRPr="00BD31E7">
        <w:rPr>
          <w:rFonts w:ascii="Times New Roman" w:hAnsi="Times New Roman"/>
        </w:rPr>
        <w:t xml:space="preserve">ollecting the information </w:t>
      </w:r>
      <w:r w:rsidR="00BC2531" w:rsidRPr="00BD31E7">
        <w:rPr>
          <w:rFonts w:ascii="Times New Roman" w:hAnsi="Times New Roman"/>
        </w:rPr>
        <w:t xml:space="preserve">on a less frequent basis </w:t>
      </w:r>
      <w:r w:rsidRPr="00BD31E7">
        <w:rPr>
          <w:rFonts w:ascii="Times New Roman" w:hAnsi="Times New Roman"/>
        </w:rPr>
        <w:t xml:space="preserve">would </w:t>
      </w:r>
      <w:r w:rsidR="00BC2531" w:rsidRPr="00BD31E7">
        <w:rPr>
          <w:rFonts w:ascii="Times New Roman" w:hAnsi="Times New Roman"/>
        </w:rPr>
        <w:t>frustrate the purpose of the emergency action</w:t>
      </w:r>
      <w:r w:rsidRPr="00BD31E7">
        <w:rPr>
          <w:rFonts w:ascii="Times New Roman" w:hAnsi="Times New Roman"/>
        </w:rPr>
        <w:t>.</w:t>
      </w:r>
    </w:p>
    <w:p w:rsidR="00385046" w:rsidRPr="00BD31E7" w:rsidRDefault="00385046">
      <w:pPr>
        <w:tabs>
          <w:tab w:val="left" w:pos="-720"/>
        </w:tabs>
        <w:suppressAutoHyphens/>
        <w:rPr>
          <w:rFonts w:ascii="Times New Roman" w:hAnsi="Times New Roman"/>
        </w:rPr>
      </w:pPr>
    </w:p>
    <w:p w:rsidR="005D2BB0" w:rsidRPr="00BD31E7" w:rsidRDefault="00385046" w:rsidP="005B75B3">
      <w:pPr>
        <w:pStyle w:val="BodyTextIndent"/>
        <w:keepNext w:val="0"/>
        <w:keepLines w:val="0"/>
        <w:ind w:firstLine="0"/>
        <w:rPr>
          <w:rFonts w:ascii="Times New Roman" w:hAnsi="Times New Roman"/>
        </w:rPr>
      </w:pPr>
      <w:r w:rsidRPr="00BD31E7">
        <w:rPr>
          <w:rFonts w:ascii="Times New Roman" w:hAnsi="Times New Roman"/>
        </w:rPr>
        <w:t>7.</w:t>
      </w:r>
      <w:r w:rsidRPr="00BD31E7">
        <w:rPr>
          <w:rFonts w:ascii="Times New Roman" w:hAnsi="Times New Roman"/>
        </w:rPr>
        <w:tab/>
        <w:t>Inconsistencies with Guidelines in 5 CFR 1320.5(d)(2)</w:t>
      </w:r>
    </w:p>
    <w:p w:rsidR="005D2BB0" w:rsidRPr="00BD31E7" w:rsidRDefault="005D2BB0">
      <w:pPr>
        <w:tabs>
          <w:tab w:val="left" w:pos="-720"/>
        </w:tabs>
        <w:suppressAutoHyphens/>
        <w:rPr>
          <w:rFonts w:ascii="Times New Roman" w:hAnsi="Times New Roman"/>
          <w:spacing w:val="-3"/>
        </w:rPr>
      </w:pPr>
    </w:p>
    <w:p w:rsidR="00385046" w:rsidRPr="00BD31E7" w:rsidRDefault="005A431E">
      <w:pPr>
        <w:tabs>
          <w:tab w:val="left" w:pos="-720"/>
        </w:tabs>
        <w:suppressAutoHyphens/>
        <w:rPr>
          <w:rFonts w:ascii="Times New Roman" w:hAnsi="Times New Roman"/>
        </w:rPr>
      </w:pPr>
      <w:r w:rsidRPr="00BD31E7">
        <w:rPr>
          <w:rFonts w:ascii="Times New Roman" w:hAnsi="Times New Roman"/>
        </w:rPr>
        <w:tab/>
      </w:r>
      <w:r w:rsidR="00A410E2">
        <w:rPr>
          <w:rFonts w:ascii="Times New Roman" w:hAnsi="Times New Roman"/>
        </w:rPr>
        <w:t>This rule does not dictate a specific frequency.  However, t</w:t>
      </w:r>
      <w:r w:rsidR="00B96A65" w:rsidRPr="00B96A65">
        <w:rPr>
          <w:rFonts w:ascii="Times New Roman" w:hAnsi="Times New Roman"/>
        </w:rPr>
        <w:t>he Commission could request data pursuant to Rule 13Aa-2T(b)(2) more often than quarterly, which would conflict with 5 CFR 1320.5(d)(2)(i).  Nonetheless, the Commission believes that this requirement is necessary to satisfy the statutory requirement set forth in the Dodd-Frank Act that the Commission to promulgate an interim final rule providing for the reporting of these pre-enactment security-based swaps within 90 days of the enactment of the Dodd-Frank Act</w:t>
      </w:r>
      <w:r w:rsidR="00B96A65" w:rsidRPr="00B96A65">
        <w:rPr>
          <w:rFonts w:ascii="Times New Roman" w:hAnsi="Times New Roman"/>
          <w:vertAlign w:val="superscript"/>
        </w:rPr>
        <w:footnoteReference w:id="3"/>
      </w:r>
      <w:r w:rsidR="00B96A65" w:rsidRPr="00B96A65">
        <w:rPr>
          <w:rFonts w:ascii="Times New Roman" w:hAnsi="Times New Roman"/>
        </w:rPr>
        <w:t xml:space="preserve"> as well as the statutory mandate in that security-based swap counterparties shall upon written request from the Commission, provide reports regarding the security-based swaps in such form and in such manner as the Commission may request.</w:t>
      </w:r>
      <w:r w:rsidR="00B96A65" w:rsidRPr="00B96A65">
        <w:rPr>
          <w:rFonts w:ascii="Times New Roman" w:hAnsi="Times New Roman"/>
          <w:vertAlign w:val="superscript"/>
        </w:rPr>
        <w:footnoteReference w:id="4"/>
      </w:r>
      <w:r w:rsidR="00B96A65" w:rsidRPr="00B96A65">
        <w:rPr>
          <w:rFonts w:ascii="Times New Roman" w:hAnsi="Times New Roman"/>
        </w:rPr>
        <w:t xml:space="preserve">  Moreover, the data collected under this provision could facilitate the reports the Commission is required to provide to Congress on security-based swaps and the security-based swaps marketplace.</w:t>
      </w:r>
      <w:r w:rsidR="00B96A65" w:rsidRPr="00B96A65">
        <w:rPr>
          <w:rFonts w:ascii="Times New Roman" w:hAnsi="Times New Roman"/>
          <w:vertAlign w:val="superscript"/>
        </w:rPr>
        <w:footnoteReference w:id="5"/>
      </w:r>
    </w:p>
    <w:p w:rsidR="00636C07" w:rsidRPr="00BD31E7" w:rsidRDefault="00636C07">
      <w:pPr>
        <w:tabs>
          <w:tab w:val="left" w:pos="-720"/>
          <w:tab w:val="left" w:pos="0"/>
        </w:tabs>
        <w:suppressAutoHyphens/>
        <w:ind w:left="720" w:hanging="720"/>
        <w:rPr>
          <w:rFonts w:ascii="Times New Roman" w:hAnsi="Times New Roman"/>
          <w:b/>
          <w:bCs/>
        </w:rPr>
      </w:pPr>
    </w:p>
    <w:p w:rsidR="00385046" w:rsidRPr="00BD31E7" w:rsidRDefault="00385046" w:rsidP="00D32D88">
      <w:pPr>
        <w:tabs>
          <w:tab w:val="left" w:pos="-720"/>
          <w:tab w:val="left" w:pos="0"/>
        </w:tabs>
        <w:suppressAutoHyphens/>
        <w:ind w:left="720"/>
        <w:rPr>
          <w:rFonts w:ascii="Times New Roman" w:hAnsi="Times New Roman"/>
        </w:rPr>
      </w:pPr>
      <w:r w:rsidRPr="00BD31E7">
        <w:rPr>
          <w:rFonts w:ascii="Times New Roman" w:hAnsi="Times New Roman"/>
          <w:b/>
          <w:bCs/>
        </w:rPr>
        <w:t>8.</w:t>
      </w:r>
      <w:r w:rsidRPr="00BD31E7">
        <w:rPr>
          <w:rFonts w:ascii="Times New Roman" w:hAnsi="Times New Roman"/>
          <w:b/>
          <w:bCs/>
        </w:rPr>
        <w:tab/>
        <w:t>Consultation Outside the Agency</w:t>
      </w:r>
    </w:p>
    <w:p w:rsidR="00385046" w:rsidRPr="00BD31E7" w:rsidRDefault="00385046">
      <w:pPr>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r w:rsidRPr="00BD31E7">
        <w:rPr>
          <w:rFonts w:ascii="Times New Roman" w:hAnsi="Times New Roman"/>
        </w:rPr>
        <w:tab/>
        <w:t xml:space="preserve">The Commission </w:t>
      </w:r>
      <w:r w:rsidR="00BC2531" w:rsidRPr="00BD31E7">
        <w:rPr>
          <w:rFonts w:ascii="Times New Roman" w:hAnsi="Times New Roman"/>
        </w:rPr>
        <w:t xml:space="preserve">has been coordinating extensively with </w:t>
      </w:r>
      <w:r w:rsidR="005D2BB0" w:rsidRPr="00BD31E7">
        <w:rPr>
          <w:rFonts w:ascii="Times New Roman" w:hAnsi="Times New Roman"/>
        </w:rPr>
        <w:t xml:space="preserve">the CFTC as well as various participants in the swaps industry in formulating the </w:t>
      </w:r>
      <w:r w:rsidR="006E3DE1" w:rsidRPr="00BD31E7">
        <w:rPr>
          <w:rFonts w:ascii="Times New Roman" w:hAnsi="Times New Roman"/>
        </w:rPr>
        <w:t>interim final temporary rule</w:t>
      </w:r>
      <w:r w:rsidR="00DE0D47">
        <w:rPr>
          <w:rFonts w:ascii="Times New Roman" w:hAnsi="Times New Roman"/>
        </w:rPr>
        <w:t xml:space="preserve">.  </w:t>
      </w:r>
      <w:r w:rsidR="00CA2963" w:rsidRPr="00BD31E7">
        <w:rPr>
          <w:rFonts w:ascii="Times New Roman" w:hAnsi="Times New Roman"/>
        </w:rPr>
        <w:t xml:space="preserve">Due to the </w:t>
      </w:r>
      <w:r w:rsidR="00F32EAE">
        <w:rPr>
          <w:rFonts w:ascii="Times New Roman" w:hAnsi="Times New Roman"/>
        </w:rPr>
        <w:t xml:space="preserve">short time between the enactment of the statute and the deadline for adopting final rules, </w:t>
      </w:r>
      <w:r w:rsidR="00CA2963" w:rsidRPr="00BD31E7">
        <w:rPr>
          <w:rFonts w:ascii="Times New Roman" w:hAnsi="Times New Roman"/>
        </w:rPr>
        <w:t>the Commission is unable to solicit public comment on the collection and the estimated burden before collecting the information, although the Commission is soliciting comment on the PRA in the release.</w:t>
      </w:r>
    </w:p>
    <w:p w:rsidR="00385046" w:rsidRPr="00BD31E7" w:rsidRDefault="00385046">
      <w:pPr>
        <w:pStyle w:val="Document1"/>
        <w:keepNext w:val="0"/>
        <w:keepLines w:val="0"/>
        <w:spacing w:line="240" w:lineRule="auto"/>
        <w:rPr>
          <w:rFonts w:ascii="Times New Roman" w:hAnsi="Times New Roman"/>
        </w:rPr>
      </w:pPr>
    </w:p>
    <w:p w:rsidR="00385046" w:rsidRPr="00BD31E7" w:rsidRDefault="00385046" w:rsidP="00D32D88">
      <w:pPr>
        <w:tabs>
          <w:tab w:val="left" w:pos="-720"/>
          <w:tab w:val="left" w:pos="0"/>
        </w:tabs>
        <w:suppressAutoHyphens/>
        <w:ind w:left="720"/>
        <w:rPr>
          <w:rFonts w:ascii="Times New Roman" w:hAnsi="Times New Roman"/>
        </w:rPr>
      </w:pPr>
      <w:r w:rsidRPr="00BD31E7">
        <w:rPr>
          <w:rFonts w:ascii="Times New Roman" w:hAnsi="Times New Roman"/>
          <w:b/>
          <w:bCs/>
        </w:rPr>
        <w:t>9.</w:t>
      </w:r>
      <w:r w:rsidRPr="00BD31E7">
        <w:rPr>
          <w:rFonts w:ascii="Times New Roman" w:hAnsi="Times New Roman"/>
          <w:b/>
          <w:bCs/>
        </w:rPr>
        <w:tab/>
        <w:t>Payment or Gift to Respondents</w:t>
      </w:r>
    </w:p>
    <w:p w:rsidR="00385046" w:rsidRPr="00BD31E7" w:rsidRDefault="00385046">
      <w:pPr>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r w:rsidRPr="00BD31E7">
        <w:rPr>
          <w:rFonts w:ascii="Times New Roman" w:hAnsi="Times New Roman"/>
        </w:rPr>
        <w:tab/>
        <w:t>Not applicable.</w:t>
      </w:r>
    </w:p>
    <w:p w:rsidR="00385046" w:rsidRPr="00BD31E7" w:rsidRDefault="00385046">
      <w:pPr>
        <w:tabs>
          <w:tab w:val="left" w:pos="-720"/>
        </w:tabs>
        <w:suppressAutoHyphens/>
        <w:rPr>
          <w:rFonts w:ascii="Times New Roman" w:hAnsi="Times New Roman"/>
        </w:rPr>
      </w:pPr>
    </w:p>
    <w:p w:rsidR="00385046" w:rsidRPr="00BD31E7" w:rsidRDefault="00636C07" w:rsidP="00D32D88">
      <w:pPr>
        <w:tabs>
          <w:tab w:val="left" w:pos="-720"/>
          <w:tab w:val="left" w:pos="0"/>
        </w:tabs>
        <w:suppressAutoHyphens/>
        <w:ind w:left="720"/>
        <w:rPr>
          <w:rFonts w:ascii="Times New Roman" w:hAnsi="Times New Roman"/>
        </w:rPr>
      </w:pPr>
      <w:r w:rsidRPr="00BD31E7">
        <w:rPr>
          <w:rFonts w:ascii="Times New Roman" w:hAnsi="Times New Roman"/>
          <w:b/>
          <w:bCs/>
        </w:rPr>
        <w:t>10.</w:t>
      </w:r>
      <w:r w:rsidRPr="00BD31E7">
        <w:rPr>
          <w:rFonts w:ascii="Times New Roman" w:hAnsi="Times New Roman"/>
          <w:b/>
          <w:bCs/>
        </w:rPr>
        <w:tab/>
        <w:t>Assurance</w:t>
      </w:r>
      <w:r w:rsidR="00385046" w:rsidRPr="00BD31E7">
        <w:rPr>
          <w:rFonts w:ascii="Times New Roman" w:hAnsi="Times New Roman"/>
          <w:b/>
          <w:bCs/>
        </w:rPr>
        <w:t xml:space="preserve"> of Confidentiality</w:t>
      </w:r>
    </w:p>
    <w:p w:rsidR="00385046" w:rsidRPr="00BD31E7" w:rsidRDefault="00385046">
      <w:pPr>
        <w:keepLines/>
        <w:tabs>
          <w:tab w:val="left" w:pos="-720"/>
        </w:tabs>
        <w:suppressAutoHyphens/>
        <w:rPr>
          <w:rFonts w:ascii="Times New Roman" w:hAnsi="Times New Roman"/>
        </w:rPr>
      </w:pPr>
    </w:p>
    <w:p w:rsidR="00385046" w:rsidRDefault="00DE0D47">
      <w:pPr>
        <w:tabs>
          <w:tab w:val="left" w:pos="-720"/>
        </w:tabs>
        <w:suppressAutoHyphens/>
        <w:rPr>
          <w:rFonts w:ascii="Times New Roman" w:hAnsi="Times New Roman"/>
        </w:rPr>
      </w:pPr>
      <w:r>
        <w:rPr>
          <w:rFonts w:ascii="Times New Roman" w:hAnsi="Times New Roman"/>
        </w:rPr>
        <w:tab/>
      </w:r>
      <w:r w:rsidR="00F32EAE">
        <w:rPr>
          <w:rFonts w:ascii="Times New Roman" w:hAnsi="Times New Roman"/>
        </w:rPr>
        <w:t>Other than informat</w:t>
      </w:r>
      <w:r>
        <w:rPr>
          <w:rFonts w:ascii="Times New Roman" w:hAnsi="Times New Roman"/>
        </w:rPr>
        <w:t>ion for which a reporting entit</w:t>
      </w:r>
      <w:r w:rsidR="00F32EAE">
        <w:rPr>
          <w:rFonts w:ascii="Times New Roman" w:hAnsi="Times New Roman"/>
        </w:rPr>
        <w:t>y requests confidential treatment and that may be withheld from the public in accordance with the provisions of FOIA, the collection of information pursuant to Rule 13Aa-2T will not be kept confidential and will be publicly available.</w:t>
      </w:r>
    </w:p>
    <w:p w:rsidR="00F32EAE" w:rsidRPr="00BD31E7" w:rsidRDefault="00F32EAE">
      <w:pPr>
        <w:tabs>
          <w:tab w:val="left" w:pos="-720"/>
        </w:tabs>
        <w:suppressAutoHyphens/>
        <w:rPr>
          <w:rFonts w:ascii="Times New Roman" w:hAnsi="Times New Roman"/>
        </w:rPr>
      </w:pPr>
    </w:p>
    <w:p w:rsidR="00385046" w:rsidRPr="00BD31E7" w:rsidRDefault="00385046" w:rsidP="00D32D88">
      <w:pPr>
        <w:tabs>
          <w:tab w:val="left" w:pos="-720"/>
          <w:tab w:val="left" w:pos="0"/>
        </w:tabs>
        <w:suppressAutoHyphens/>
        <w:ind w:left="720"/>
        <w:rPr>
          <w:rFonts w:ascii="Times New Roman" w:hAnsi="Times New Roman"/>
          <w:b/>
          <w:bCs/>
        </w:rPr>
      </w:pPr>
      <w:r w:rsidRPr="00BD31E7">
        <w:rPr>
          <w:rFonts w:ascii="Times New Roman" w:hAnsi="Times New Roman"/>
          <w:b/>
          <w:bCs/>
        </w:rPr>
        <w:t>11.</w:t>
      </w:r>
      <w:r w:rsidRPr="00BD31E7">
        <w:rPr>
          <w:rFonts w:ascii="Times New Roman" w:hAnsi="Times New Roman"/>
          <w:b/>
          <w:bCs/>
        </w:rPr>
        <w:tab/>
        <w:t>Sensitive Questions</w:t>
      </w:r>
    </w:p>
    <w:p w:rsidR="00385046" w:rsidRPr="00BD31E7" w:rsidRDefault="00385046">
      <w:pPr>
        <w:pStyle w:val="TOC6"/>
        <w:tabs>
          <w:tab w:val="clear" w:pos="9360"/>
          <w:tab w:val="left" w:pos="-720"/>
          <w:tab w:val="left" w:pos="0"/>
        </w:tabs>
        <w:spacing w:line="240" w:lineRule="auto"/>
        <w:rPr>
          <w:rFonts w:ascii="Times New Roman" w:hAnsi="Times New Roman"/>
        </w:rPr>
      </w:pPr>
    </w:p>
    <w:p w:rsidR="00D32D88" w:rsidRPr="00BD31E7" w:rsidRDefault="00385046">
      <w:pPr>
        <w:tabs>
          <w:tab w:val="left" w:pos="-720"/>
        </w:tabs>
        <w:suppressAutoHyphens/>
        <w:rPr>
          <w:rFonts w:ascii="Times New Roman" w:hAnsi="Times New Roman"/>
        </w:rPr>
      </w:pPr>
      <w:r w:rsidRPr="00BD31E7">
        <w:rPr>
          <w:rFonts w:ascii="Times New Roman" w:hAnsi="Times New Roman"/>
        </w:rPr>
        <w:tab/>
        <w:t>Not applicable.</w:t>
      </w:r>
    </w:p>
    <w:p w:rsidR="00414D16" w:rsidRPr="00BD31E7" w:rsidRDefault="00414D16">
      <w:pPr>
        <w:tabs>
          <w:tab w:val="left" w:pos="-720"/>
        </w:tabs>
        <w:suppressAutoHyphens/>
        <w:rPr>
          <w:rFonts w:ascii="Times New Roman" w:hAnsi="Times New Roman"/>
        </w:rPr>
      </w:pPr>
    </w:p>
    <w:p w:rsidR="00414D16" w:rsidRPr="00BD31E7" w:rsidRDefault="00414D16" w:rsidP="00414D16">
      <w:pPr>
        <w:tabs>
          <w:tab w:val="left" w:pos="-720"/>
          <w:tab w:val="left" w:pos="0"/>
        </w:tabs>
        <w:suppressAutoHyphens/>
        <w:ind w:left="720"/>
        <w:rPr>
          <w:rFonts w:ascii="Times New Roman" w:hAnsi="Times New Roman"/>
        </w:rPr>
      </w:pPr>
      <w:r w:rsidRPr="00BD31E7">
        <w:rPr>
          <w:rFonts w:ascii="Times New Roman" w:hAnsi="Times New Roman"/>
          <w:b/>
          <w:bCs/>
        </w:rPr>
        <w:t>12.</w:t>
      </w:r>
      <w:r w:rsidRPr="00BD31E7">
        <w:rPr>
          <w:rFonts w:ascii="Times New Roman" w:hAnsi="Times New Roman"/>
          <w:b/>
          <w:bCs/>
        </w:rPr>
        <w:tab/>
        <w:t>Estimate of Reporting Burden</w:t>
      </w:r>
    </w:p>
    <w:p w:rsidR="00414D16" w:rsidRPr="00BD31E7" w:rsidRDefault="00414D16" w:rsidP="00414D16">
      <w:pPr>
        <w:tabs>
          <w:tab w:val="left" w:pos="-720"/>
        </w:tabs>
        <w:suppressAutoHyphens/>
        <w:rPr>
          <w:rFonts w:ascii="Times New Roman" w:hAnsi="Times New Roman"/>
        </w:rPr>
      </w:pPr>
    </w:p>
    <w:p w:rsidR="00BD31E7" w:rsidRDefault="00414D16" w:rsidP="00120642">
      <w:pPr>
        <w:tabs>
          <w:tab w:val="left" w:pos="-720"/>
        </w:tabs>
        <w:suppressAutoHyphens/>
        <w:rPr>
          <w:rFonts w:ascii="Times New Roman" w:hAnsi="Times New Roman"/>
        </w:rPr>
      </w:pPr>
      <w:r w:rsidRPr="00BD31E7">
        <w:rPr>
          <w:rFonts w:ascii="Times New Roman" w:hAnsi="Times New Roman"/>
        </w:rPr>
        <w:tab/>
      </w:r>
      <w:r w:rsidR="00120642" w:rsidRPr="00BD31E7">
        <w:rPr>
          <w:rFonts w:ascii="Times New Roman" w:hAnsi="Times New Roman"/>
        </w:rPr>
        <w:t xml:space="preserve">The Commission preliminarily estimates that the requirement to retain information and documents pursuant to the Note to paragraphs (b)(1) and (2) of Rule 13Aa-2T would impose a </w:t>
      </w:r>
      <w:r w:rsidR="00204E0C">
        <w:rPr>
          <w:rFonts w:ascii="Times New Roman" w:hAnsi="Times New Roman"/>
        </w:rPr>
        <w:t xml:space="preserve">one-time </w:t>
      </w:r>
      <w:r w:rsidR="00120642" w:rsidRPr="00BD31E7">
        <w:rPr>
          <w:rFonts w:ascii="Times New Roman" w:hAnsi="Times New Roman"/>
        </w:rPr>
        <w:t xml:space="preserve">burden on each respondent of approximately 38 burden hours for </w:t>
      </w:r>
      <w:r w:rsidR="00204E0C">
        <w:rPr>
          <w:rFonts w:ascii="Times New Roman" w:hAnsi="Times New Roman"/>
        </w:rPr>
        <w:t xml:space="preserve">a one-time </w:t>
      </w:r>
      <w:r w:rsidR="00120642" w:rsidRPr="00BD31E7">
        <w:rPr>
          <w:rFonts w:ascii="Times New Roman" w:hAnsi="Times New Roman"/>
        </w:rPr>
        <w:t>aggregate burden of approximately 38,000 hours, which includes an estimate of the number of potential burden hours required to amend internal procedures, reprogram systems, and implement compliance processes to ensure that security-based swap transaction data is preserved.</w:t>
      </w:r>
      <w:r w:rsidR="00120642" w:rsidRPr="00BD31E7">
        <w:rPr>
          <w:rFonts w:ascii="Times New Roman" w:hAnsi="Times New Roman"/>
          <w:vertAlign w:val="superscript"/>
        </w:rPr>
        <w:footnoteReference w:id="6"/>
      </w:r>
      <w:r w:rsidR="00120642" w:rsidRPr="00BD31E7">
        <w:rPr>
          <w:rFonts w:ascii="Times New Roman" w:hAnsi="Times New Roman"/>
        </w:rPr>
        <w:t xml:space="preserve">  </w:t>
      </w:r>
    </w:p>
    <w:p w:rsidR="005118C0" w:rsidRDefault="005118C0" w:rsidP="000179A0">
      <w:pPr>
        <w:tabs>
          <w:tab w:val="left" w:pos="-720"/>
        </w:tabs>
        <w:suppressAutoHyphens/>
        <w:rPr>
          <w:rFonts w:ascii="Times New Roman" w:hAnsi="Times New Roman"/>
        </w:rPr>
      </w:pPr>
    </w:p>
    <w:p w:rsidR="000179A0" w:rsidRPr="008B2A75" w:rsidRDefault="005118C0" w:rsidP="000179A0">
      <w:pPr>
        <w:tabs>
          <w:tab w:val="left" w:pos="-720"/>
        </w:tabs>
        <w:suppressAutoHyphens/>
        <w:rPr>
          <w:rFonts w:ascii="Times New Roman" w:hAnsi="Times New Roman"/>
        </w:rPr>
      </w:pPr>
      <w:r>
        <w:rPr>
          <w:rFonts w:ascii="Times New Roman" w:hAnsi="Times New Roman"/>
        </w:rPr>
        <w:tab/>
      </w:r>
      <w:r w:rsidR="00120642" w:rsidRPr="00BD31E7">
        <w:rPr>
          <w:rFonts w:ascii="Times New Roman" w:hAnsi="Times New Roman"/>
        </w:rPr>
        <w:t xml:space="preserve">Rule 13Aa-2T(b)(1) requires reporting entities to report pre-enactment security-based swap transactions to a registered security-based swap data repository or the Commission by the compliance date established in the reporting rules required under Sections 3C(e) and 13A(a)(1) of the Exchange Act, or within 60 days after a registered security-based swap data repository commences operations to receive and maintain data concerning such security-based swaps, whichever occurs first.  </w:t>
      </w:r>
      <w:r w:rsidR="005579B8">
        <w:rPr>
          <w:rFonts w:ascii="Times New Roman" w:hAnsi="Times New Roman"/>
        </w:rPr>
        <w:t>T</w:t>
      </w:r>
      <w:r w:rsidR="00120642" w:rsidRPr="00BD31E7">
        <w:rPr>
          <w:rFonts w:ascii="Times New Roman" w:hAnsi="Times New Roman"/>
        </w:rPr>
        <w:t>he Commission preliminarily estimates that complying with Rule 13Aa-2T(b)(1) would impose a burden on each respondent of approximately 480 hours, for an aggregate</w:t>
      </w:r>
      <w:r w:rsidR="00FA513F">
        <w:rPr>
          <w:rFonts w:ascii="Times New Roman" w:hAnsi="Times New Roman"/>
        </w:rPr>
        <w:t xml:space="preserve"> </w:t>
      </w:r>
      <w:r w:rsidR="00120642" w:rsidRPr="00BD31E7">
        <w:rPr>
          <w:rFonts w:ascii="Times New Roman" w:hAnsi="Times New Roman"/>
        </w:rPr>
        <w:t>burden of approximately 480,000 burden hours.</w:t>
      </w:r>
      <w:r w:rsidR="00FA513F" w:rsidRPr="00FA513F">
        <w:rPr>
          <w:rStyle w:val="FootnoteReference"/>
          <w:rFonts w:ascii="Times New Roman" w:hAnsi="Times New Roman"/>
        </w:rPr>
        <w:footnoteReference w:id="7"/>
      </w:r>
      <w:r w:rsidR="000179A0">
        <w:rPr>
          <w:rFonts w:ascii="Times New Roman" w:hAnsi="Times New Roman"/>
        </w:rPr>
        <w:t xml:space="preserve">  </w:t>
      </w:r>
    </w:p>
    <w:p w:rsidR="00FA513F" w:rsidRDefault="00FA513F" w:rsidP="00FA513F">
      <w:pPr>
        <w:rPr>
          <w:rFonts w:ascii="Times New Roman" w:hAnsi="Times New Roman"/>
        </w:rPr>
      </w:pPr>
    </w:p>
    <w:p w:rsidR="000179A0" w:rsidRPr="008B2A75" w:rsidRDefault="005118C0" w:rsidP="005B4568">
      <w:pPr>
        <w:rPr>
          <w:rFonts w:ascii="Times New Roman" w:hAnsi="Times New Roman"/>
        </w:rPr>
      </w:pPr>
      <w:r>
        <w:rPr>
          <w:rFonts w:ascii="Times New Roman" w:hAnsi="Times New Roman"/>
        </w:rPr>
        <w:tab/>
      </w:r>
      <w:r w:rsidRPr="00BD31E7">
        <w:rPr>
          <w:rFonts w:ascii="Times New Roman" w:hAnsi="Times New Roman"/>
        </w:rPr>
        <w:t>Rule 13Aa-2T(b)(2) requires reporting entities to report to the Commission upon request any information relating to security-based swap transactions.  Because the Note to paragraphs (b)(1) and (2) of Rule 13Aa-2T(d) requires reporting entities to retain their documents and information relating to the terms of pre-enactment security-based swap transactions, the Commission preliminarily believes that responding to a Commission request for such information should not impose a significant additional burden on reporting entities.  A reporting entity would need to review the request and gather responsive transaction data and documents.   Assuming the Commission requested one report from each reporting entity, the Commission preliminarily estimates that responding to Commission requests for information and documents pursuant to Rule 13Aa-2T(b)(2) would impose a burden on each respondent of approximately 34 hours, for an aggregate burden of approximately 34,000 burden hours.</w:t>
      </w:r>
      <w:r w:rsidRPr="00BD31E7">
        <w:rPr>
          <w:rFonts w:ascii="Times New Roman" w:hAnsi="Times New Roman"/>
          <w:vertAlign w:val="superscript"/>
        </w:rPr>
        <w:footnoteReference w:id="8"/>
      </w:r>
      <w:r w:rsidR="000179A0">
        <w:rPr>
          <w:rFonts w:ascii="Times New Roman" w:hAnsi="Times New Roman"/>
        </w:rPr>
        <w:t xml:space="preserve">  </w:t>
      </w:r>
    </w:p>
    <w:p w:rsidR="005118C0" w:rsidRDefault="005118C0" w:rsidP="00FA513F">
      <w:pPr>
        <w:rPr>
          <w:rFonts w:ascii="Times New Roman" w:hAnsi="Times New Roman"/>
        </w:rPr>
      </w:pPr>
    </w:p>
    <w:p w:rsidR="008B2A75" w:rsidRDefault="008B2A75" w:rsidP="00D32D88">
      <w:pPr>
        <w:tabs>
          <w:tab w:val="left" w:pos="-720"/>
          <w:tab w:val="left" w:pos="0"/>
        </w:tabs>
        <w:suppressAutoHyphens/>
        <w:ind w:left="720"/>
        <w:rPr>
          <w:rFonts w:ascii="Times New Roman" w:hAnsi="Times New Roman"/>
          <w:b/>
          <w:bCs/>
        </w:rPr>
      </w:pPr>
    </w:p>
    <w:p w:rsidR="00385046" w:rsidRPr="00BD31E7" w:rsidRDefault="00385046" w:rsidP="00D32D88">
      <w:pPr>
        <w:tabs>
          <w:tab w:val="left" w:pos="-720"/>
          <w:tab w:val="left" w:pos="0"/>
        </w:tabs>
        <w:suppressAutoHyphens/>
        <w:ind w:left="720"/>
        <w:rPr>
          <w:rFonts w:ascii="Times New Roman" w:hAnsi="Times New Roman"/>
        </w:rPr>
      </w:pPr>
      <w:r w:rsidRPr="00BD31E7">
        <w:rPr>
          <w:rFonts w:ascii="Times New Roman" w:hAnsi="Times New Roman"/>
          <w:b/>
          <w:bCs/>
        </w:rPr>
        <w:t>13.</w:t>
      </w:r>
      <w:r w:rsidRPr="00BD31E7">
        <w:rPr>
          <w:rFonts w:ascii="Times New Roman" w:hAnsi="Times New Roman"/>
          <w:b/>
          <w:bCs/>
        </w:rPr>
        <w:tab/>
        <w:t>Estimate of Total Annual Cost Burden</w:t>
      </w:r>
    </w:p>
    <w:p w:rsidR="00385046" w:rsidRPr="00BD31E7" w:rsidRDefault="00385046">
      <w:pPr>
        <w:tabs>
          <w:tab w:val="left" w:pos="-720"/>
        </w:tabs>
        <w:suppressAutoHyphens/>
        <w:rPr>
          <w:rFonts w:ascii="Times New Roman" w:hAnsi="Times New Roman"/>
        </w:rPr>
      </w:pPr>
    </w:p>
    <w:p w:rsidR="008B2A75" w:rsidRPr="008B2A75" w:rsidRDefault="002D02A5" w:rsidP="008B2A75">
      <w:pPr>
        <w:tabs>
          <w:tab w:val="left" w:pos="-720"/>
        </w:tabs>
        <w:suppressAutoHyphens/>
        <w:rPr>
          <w:rFonts w:ascii="Times New Roman" w:hAnsi="Times New Roman"/>
        </w:rPr>
      </w:pPr>
      <w:r>
        <w:rPr>
          <w:rFonts w:ascii="Times New Roman" w:hAnsi="Times New Roman"/>
        </w:rPr>
        <w:tab/>
      </w:r>
      <w:r w:rsidR="00BB7B0C">
        <w:rPr>
          <w:rFonts w:ascii="Times New Roman" w:hAnsi="Times New Roman"/>
        </w:rPr>
        <w:t>The Commission preliminarily estimates</w:t>
      </w:r>
      <w:r w:rsidR="008B2A75" w:rsidRPr="008B2A75">
        <w:rPr>
          <w:rFonts w:ascii="Times New Roman" w:hAnsi="Times New Roman"/>
        </w:rPr>
        <w:t xml:space="preserve"> that reporting entities may have initial one-time costs to establish connectivity with and report the pre-enactment security-based swaps to a registered security-based swap data repository or the Commission.  </w:t>
      </w:r>
      <w:r w:rsidR="00BB7B0C">
        <w:rPr>
          <w:rFonts w:ascii="Times New Roman" w:hAnsi="Times New Roman"/>
        </w:rPr>
        <w:t>The Commission preliminarily estimates</w:t>
      </w:r>
      <w:r w:rsidR="00BB7B0C" w:rsidRPr="008B2A75">
        <w:rPr>
          <w:rFonts w:ascii="Times New Roman" w:hAnsi="Times New Roman"/>
        </w:rPr>
        <w:t xml:space="preserve"> </w:t>
      </w:r>
      <w:r w:rsidR="008B2A75" w:rsidRPr="008B2A75">
        <w:rPr>
          <w:rFonts w:ascii="Times New Roman" w:hAnsi="Times New Roman"/>
        </w:rPr>
        <w:t xml:space="preserve">that the cost to establish connectivity to a security-based swap data repository to facilitate the reporting required by Rule 13Aa-2T(b)(1) would impose a burden an </w:t>
      </w:r>
      <w:r w:rsidR="008B2A75" w:rsidRPr="008B2A75">
        <w:rPr>
          <w:rFonts w:ascii="Times New Roman" w:hAnsi="Times New Roman"/>
        </w:rPr>
        <w:lastRenderedPageBreak/>
        <w:t>aggregate burden of approximately $25,000,000 for hardware- and software-related expenses and other costs associated with establishing connectivity.</w:t>
      </w:r>
      <w:r w:rsidR="008B2A75" w:rsidRPr="008B2A75">
        <w:rPr>
          <w:rFonts w:ascii="Times New Roman" w:hAnsi="Times New Roman"/>
          <w:vertAlign w:val="superscript"/>
        </w:rPr>
        <w:footnoteReference w:id="9"/>
      </w:r>
    </w:p>
    <w:p w:rsidR="008B2A75" w:rsidRPr="008B2A75" w:rsidRDefault="008B2A75" w:rsidP="008B2A75">
      <w:pPr>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p>
    <w:p w:rsidR="00385046" w:rsidRPr="00BD31E7" w:rsidRDefault="00385046" w:rsidP="00D32D88">
      <w:pPr>
        <w:tabs>
          <w:tab w:val="left" w:pos="-720"/>
        </w:tabs>
        <w:suppressAutoHyphens/>
        <w:ind w:left="720"/>
        <w:rPr>
          <w:rFonts w:ascii="Times New Roman" w:hAnsi="Times New Roman"/>
        </w:rPr>
      </w:pPr>
      <w:r w:rsidRPr="00BD31E7">
        <w:rPr>
          <w:rFonts w:ascii="Times New Roman" w:hAnsi="Times New Roman"/>
          <w:b/>
          <w:bCs/>
        </w:rPr>
        <w:t xml:space="preserve">14.  </w:t>
      </w:r>
      <w:r w:rsidR="0042775C">
        <w:rPr>
          <w:rFonts w:ascii="Times New Roman" w:hAnsi="Times New Roman"/>
          <w:b/>
          <w:bCs/>
        </w:rPr>
        <w:tab/>
      </w:r>
      <w:r w:rsidRPr="00BD31E7">
        <w:rPr>
          <w:rFonts w:ascii="Times New Roman" w:hAnsi="Times New Roman"/>
          <w:b/>
          <w:bCs/>
        </w:rPr>
        <w:t>Estimate of Cost to the Federal Government</w:t>
      </w:r>
    </w:p>
    <w:p w:rsidR="00385046" w:rsidRPr="00BD31E7" w:rsidRDefault="00385046">
      <w:pPr>
        <w:keepLines/>
        <w:tabs>
          <w:tab w:val="left" w:pos="-720"/>
        </w:tabs>
        <w:suppressAutoHyphens/>
        <w:spacing w:line="240" w:lineRule="atLeast"/>
        <w:rPr>
          <w:rFonts w:ascii="Times New Roman" w:hAnsi="Times New Roman"/>
        </w:rPr>
      </w:pPr>
      <w:r w:rsidRPr="00BD31E7">
        <w:rPr>
          <w:rFonts w:ascii="Times New Roman" w:hAnsi="Times New Roman"/>
        </w:rPr>
        <w:tab/>
        <w:t xml:space="preserve"> </w:t>
      </w:r>
      <w:r w:rsidRPr="00BD31E7">
        <w:rPr>
          <w:rFonts w:ascii="Times New Roman" w:hAnsi="Times New Roman"/>
          <w:highlight w:val="cyan"/>
        </w:rPr>
        <w:t xml:space="preserve"> </w:t>
      </w:r>
    </w:p>
    <w:p w:rsidR="00385046" w:rsidRPr="00BD31E7" w:rsidRDefault="00E40C58">
      <w:pPr>
        <w:pStyle w:val="Document1"/>
        <w:keepNext w:val="0"/>
        <w:keepLines w:val="0"/>
        <w:spacing w:line="240" w:lineRule="auto"/>
        <w:rPr>
          <w:rFonts w:ascii="Times New Roman" w:hAnsi="Times New Roman"/>
        </w:rPr>
      </w:pPr>
      <w:r w:rsidRPr="00BD31E7">
        <w:rPr>
          <w:rFonts w:ascii="Times New Roman" w:hAnsi="Times New Roman"/>
        </w:rPr>
        <w:tab/>
      </w:r>
      <w:r w:rsidR="005D2BB0" w:rsidRPr="00BD31E7">
        <w:rPr>
          <w:rFonts w:ascii="Times New Roman" w:hAnsi="Times New Roman"/>
        </w:rPr>
        <w:t xml:space="preserve">The recordkeeping requirements contained in the Interim Final Rule should not result in any expenditures for the Commission.  To the extent that market participants may be required in the future, pursuant to the Interim Final Rule, to report certain data to the Commission, the Commission may incur costs related to the </w:t>
      </w:r>
      <w:r w:rsidR="00497E0F">
        <w:rPr>
          <w:rFonts w:ascii="Times New Roman" w:hAnsi="Times New Roman"/>
        </w:rPr>
        <w:t xml:space="preserve">request, </w:t>
      </w:r>
      <w:r w:rsidR="005D2BB0" w:rsidRPr="00BD31E7">
        <w:rPr>
          <w:rFonts w:ascii="Times New Roman" w:hAnsi="Times New Roman"/>
        </w:rPr>
        <w:t>receipt</w:t>
      </w:r>
      <w:r w:rsidR="00497E0F">
        <w:rPr>
          <w:rFonts w:ascii="Times New Roman" w:hAnsi="Times New Roman"/>
        </w:rPr>
        <w:t>, analysis</w:t>
      </w:r>
      <w:r w:rsidR="005D2BB0" w:rsidRPr="00BD31E7">
        <w:rPr>
          <w:rFonts w:ascii="Times New Roman" w:hAnsi="Times New Roman"/>
        </w:rPr>
        <w:t xml:space="preserve"> and storage of this data, but these</w:t>
      </w:r>
      <w:r w:rsidRPr="00BD31E7">
        <w:rPr>
          <w:rFonts w:ascii="Times New Roman" w:hAnsi="Times New Roman"/>
        </w:rPr>
        <w:t xml:space="preserve"> costs </w:t>
      </w:r>
      <w:r w:rsidR="005D2BB0" w:rsidRPr="00BD31E7">
        <w:rPr>
          <w:rFonts w:ascii="Times New Roman" w:hAnsi="Times New Roman"/>
        </w:rPr>
        <w:t xml:space="preserve">should </w:t>
      </w:r>
      <w:r w:rsidRPr="00BD31E7">
        <w:rPr>
          <w:rFonts w:ascii="Times New Roman" w:hAnsi="Times New Roman"/>
        </w:rPr>
        <w:t>not</w:t>
      </w:r>
      <w:r w:rsidR="005D2BB0" w:rsidRPr="00BD31E7">
        <w:rPr>
          <w:rFonts w:ascii="Times New Roman" w:hAnsi="Times New Roman"/>
        </w:rPr>
        <w:t xml:space="preserve"> be</w:t>
      </w:r>
      <w:r w:rsidRPr="00BD31E7">
        <w:rPr>
          <w:rFonts w:ascii="Times New Roman" w:hAnsi="Times New Roman"/>
        </w:rPr>
        <w:t xml:space="preserve"> significant.</w:t>
      </w:r>
    </w:p>
    <w:p w:rsidR="00E40C58" w:rsidRPr="00BD31E7" w:rsidRDefault="00E40C58">
      <w:pPr>
        <w:pStyle w:val="Document1"/>
        <w:keepNext w:val="0"/>
        <w:keepLines w:val="0"/>
        <w:spacing w:line="240" w:lineRule="auto"/>
        <w:rPr>
          <w:rFonts w:ascii="Times New Roman" w:hAnsi="Times New Roman"/>
        </w:rPr>
      </w:pPr>
    </w:p>
    <w:p w:rsidR="00385046" w:rsidRPr="00BD31E7" w:rsidRDefault="00385046" w:rsidP="00BD31E7">
      <w:pPr>
        <w:keepNext/>
        <w:tabs>
          <w:tab w:val="left" w:pos="-720"/>
        </w:tabs>
        <w:suppressAutoHyphens/>
        <w:ind w:left="720"/>
        <w:rPr>
          <w:rFonts w:ascii="Times New Roman" w:hAnsi="Times New Roman"/>
        </w:rPr>
      </w:pPr>
      <w:r w:rsidRPr="00BD31E7">
        <w:rPr>
          <w:rFonts w:ascii="Times New Roman" w:hAnsi="Times New Roman"/>
          <w:b/>
          <w:bCs/>
        </w:rPr>
        <w:t xml:space="preserve">15.  </w:t>
      </w:r>
      <w:r w:rsidR="0042775C">
        <w:rPr>
          <w:rFonts w:ascii="Times New Roman" w:hAnsi="Times New Roman"/>
          <w:b/>
          <w:bCs/>
        </w:rPr>
        <w:tab/>
      </w:r>
      <w:r w:rsidRPr="00BD31E7">
        <w:rPr>
          <w:rFonts w:ascii="Times New Roman" w:hAnsi="Times New Roman"/>
          <w:b/>
          <w:bCs/>
        </w:rPr>
        <w:t>Explanation of Changes in Burden</w:t>
      </w:r>
    </w:p>
    <w:p w:rsidR="00385046" w:rsidRPr="00BD31E7" w:rsidRDefault="00385046" w:rsidP="00BD31E7">
      <w:pPr>
        <w:keepNext/>
        <w:rPr>
          <w:rFonts w:ascii="Times New Roman" w:hAnsi="Times New Roman"/>
          <w:color w:val="000000"/>
        </w:rPr>
      </w:pPr>
      <w:r w:rsidRPr="00BD31E7">
        <w:rPr>
          <w:rFonts w:ascii="Times New Roman" w:hAnsi="Times New Roman"/>
        </w:rPr>
        <w:tab/>
      </w:r>
    </w:p>
    <w:p w:rsidR="00E141D6" w:rsidRPr="00BD31E7" w:rsidRDefault="00C1121C" w:rsidP="00E141D6">
      <w:pPr>
        <w:tabs>
          <w:tab w:val="left" w:pos="-720"/>
        </w:tabs>
        <w:suppressAutoHyphens/>
        <w:spacing w:line="240" w:lineRule="atLeast"/>
        <w:rPr>
          <w:rFonts w:ascii="Times New Roman" w:hAnsi="Times New Roman"/>
          <w:b/>
        </w:rPr>
      </w:pPr>
      <w:r w:rsidRPr="00BD31E7">
        <w:rPr>
          <w:rFonts w:ascii="Times New Roman" w:hAnsi="Times New Roman"/>
        </w:rPr>
        <w:tab/>
      </w:r>
      <w:r w:rsidR="003803DA" w:rsidRPr="00BD31E7">
        <w:rPr>
          <w:rFonts w:ascii="Times New Roman" w:hAnsi="Times New Roman"/>
        </w:rPr>
        <w:t>Not applicable.  Rule 13Aa-2T is a new rule.</w:t>
      </w:r>
      <w:r w:rsidR="00E141D6" w:rsidRPr="00BD31E7">
        <w:rPr>
          <w:rFonts w:ascii="Times New Roman" w:hAnsi="Times New Roman"/>
          <w:b/>
        </w:rPr>
        <w:t xml:space="preserve"> </w:t>
      </w:r>
    </w:p>
    <w:p w:rsidR="00C1121C" w:rsidRPr="00BD31E7" w:rsidRDefault="00C1121C">
      <w:pPr>
        <w:tabs>
          <w:tab w:val="left" w:pos="-720"/>
        </w:tabs>
        <w:suppressAutoHyphens/>
        <w:rPr>
          <w:rFonts w:ascii="Times New Roman" w:hAnsi="Times New Roman"/>
        </w:rPr>
      </w:pPr>
    </w:p>
    <w:p w:rsidR="00385046" w:rsidRPr="00BD31E7" w:rsidRDefault="00385046" w:rsidP="00D32D88">
      <w:pPr>
        <w:tabs>
          <w:tab w:val="left" w:pos="-720"/>
          <w:tab w:val="left" w:pos="0"/>
        </w:tabs>
        <w:suppressAutoHyphens/>
        <w:ind w:left="720"/>
        <w:rPr>
          <w:rFonts w:ascii="Times New Roman" w:hAnsi="Times New Roman"/>
        </w:rPr>
      </w:pPr>
      <w:r w:rsidRPr="00BD31E7">
        <w:rPr>
          <w:rFonts w:ascii="Times New Roman" w:hAnsi="Times New Roman"/>
          <w:b/>
          <w:bCs/>
        </w:rPr>
        <w:t>16.</w:t>
      </w:r>
      <w:r w:rsidRPr="00BD31E7">
        <w:rPr>
          <w:rFonts w:ascii="Times New Roman" w:hAnsi="Times New Roman"/>
          <w:b/>
          <w:bCs/>
        </w:rPr>
        <w:tab/>
        <w:t>Information Collection Planned for Statistical Purposes</w:t>
      </w:r>
    </w:p>
    <w:p w:rsidR="00385046" w:rsidRPr="00BD31E7" w:rsidRDefault="00385046">
      <w:pPr>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r w:rsidRPr="00BD31E7">
        <w:rPr>
          <w:rFonts w:ascii="Times New Roman" w:hAnsi="Times New Roman"/>
        </w:rPr>
        <w:tab/>
        <w:t>Not applicable.</w:t>
      </w:r>
    </w:p>
    <w:p w:rsidR="00385046" w:rsidRPr="00BD31E7" w:rsidRDefault="00385046">
      <w:pPr>
        <w:tabs>
          <w:tab w:val="left" w:pos="-720"/>
        </w:tabs>
        <w:suppressAutoHyphens/>
        <w:rPr>
          <w:rFonts w:ascii="Times New Roman" w:hAnsi="Times New Roman"/>
        </w:rPr>
      </w:pPr>
    </w:p>
    <w:p w:rsidR="00385046" w:rsidRPr="00BD31E7" w:rsidRDefault="00385046" w:rsidP="00D32D88">
      <w:pPr>
        <w:tabs>
          <w:tab w:val="left" w:pos="-720"/>
          <w:tab w:val="left" w:pos="0"/>
        </w:tabs>
        <w:suppressAutoHyphens/>
        <w:ind w:left="720"/>
        <w:rPr>
          <w:rFonts w:ascii="Times New Roman" w:hAnsi="Times New Roman"/>
        </w:rPr>
      </w:pPr>
      <w:r w:rsidRPr="00BD31E7">
        <w:rPr>
          <w:rFonts w:ascii="Times New Roman" w:hAnsi="Times New Roman"/>
          <w:b/>
          <w:bCs/>
        </w:rPr>
        <w:t>17.</w:t>
      </w:r>
      <w:r w:rsidRPr="00BD31E7">
        <w:rPr>
          <w:rFonts w:ascii="Times New Roman" w:hAnsi="Times New Roman"/>
          <w:b/>
          <w:bCs/>
        </w:rPr>
        <w:tab/>
      </w:r>
      <w:r w:rsidR="00D32D88" w:rsidRPr="00BD31E7">
        <w:rPr>
          <w:rFonts w:ascii="Times New Roman" w:hAnsi="Times New Roman"/>
          <w:b/>
          <w:bCs/>
        </w:rPr>
        <w:t>Approval to not Display Expiration Date</w:t>
      </w:r>
    </w:p>
    <w:p w:rsidR="00385046" w:rsidRPr="00BD31E7" w:rsidRDefault="00385046">
      <w:pPr>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r w:rsidRPr="00BD31E7">
        <w:rPr>
          <w:rFonts w:ascii="Times New Roman" w:hAnsi="Times New Roman"/>
        </w:rPr>
        <w:tab/>
        <w:t>Not applicable.</w:t>
      </w:r>
    </w:p>
    <w:p w:rsidR="00385046" w:rsidRPr="00BD31E7" w:rsidRDefault="00385046">
      <w:pPr>
        <w:tabs>
          <w:tab w:val="left" w:pos="-720"/>
        </w:tabs>
        <w:suppressAutoHyphens/>
        <w:rPr>
          <w:rFonts w:ascii="Times New Roman" w:hAnsi="Times New Roman"/>
        </w:rPr>
      </w:pPr>
    </w:p>
    <w:p w:rsidR="00385046" w:rsidRPr="00BD31E7" w:rsidRDefault="00385046" w:rsidP="00D32D88">
      <w:pPr>
        <w:keepNext/>
        <w:keepLines/>
        <w:tabs>
          <w:tab w:val="left" w:pos="-720"/>
          <w:tab w:val="left" w:pos="0"/>
        </w:tabs>
        <w:suppressAutoHyphens/>
        <w:ind w:left="720"/>
        <w:rPr>
          <w:rFonts w:ascii="Times New Roman" w:hAnsi="Times New Roman"/>
        </w:rPr>
      </w:pPr>
      <w:r w:rsidRPr="00BD31E7">
        <w:rPr>
          <w:rFonts w:ascii="Times New Roman" w:hAnsi="Times New Roman"/>
          <w:b/>
          <w:bCs/>
        </w:rPr>
        <w:t>18.</w:t>
      </w:r>
      <w:r w:rsidRPr="00BD31E7">
        <w:rPr>
          <w:rFonts w:ascii="Times New Roman" w:hAnsi="Times New Roman"/>
          <w:b/>
          <w:bCs/>
        </w:rPr>
        <w:tab/>
        <w:t>Exception</w:t>
      </w:r>
      <w:r w:rsidR="00D32D88" w:rsidRPr="00BD31E7">
        <w:rPr>
          <w:rFonts w:ascii="Times New Roman" w:hAnsi="Times New Roman"/>
          <w:b/>
          <w:bCs/>
        </w:rPr>
        <w:t>s</w:t>
      </w:r>
      <w:r w:rsidRPr="00BD31E7">
        <w:rPr>
          <w:rFonts w:ascii="Times New Roman" w:hAnsi="Times New Roman"/>
          <w:b/>
          <w:bCs/>
        </w:rPr>
        <w:t xml:space="preserve"> to Certification</w:t>
      </w:r>
      <w:r w:rsidR="00D32D88" w:rsidRPr="00BD31E7">
        <w:rPr>
          <w:rFonts w:ascii="Times New Roman" w:hAnsi="Times New Roman"/>
          <w:b/>
          <w:bCs/>
        </w:rPr>
        <w:t xml:space="preserve"> Statement</w:t>
      </w:r>
    </w:p>
    <w:p w:rsidR="00385046" w:rsidRPr="00BD31E7" w:rsidRDefault="00385046">
      <w:pPr>
        <w:keepLines/>
        <w:tabs>
          <w:tab w:val="left" w:pos="-720"/>
        </w:tabs>
        <w:suppressAutoHyphens/>
        <w:rPr>
          <w:rFonts w:ascii="Times New Roman" w:hAnsi="Times New Roman"/>
        </w:rPr>
      </w:pPr>
    </w:p>
    <w:p w:rsidR="00385046" w:rsidRPr="00BD31E7" w:rsidRDefault="00385046">
      <w:pPr>
        <w:keepLines/>
        <w:tabs>
          <w:tab w:val="left" w:pos="-720"/>
        </w:tabs>
        <w:suppressAutoHyphens/>
        <w:rPr>
          <w:rFonts w:ascii="Times New Roman" w:hAnsi="Times New Roman"/>
        </w:rPr>
      </w:pPr>
      <w:r w:rsidRPr="00BD31E7">
        <w:rPr>
          <w:rFonts w:ascii="Times New Roman" w:hAnsi="Times New Roman"/>
        </w:rPr>
        <w:tab/>
        <w:t>Not applicable.</w:t>
      </w:r>
    </w:p>
    <w:p w:rsidR="00385046" w:rsidRPr="00BD31E7" w:rsidRDefault="00385046">
      <w:pPr>
        <w:keepLines/>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r w:rsidRPr="00BD31E7">
        <w:rPr>
          <w:rFonts w:ascii="Times New Roman" w:hAnsi="Times New Roman"/>
          <w:b/>
          <w:bCs/>
        </w:rPr>
        <w:t>B.</w:t>
      </w:r>
      <w:r w:rsidRPr="00BD31E7">
        <w:rPr>
          <w:rFonts w:ascii="Times New Roman" w:hAnsi="Times New Roman"/>
          <w:b/>
          <w:bCs/>
        </w:rPr>
        <w:tab/>
        <w:t>COLLECTIONS OF INFORMATION EMPLOYING STATISTICAL METHODS</w:t>
      </w:r>
    </w:p>
    <w:p w:rsidR="00385046" w:rsidRPr="00BD31E7" w:rsidRDefault="00385046">
      <w:pPr>
        <w:tabs>
          <w:tab w:val="left" w:pos="-720"/>
        </w:tabs>
        <w:suppressAutoHyphens/>
        <w:rPr>
          <w:rFonts w:ascii="Times New Roman" w:hAnsi="Times New Roman"/>
        </w:rPr>
      </w:pPr>
    </w:p>
    <w:p w:rsidR="00385046" w:rsidRPr="00BD31E7" w:rsidRDefault="00385046">
      <w:pPr>
        <w:tabs>
          <w:tab w:val="left" w:pos="-720"/>
        </w:tabs>
        <w:suppressAutoHyphens/>
        <w:rPr>
          <w:rFonts w:ascii="Times New Roman" w:hAnsi="Times New Roman"/>
        </w:rPr>
      </w:pPr>
      <w:r w:rsidRPr="00BD31E7">
        <w:rPr>
          <w:rFonts w:ascii="Times New Roman" w:hAnsi="Times New Roman"/>
        </w:rPr>
        <w:tab/>
        <w:t>Not applicable.</w:t>
      </w:r>
    </w:p>
    <w:p w:rsidR="00385046" w:rsidRPr="00BD31E7" w:rsidRDefault="00385046">
      <w:pPr>
        <w:tabs>
          <w:tab w:val="left" w:pos="-720"/>
        </w:tabs>
        <w:suppressAutoHyphens/>
        <w:rPr>
          <w:rFonts w:ascii="Times New Roman" w:hAnsi="Times New Roman"/>
        </w:rPr>
      </w:pPr>
    </w:p>
    <w:sectPr w:rsidR="00385046" w:rsidRPr="00BD31E7" w:rsidSect="00FA513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1440" w:footer="108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3C6" w:rsidRDefault="006D03C6">
      <w:pPr>
        <w:widowControl/>
        <w:spacing w:line="20" w:lineRule="exact"/>
        <w:rPr>
          <w:sz w:val="20"/>
        </w:rPr>
      </w:pPr>
    </w:p>
  </w:endnote>
  <w:endnote w:type="continuationSeparator" w:id="0">
    <w:p w:rsidR="006D03C6" w:rsidRDefault="006D03C6">
      <w:r>
        <w:rPr>
          <w:sz w:val="20"/>
        </w:rPr>
        <w:t xml:space="preserve"> </w:t>
      </w:r>
    </w:p>
  </w:endnote>
  <w:endnote w:type="continuationNotice" w:id="1">
    <w:p w:rsidR="006D03C6" w:rsidRDefault="006D03C6">
      <w:r>
        <w:rPr>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Kino MT">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83" w:rsidRDefault="009A7EA0">
    <w:pPr>
      <w:pStyle w:val="Footer"/>
      <w:framePr w:wrap="around" w:vAnchor="text" w:hAnchor="margin" w:xAlign="center" w:y="1"/>
      <w:rPr>
        <w:rStyle w:val="PageNumber"/>
      </w:rPr>
    </w:pPr>
    <w:r>
      <w:rPr>
        <w:rStyle w:val="PageNumber"/>
      </w:rPr>
      <w:fldChar w:fldCharType="begin"/>
    </w:r>
    <w:r w:rsidR="006B6683">
      <w:rPr>
        <w:rStyle w:val="PageNumber"/>
      </w:rPr>
      <w:instrText xml:space="preserve">PAGE  </w:instrText>
    </w:r>
    <w:r>
      <w:rPr>
        <w:rStyle w:val="PageNumber"/>
      </w:rPr>
      <w:fldChar w:fldCharType="end"/>
    </w:r>
  </w:p>
  <w:p w:rsidR="006B6683" w:rsidRDefault="006B66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83" w:rsidRPr="004814E4" w:rsidRDefault="009A7EA0">
    <w:pPr>
      <w:pStyle w:val="Footer"/>
      <w:framePr w:wrap="around" w:vAnchor="text" w:hAnchor="margin" w:xAlign="center" w:y="1"/>
      <w:rPr>
        <w:rStyle w:val="PageNumber"/>
        <w:rFonts w:ascii="Times New Roman" w:hAnsi="Times New Roman"/>
      </w:rPr>
    </w:pPr>
    <w:r w:rsidRPr="004814E4">
      <w:rPr>
        <w:rStyle w:val="PageNumber"/>
        <w:rFonts w:ascii="Times New Roman" w:hAnsi="Times New Roman"/>
      </w:rPr>
      <w:fldChar w:fldCharType="begin"/>
    </w:r>
    <w:r w:rsidR="006B6683" w:rsidRPr="004814E4">
      <w:rPr>
        <w:rStyle w:val="PageNumber"/>
        <w:rFonts w:ascii="Times New Roman" w:hAnsi="Times New Roman"/>
      </w:rPr>
      <w:instrText xml:space="preserve">PAGE  </w:instrText>
    </w:r>
    <w:r w:rsidRPr="004814E4">
      <w:rPr>
        <w:rStyle w:val="PageNumber"/>
        <w:rFonts w:ascii="Times New Roman" w:hAnsi="Times New Roman"/>
      </w:rPr>
      <w:fldChar w:fldCharType="separate"/>
    </w:r>
    <w:r w:rsidR="005B4568">
      <w:rPr>
        <w:rStyle w:val="PageNumber"/>
        <w:rFonts w:ascii="Times New Roman" w:hAnsi="Times New Roman"/>
        <w:noProof/>
      </w:rPr>
      <w:t>6</w:t>
    </w:r>
    <w:r w:rsidRPr="004814E4">
      <w:rPr>
        <w:rStyle w:val="PageNumber"/>
        <w:rFonts w:ascii="Times New Roman" w:hAnsi="Times New Roman"/>
      </w:rPr>
      <w:fldChar w:fldCharType="end"/>
    </w:r>
  </w:p>
  <w:p w:rsidR="006B6683" w:rsidRDefault="006B66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F8" w:rsidRDefault="006D5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3C6" w:rsidRDefault="006D03C6">
      <w:r>
        <w:rPr>
          <w:sz w:val="20"/>
        </w:rPr>
        <w:separator/>
      </w:r>
    </w:p>
  </w:footnote>
  <w:footnote w:type="continuationSeparator" w:id="0">
    <w:p w:rsidR="006D03C6" w:rsidRDefault="006D03C6">
      <w:r>
        <w:continuationSeparator/>
      </w:r>
    </w:p>
  </w:footnote>
  <w:footnote w:id="1">
    <w:p w:rsidR="006B6683" w:rsidRPr="00B96A65" w:rsidRDefault="006B6683" w:rsidP="00B96A65">
      <w:pPr>
        <w:pStyle w:val="FootnoteText"/>
        <w:spacing w:after="120" w:line="240" w:lineRule="auto"/>
        <w:ind w:left="720" w:hanging="720"/>
        <w:rPr>
          <w:sz w:val="24"/>
          <w:szCs w:val="24"/>
        </w:rPr>
      </w:pPr>
      <w:r w:rsidRPr="00B96A65">
        <w:rPr>
          <w:rStyle w:val="FootnoteReference"/>
          <w:rFonts w:ascii="Times New Roman" w:hAnsi="Times New Roman"/>
        </w:rPr>
        <w:footnoteRef/>
      </w:r>
      <w:r w:rsidRPr="00B96A65">
        <w:rPr>
          <w:sz w:val="24"/>
          <w:szCs w:val="24"/>
        </w:rPr>
        <w:t xml:space="preserve"> </w:t>
      </w:r>
      <w:r w:rsidRPr="00B96A65">
        <w:rPr>
          <w:sz w:val="24"/>
          <w:szCs w:val="24"/>
        </w:rPr>
        <w:tab/>
        <w:t>The Dodd-Frank Wall Street Reform and Consumer Protection Act (Pub. L. No. 11-203, H.R. 4173).</w:t>
      </w:r>
    </w:p>
  </w:footnote>
  <w:footnote w:id="2">
    <w:p w:rsidR="006B6683" w:rsidRPr="002D02A5" w:rsidRDefault="006B6683" w:rsidP="00B96A65">
      <w:pPr>
        <w:spacing w:after="120"/>
        <w:ind w:left="720" w:hanging="720"/>
        <w:rPr>
          <w:rFonts w:ascii="Times New Roman" w:hAnsi="Times New Roman"/>
        </w:rPr>
      </w:pPr>
      <w:r w:rsidRPr="002D02A5">
        <w:rPr>
          <w:rStyle w:val="FootnoteReference"/>
          <w:rFonts w:ascii="Times New Roman" w:hAnsi="Times New Roman"/>
        </w:rPr>
        <w:footnoteRef/>
      </w:r>
      <w:r w:rsidRPr="002D02A5">
        <w:rPr>
          <w:rFonts w:ascii="Times New Roman" w:hAnsi="Times New Roman"/>
        </w:rPr>
        <w:t xml:space="preserve"> </w:t>
      </w:r>
      <w:r w:rsidRPr="002D02A5">
        <w:rPr>
          <w:rFonts w:ascii="Times New Roman" w:hAnsi="Times New Roman"/>
        </w:rPr>
        <w:tab/>
      </w:r>
      <w:r w:rsidRPr="002D02A5">
        <w:rPr>
          <w:rFonts w:ascii="Times New Roman" w:hAnsi="Times New Roman"/>
          <w:u w:val="single"/>
        </w:rPr>
        <w:t>See</w:t>
      </w:r>
      <w:r w:rsidRPr="002D02A5">
        <w:rPr>
          <w:rFonts w:ascii="Times New Roman" w:hAnsi="Times New Roman"/>
        </w:rPr>
        <w:t xml:space="preserve"> Section 719 of the Dodd-Frank Act.</w:t>
      </w:r>
    </w:p>
  </w:footnote>
  <w:footnote w:id="3">
    <w:p w:rsidR="00B96A65" w:rsidRPr="002D02A5" w:rsidRDefault="00B96A65" w:rsidP="00B96A65">
      <w:pPr>
        <w:pStyle w:val="FootnoteText"/>
        <w:tabs>
          <w:tab w:val="left" w:pos="90"/>
        </w:tabs>
        <w:spacing w:after="120" w:line="240" w:lineRule="auto"/>
        <w:ind w:left="720" w:hanging="720"/>
        <w:rPr>
          <w:sz w:val="24"/>
          <w:szCs w:val="24"/>
        </w:rPr>
      </w:pPr>
      <w:r w:rsidRPr="002D02A5">
        <w:rPr>
          <w:rStyle w:val="FootnoteReference"/>
          <w:rFonts w:ascii="Times New Roman" w:hAnsi="Times New Roman"/>
        </w:rPr>
        <w:footnoteRef/>
      </w:r>
      <w:r w:rsidRPr="002D02A5">
        <w:rPr>
          <w:sz w:val="24"/>
          <w:szCs w:val="24"/>
        </w:rPr>
        <w:t xml:space="preserve"> </w:t>
      </w:r>
      <w:r w:rsidRPr="002D02A5">
        <w:rPr>
          <w:sz w:val="24"/>
          <w:szCs w:val="24"/>
        </w:rPr>
        <w:tab/>
      </w:r>
      <w:r w:rsidRPr="002D02A5">
        <w:rPr>
          <w:sz w:val="24"/>
          <w:szCs w:val="24"/>
          <w:u w:val="single"/>
        </w:rPr>
        <w:t>See</w:t>
      </w:r>
      <w:r w:rsidRPr="002D02A5">
        <w:rPr>
          <w:sz w:val="24"/>
          <w:szCs w:val="24"/>
        </w:rPr>
        <w:t xml:space="preserve"> 15 U.S.C. 78m-1(a)(2)(B).</w:t>
      </w:r>
    </w:p>
  </w:footnote>
  <w:footnote w:id="4">
    <w:p w:rsidR="00B96A65" w:rsidRPr="002D02A5" w:rsidRDefault="00B96A65" w:rsidP="00B96A65">
      <w:pPr>
        <w:pStyle w:val="FootnoteText"/>
        <w:tabs>
          <w:tab w:val="left" w:pos="90"/>
        </w:tabs>
        <w:spacing w:after="120" w:line="240" w:lineRule="auto"/>
        <w:ind w:left="720" w:hanging="720"/>
        <w:rPr>
          <w:sz w:val="24"/>
          <w:szCs w:val="24"/>
        </w:rPr>
      </w:pPr>
      <w:r w:rsidRPr="002D02A5">
        <w:rPr>
          <w:rStyle w:val="FootnoteReference"/>
          <w:rFonts w:ascii="Times New Roman" w:hAnsi="Times New Roman"/>
        </w:rPr>
        <w:footnoteRef/>
      </w:r>
      <w:r w:rsidRPr="002D02A5">
        <w:rPr>
          <w:sz w:val="24"/>
          <w:szCs w:val="24"/>
        </w:rPr>
        <w:t xml:space="preserve"> </w:t>
      </w:r>
      <w:r w:rsidRPr="002D02A5">
        <w:rPr>
          <w:sz w:val="24"/>
          <w:szCs w:val="24"/>
        </w:rPr>
        <w:tab/>
      </w:r>
      <w:r w:rsidRPr="002D02A5">
        <w:rPr>
          <w:sz w:val="24"/>
          <w:szCs w:val="24"/>
          <w:u w:val="single"/>
        </w:rPr>
        <w:t>See</w:t>
      </w:r>
      <w:r w:rsidRPr="002D02A5">
        <w:rPr>
          <w:sz w:val="24"/>
          <w:szCs w:val="24"/>
        </w:rPr>
        <w:t xml:space="preserve"> 15 U.S.C. 78m-1(C)(1).</w:t>
      </w:r>
    </w:p>
  </w:footnote>
  <w:footnote w:id="5">
    <w:p w:rsidR="00B96A65" w:rsidRPr="002D02A5" w:rsidRDefault="00B96A65" w:rsidP="00B96A65">
      <w:pPr>
        <w:spacing w:after="120"/>
        <w:ind w:left="720" w:hanging="720"/>
        <w:rPr>
          <w:rFonts w:ascii="Times New Roman" w:hAnsi="Times New Roman"/>
        </w:rPr>
      </w:pPr>
      <w:r w:rsidRPr="002D02A5">
        <w:rPr>
          <w:rStyle w:val="FootnoteReference"/>
          <w:rFonts w:ascii="Times New Roman" w:hAnsi="Times New Roman"/>
        </w:rPr>
        <w:footnoteRef/>
      </w:r>
      <w:r w:rsidRPr="002D02A5">
        <w:rPr>
          <w:rFonts w:ascii="Times New Roman" w:hAnsi="Times New Roman"/>
        </w:rPr>
        <w:t xml:space="preserve"> </w:t>
      </w:r>
      <w:r w:rsidRPr="002D02A5">
        <w:rPr>
          <w:rFonts w:ascii="Times New Roman" w:hAnsi="Times New Roman"/>
        </w:rPr>
        <w:tab/>
      </w:r>
      <w:r w:rsidRPr="002D02A5">
        <w:rPr>
          <w:rFonts w:ascii="Times New Roman" w:hAnsi="Times New Roman"/>
          <w:u w:val="single"/>
        </w:rPr>
        <w:t>See</w:t>
      </w:r>
      <w:r w:rsidRPr="002D02A5">
        <w:rPr>
          <w:rFonts w:ascii="Times New Roman" w:hAnsi="Times New Roman"/>
        </w:rPr>
        <w:t xml:space="preserve"> Section 719 of the Dodd-Frank Act.</w:t>
      </w:r>
    </w:p>
  </w:footnote>
  <w:footnote w:id="6">
    <w:p w:rsidR="006B6683" w:rsidRPr="002D02A5" w:rsidRDefault="006B6683" w:rsidP="00B96A65">
      <w:pPr>
        <w:pStyle w:val="FootnoteText"/>
        <w:spacing w:after="120" w:line="240" w:lineRule="auto"/>
        <w:ind w:left="720" w:hanging="720"/>
        <w:rPr>
          <w:sz w:val="24"/>
          <w:szCs w:val="24"/>
        </w:rPr>
      </w:pPr>
      <w:r w:rsidRPr="002D02A5">
        <w:rPr>
          <w:rStyle w:val="FootnoteReference"/>
          <w:rFonts w:ascii="Times New Roman" w:hAnsi="Times New Roman"/>
        </w:rPr>
        <w:footnoteRef/>
      </w:r>
      <w:r w:rsidRPr="002D02A5">
        <w:rPr>
          <w:sz w:val="24"/>
          <w:szCs w:val="24"/>
        </w:rPr>
        <w:t xml:space="preserve"> </w:t>
      </w:r>
      <w:r w:rsidRPr="002D02A5">
        <w:rPr>
          <w:sz w:val="24"/>
          <w:szCs w:val="24"/>
        </w:rPr>
        <w:tab/>
        <w:t>This figure is based on discussions with various market participants.  It is based on the following:  [((Sr. Programmer at 2 hours) + (Sr. Systems Analyst at 4 hours) + (Compliance Manager at 5 hours) + (Compliance Clerk at 20 hours) + (Director of Compliance at 2 hours) + (Compliance Attorney at 5 hours)) x (1000 reporting entities)] = 38,000 burden hours, which is 38 hours per reporting entity.</w:t>
      </w:r>
      <w:r w:rsidRPr="002D02A5">
        <w:rPr>
          <w:color w:val="000000"/>
          <w:sz w:val="24"/>
          <w:szCs w:val="24"/>
        </w:rPr>
        <w:t xml:space="preserve"> </w:t>
      </w:r>
      <w:r w:rsidR="005B4568">
        <w:rPr>
          <w:color w:val="000000"/>
          <w:sz w:val="24"/>
          <w:szCs w:val="24"/>
        </w:rPr>
        <w:t xml:space="preserve"> </w:t>
      </w:r>
      <w:r w:rsidR="005B4568" w:rsidRPr="005B4568">
        <w:rPr>
          <w:color w:val="000000"/>
          <w:sz w:val="24"/>
          <w:szCs w:val="24"/>
        </w:rPr>
        <w:t xml:space="preserve">Based on this estimate, the total labor cost for all respondents to retain information and documents pursuant to the Note to paragraphs (b)(1) and (2) of Rule 13Aa-2T would be approximately $6,236,000. </w:t>
      </w:r>
      <w:r w:rsidR="005B4568" w:rsidRPr="002D02A5">
        <w:rPr>
          <w:color w:val="000000"/>
          <w:sz w:val="24"/>
          <w:szCs w:val="24"/>
        </w:rPr>
        <w:t xml:space="preserve">This figure is based on the following:  </w:t>
      </w:r>
      <w:r w:rsidR="005B4568" w:rsidRPr="002D02A5">
        <w:rPr>
          <w:sz w:val="24"/>
          <w:szCs w:val="24"/>
        </w:rPr>
        <w:t xml:space="preserve">[(Sr. Programmer (2 hours) at $292 per hour + (Sr. Systems Analyst (4 hours) at $244 per hour) + (Compliance Manager (5 hours) at $258 per hour) + (Compliance Clerk (20 hours) at $63 per hour) + (Director of Compliance (2 hours) at $388 per hour) + (Compliance Attorney (5 hours) at $270 per hour)] x (1000 reporting entities) = $6,236,000.  </w:t>
      </w:r>
      <w:r w:rsidR="005B4568" w:rsidRPr="002D02A5">
        <w:rPr>
          <w:color w:val="000000"/>
          <w:sz w:val="24"/>
          <w:szCs w:val="24"/>
        </w:rPr>
        <w:t xml:space="preserve">Hourly figures cited in this memorandum are from SIFMA’s </w:t>
      </w:r>
      <w:r w:rsidR="005B4568" w:rsidRPr="002D02A5">
        <w:rPr>
          <w:i/>
          <w:color w:val="000000"/>
          <w:sz w:val="24"/>
          <w:szCs w:val="24"/>
        </w:rPr>
        <w:t>Management &amp; Professional Earnings in the Securities Industry 2008</w:t>
      </w:r>
      <w:r w:rsidR="005B4568" w:rsidRPr="002D02A5">
        <w:rPr>
          <w:color w:val="000000"/>
          <w:sz w:val="24"/>
          <w:szCs w:val="24"/>
        </w:rPr>
        <w:t xml:space="preserve"> and SIFMA’s </w:t>
      </w:r>
      <w:r w:rsidR="005B4568" w:rsidRPr="002D02A5">
        <w:rPr>
          <w:i/>
          <w:color w:val="000000"/>
          <w:sz w:val="24"/>
          <w:szCs w:val="24"/>
        </w:rPr>
        <w:t>Office Salaries in the Securities Industry 2008</w:t>
      </w:r>
      <w:r w:rsidR="005B4568" w:rsidRPr="002D02A5">
        <w:rPr>
          <w:color w:val="000000"/>
          <w:sz w:val="24"/>
          <w:szCs w:val="24"/>
        </w:rPr>
        <w:t>, modified by Commission staff to account for an 1800-hour work-year and multiplied by 5.35 or 2.93, as appropriate, to account for bonuses, firm size, employee benefits, and overhead</w:t>
      </w:r>
      <w:r w:rsidR="005B4568" w:rsidRPr="002D02A5">
        <w:rPr>
          <w:sz w:val="24"/>
          <w:szCs w:val="24"/>
        </w:rPr>
        <w:t>.</w:t>
      </w:r>
    </w:p>
  </w:footnote>
  <w:footnote w:id="7">
    <w:p w:rsidR="00FA513F" w:rsidRPr="002D02A5" w:rsidRDefault="00FA513F" w:rsidP="00B96A65">
      <w:pPr>
        <w:pStyle w:val="FootnoteText"/>
        <w:spacing w:after="120" w:line="240" w:lineRule="auto"/>
        <w:ind w:left="720" w:hanging="720"/>
        <w:rPr>
          <w:sz w:val="24"/>
          <w:szCs w:val="24"/>
        </w:rPr>
      </w:pPr>
      <w:r w:rsidRPr="002D02A5">
        <w:rPr>
          <w:rStyle w:val="FootnoteReference"/>
          <w:rFonts w:ascii="Times New Roman" w:hAnsi="Times New Roman"/>
        </w:rPr>
        <w:footnoteRef/>
      </w:r>
      <w:r w:rsidRPr="002D02A5">
        <w:rPr>
          <w:sz w:val="24"/>
          <w:szCs w:val="24"/>
        </w:rPr>
        <w:t xml:space="preserve"> </w:t>
      </w:r>
      <w:r w:rsidRPr="002D02A5">
        <w:rPr>
          <w:sz w:val="24"/>
          <w:szCs w:val="24"/>
        </w:rPr>
        <w:tab/>
        <w:t xml:space="preserve">This figure </w:t>
      </w:r>
      <w:r w:rsidRPr="002D02A5">
        <w:rPr>
          <w:color w:val="000000"/>
          <w:sz w:val="24"/>
          <w:szCs w:val="24"/>
        </w:rPr>
        <w:t>is based on discussions of Commission staff with various market participants, as well as the Commission</w:t>
      </w:r>
      <w:r w:rsidR="00994E20">
        <w:rPr>
          <w:color w:val="000000"/>
          <w:sz w:val="24"/>
          <w:szCs w:val="24"/>
        </w:rPr>
        <w:t>’</w:t>
      </w:r>
      <w:r w:rsidRPr="002D02A5">
        <w:rPr>
          <w:color w:val="000000"/>
          <w:sz w:val="24"/>
          <w:szCs w:val="24"/>
        </w:rPr>
        <w:t xml:space="preserve">s experience regarding connectivity between securities market participants, including alternative trading systems and self-regulatory organizations for data reporting purposes.  The Commission derived the total estimated one-time burden from the following: [(2,400,000 estimated total pre-enactment securities-based swap transactions) x (75 percent automated, electronic reporting) x (0.1 hours/transaction)] + [2,400,000 estimated total pre-enactment securities-based swap transactions) x (25 percent manual, electronic reporting) x (Compliance Clerk 0.5 hours/transaction)] = 480,000 burden hours, which is 480 burden hours per respondent.  </w:t>
      </w:r>
      <w:r w:rsidR="005B4568" w:rsidRPr="005B4568">
        <w:rPr>
          <w:color w:val="000000"/>
          <w:sz w:val="24"/>
          <w:szCs w:val="24"/>
        </w:rPr>
        <w:t xml:space="preserve">Based on this estimate, the total annual labor cost for all respondents to report pre-enactment security-based swap transactions to a registered security-based swap data repository or the Commission as required under Rule 13Aa-2T(b)(1) would be approximately $30,240,000. </w:t>
      </w:r>
      <w:r w:rsidR="005B4568" w:rsidRPr="002D02A5">
        <w:rPr>
          <w:color w:val="000000"/>
          <w:sz w:val="24"/>
          <w:szCs w:val="24"/>
        </w:rPr>
        <w:t>This figure is based on the following:  [(2,400,000 estimated total pre-enactment securities-based swap transactions) x (75 percent automated, electronic reporting) x (Compliance Clerk (0.1 hours/transaction) at $63 per hour)] + [(2,400,000 estimated total pre-enactment securities-based swap transactions) x (25 percent manual, electronic reporting) x (Compliance Clerk (0.5 hours/transaction) at $63 per hour)] = $30,240,000</w:t>
      </w:r>
      <w:r w:rsidR="005B4568" w:rsidRPr="002D02A5">
        <w:rPr>
          <w:sz w:val="24"/>
          <w:szCs w:val="24"/>
        </w:rPr>
        <w:t>.</w:t>
      </w:r>
    </w:p>
  </w:footnote>
  <w:footnote w:id="8">
    <w:p w:rsidR="005118C0" w:rsidRPr="00B96A65" w:rsidRDefault="005118C0" w:rsidP="005118C0">
      <w:pPr>
        <w:pStyle w:val="FootnoteText"/>
        <w:spacing w:after="120" w:line="240" w:lineRule="auto"/>
        <w:ind w:left="720" w:hanging="720"/>
        <w:rPr>
          <w:sz w:val="24"/>
          <w:szCs w:val="24"/>
        </w:rPr>
      </w:pPr>
      <w:r w:rsidRPr="00B96A65">
        <w:rPr>
          <w:rStyle w:val="FootnoteReference"/>
          <w:rFonts w:ascii="Times New Roman" w:hAnsi="Times New Roman"/>
        </w:rPr>
        <w:footnoteRef/>
      </w:r>
      <w:r w:rsidRPr="00B96A65">
        <w:rPr>
          <w:sz w:val="24"/>
          <w:szCs w:val="24"/>
        </w:rPr>
        <w:t xml:space="preserve"> </w:t>
      </w:r>
      <w:r w:rsidRPr="00B96A65">
        <w:rPr>
          <w:sz w:val="24"/>
          <w:szCs w:val="24"/>
        </w:rPr>
        <w:tab/>
        <w:t xml:space="preserve">This figure is based on discussions with various market participants.  It is based on the following: </w:t>
      </w:r>
      <w:r w:rsidRPr="00B96A65">
        <w:rPr>
          <w:color w:val="000000"/>
          <w:sz w:val="24"/>
          <w:szCs w:val="24"/>
        </w:rPr>
        <w:t xml:space="preserve">[(Compliance Manager at 5 hours) + (Compliance Attorney at 5 hours) + (Programmer Analyst at 1 hour) + (Compliance Clerk at 15 hours) + (Director of Compliance at 3 hours) + (Sr. </w:t>
      </w:r>
      <w:r w:rsidRPr="00B96A65">
        <w:rPr>
          <w:sz w:val="24"/>
          <w:szCs w:val="24"/>
        </w:rPr>
        <w:t>Database Administrator</w:t>
      </w:r>
      <w:r w:rsidRPr="00B96A65">
        <w:rPr>
          <w:color w:val="000000"/>
          <w:sz w:val="24"/>
          <w:szCs w:val="24"/>
        </w:rPr>
        <w:t xml:space="preserve"> at 5 hours)] x (1000 reporting entities) = 34,000 burden hours, which is 34 hours per reporting entity.  </w:t>
      </w:r>
      <w:r w:rsidR="005B4568" w:rsidRPr="005B4568">
        <w:rPr>
          <w:color w:val="000000"/>
          <w:sz w:val="24"/>
          <w:szCs w:val="24"/>
        </w:rPr>
        <w:t>Based on this estimate, we believe the total labor cost for all respondents to respond to Commission requests for information and documents will be approximately $6,352,000.</w:t>
      </w:r>
      <w:r w:rsidR="005B4568">
        <w:rPr>
          <w:color w:val="000000"/>
          <w:sz w:val="24"/>
          <w:szCs w:val="24"/>
        </w:rPr>
        <w:t xml:space="preserve">  </w:t>
      </w:r>
      <w:r w:rsidR="005B4568" w:rsidRPr="002D02A5">
        <w:rPr>
          <w:sz w:val="24"/>
          <w:szCs w:val="24"/>
        </w:rPr>
        <w:t>This figure is based on the following:  [((Compliance Manager (5 hours) at $258 per hour) + (Compliance Attorney (5 hours) at $271 per hour) + (Programmer Analyst (1 hour) at $193) + (Compliance Clerk (15 hours) at $63 per hour) + (Director of Compliance (3 hours) at $388 per hour) + (Sr. Database Administrator (5 hours) at $</w:t>
      </w:r>
      <w:r w:rsidR="005B4568" w:rsidRPr="002D02A5">
        <w:rPr>
          <w:bCs/>
          <w:sz w:val="24"/>
          <w:szCs w:val="24"/>
        </w:rPr>
        <w:t>281 per hour</w:t>
      </w:r>
      <w:r w:rsidR="005B4568" w:rsidRPr="002D02A5">
        <w:rPr>
          <w:sz w:val="24"/>
          <w:szCs w:val="24"/>
        </w:rPr>
        <w:t>)) x (1 Commission request per reporting entity) x (1000 reporting entities)] = $6,352,000</w:t>
      </w:r>
    </w:p>
  </w:footnote>
  <w:footnote w:id="9">
    <w:p w:rsidR="008B2A75" w:rsidRPr="002D02A5" w:rsidRDefault="008B2A75" w:rsidP="008B2A75">
      <w:pPr>
        <w:pStyle w:val="FootnoteText"/>
        <w:spacing w:after="120"/>
        <w:ind w:left="720" w:hanging="720"/>
        <w:rPr>
          <w:sz w:val="24"/>
        </w:rPr>
      </w:pPr>
      <w:r w:rsidRPr="002D02A5">
        <w:rPr>
          <w:rStyle w:val="FootnoteReference"/>
          <w:rFonts w:ascii="Times New Roman" w:hAnsi="Times New Roman"/>
        </w:rPr>
        <w:footnoteRef/>
      </w:r>
      <w:r w:rsidRPr="002D02A5">
        <w:rPr>
          <w:sz w:val="24"/>
        </w:rPr>
        <w:t xml:space="preserve"> </w:t>
      </w:r>
      <w:r w:rsidRPr="002D02A5">
        <w:rPr>
          <w:sz w:val="24"/>
        </w:rPr>
        <w:tab/>
      </w:r>
      <w:r w:rsidRPr="002D02A5">
        <w:rPr>
          <w:color w:val="000000"/>
          <w:sz w:val="24"/>
          <w:szCs w:val="24"/>
        </w:rPr>
        <w:t>This figure is based on the following: ($25,000 relating to hardware- and software-related expenses</w:t>
      </w:r>
      <w:r w:rsidR="005118C0">
        <w:rPr>
          <w:color w:val="000000"/>
          <w:sz w:val="24"/>
          <w:szCs w:val="24"/>
        </w:rPr>
        <w:t xml:space="preserve"> per reporting entity</w:t>
      </w:r>
      <w:r w:rsidRPr="002D02A5">
        <w:rPr>
          <w:color w:val="000000"/>
          <w:sz w:val="24"/>
          <w:szCs w:val="24"/>
        </w:rPr>
        <w:t>) x (1,000 reporting entities) = $25,000,000.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F8" w:rsidRDefault="006D58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83" w:rsidRDefault="009A7EA0">
    <w:pPr>
      <w:suppressAutoHyphens/>
      <w:spacing w:line="240" w:lineRule="atLeast"/>
      <w:rPr>
        <w:sz w:val="20"/>
      </w:rPr>
    </w:pPr>
    <w:r>
      <w:rPr>
        <w:noProof/>
        <w:sz w:val="20"/>
      </w:rPr>
      <w:pict>
        <v:rect id="_x0000_s2049" style="position:absolute;margin-left:1in;margin-top:0;width:468pt;height:12pt;z-index:251657728;mso-position-horizontal-relative:page" o:allowincell="f" filled="f" stroked="f" strokeweight="0">
          <v:textbox inset="0,0,0,0">
            <w:txbxContent>
              <w:p w:rsidR="006B6683" w:rsidRDefault="006B6683">
                <w:pPr>
                  <w:tabs>
                    <w:tab w:val="center" w:pos="4680"/>
                    <w:tab w:val="right" w:pos="9360"/>
                  </w:tabs>
                </w:pPr>
                <w:r>
                  <w:rPr>
                    <w:sz w:val="20"/>
                  </w:rPr>
                  <w:tab/>
                </w:r>
              </w:p>
            </w:txbxContent>
          </v:textbox>
          <w10:wrap anchorx="page"/>
        </v:rect>
      </w:pict>
    </w:r>
  </w:p>
  <w:p w:rsidR="006B6683" w:rsidRDefault="006B6683">
    <w:pPr>
      <w:suppressAutoHyphens/>
      <w:spacing w:after="140" w:line="100" w:lineRule="exact"/>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A0" w:rsidRDefault="000179A0" w:rsidP="000179A0">
    <w:pPr>
      <w:pStyle w:val="Header"/>
      <w:jc w:val="right"/>
    </w:pPr>
    <w:r>
      <w:t>Draft 10/08/10</w:t>
    </w:r>
  </w:p>
  <w:p w:rsidR="000179A0" w:rsidRDefault="000179A0" w:rsidP="000179A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F0CEA"/>
    <w:multiLevelType w:val="hybridMultilevel"/>
    <w:tmpl w:val="89F277F4"/>
    <w:lvl w:ilvl="0" w:tplc="E3F605F8">
      <w:start w:val="1"/>
      <w:numFmt w:val="upperLetter"/>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
    <w:nsid w:val="5548776C"/>
    <w:multiLevelType w:val="hybridMultilevel"/>
    <w:tmpl w:val="55D2E7FC"/>
    <w:lvl w:ilvl="0" w:tplc="9D7C08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o:shapelayout v:ext="edit">
      <o:idmap v:ext="edit" data="2"/>
    </o:shapelayout>
  </w:hdrShapeDefaults>
  <w:footnotePr>
    <w:footnote w:id="-1"/>
    <w:footnote w:id="0"/>
  </w:footnotePr>
  <w:endnotePr>
    <w:numFmt w:val="decimal"/>
    <w:endnote w:id="-1"/>
    <w:endnote w:id="0"/>
    <w:endnote w:id="1"/>
  </w:endnotePr>
  <w:compat/>
  <w:rsids>
    <w:rsidRoot w:val="00636C07"/>
    <w:rsid w:val="000179A0"/>
    <w:rsid w:val="000310EB"/>
    <w:rsid w:val="000327D6"/>
    <w:rsid w:val="000A047A"/>
    <w:rsid w:val="000A523F"/>
    <w:rsid w:val="000C697C"/>
    <w:rsid w:val="000E4781"/>
    <w:rsid w:val="00104B26"/>
    <w:rsid w:val="00106E3C"/>
    <w:rsid w:val="00116DAA"/>
    <w:rsid w:val="00120642"/>
    <w:rsid w:val="0014041E"/>
    <w:rsid w:val="0016284C"/>
    <w:rsid w:val="00190B59"/>
    <w:rsid w:val="001D1E1D"/>
    <w:rsid w:val="001D3938"/>
    <w:rsid w:val="001E4690"/>
    <w:rsid w:val="001F203C"/>
    <w:rsid w:val="00204E0C"/>
    <w:rsid w:val="00205469"/>
    <w:rsid w:val="00262F6F"/>
    <w:rsid w:val="00296BA9"/>
    <w:rsid w:val="002A4DA7"/>
    <w:rsid w:val="002A5EB5"/>
    <w:rsid w:val="002C400B"/>
    <w:rsid w:val="002D02A5"/>
    <w:rsid w:val="002D2A2D"/>
    <w:rsid w:val="002E4A5A"/>
    <w:rsid w:val="00361762"/>
    <w:rsid w:val="003803DA"/>
    <w:rsid w:val="00385046"/>
    <w:rsid w:val="003932C8"/>
    <w:rsid w:val="003C5DC6"/>
    <w:rsid w:val="00414D16"/>
    <w:rsid w:val="0042775C"/>
    <w:rsid w:val="004451F5"/>
    <w:rsid w:val="00453E59"/>
    <w:rsid w:val="004713FA"/>
    <w:rsid w:val="004814E4"/>
    <w:rsid w:val="00497E0F"/>
    <w:rsid w:val="004A066F"/>
    <w:rsid w:val="004B3B8B"/>
    <w:rsid w:val="004E4186"/>
    <w:rsid w:val="00501DBA"/>
    <w:rsid w:val="005118C0"/>
    <w:rsid w:val="00515960"/>
    <w:rsid w:val="005579B8"/>
    <w:rsid w:val="005A431E"/>
    <w:rsid w:val="005B4568"/>
    <w:rsid w:val="005B75B3"/>
    <w:rsid w:val="005C2C82"/>
    <w:rsid w:val="005D2BB0"/>
    <w:rsid w:val="00611879"/>
    <w:rsid w:val="00636C07"/>
    <w:rsid w:val="00653C11"/>
    <w:rsid w:val="00661135"/>
    <w:rsid w:val="006A4FE1"/>
    <w:rsid w:val="006B12D8"/>
    <w:rsid w:val="006B6683"/>
    <w:rsid w:val="006D03C6"/>
    <w:rsid w:val="006D2FDF"/>
    <w:rsid w:val="006D58F8"/>
    <w:rsid w:val="006D74FA"/>
    <w:rsid w:val="006E3DE1"/>
    <w:rsid w:val="007459AA"/>
    <w:rsid w:val="00750CC2"/>
    <w:rsid w:val="007933AC"/>
    <w:rsid w:val="007D0D84"/>
    <w:rsid w:val="007D5B78"/>
    <w:rsid w:val="007F2C35"/>
    <w:rsid w:val="0086538A"/>
    <w:rsid w:val="008924AE"/>
    <w:rsid w:val="008A0571"/>
    <w:rsid w:val="008B2A75"/>
    <w:rsid w:val="00972EB8"/>
    <w:rsid w:val="00974289"/>
    <w:rsid w:val="009769D8"/>
    <w:rsid w:val="009855EA"/>
    <w:rsid w:val="00994E20"/>
    <w:rsid w:val="009A0804"/>
    <w:rsid w:val="009A7EA0"/>
    <w:rsid w:val="00A136E4"/>
    <w:rsid w:val="00A2145C"/>
    <w:rsid w:val="00A21FF6"/>
    <w:rsid w:val="00A3519A"/>
    <w:rsid w:val="00A410E2"/>
    <w:rsid w:val="00A73674"/>
    <w:rsid w:val="00A9059C"/>
    <w:rsid w:val="00AC7F0D"/>
    <w:rsid w:val="00AF63D5"/>
    <w:rsid w:val="00B53E0A"/>
    <w:rsid w:val="00B73AD5"/>
    <w:rsid w:val="00B96A65"/>
    <w:rsid w:val="00BB5A04"/>
    <w:rsid w:val="00BB7B0C"/>
    <w:rsid w:val="00BC2531"/>
    <w:rsid w:val="00BD31E7"/>
    <w:rsid w:val="00BF018D"/>
    <w:rsid w:val="00BF1D8B"/>
    <w:rsid w:val="00C1121C"/>
    <w:rsid w:val="00C35849"/>
    <w:rsid w:val="00C46207"/>
    <w:rsid w:val="00C80F67"/>
    <w:rsid w:val="00C92C91"/>
    <w:rsid w:val="00C97689"/>
    <w:rsid w:val="00CA2963"/>
    <w:rsid w:val="00CB217D"/>
    <w:rsid w:val="00CF25C7"/>
    <w:rsid w:val="00D22E07"/>
    <w:rsid w:val="00D32D88"/>
    <w:rsid w:val="00D3472F"/>
    <w:rsid w:val="00D512E3"/>
    <w:rsid w:val="00D60CA9"/>
    <w:rsid w:val="00D703EA"/>
    <w:rsid w:val="00D75C50"/>
    <w:rsid w:val="00D805D0"/>
    <w:rsid w:val="00D834C8"/>
    <w:rsid w:val="00D94DBE"/>
    <w:rsid w:val="00D9781D"/>
    <w:rsid w:val="00DA6BE7"/>
    <w:rsid w:val="00DC74F5"/>
    <w:rsid w:val="00DE0D47"/>
    <w:rsid w:val="00DE18E0"/>
    <w:rsid w:val="00E00611"/>
    <w:rsid w:val="00E141D6"/>
    <w:rsid w:val="00E14B5A"/>
    <w:rsid w:val="00E157B2"/>
    <w:rsid w:val="00E16530"/>
    <w:rsid w:val="00E40C58"/>
    <w:rsid w:val="00E52FD6"/>
    <w:rsid w:val="00E564F5"/>
    <w:rsid w:val="00E82B85"/>
    <w:rsid w:val="00E85880"/>
    <w:rsid w:val="00EA728F"/>
    <w:rsid w:val="00EB0FF3"/>
    <w:rsid w:val="00EC61CF"/>
    <w:rsid w:val="00ED2F85"/>
    <w:rsid w:val="00EE7BD6"/>
    <w:rsid w:val="00F0217D"/>
    <w:rsid w:val="00F05B9D"/>
    <w:rsid w:val="00F32EAE"/>
    <w:rsid w:val="00F744B2"/>
    <w:rsid w:val="00F75988"/>
    <w:rsid w:val="00FA513F"/>
    <w:rsid w:val="00FC7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0A047A"/>
    <w:pPr>
      <w:tabs>
        <w:tab w:val="left" w:pos="-720"/>
      </w:tabs>
      <w:suppressAutoHyphens/>
      <w:spacing w:line="240" w:lineRule="atLeast"/>
    </w:pPr>
    <w:rPr>
      <w:rFonts w:ascii="Times New Roman" w:hAnsi="Times New Roman"/>
      <w:sz w:val="20"/>
      <w:szCs w:val="20"/>
    </w:rPr>
  </w:style>
  <w:style w:type="character" w:styleId="FootnoteReference">
    <w:name w:val="footnote reference"/>
    <w:aliases w:val="fr"/>
    <w:basedOn w:val="DefaultParagraphFont"/>
    <w:uiPriority w:val="99"/>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D60CA9"/>
    <w:rPr>
      <w:lang w:val="en-US" w:eastAsia="en-US" w:bidi="ar-SA"/>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b/>
      <w:bCs/>
    </w:rPr>
  </w:style>
</w:styles>
</file>

<file path=word/webSettings.xml><?xml version="1.0" encoding="utf-8"?>
<w:webSettings xmlns:r="http://schemas.openxmlformats.org/officeDocument/2006/relationships" xmlns:w="http://schemas.openxmlformats.org/wordprocessingml/2006/main">
  <w:divs>
    <w:div w:id="20832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3580EC8B93841B7DD95F732B566B5" ma:contentTypeVersion="0" ma:contentTypeDescription="Create a new document." ma:contentTypeScope="" ma:versionID="f09fa184a5cf4cfe0a7f3c4cabb0cc1e">
  <xsd:schema xmlns:xsd="http://www.w3.org/2001/XMLSchema" xmlns:p="http://schemas.microsoft.com/office/2006/metadata/properties" xmlns:ns2="0E58B320-B9C8-4138-B7DD-95F732B566B5" targetNamespace="http://schemas.microsoft.com/office/2006/metadata/properties" ma:root="true" ma:fieldsID="41fe7d92c0f12ba929db58748e568492" ns2:_="">
    <xsd:import namespace="0E58B320-B9C8-4138-B7DD-95F732B566B5"/>
    <xsd:element name="properties">
      <xsd:complexType>
        <xsd:sequence>
          <xsd:element name="documentManagement">
            <xsd:complexType>
              <xsd:all>
                <xsd:element ref="ns2:OMB_x0020_Number" minOccurs="0"/>
                <xsd:element ref="ns2:SEC_x0020_Number" minOccurs="0"/>
              </xsd:all>
            </xsd:complexType>
          </xsd:element>
        </xsd:sequence>
      </xsd:complexType>
    </xsd:element>
  </xsd:schema>
  <xsd:schema xmlns:xsd="http://www.w3.org/2001/XMLSchema" xmlns:dms="http://schemas.microsoft.com/office/2006/documentManagement/types" targetNamespace="0E58B320-B9C8-4138-B7DD-95F732B566B5" elementFormDefault="qualified">
    <xsd:import namespace="http://schemas.microsoft.com/office/2006/documentManagement/types"/>
    <xsd:element name="OMB_x0020_Number" ma:index="8" nillable="true" ma:displayName="OMB Number" ma:internalName="OMB_x0020_Number">
      <xsd:simpleType>
        <xsd:restriction base="dms:Text">
          <xsd:maxLength value="15"/>
        </xsd:restriction>
      </xsd:simpleType>
    </xsd:element>
    <xsd:element name="SEC_x0020_Number" ma:index="9" nillable="true" ma:displayName="SEC Number" ma:internalName="SEC_x0020_Number">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MB_x0020_Number xmlns="0E58B320-B9C8-4138-B7DD-95F732B566B5" xsi:nil="true"/>
    <SEC_x0020_Number xmlns="0E58B320-B9C8-4138-B7DD-95F732B566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55BE-1F8A-4E12-9D76-78B99B78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8B320-B9C8-4138-B7DD-95F732B566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195DD5-C6D6-49B0-AA12-06ECFD8EC1F6}">
  <ds:schemaRefs>
    <ds:schemaRef ds:uri="http://schemas.microsoft.com/sharepoint/v3/contenttype/forms"/>
  </ds:schemaRefs>
</ds:datastoreItem>
</file>

<file path=customXml/itemProps3.xml><?xml version="1.0" encoding="utf-8"?>
<ds:datastoreItem xmlns:ds="http://schemas.openxmlformats.org/officeDocument/2006/customXml" ds:itemID="{74ED5A8A-B96F-41F5-A289-FEE57D8D5F82}">
  <ds:schemaRefs>
    <ds:schemaRef ds:uri="http://schemas.microsoft.com/office/2006/metadata/properties"/>
    <ds:schemaRef ds:uri="0E58B320-B9C8-4138-B7DD-95F732B566B5"/>
  </ds:schemaRefs>
</ds:datastoreItem>
</file>

<file path=customXml/itemProps4.xml><?xml version="1.0" encoding="utf-8"?>
<ds:datastoreItem xmlns:ds="http://schemas.openxmlformats.org/officeDocument/2006/customXml" ds:itemID="{A713413C-96E3-4915-93C1-1B784EE7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11128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grayk</cp:lastModifiedBy>
  <cp:revision>2</cp:revision>
  <dcterms:created xsi:type="dcterms:W3CDTF">2010-10-13T14:26:00Z</dcterms:created>
  <dcterms:modified xsi:type="dcterms:W3CDTF">2010-10-13T14:38:00Z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GEAAO+/T9t20xwlS0exGg1od+YTEN0HZTzWBZX24K6ZkwHZbKkPhVCHoVwGetVEx7ofegQyP9BoLPpM6
myU1LlwaKai3ZpF+5jNelE3XnuadyXk+mjSoVeMXIWq79poLJDdCRgh+hBXyzLiJ9qED3RNat1rR
2sYnvHbPtf6OsO38Mage39zk+e2pVkeoeJUxUsXqgyQmKiBTKUVGJbOg97BpNcIa8atlFRBRdzZW
n+m3lefC5PEH5AVeZ</vt:lpwstr>
  </property>
  <property fmtid="{D5CDD505-2E9C-101B-9397-08002B2CF9AE}" pid="3" name="MAIL_MSG_ID2">
    <vt:lpwstr>9jb+HamSw2h</vt:lpwstr>
  </property>
  <property fmtid="{D5CDD505-2E9C-101B-9397-08002B2CF9AE}" pid="4" name="RESPONSE_SENDER_NAME">
    <vt:lpwstr>gAAAdya76B99d4hLGUR1rQ+8TxTv0GGEPdix</vt:lpwstr>
  </property>
  <property fmtid="{D5CDD505-2E9C-101B-9397-08002B2CF9AE}" pid="5" name="EMAIL_OWNER_ADDRESS">
    <vt:lpwstr>sAAAE9kkUq3pEoLvczR+gwULoRJCEYyHZPZQs15hk10/NoM=</vt:lpwstr>
  </property>
</Properties>
</file>