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66E" w:rsidRPr="00DB451B" w:rsidRDefault="005E1161">
      <w:r w:rsidRPr="00DB451B">
        <w:t xml:space="preserve"> </w:t>
      </w:r>
    </w:p>
    <w:p w:rsidR="0084066E" w:rsidRPr="00DB451B" w:rsidRDefault="0084066E">
      <w:pPr>
        <w:pStyle w:val="Heading5"/>
      </w:pPr>
      <w:r w:rsidRPr="00DB451B">
        <w:t>Supporting Statement for Paperwork Reduction Act Submissions</w:t>
      </w:r>
    </w:p>
    <w:p w:rsidR="00685266" w:rsidRPr="00DB451B" w:rsidRDefault="00685266" w:rsidP="00685266">
      <w:pPr>
        <w:tabs>
          <w:tab w:val="left" w:pos="240"/>
        </w:tabs>
        <w:spacing w:after="40"/>
        <w:ind w:left="120" w:right="-120"/>
        <w:jc w:val="center"/>
        <w:rPr>
          <w:rFonts w:ascii="Arial" w:hAnsi="Arial" w:cs="Arial"/>
          <w:b/>
          <w:bCs/>
          <w:i/>
        </w:rPr>
      </w:pPr>
    </w:p>
    <w:p w:rsidR="00685266" w:rsidRPr="00DB451B" w:rsidRDefault="00685266" w:rsidP="00685266">
      <w:pPr>
        <w:tabs>
          <w:tab w:val="left" w:pos="240"/>
        </w:tabs>
        <w:spacing w:after="40"/>
        <w:ind w:left="120" w:right="-120"/>
        <w:jc w:val="center"/>
        <w:rPr>
          <w:rFonts w:ascii="Arial" w:hAnsi="Arial" w:cs="Arial"/>
          <w:b/>
          <w:bCs/>
        </w:rPr>
      </w:pPr>
      <w:r w:rsidRPr="00DB451B">
        <w:rPr>
          <w:rFonts w:ascii="Arial" w:hAnsi="Arial" w:cs="Arial"/>
          <w:b/>
          <w:bCs/>
        </w:rPr>
        <w:t>Owner’s Certification of Compliance with HUD’s Tenant Eligibility and Rent Procedures</w:t>
      </w:r>
    </w:p>
    <w:p w:rsidR="00685266" w:rsidRPr="00DB451B" w:rsidRDefault="00685266" w:rsidP="00685266">
      <w:pPr>
        <w:jc w:val="center"/>
        <w:rPr>
          <w:rFonts w:ascii="Arial" w:hAnsi="Arial" w:cs="Arial"/>
          <w:b/>
          <w:bCs/>
        </w:rPr>
      </w:pPr>
      <w:r w:rsidRPr="00DB451B">
        <w:rPr>
          <w:rFonts w:ascii="Arial" w:hAnsi="Arial" w:cs="Arial"/>
          <w:b/>
          <w:bCs/>
        </w:rPr>
        <w:t>OMB Control Number 2502-</w:t>
      </w:r>
      <w:r w:rsidR="0009588C" w:rsidRPr="00DB451B">
        <w:rPr>
          <w:rFonts w:ascii="Arial" w:hAnsi="Arial" w:cs="Arial"/>
          <w:b/>
          <w:bCs/>
        </w:rPr>
        <w:t>0</w:t>
      </w:r>
      <w:r w:rsidRPr="00DB451B">
        <w:rPr>
          <w:rFonts w:ascii="Arial" w:hAnsi="Arial" w:cs="Arial"/>
          <w:b/>
          <w:bCs/>
        </w:rPr>
        <w:t>204</w:t>
      </w:r>
    </w:p>
    <w:p w:rsidR="00FA62FE" w:rsidRPr="00DB451B" w:rsidRDefault="00FA62FE" w:rsidP="00FA62FE">
      <w:pPr>
        <w:pStyle w:val="Heading1"/>
        <w:rPr>
          <w:rFonts w:ascii="Arial" w:hAnsi="Arial" w:cs="Arial"/>
          <w:b w:val="0"/>
          <w:color w:val="auto"/>
          <w:sz w:val="24"/>
        </w:rPr>
      </w:pPr>
      <w:r w:rsidRPr="00DB451B">
        <w:rPr>
          <w:rFonts w:ascii="Arial" w:hAnsi="Arial" w:cs="Arial"/>
          <w:b w:val="0"/>
          <w:color w:val="auto"/>
          <w:sz w:val="24"/>
        </w:rPr>
        <w:t>HUD-50059</w:t>
      </w:r>
      <w:r w:rsidR="00285985" w:rsidRPr="00DB451B">
        <w:rPr>
          <w:rFonts w:ascii="Arial" w:hAnsi="Arial" w:cs="Arial"/>
          <w:b w:val="0"/>
          <w:color w:val="auto"/>
          <w:sz w:val="24"/>
        </w:rPr>
        <w:t xml:space="preserve">, </w:t>
      </w:r>
      <w:r w:rsidRPr="00DB451B">
        <w:rPr>
          <w:rFonts w:ascii="Arial" w:hAnsi="Arial" w:cs="Arial"/>
          <w:b w:val="0"/>
          <w:color w:val="auto"/>
          <w:sz w:val="24"/>
        </w:rPr>
        <w:t>HUD-50059-A HUD-9887/9887-A, HUD-27061-H, HUD-90100, HUD-90101, HUD-90102, HUD-90103, HUD-90104, HUD-90105-a, HUD-90105-b, HUD-90105-c, HUD-90105-d, HUD-90106</w:t>
      </w:r>
      <w:r w:rsidR="00BE3F2A" w:rsidRPr="00DB451B">
        <w:rPr>
          <w:rFonts w:ascii="Arial" w:hAnsi="Arial" w:cs="Arial"/>
          <w:b w:val="0"/>
          <w:color w:val="auto"/>
          <w:sz w:val="24"/>
        </w:rPr>
        <w:t>,</w:t>
      </w:r>
      <w:r w:rsidR="00A12456" w:rsidRPr="00DB451B">
        <w:rPr>
          <w:rFonts w:ascii="Arial" w:hAnsi="Arial" w:cs="Arial"/>
          <w:b w:val="0"/>
          <w:color w:val="auto"/>
          <w:sz w:val="24"/>
        </w:rPr>
        <w:t xml:space="preserve"> HUD-91066, HUD-91067</w:t>
      </w:r>
      <w:r w:rsidR="00307808">
        <w:rPr>
          <w:rFonts w:ascii="Arial" w:hAnsi="Arial" w:cs="Arial"/>
          <w:b w:val="0"/>
          <w:color w:val="auto"/>
          <w:sz w:val="24"/>
        </w:rPr>
        <w:t>, HUD-90011, HUD-9001</w:t>
      </w:r>
      <w:r w:rsidR="001747B3" w:rsidRPr="00DB451B">
        <w:rPr>
          <w:rFonts w:ascii="Arial" w:hAnsi="Arial" w:cs="Arial"/>
          <w:b w:val="0"/>
          <w:color w:val="auto"/>
          <w:sz w:val="24"/>
        </w:rPr>
        <w:t>2</w:t>
      </w:r>
      <w:r w:rsidR="00BE3F2A" w:rsidRPr="00DB451B">
        <w:rPr>
          <w:rFonts w:ascii="Arial" w:hAnsi="Arial" w:cs="Arial"/>
          <w:b w:val="0"/>
          <w:i/>
          <w:color w:val="auto"/>
          <w:sz w:val="24"/>
        </w:rPr>
        <w:t xml:space="preserve"> </w:t>
      </w:r>
    </w:p>
    <w:p w:rsidR="0084066E" w:rsidRPr="00DB451B" w:rsidRDefault="0084066E">
      <w:pPr>
        <w:jc w:val="center"/>
        <w:rPr>
          <w:rFonts w:ascii="Arial" w:hAnsi="Arial" w:cs="Arial"/>
          <w:b/>
          <w:bCs/>
        </w:rPr>
      </w:pPr>
    </w:p>
    <w:p w:rsidR="0084066E" w:rsidRPr="00DB451B" w:rsidRDefault="0084066E">
      <w:pPr>
        <w:pStyle w:val="Default"/>
        <w:spacing w:before="265" w:after="215"/>
        <w:rPr>
          <w:rFonts w:ascii="Verdana" w:hAnsi="Verdana"/>
          <w:color w:val="auto"/>
          <w:sz w:val="20"/>
          <w:szCs w:val="20"/>
        </w:rPr>
      </w:pPr>
      <w:r w:rsidRPr="00DB451B">
        <w:rPr>
          <w:rFonts w:ascii="Verdana" w:hAnsi="Verdana"/>
          <w:b/>
          <w:bCs/>
          <w:color w:val="auto"/>
          <w:sz w:val="20"/>
          <w:szCs w:val="20"/>
        </w:rPr>
        <w:t xml:space="preserve">General Instructions </w:t>
      </w:r>
    </w:p>
    <w:p w:rsidR="0084066E" w:rsidRPr="00DB451B" w:rsidRDefault="0084066E">
      <w:pPr>
        <w:pStyle w:val="Default"/>
        <w:spacing w:before="215" w:after="250" w:line="211" w:lineRule="atLeast"/>
        <w:ind w:right="260"/>
        <w:rPr>
          <w:rFonts w:ascii="Verdana" w:hAnsi="Verdana"/>
          <w:color w:val="auto"/>
          <w:sz w:val="20"/>
          <w:szCs w:val="16"/>
        </w:rPr>
      </w:pPr>
      <w:r w:rsidRPr="00DB451B">
        <w:rPr>
          <w:rFonts w:ascii="Verdana" w:hAnsi="Verdana"/>
          <w:color w:val="auto"/>
          <w:sz w:val="20"/>
          <w:szCs w:val="16"/>
        </w:rPr>
        <w:t>A Supporting Statement, including the text of the notice to the public required by 5 CFR 1320.5(a</w:t>
      </w:r>
      <w:r w:rsidR="009069A1" w:rsidRPr="00DB451B">
        <w:rPr>
          <w:rFonts w:ascii="Verdana" w:hAnsi="Verdana"/>
          <w:color w:val="auto"/>
          <w:sz w:val="20"/>
          <w:szCs w:val="16"/>
        </w:rPr>
        <w:t>) (</w:t>
      </w:r>
      <w:r w:rsidRPr="00DB451B">
        <w:rPr>
          <w:rFonts w:ascii="Verdana" w:hAnsi="Verdana"/>
          <w:color w:val="auto"/>
          <w:sz w:val="20"/>
          <w:szCs w:val="16"/>
        </w:rPr>
        <w:t>i</w:t>
      </w:r>
      <w:r w:rsidR="009069A1" w:rsidRPr="00DB451B">
        <w:rPr>
          <w:rFonts w:ascii="Verdana" w:hAnsi="Verdana"/>
          <w:color w:val="auto"/>
          <w:sz w:val="20"/>
          <w:szCs w:val="16"/>
        </w:rPr>
        <w:t>) (</w:t>
      </w:r>
      <w:r w:rsidRPr="00DB451B">
        <w:rPr>
          <w:rFonts w:ascii="Verdana" w:hAnsi="Verdana"/>
          <w:color w:val="auto"/>
          <w:sz w:val="20"/>
          <w:szCs w:val="16"/>
        </w:rPr>
        <w:t xml:space="preserve">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of the OMB Form 83-I is checked "Yes," Section B of the Supporting Statement must be completed.  OMB reserves the right to require the submission of additional information with respect to any request for approval. </w:t>
      </w:r>
    </w:p>
    <w:p w:rsidR="0084066E" w:rsidRPr="00DB451B" w:rsidRDefault="0084066E">
      <w:pPr>
        <w:pStyle w:val="Default"/>
        <w:spacing w:before="250" w:after="210"/>
        <w:rPr>
          <w:rFonts w:ascii="Verdana" w:hAnsi="Verdana"/>
          <w:color w:val="auto"/>
          <w:sz w:val="20"/>
          <w:szCs w:val="20"/>
        </w:rPr>
      </w:pPr>
      <w:r w:rsidRPr="00DB451B">
        <w:rPr>
          <w:rFonts w:ascii="Verdana" w:hAnsi="Verdana"/>
          <w:b/>
          <w:bCs/>
          <w:color w:val="auto"/>
          <w:sz w:val="20"/>
          <w:szCs w:val="20"/>
        </w:rPr>
        <w:t xml:space="preserve">Specific Instructions </w:t>
      </w:r>
    </w:p>
    <w:p w:rsidR="0084066E" w:rsidRPr="00DB451B" w:rsidRDefault="0084066E">
      <w:pPr>
        <w:pStyle w:val="CM2"/>
        <w:spacing w:before="210" w:after="173"/>
        <w:rPr>
          <w:rFonts w:ascii="Verdana" w:hAnsi="Verdana"/>
          <w:sz w:val="20"/>
          <w:szCs w:val="16"/>
        </w:rPr>
      </w:pPr>
      <w:r w:rsidRPr="00DB451B">
        <w:rPr>
          <w:rFonts w:ascii="Verdana" w:hAnsi="Verdana"/>
          <w:b/>
          <w:bCs/>
          <w:sz w:val="20"/>
          <w:szCs w:val="16"/>
        </w:rPr>
        <w:t xml:space="preserve">A. Justification </w:t>
      </w:r>
    </w:p>
    <w:p w:rsidR="0084066E" w:rsidRPr="00DB451B" w:rsidRDefault="0084066E">
      <w:pPr>
        <w:pStyle w:val="Default"/>
        <w:numPr>
          <w:ilvl w:val="0"/>
          <w:numId w:val="1"/>
        </w:numPr>
        <w:rPr>
          <w:rFonts w:ascii="Verdana" w:hAnsi="Verdana"/>
          <w:b/>
          <w:color w:val="auto"/>
          <w:sz w:val="20"/>
          <w:szCs w:val="16"/>
        </w:rPr>
      </w:pPr>
      <w:r w:rsidRPr="00DB451B">
        <w:rPr>
          <w:rFonts w:ascii="Verdana" w:hAnsi="Verdana"/>
          <w:b/>
          <w:color w:val="auto"/>
          <w:sz w:val="20"/>
          <w:szCs w:val="16"/>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4066E" w:rsidRPr="00DB451B" w:rsidRDefault="0084066E">
      <w:pPr>
        <w:pStyle w:val="Default"/>
        <w:rPr>
          <w:rFonts w:ascii="Verdana" w:hAnsi="Verdana"/>
          <w:color w:val="auto"/>
          <w:sz w:val="20"/>
          <w:szCs w:val="16"/>
        </w:rPr>
      </w:pPr>
    </w:p>
    <w:p w:rsidR="0001776D" w:rsidRPr="00DB451B" w:rsidRDefault="0001776D">
      <w:pPr>
        <w:pStyle w:val="Default"/>
        <w:rPr>
          <w:rFonts w:ascii="Verdana" w:hAnsi="Verdana"/>
          <w:color w:val="auto"/>
          <w:sz w:val="20"/>
          <w:szCs w:val="16"/>
        </w:rPr>
      </w:pPr>
    </w:p>
    <w:p w:rsidR="00685266" w:rsidRPr="00DB451B" w:rsidRDefault="00685266" w:rsidP="00685266">
      <w:pPr>
        <w:pStyle w:val="Default"/>
        <w:ind w:left="360"/>
        <w:rPr>
          <w:rFonts w:ascii="Verdana" w:hAnsi="Verdana"/>
          <w:color w:val="auto"/>
          <w:sz w:val="20"/>
          <w:szCs w:val="16"/>
        </w:rPr>
      </w:pPr>
      <w:r w:rsidRPr="00DB451B">
        <w:rPr>
          <w:rFonts w:ascii="Verdana" w:hAnsi="Verdana"/>
          <w:color w:val="auto"/>
          <w:sz w:val="20"/>
          <w:szCs w:val="16"/>
        </w:rPr>
        <w:t xml:space="preserve">This request for OMB review seeks </w:t>
      </w:r>
      <w:r w:rsidR="00074647">
        <w:rPr>
          <w:rFonts w:ascii="Verdana" w:hAnsi="Verdana"/>
          <w:color w:val="auto"/>
          <w:sz w:val="20"/>
          <w:szCs w:val="16"/>
        </w:rPr>
        <w:t>a</w:t>
      </w:r>
      <w:r w:rsidR="0046443A" w:rsidRPr="00DB451B">
        <w:rPr>
          <w:rFonts w:ascii="Verdana" w:hAnsi="Verdana"/>
          <w:color w:val="auto"/>
          <w:sz w:val="20"/>
          <w:szCs w:val="16"/>
        </w:rPr>
        <w:t xml:space="preserve"> revision</w:t>
      </w:r>
      <w:r w:rsidR="00A12456" w:rsidRPr="00DB451B">
        <w:rPr>
          <w:rFonts w:ascii="Verdana" w:hAnsi="Verdana"/>
          <w:color w:val="auto"/>
          <w:sz w:val="20"/>
          <w:szCs w:val="16"/>
        </w:rPr>
        <w:t xml:space="preserve"> of a</w:t>
      </w:r>
      <w:r w:rsidRPr="00DB451B">
        <w:rPr>
          <w:rFonts w:ascii="Verdana" w:hAnsi="Verdana"/>
          <w:color w:val="auto"/>
          <w:sz w:val="20"/>
          <w:szCs w:val="16"/>
        </w:rPr>
        <w:t xml:space="preserve"> current</w:t>
      </w:r>
      <w:r w:rsidR="00A12456" w:rsidRPr="00DB451B">
        <w:rPr>
          <w:rFonts w:ascii="Verdana" w:hAnsi="Verdana"/>
          <w:color w:val="auto"/>
          <w:sz w:val="20"/>
          <w:szCs w:val="16"/>
        </w:rPr>
        <w:t>ly</w:t>
      </w:r>
      <w:r w:rsidRPr="00DB451B">
        <w:rPr>
          <w:rFonts w:ascii="Verdana" w:hAnsi="Verdana"/>
          <w:color w:val="auto"/>
          <w:sz w:val="20"/>
          <w:szCs w:val="16"/>
        </w:rPr>
        <w:t xml:space="preserve"> approv</w:t>
      </w:r>
      <w:r w:rsidR="00A12456" w:rsidRPr="00DB451B">
        <w:rPr>
          <w:rFonts w:ascii="Verdana" w:hAnsi="Verdana"/>
          <w:color w:val="auto"/>
          <w:sz w:val="20"/>
          <w:szCs w:val="16"/>
        </w:rPr>
        <w:t>ed</w:t>
      </w:r>
      <w:r w:rsidRPr="00DB451B">
        <w:rPr>
          <w:rFonts w:ascii="Verdana" w:hAnsi="Verdana"/>
          <w:color w:val="auto"/>
          <w:sz w:val="20"/>
          <w:szCs w:val="16"/>
        </w:rPr>
        <w:t xml:space="preserve"> information collection </w:t>
      </w:r>
      <w:r w:rsidR="00A12456" w:rsidRPr="00DB451B">
        <w:rPr>
          <w:rFonts w:ascii="Verdana" w:hAnsi="Verdana"/>
          <w:color w:val="auto"/>
          <w:sz w:val="20"/>
          <w:szCs w:val="16"/>
        </w:rPr>
        <w:t xml:space="preserve">for </w:t>
      </w:r>
      <w:r w:rsidR="0046443A" w:rsidRPr="00DB451B">
        <w:rPr>
          <w:rFonts w:ascii="Verdana" w:hAnsi="Verdana"/>
          <w:color w:val="auto"/>
          <w:sz w:val="20"/>
          <w:szCs w:val="16"/>
        </w:rPr>
        <w:t>2502-0204.</w:t>
      </w:r>
    </w:p>
    <w:p w:rsidR="005F7489" w:rsidRPr="00DB451B" w:rsidRDefault="005F7489">
      <w:pPr>
        <w:pStyle w:val="Default"/>
        <w:ind w:left="360"/>
        <w:rPr>
          <w:rFonts w:ascii="Verdana" w:hAnsi="Verdana"/>
          <w:color w:val="auto"/>
          <w:sz w:val="20"/>
          <w:szCs w:val="16"/>
        </w:rPr>
      </w:pPr>
    </w:p>
    <w:p w:rsidR="00A479BD" w:rsidRPr="00DB451B" w:rsidRDefault="00A479BD">
      <w:pPr>
        <w:pStyle w:val="Default"/>
        <w:ind w:left="360"/>
        <w:rPr>
          <w:rFonts w:ascii="Verdana" w:hAnsi="Verdana"/>
          <w:color w:val="auto"/>
          <w:sz w:val="20"/>
          <w:szCs w:val="16"/>
        </w:rPr>
      </w:pPr>
      <w:r w:rsidRPr="00DB451B">
        <w:rPr>
          <w:rFonts w:ascii="Verdana" w:hAnsi="Verdana" w:cs="Vrinda"/>
          <w:color w:val="auto"/>
          <w:sz w:val="20"/>
          <w:szCs w:val="20"/>
        </w:rPr>
        <w:t>Information collected on the HUD-50059 and HUD-50059-A is defined in the HUD Tenant Rental Assistance Certification System (TRACS) Monthly Activity Transmission (MAT) User’s Guide.  Before completing these forms, all entities must read and follow the instructions in the MAT User’s Guide.</w:t>
      </w:r>
    </w:p>
    <w:p w:rsidR="00A479BD" w:rsidRPr="00DB451B" w:rsidRDefault="00A479BD">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HUD’s Office of Multifamily Housing Programs needs to collect this information in order to establish an applicant</w:t>
      </w:r>
      <w:r w:rsidR="00351807" w:rsidRPr="00DB451B">
        <w:rPr>
          <w:rFonts w:ascii="Verdana" w:hAnsi="Verdana"/>
          <w:color w:val="auto"/>
          <w:sz w:val="20"/>
          <w:szCs w:val="16"/>
        </w:rPr>
        <w:t>’</w:t>
      </w:r>
      <w:r w:rsidRPr="00DB451B">
        <w:rPr>
          <w:rFonts w:ascii="Verdana" w:hAnsi="Verdana"/>
          <w:color w:val="auto"/>
          <w:sz w:val="20"/>
          <w:szCs w:val="16"/>
        </w:rPr>
        <w:t>s eligibility for admittance to subsidized housing, specify which eligible applicants may be given priority over others, and prohibit racial discrimination in conjunction with selection of tenants and unit assignments.  HUD must specify</w:t>
      </w:r>
      <w:r w:rsidR="00D331D7" w:rsidRPr="00DB451B">
        <w:rPr>
          <w:rFonts w:ascii="Verdana" w:hAnsi="Verdana"/>
          <w:color w:val="auto"/>
          <w:sz w:val="20"/>
          <w:szCs w:val="16"/>
        </w:rPr>
        <w:t xml:space="preserve"> tenant eligibility requirements as well as</w:t>
      </w:r>
      <w:r w:rsidRPr="00DB451B">
        <w:rPr>
          <w:rFonts w:ascii="Verdana" w:hAnsi="Verdana"/>
          <w:color w:val="auto"/>
          <w:sz w:val="20"/>
          <w:szCs w:val="16"/>
        </w:rPr>
        <w:t xml:space="preserve"> how tenants’ incomes, rents and assistance must be </w:t>
      </w:r>
      <w:r w:rsidR="0086675F" w:rsidRPr="00DB451B">
        <w:rPr>
          <w:rFonts w:ascii="Verdana" w:hAnsi="Verdana"/>
          <w:color w:val="auto"/>
          <w:sz w:val="20"/>
          <w:szCs w:val="16"/>
        </w:rPr>
        <w:t xml:space="preserve">verified and </w:t>
      </w:r>
      <w:r w:rsidRPr="00DB451B">
        <w:rPr>
          <w:rFonts w:ascii="Verdana" w:hAnsi="Verdana"/>
          <w:color w:val="auto"/>
          <w:sz w:val="20"/>
          <w:szCs w:val="16"/>
        </w:rPr>
        <w:t>computed</w:t>
      </w:r>
      <w:r w:rsidR="0086675F" w:rsidRPr="00DB451B">
        <w:rPr>
          <w:rFonts w:ascii="Verdana" w:hAnsi="Verdana"/>
          <w:color w:val="auto"/>
          <w:sz w:val="20"/>
          <w:szCs w:val="16"/>
        </w:rPr>
        <w:t xml:space="preserve"> so as to prevent HUD from making improper payments to owners on behalf of assisted tenants.  HUD also </w:t>
      </w:r>
      <w:r w:rsidRPr="00DB451B">
        <w:rPr>
          <w:rFonts w:ascii="Verdana" w:hAnsi="Verdana"/>
          <w:color w:val="auto"/>
          <w:sz w:val="20"/>
          <w:szCs w:val="16"/>
        </w:rPr>
        <w:t>must provide annual reports to Congress and the public on the race/ethnicity and gender composition of HUD program beneficiaries.  This information is essential to maintain a standard of fair practices in assigning tenants to HUD Multifamily properties.</w:t>
      </w:r>
      <w:r w:rsidR="00D331D7" w:rsidRPr="00DB451B">
        <w:rPr>
          <w:rFonts w:ascii="Verdana" w:hAnsi="Verdana"/>
          <w:color w:val="auto"/>
          <w:sz w:val="20"/>
          <w:szCs w:val="16"/>
        </w:rPr>
        <w:t xml:space="preserve">  </w:t>
      </w:r>
    </w:p>
    <w:p w:rsidR="00685266" w:rsidRPr="00DB451B" w:rsidRDefault="00685266" w:rsidP="00685266">
      <w:pPr>
        <w:pStyle w:val="Default"/>
        <w:ind w:left="360"/>
        <w:rPr>
          <w:rFonts w:ascii="Verdana" w:hAnsi="Verdana"/>
          <w:color w:val="auto"/>
          <w:sz w:val="20"/>
          <w:szCs w:val="16"/>
        </w:rPr>
      </w:pPr>
      <w:r w:rsidRPr="00DB451B">
        <w:rPr>
          <w:rFonts w:ascii="Verdana" w:hAnsi="Verdana"/>
          <w:color w:val="auto"/>
          <w:sz w:val="20"/>
          <w:szCs w:val="16"/>
        </w:rPr>
        <w:t xml:space="preserve">  </w:t>
      </w:r>
    </w:p>
    <w:p w:rsidR="0084066E" w:rsidRPr="00DB451B" w:rsidRDefault="002347C5" w:rsidP="00D309A3">
      <w:pPr>
        <w:pStyle w:val="Default"/>
        <w:ind w:left="360"/>
        <w:rPr>
          <w:rFonts w:ascii="Verdana" w:hAnsi="Verdana"/>
          <w:color w:val="auto"/>
          <w:sz w:val="20"/>
          <w:szCs w:val="16"/>
        </w:rPr>
      </w:pPr>
      <w:r w:rsidRPr="00DB451B">
        <w:rPr>
          <w:rFonts w:ascii="Verdana" w:hAnsi="Verdana"/>
          <w:color w:val="auto"/>
          <w:sz w:val="20"/>
          <w:szCs w:val="16"/>
        </w:rPr>
        <w:t xml:space="preserve">  </w:t>
      </w:r>
      <w:r w:rsidR="0084066E" w:rsidRPr="00DB451B">
        <w:rPr>
          <w:rFonts w:ascii="Verdana" w:hAnsi="Verdana"/>
          <w:color w:val="auto"/>
          <w:sz w:val="20"/>
          <w:szCs w:val="16"/>
        </w:rPr>
        <w:t>Th</w:t>
      </w:r>
      <w:r w:rsidR="00557D75" w:rsidRPr="00DB451B">
        <w:rPr>
          <w:rFonts w:ascii="Verdana" w:hAnsi="Verdana"/>
          <w:color w:val="auto"/>
          <w:sz w:val="20"/>
          <w:szCs w:val="16"/>
        </w:rPr>
        <w:t>e</w:t>
      </w:r>
      <w:r w:rsidR="0084066E" w:rsidRPr="00DB451B">
        <w:rPr>
          <w:rFonts w:ascii="Verdana" w:hAnsi="Verdana"/>
          <w:color w:val="auto"/>
          <w:sz w:val="20"/>
          <w:szCs w:val="16"/>
        </w:rPr>
        <w:t>s</w:t>
      </w:r>
      <w:r w:rsidR="00557D75" w:rsidRPr="00DB451B">
        <w:rPr>
          <w:rFonts w:ascii="Verdana" w:hAnsi="Verdana"/>
          <w:color w:val="auto"/>
          <w:sz w:val="20"/>
          <w:szCs w:val="16"/>
        </w:rPr>
        <w:t>e</w:t>
      </w:r>
      <w:r w:rsidR="0084066E" w:rsidRPr="00DB451B">
        <w:rPr>
          <w:rFonts w:ascii="Verdana" w:hAnsi="Verdana"/>
          <w:color w:val="auto"/>
          <w:sz w:val="20"/>
          <w:szCs w:val="16"/>
        </w:rPr>
        <w:t xml:space="preserve"> collection</w:t>
      </w:r>
      <w:r w:rsidR="00557D75" w:rsidRPr="00DB451B">
        <w:rPr>
          <w:rFonts w:ascii="Verdana" w:hAnsi="Verdana"/>
          <w:color w:val="auto"/>
          <w:sz w:val="20"/>
          <w:szCs w:val="16"/>
        </w:rPr>
        <w:t>s</w:t>
      </w:r>
      <w:r w:rsidR="0084066E" w:rsidRPr="00DB451B">
        <w:rPr>
          <w:rFonts w:ascii="Verdana" w:hAnsi="Verdana"/>
          <w:color w:val="auto"/>
          <w:sz w:val="20"/>
          <w:szCs w:val="16"/>
        </w:rPr>
        <w:t xml:space="preserve"> </w:t>
      </w:r>
      <w:r w:rsidR="00557D75" w:rsidRPr="00DB451B">
        <w:rPr>
          <w:rFonts w:ascii="Verdana" w:hAnsi="Verdana"/>
          <w:color w:val="auto"/>
          <w:sz w:val="20"/>
          <w:szCs w:val="16"/>
        </w:rPr>
        <w:t>are</w:t>
      </w:r>
      <w:r w:rsidR="0084066E" w:rsidRPr="00DB451B">
        <w:rPr>
          <w:rFonts w:ascii="Verdana" w:hAnsi="Verdana"/>
          <w:color w:val="auto"/>
          <w:sz w:val="20"/>
          <w:szCs w:val="16"/>
        </w:rPr>
        <w:t xml:space="preserve"> authorized by the following statutes:</w:t>
      </w:r>
    </w:p>
    <w:p w:rsidR="0084066E" w:rsidRPr="00DB451B" w:rsidRDefault="0084066E">
      <w:pPr>
        <w:pStyle w:val="Default"/>
        <w:numPr>
          <w:ilvl w:val="0"/>
          <w:numId w:val="15"/>
        </w:numPr>
        <w:rPr>
          <w:rFonts w:ascii="Verdana" w:hAnsi="Verdana"/>
          <w:color w:val="auto"/>
          <w:sz w:val="20"/>
          <w:szCs w:val="16"/>
          <w:lang w:val="fr-FR"/>
        </w:rPr>
      </w:pPr>
      <w:r w:rsidRPr="00DB451B">
        <w:rPr>
          <w:rFonts w:ascii="Verdana" w:hAnsi="Verdana"/>
          <w:color w:val="auto"/>
          <w:sz w:val="20"/>
          <w:szCs w:val="16"/>
          <w:lang w:val="fr-FR"/>
        </w:rPr>
        <w:t>Section 8 (42 U.S.C. 1437 et seq.).</w:t>
      </w:r>
    </w:p>
    <w:p w:rsidR="0084066E" w:rsidRPr="00DB451B" w:rsidRDefault="0084066E">
      <w:pPr>
        <w:pStyle w:val="Default"/>
        <w:numPr>
          <w:ilvl w:val="0"/>
          <w:numId w:val="15"/>
        </w:numPr>
        <w:rPr>
          <w:rFonts w:ascii="Verdana" w:hAnsi="Verdana"/>
          <w:color w:val="auto"/>
          <w:sz w:val="20"/>
          <w:szCs w:val="16"/>
        </w:rPr>
      </w:pPr>
      <w:r w:rsidRPr="00DB451B">
        <w:rPr>
          <w:rFonts w:ascii="Verdana" w:hAnsi="Verdana"/>
          <w:color w:val="auto"/>
          <w:sz w:val="20"/>
          <w:szCs w:val="16"/>
        </w:rPr>
        <w:t>Rent Supplement (12 U.S.C. 1701s).</w:t>
      </w:r>
    </w:p>
    <w:p w:rsidR="0084066E" w:rsidRPr="00DB451B" w:rsidRDefault="0084066E">
      <w:pPr>
        <w:pStyle w:val="Default"/>
        <w:numPr>
          <w:ilvl w:val="0"/>
          <w:numId w:val="15"/>
        </w:numPr>
        <w:rPr>
          <w:rFonts w:ascii="Verdana" w:hAnsi="Verdana"/>
          <w:color w:val="auto"/>
          <w:sz w:val="20"/>
          <w:szCs w:val="16"/>
        </w:rPr>
      </w:pPr>
      <w:r w:rsidRPr="00DB451B">
        <w:rPr>
          <w:rFonts w:ascii="Verdana" w:hAnsi="Verdana"/>
          <w:color w:val="auto"/>
          <w:sz w:val="20"/>
          <w:szCs w:val="16"/>
        </w:rPr>
        <w:t>Rental Assistance Payments (12 U.S.C. 1715z-1).</w:t>
      </w:r>
    </w:p>
    <w:p w:rsidR="0084066E" w:rsidRPr="00DB451B" w:rsidRDefault="0084066E">
      <w:pPr>
        <w:pStyle w:val="Default"/>
        <w:numPr>
          <w:ilvl w:val="0"/>
          <w:numId w:val="15"/>
        </w:numPr>
        <w:rPr>
          <w:rFonts w:ascii="Verdana" w:hAnsi="Verdana"/>
          <w:color w:val="auto"/>
          <w:sz w:val="20"/>
          <w:szCs w:val="16"/>
        </w:rPr>
      </w:pPr>
      <w:r w:rsidRPr="00DB451B">
        <w:rPr>
          <w:rFonts w:ascii="Verdana" w:hAnsi="Verdana"/>
          <w:color w:val="auto"/>
          <w:sz w:val="20"/>
          <w:szCs w:val="16"/>
        </w:rPr>
        <w:t>Section 236 (12 U.S.C. 1172z-1).</w:t>
      </w:r>
    </w:p>
    <w:p w:rsidR="0084066E" w:rsidRPr="00DB451B" w:rsidRDefault="0084066E">
      <w:pPr>
        <w:pStyle w:val="Default"/>
        <w:numPr>
          <w:ilvl w:val="0"/>
          <w:numId w:val="15"/>
        </w:numPr>
        <w:rPr>
          <w:rFonts w:ascii="Verdana" w:hAnsi="Verdana"/>
          <w:color w:val="auto"/>
          <w:sz w:val="20"/>
          <w:szCs w:val="16"/>
        </w:rPr>
      </w:pPr>
      <w:r w:rsidRPr="00DB451B">
        <w:rPr>
          <w:rFonts w:ascii="Verdana" w:hAnsi="Verdana"/>
          <w:color w:val="auto"/>
          <w:sz w:val="20"/>
          <w:szCs w:val="16"/>
        </w:rPr>
        <w:t>Section 221(d</w:t>
      </w:r>
      <w:r w:rsidR="009069A1" w:rsidRPr="00DB451B">
        <w:rPr>
          <w:rFonts w:ascii="Verdana" w:hAnsi="Verdana"/>
          <w:color w:val="auto"/>
          <w:sz w:val="20"/>
          <w:szCs w:val="16"/>
        </w:rPr>
        <w:t>) (</w:t>
      </w:r>
      <w:r w:rsidRPr="00DB451B">
        <w:rPr>
          <w:rFonts w:ascii="Verdana" w:hAnsi="Verdana"/>
          <w:color w:val="auto"/>
          <w:sz w:val="20"/>
          <w:szCs w:val="16"/>
        </w:rPr>
        <w:t>3) Below Market Interest Rate (12 U.S.C. 1715l).</w:t>
      </w:r>
    </w:p>
    <w:p w:rsidR="00E74ABD" w:rsidRPr="00DB451B" w:rsidRDefault="00E74ABD">
      <w:pPr>
        <w:pStyle w:val="Default"/>
        <w:numPr>
          <w:ilvl w:val="0"/>
          <w:numId w:val="15"/>
        </w:numPr>
        <w:rPr>
          <w:rFonts w:ascii="Verdana" w:hAnsi="Verdana"/>
          <w:color w:val="auto"/>
          <w:sz w:val="20"/>
          <w:szCs w:val="16"/>
        </w:rPr>
      </w:pPr>
      <w:r w:rsidRPr="00DB451B">
        <w:rPr>
          <w:rFonts w:ascii="Verdana" w:hAnsi="Verdana"/>
          <w:color w:val="auto"/>
          <w:sz w:val="20"/>
          <w:szCs w:val="16"/>
        </w:rPr>
        <w:t>Title VI of the Civil Rights Act of 1964.</w:t>
      </w:r>
    </w:p>
    <w:p w:rsidR="0084066E" w:rsidRPr="00DB451B" w:rsidRDefault="0084066E">
      <w:pPr>
        <w:pStyle w:val="Default"/>
        <w:numPr>
          <w:ilvl w:val="0"/>
          <w:numId w:val="15"/>
        </w:numPr>
        <w:rPr>
          <w:rFonts w:ascii="Verdana" w:hAnsi="Verdana"/>
          <w:color w:val="auto"/>
          <w:sz w:val="20"/>
          <w:szCs w:val="16"/>
        </w:rPr>
      </w:pPr>
      <w:r w:rsidRPr="00DB451B">
        <w:rPr>
          <w:rFonts w:ascii="Verdana" w:hAnsi="Verdana"/>
          <w:color w:val="auto"/>
          <w:sz w:val="20"/>
          <w:szCs w:val="16"/>
        </w:rPr>
        <w:t>Title VIII of the Civil Rights Act of 1968, as amended (Section 808).</w:t>
      </w:r>
    </w:p>
    <w:p w:rsidR="00E74ABD" w:rsidRPr="00DB451B" w:rsidRDefault="00E74ABD">
      <w:pPr>
        <w:pStyle w:val="Default"/>
        <w:numPr>
          <w:ilvl w:val="0"/>
          <w:numId w:val="15"/>
        </w:numPr>
        <w:rPr>
          <w:rFonts w:ascii="Verdana" w:hAnsi="Verdana"/>
          <w:color w:val="auto"/>
          <w:sz w:val="20"/>
          <w:szCs w:val="16"/>
        </w:rPr>
      </w:pPr>
      <w:r w:rsidRPr="00DB451B">
        <w:rPr>
          <w:rFonts w:ascii="Verdana" w:hAnsi="Verdana"/>
          <w:color w:val="auto"/>
          <w:sz w:val="20"/>
          <w:szCs w:val="16"/>
        </w:rPr>
        <w:t>Executive Order 11063, Equal Opportunity in Housing</w:t>
      </w:r>
    </w:p>
    <w:p w:rsidR="00E74ABD" w:rsidRPr="00DB451B" w:rsidRDefault="00E74ABD">
      <w:pPr>
        <w:pStyle w:val="Default"/>
        <w:numPr>
          <w:ilvl w:val="0"/>
          <w:numId w:val="15"/>
        </w:numPr>
        <w:rPr>
          <w:rFonts w:ascii="Verdana" w:hAnsi="Verdana"/>
          <w:color w:val="auto"/>
          <w:sz w:val="20"/>
          <w:szCs w:val="16"/>
        </w:rPr>
      </w:pPr>
      <w:r w:rsidRPr="00DB451B">
        <w:rPr>
          <w:rFonts w:ascii="Verdana" w:hAnsi="Verdana"/>
          <w:color w:val="auto"/>
          <w:sz w:val="20"/>
          <w:szCs w:val="16"/>
        </w:rPr>
        <w:t>Social Security Numbers (42 U.S.C. 3543).</w:t>
      </w:r>
    </w:p>
    <w:p w:rsidR="0084066E" w:rsidRPr="00DB451B" w:rsidRDefault="0084066E">
      <w:pPr>
        <w:pStyle w:val="Default"/>
        <w:numPr>
          <w:ilvl w:val="0"/>
          <w:numId w:val="15"/>
        </w:numPr>
        <w:rPr>
          <w:rFonts w:ascii="Verdana" w:hAnsi="Verdana"/>
          <w:color w:val="auto"/>
          <w:sz w:val="20"/>
          <w:szCs w:val="16"/>
        </w:rPr>
      </w:pPr>
      <w:r w:rsidRPr="00DB451B">
        <w:rPr>
          <w:rFonts w:ascii="Verdana" w:hAnsi="Verdana"/>
          <w:color w:val="auto"/>
          <w:sz w:val="20"/>
          <w:szCs w:val="16"/>
        </w:rPr>
        <w:t>Section 562 of the Housing and Community Development Act of 1987.</w:t>
      </w:r>
    </w:p>
    <w:p w:rsidR="0084066E" w:rsidRPr="00DB451B" w:rsidRDefault="0084066E">
      <w:pPr>
        <w:pStyle w:val="Default"/>
        <w:numPr>
          <w:ilvl w:val="0"/>
          <w:numId w:val="15"/>
        </w:numPr>
        <w:rPr>
          <w:rFonts w:ascii="Verdana" w:hAnsi="Verdana"/>
          <w:color w:val="auto"/>
          <w:sz w:val="20"/>
          <w:szCs w:val="16"/>
        </w:rPr>
      </w:pPr>
      <w:r w:rsidRPr="00DB451B">
        <w:rPr>
          <w:rFonts w:ascii="Verdana" w:hAnsi="Verdana"/>
          <w:color w:val="auto"/>
          <w:sz w:val="20"/>
          <w:szCs w:val="16"/>
        </w:rPr>
        <w:lastRenderedPageBreak/>
        <w:t>Section 202 of the Housing Act of 1959, as amended.</w:t>
      </w:r>
    </w:p>
    <w:p w:rsidR="0084066E" w:rsidRPr="00DB451B" w:rsidRDefault="0084066E">
      <w:pPr>
        <w:pStyle w:val="Default"/>
        <w:numPr>
          <w:ilvl w:val="0"/>
          <w:numId w:val="15"/>
        </w:numPr>
        <w:rPr>
          <w:rFonts w:ascii="Verdana" w:hAnsi="Verdana"/>
          <w:color w:val="auto"/>
          <w:sz w:val="20"/>
          <w:szCs w:val="16"/>
        </w:rPr>
      </w:pPr>
      <w:r w:rsidRPr="00DB451B">
        <w:rPr>
          <w:rFonts w:ascii="Verdana" w:hAnsi="Verdana"/>
          <w:color w:val="auto"/>
          <w:sz w:val="20"/>
          <w:szCs w:val="16"/>
        </w:rPr>
        <w:t>Section 811 of the National Affordable Housing Act of 1980.</w:t>
      </w:r>
    </w:p>
    <w:p w:rsidR="00E74ABD" w:rsidRPr="00DB451B" w:rsidRDefault="00E74ABD">
      <w:pPr>
        <w:pStyle w:val="Default"/>
        <w:numPr>
          <w:ilvl w:val="0"/>
          <w:numId w:val="15"/>
        </w:numPr>
        <w:rPr>
          <w:rFonts w:ascii="Verdana" w:hAnsi="Verdana"/>
          <w:color w:val="auto"/>
          <w:sz w:val="20"/>
          <w:szCs w:val="16"/>
        </w:rPr>
      </w:pPr>
      <w:r w:rsidRPr="00DB451B">
        <w:rPr>
          <w:rFonts w:ascii="Verdana" w:hAnsi="Verdana"/>
          <w:color w:val="auto"/>
          <w:sz w:val="20"/>
          <w:szCs w:val="16"/>
        </w:rPr>
        <w:t>Computer Matching and Privacy Protection Act of 1988 (102 Statute 2507).</w:t>
      </w:r>
    </w:p>
    <w:p w:rsidR="00E74ABD" w:rsidRPr="00DB451B" w:rsidRDefault="00E74ABD">
      <w:pPr>
        <w:pStyle w:val="Default"/>
        <w:numPr>
          <w:ilvl w:val="0"/>
          <w:numId w:val="15"/>
        </w:numPr>
        <w:rPr>
          <w:rFonts w:ascii="Verdana" w:hAnsi="Verdana"/>
          <w:color w:val="auto"/>
          <w:sz w:val="20"/>
          <w:szCs w:val="16"/>
        </w:rPr>
      </w:pPr>
      <w:r w:rsidRPr="00DB451B">
        <w:rPr>
          <w:rFonts w:ascii="Verdana" w:hAnsi="Verdana"/>
          <w:color w:val="auto"/>
          <w:sz w:val="20"/>
          <w:szCs w:val="16"/>
        </w:rPr>
        <w:t>Privacy Act of 1974 (5 U.S.C. 552a), Records Maintained on Individuals</w:t>
      </w:r>
    </w:p>
    <w:p w:rsidR="00E74ABD" w:rsidRPr="00DB451B" w:rsidRDefault="00E74ABD">
      <w:pPr>
        <w:pStyle w:val="Default"/>
        <w:numPr>
          <w:ilvl w:val="0"/>
          <w:numId w:val="15"/>
        </w:numPr>
        <w:rPr>
          <w:rFonts w:ascii="Verdana" w:hAnsi="Verdana"/>
          <w:color w:val="auto"/>
          <w:sz w:val="20"/>
          <w:szCs w:val="16"/>
        </w:rPr>
      </w:pPr>
      <w:r w:rsidRPr="00DB451B">
        <w:rPr>
          <w:rFonts w:ascii="Verdana" w:hAnsi="Verdana"/>
          <w:color w:val="auto"/>
          <w:sz w:val="20"/>
          <w:szCs w:val="16"/>
        </w:rPr>
        <w:t>Quality Housing and Work Responsibility Act of 1998 (QHWRA)</w:t>
      </w:r>
    </w:p>
    <w:p w:rsidR="0084066E" w:rsidRPr="00DB451B" w:rsidRDefault="0084066E">
      <w:pPr>
        <w:pStyle w:val="Default"/>
        <w:numPr>
          <w:ilvl w:val="0"/>
          <w:numId w:val="15"/>
        </w:numPr>
        <w:rPr>
          <w:rFonts w:ascii="Verdana" w:hAnsi="Verdana"/>
          <w:color w:val="auto"/>
          <w:sz w:val="20"/>
          <w:szCs w:val="16"/>
        </w:rPr>
      </w:pPr>
      <w:r w:rsidRPr="00DB451B">
        <w:rPr>
          <w:rFonts w:ascii="Verdana" w:hAnsi="Verdana"/>
          <w:color w:val="auto"/>
          <w:sz w:val="20"/>
          <w:szCs w:val="16"/>
        </w:rPr>
        <w:t>Section 658 of Title VI of Subtitle D of the Housing and Community Development Act of 1992.</w:t>
      </w:r>
    </w:p>
    <w:p w:rsidR="0084066E" w:rsidRPr="00DB451B" w:rsidRDefault="0084066E">
      <w:pPr>
        <w:pStyle w:val="Default"/>
        <w:ind w:left="720"/>
        <w:rPr>
          <w:rFonts w:ascii="Verdana" w:hAnsi="Verdana"/>
          <w:color w:val="auto"/>
          <w:sz w:val="20"/>
          <w:szCs w:val="16"/>
        </w:rPr>
      </w:pPr>
    </w:p>
    <w:p w:rsidR="0084066E" w:rsidRPr="00DB451B" w:rsidRDefault="0084066E">
      <w:pPr>
        <w:pStyle w:val="Default"/>
        <w:numPr>
          <w:ilvl w:val="0"/>
          <w:numId w:val="14"/>
        </w:numPr>
        <w:rPr>
          <w:rFonts w:ascii="Verdana" w:hAnsi="Verdana"/>
          <w:color w:val="auto"/>
          <w:sz w:val="20"/>
          <w:szCs w:val="16"/>
        </w:rPr>
      </w:pPr>
      <w:r w:rsidRPr="00DB451B">
        <w:rPr>
          <w:rFonts w:ascii="Verdana" w:hAnsi="Verdana"/>
          <w:color w:val="auto"/>
          <w:sz w:val="20"/>
          <w:szCs w:val="16"/>
        </w:rPr>
        <w:t>Th</w:t>
      </w:r>
      <w:r w:rsidR="00557D75" w:rsidRPr="00DB451B">
        <w:rPr>
          <w:rFonts w:ascii="Verdana" w:hAnsi="Verdana"/>
          <w:color w:val="auto"/>
          <w:sz w:val="20"/>
          <w:szCs w:val="16"/>
        </w:rPr>
        <w:t>ese</w:t>
      </w:r>
      <w:r w:rsidRPr="00DB451B">
        <w:rPr>
          <w:rFonts w:ascii="Verdana" w:hAnsi="Verdana"/>
          <w:color w:val="auto"/>
          <w:sz w:val="20"/>
          <w:szCs w:val="16"/>
        </w:rPr>
        <w:t xml:space="preserve"> collection</w:t>
      </w:r>
      <w:r w:rsidR="00557D75" w:rsidRPr="00DB451B">
        <w:rPr>
          <w:rFonts w:ascii="Verdana" w:hAnsi="Verdana"/>
          <w:color w:val="auto"/>
          <w:sz w:val="20"/>
          <w:szCs w:val="16"/>
        </w:rPr>
        <w:t>s</w:t>
      </w:r>
      <w:r w:rsidRPr="00DB451B">
        <w:rPr>
          <w:rFonts w:ascii="Verdana" w:hAnsi="Verdana"/>
          <w:color w:val="auto"/>
          <w:sz w:val="20"/>
          <w:szCs w:val="16"/>
        </w:rPr>
        <w:t xml:space="preserve"> </w:t>
      </w:r>
      <w:r w:rsidR="00557D75" w:rsidRPr="00DB451B">
        <w:rPr>
          <w:rFonts w:ascii="Verdana" w:hAnsi="Verdana"/>
          <w:color w:val="auto"/>
          <w:sz w:val="20"/>
          <w:szCs w:val="16"/>
        </w:rPr>
        <w:t>are</w:t>
      </w:r>
      <w:r w:rsidRPr="00DB451B">
        <w:rPr>
          <w:rFonts w:ascii="Verdana" w:hAnsi="Verdana"/>
          <w:color w:val="auto"/>
          <w:sz w:val="20"/>
          <w:szCs w:val="16"/>
        </w:rPr>
        <w:t xml:space="preserve"> covered by the following regulations:</w:t>
      </w:r>
    </w:p>
    <w:p w:rsidR="0084066E" w:rsidRPr="00DB451B" w:rsidRDefault="0084066E">
      <w:pPr>
        <w:pStyle w:val="Default"/>
        <w:numPr>
          <w:ilvl w:val="0"/>
          <w:numId w:val="16"/>
        </w:numPr>
        <w:rPr>
          <w:rFonts w:ascii="Verdana" w:hAnsi="Verdana"/>
          <w:color w:val="auto"/>
          <w:sz w:val="20"/>
          <w:szCs w:val="16"/>
          <w:lang w:val="fr-FR"/>
        </w:rPr>
      </w:pPr>
      <w:r w:rsidRPr="00DB451B">
        <w:rPr>
          <w:rFonts w:ascii="Verdana" w:hAnsi="Verdana"/>
          <w:color w:val="auto"/>
          <w:sz w:val="20"/>
          <w:szCs w:val="16"/>
          <w:lang w:val="fr-FR"/>
        </w:rPr>
        <w:t>Section 8:  24 CFR Part 5, 24 CFR 880, 24 CFR 884, 24 CFR 886, 24 CFR 891 Subpart E.</w:t>
      </w:r>
    </w:p>
    <w:p w:rsidR="0084066E" w:rsidRPr="00DB451B" w:rsidRDefault="0084066E">
      <w:pPr>
        <w:pStyle w:val="Default"/>
        <w:numPr>
          <w:ilvl w:val="0"/>
          <w:numId w:val="16"/>
        </w:numPr>
        <w:rPr>
          <w:rFonts w:ascii="Verdana" w:hAnsi="Verdana"/>
          <w:color w:val="auto"/>
          <w:sz w:val="20"/>
          <w:szCs w:val="16"/>
        </w:rPr>
      </w:pPr>
      <w:r w:rsidRPr="00DB451B">
        <w:rPr>
          <w:rFonts w:ascii="Verdana" w:hAnsi="Verdana"/>
          <w:color w:val="auto"/>
          <w:sz w:val="20"/>
          <w:szCs w:val="16"/>
        </w:rPr>
        <w:t>Section 236 and Rental Assistance Payments:  24 CFR 236.</w:t>
      </w:r>
    </w:p>
    <w:p w:rsidR="0084066E" w:rsidRPr="00DB451B" w:rsidRDefault="0084066E">
      <w:pPr>
        <w:pStyle w:val="Default"/>
        <w:numPr>
          <w:ilvl w:val="0"/>
          <w:numId w:val="16"/>
        </w:numPr>
        <w:rPr>
          <w:rFonts w:ascii="Verdana" w:hAnsi="Verdana"/>
          <w:color w:val="auto"/>
          <w:sz w:val="20"/>
          <w:szCs w:val="16"/>
        </w:rPr>
      </w:pPr>
      <w:r w:rsidRPr="00DB451B">
        <w:rPr>
          <w:rFonts w:ascii="Verdana" w:hAnsi="Verdana"/>
          <w:color w:val="auto"/>
          <w:sz w:val="20"/>
          <w:szCs w:val="16"/>
        </w:rPr>
        <w:t>Section 221(d</w:t>
      </w:r>
      <w:r w:rsidR="009069A1" w:rsidRPr="00DB451B">
        <w:rPr>
          <w:rFonts w:ascii="Verdana" w:hAnsi="Verdana"/>
          <w:color w:val="auto"/>
          <w:sz w:val="20"/>
          <w:szCs w:val="16"/>
        </w:rPr>
        <w:t>) (</w:t>
      </w:r>
      <w:r w:rsidRPr="00DB451B">
        <w:rPr>
          <w:rFonts w:ascii="Verdana" w:hAnsi="Verdana"/>
          <w:color w:val="auto"/>
          <w:sz w:val="20"/>
          <w:szCs w:val="16"/>
        </w:rPr>
        <w:t>3):  24 CFR 221.</w:t>
      </w:r>
    </w:p>
    <w:p w:rsidR="0084066E" w:rsidRPr="00DB451B" w:rsidRDefault="0084066E">
      <w:pPr>
        <w:pStyle w:val="Default"/>
        <w:numPr>
          <w:ilvl w:val="0"/>
          <w:numId w:val="16"/>
        </w:numPr>
        <w:rPr>
          <w:rFonts w:ascii="Verdana" w:hAnsi="Verdana"/>
          <w:color w:val="auto"/>
          <w:sz w:val="20"/>
          <w:szCs w:val="16"/>
        </w:rPr>
      </w:pPr>
      <w:r w:rsidRPr="00DB451B">
        <w:rPr>
          <w:rFonts w:ascii="Verdana" w:hAnsi="Verdana"/>
          <w:color w:val="auto"/>
          <w:sz w:val="20"/>
          <w:szCs w:val="16"/>
        </w:rPr>
        <w:t>Racial, Sex, Ethnic Data:  24 CFR 121.</w:t>
      </w:r>
    </w:p>
    <w:p w:rsidR="0084066E" w:rsidRPr="00DB451B" w:rsidRDefault="0084066E">
      <w:pPr>
        <w:pStyle w:val="Default"/>
        <w:numPr>
          <w:ilvl w:val="0"/>
          <w:numId w:val="16"/>
        </w:numPr>
        <w:rPr>
          <w:rFonts w:ascii="Verdana" w:hAnsi="Verdana"/>
          <w:color w:val="auto"/>
          <w:sz w:val="20"/>
          <w:szCs w:val="16"/>
        </w:rPr>
      </w:pPr>
      <w:r w:rsidRPr="00DB451B">
        <w:rPr>
          <w:rFonts w:ascii="Verdana" w:hAnsi="Verdana"/>
          <w:color w:val="auto"/>
          <w:sz w:val="20"/>
          <w:szCs w:val="16"/>
        </w:rPr>
        <w:t>Nondiscrimination and Equal Opportunity in Housing:  24 CFR 107.</w:t>
      </w:r>
    </w:p>
    <w:p w:rsidR="00E74ABD" w:rsidRPr="00DB451B" w:rsidRDefault="00E74ABD">
      <w:pPr>
        <w:pStyle w:val="Default"/>
        <w:numPr>
          <w:ilvl w:val="0"/>
          <w:numId w:val="16"/>
        </w:numPr>
        <w:rPr>
          <w:rFonts w:ascii="Verdana" w:hAnsi="Verdana"/>
          <w:color w:val="auto"/>
          <w:sz w:val="20"/>
          <w:szCs w:val="16"/>
        </w:rPr>
      </w:pPr>
      <w:r w:rsidRPr="00DB451B">
        <w:rPr>
          <w:rFonts w:ascii="Verdana" w:hAnsi="Verdana"/>
          <w:color w:val="auto"/>
          <w:sz w:val="20"/>
          <w:szCs w:val="16"/>
        </w:rPr>
        <w:t>Nondiscrimination in Federal Programs:  24 CFR 1.</w:t>
      </w:r>
    </w:p>
    <w:p w:rsidR="00E74ABD" w:rsidRPr="00DB451B" w:rsidRDefault="00E74ABD">
      <w:pPr>
        <w:pStyle w:val="Default"/>
        <w:numPr>
          <w:ilvl w:val="0"/>
          <w:numId w:val="16"/>
        </w:numPr>
        <w:rPr>
          <w:rFonts w:ascii="Verdana" w:hAnsi="Verdana"/>
          <w:color w:val="auto"/>
          <w:sz w:val="20"/>
          <w:szCs w:val="16"/>
        </w:rPr>
      </w:pPr>
      <w:r w:rsidRPr="00DB451B">
        <w:rPr>
          <w:rFonts w:ascii="Verdana" w:hAnsi="Verdana"/>
          <w:color w:val="auto"/>
          <w:sz w:val="20"/>
          <w:szCs w:val="16"/>
        </w:rPr>
        <w:t>Social Security Numbers:  24 CFR Part 5.</w:t>
      </w:r>
    </w:p>
    <w:p w:rsidR="0084066E" w:rsidRPr="00DB451B" w:rsidRDefault="0084066E">
      <w:pPr>
        <w:pStyle w:val="Default"/>
        <w:numPr>
          <w:ilvl w:val="0"/>
          <w:numId w:val="16"/>
        </w:numPr>
        <w:rPr>
          <w:rFonts w:ascii="Verdana" w:hAnsi="Verdana"/>
          <w:color w:val="auto"/>
          <w:sz w:val="20"/>
          <w:szCs w:val="16"/>
        </w:rPr>
      </w:pPr>
      <w:r w:rsidRPr="00DB451B">
        <w:rPr>
          <w:rFonts w:ascii="Verdana" w:hAnsi="Verdana"/>
          <w:color w:val="auto"/>
          <w:sz w:val="20"/>
          <w:szCs w:val="16"/>
        </w:rPr>
        <w:t>Procedures for Obtaining Wage and Claim Information Agencies:  24 CFR Part 760.</w:t>
      </w:r>
    </w:p>
    <w:p w:rsidR="00E74ABD" w:rsidRPr="00DB451B" w:rsidRDefault="00E74ABD">
      <w:pPr>
        <w:pStyle w:val="Default"/>
        <w:numPr>
          <w:ilvl w:val="0"/>
          <w:numId w:val="16"/>
        </w:numPr>
        <w:rPr>
          <w:rFonts w:ascii="Verdana" w:hAnsi="Verdana"/>
          <w:color w:val="auto"/>
          <w:sz w:val="20"/>
          <w:szCs w:val="16"/>
        </w:rPr>
      </w:pPr>
      <w:r w:rsidRPr="00DB451B">
        <w:rPr>
          <w:rFonts w:ascii="Verdana" w:hAnsi="Verdana"/>
          <w:color w:val="auto"/>
          <w:sz w:val="20"/>
          <w:szCs w:val="16"/>
        </w:rPr>
        <w:t>Implementation of the Privacy Act of 1974:  24 CFR Part 16.</w:t>
      </w:r>
    </w:p>
    <w:p w:rsidR="001747B3" w:rsidRPr="00DB451B" w:rsidRDefault="00900849">
      <w:pPr>
        <w:pStyle w:val="Default"/>
        <w:numPr>
          <w:ilvl w:val="0"/>
          <w:numId w:val="16"/>
        </w:numPr>
        <w:rPr>
          <w:rFonts w:ascii="Verdana" w:hAnsi="Verdana"/>
          <w:color w:val="auto"/>
          <w:sz w:val="20"/>
          <w:szCs w:val="16"/>
        </w:rPr>
      </w:pPr>
      <w:r w:rsidRPr="00DB451B">
        <w:rPr>
          <w:rFonts w:ascii="Verdana" w:hAnsi="Verdana"/>
          <w:color w:val="auto"/>
          <w:sz w:val="20"/>
          <w:szCs w:val="16"/>
        </w:rPr>
        <w:t>Mandated use of HUD’s Enterprise Income Verification (EIV) System</w:t>
      </w:r>
      <w:r w:rsidR="00F55A2E" w:rsidRPr="00DB451B">
        <w:rPr>
          <w:rFonts w:ascii="Verdana" w:hAnsi="Verdana"/>
          <w:color w:val="auto"/>
          <w:sz w:val="20"/>
          <w:szCs w:val="16"/>
        </w:rPr>
        <w:t>:  24 CFR 5.233</w:t>
      </w:r>
      <w:r w:rsidR="001747B3" w:rsidRPr="00DB451B">
        <w:rPr>
          <w:rFonts w:ascii="Verdana" w:hAnsi="Verdana"/>
          <w:color w:val="auto"/>
          <w:sz w:val="20"/>
          <w:szCs w:val="16"/>
        </w:rPr>
        <w:t xml:space="preserve"> </w:t>
      </w:r>
    </w:p>
    <w:p w:rsidR="0084066E" w:rsidRPr="00DB451B" w:rsidRDefault="0084066E">
      <w:pPr>
        <w:pStyle w:val="Default"/>
        <w:ind w:left="720"/>
        <w:rPr>
          <w:rFonts w:ascii="Verdana" w:hAnsi="Verdana"/>
          <w:color w:val="auto"/>
          <w:sz w:val="20"/>
          <w:szCs w:val="16"/>
        </w:rPr>
      </w:pPr>
    </w:p>
    <w:p w:rsidR="0084066E" w:rsidRPr="00DB451B" w:rsidRDefault="0084066E">
      <w:pPr>
        <w:pStyle w:val="Default"/>
        <w:numPr>
          <w:ilvl w:val="0"/>
          <w:numId w:val="1"/>
        </w:numPr>
        <w:rPr>
          <w:rFonts w:ascii="Verdana" w:hAnsi="Verdana"/>
          <w:b/>
          <w:color w:val="auto"/>
          <w:sz w:val="20"/>
          <w:szCs w:val="16"/>
        </w:rPr>
      </w:pPr>
      <w:r w:rsidRPr="00DB451B">
        <w:rPr>
          <w:rFonts w:ascii="Verdana" w:hAnsi="Verdana"/>
          <w:b/>
          <w:color w:val="auto"/>
          <w:sz w:val="20"/>
          <w:szCs w:val="16"/>
        </w:rPr>
        <w:t xml:space="preserve">Indicate how, by whom, and for what purpose the information is to be used. Except for a new collection, indicate the actual use the agency has made of the information received from the current collection. </w:t>
      </w:r>
    </w:p>
    <w:p w:rsidR="0084066E" w:rsidRPr="00DB451B" w:rsidRDefault="0084066E">
      <w:pPr>
        <w:pStyle w:val="Default"/>
        <w:ind w:left="360"/>
        <w:rPr>
          <w:rFonts w:ascii="Verdana" w:hAnsi="Verdana"/>
          <w:b/>
          <w:bCs/>
          <w:color w:val="auto"/>
          <w:sz w:val="20"/>
          <w:szCs w:val="16"/>
          <w:u w:val="single"/>
        </w:rPr>
      </w:pPr>
    </w:p>
    <w:p w:rsidR="00450F51" w:rsidRPr="00DB451B" w:rsidRDefault="0084066E" w:rsidP="00450F51">
      <w:pPr>
        <w:pStyle w:val="Default"/>
        <w:ind w:left="360"/>
        <w:rPr>
          <w:rFonts w:ascii="Verdana" w:hAnsi="Verdana"/>
          <w:color w:val="auto"/>
          <w:sz w:val="20"/>
          <w:szCs w:val="16"/>
        </w:rPr>
      </w:pPr>
      <w:r w:rsidRPr="00DB451B">
        <w:rPr>
          <w:rFonts w:ascii="Verdana" w:hAnsi="Verdana"/>
          <w:color w:val="auto"/>
          <w:sz w:val="20"/>
          <w:szCs w:val="16"/>
        </w:rPr>
        <w:t>Owners/management agents are required by regulation to (1) determine if applicant households are eligible for admission and assistance</w:t>
      </w:r>
      <w:r w:rsidR="00450F51" w:rsidRPr="00DB451B">
        <w:rPr>
          <w:rFonts w:ascii="Verdana" w:hAnsi="Verdana"/>
          <w:color w:val="auto"/>
          <w:sz w:val="20"/>
          <w:szCs w:val="16"/>
        </w:rPr>
        <w:t>;</w:t>
      </w:r>
      <w:r w:rsidRPr="00DB451B">
        <w:rPr>
          <w:rFonts w:ascii="Verdana" w:hAnsi="Verdana"/>
          <w:color w:val="auto"/>
          <w:sz w:val="20"/>
          <w:szCs w:val="16"/>
        </w:rPr>
        <w:t xml:space="preserve"> </w:t>
      </w:r>
      <w:r w:rsidR="00450F51" w:rsidRPr="00DB451B">
        <w:rPr>
          <w:rFonts w:ascii="Verdana" w:hAnsi="Verdana"/>
          <w:color w:val="auto"/>
          <w:sz w:val="20"/>
          <w:szCs w:val="16"/>
        </w:rPr>
        <w:t>(2) recertify the household</w:t>
      </w:r>
      <w:r w:rsidR="0009588C" w:rsidRPr="00DB451B">
        <w:rPr>
          <w:rFonts w:ascii="Verdana" w:hAnsi="Verdana"/>
          <w:color w:val="auto"/>
          <w:sz w:val="20"/>
          <w:szCs w:val="16"/>
        </w:rPr>
        <w:t>’</w:t>
      </w:r>
      <w:r w:rsidR="00450F51" w:rsidRPr="00DB451B">
        <w:rPr>
          <w:rFonts w:ascii="Verdana" w:hAnsi="Verdana"/>
          <w:color w:val="auto"/>
          <w:sz w:val="20"/>
          <w:szCs w:val="16"/>
        </w:rPr>
        <w:t xml:space="preserve">s income and level of assistance at least annually to determine the continued eligibility of a household to receive assistance and to determine the amount of assistance HUD pays on behalf of the household, </w:t>
      </w:r>
      <w:r w:rsidRPr="00DB451B">
        <w:rPr>
          <w:rFonts w:ascii="Verdana" w:hAnsi="Verdana"/>
          <w:color w:val="auto"/>
          <w:sz w:val="20"/>
          <w:szCs w:val="16"/>
        </w:rPr>
        <w:t>(</w:t>
      </w:r>
      <w:r w:rsidR="00450F51" w:rsidRPr="00DB451B">
        <w:rPr>
          <w:rFonts w:ascii="Verdana" w:hAnsi="Verdana"/>
          <w:color w:val="auto"/>
          <w:sz w:val="20"/>
          <w:szCs w:val="16"/>
        </w:rPr>
        <w:t>3</w:t>
      </w:r>
      <w:r w:rsidRPr="00DB451B">
        <w:rPr>
          <w:rFonts w:ascii="Verdana" w:hAnsi="Verdana"/>
          <w:color w:val="auto"/>
          <w:sz w:val="20"/>
          <w:szCs w:val="16"/>
        </w:rPr>
        <w:t xml:space="preserve">) </w:t>
      </w:r>
      <w:r w:rsidR="00450F51" w:rsidRPr="00DB451B">
        <w:rPr>
          <w:rFonts w:ascii="Verdana" w:hAnsi="Verdana"/>
          <w:color w:val="auto"/>
          <w:sz w:val="20"/>
          <w:szCs w:val="16"/>
        </w:rPr>
        <w:t>compute the tenant rent and the amount of assistance that HUD can pay on behalf of the household; (</w:t>
      </w:r>
      <w:r w:rsidR="00C76301" w:rsidRPr="00DB451B">
        <w:rPr>
          <w:rFonts w:ascii="Verdana" w:hAnsi="Verdana"/>
          <w:color w:val="auto"/>
          <w:sz w:val="20"/>
          <w:szCs w:val="16"/>
        </w:rPr>
        <w:t>4</w:t>
      </w:r>
      <w:r w:rsidR="00450F51" w:rsidRPr="00DB451B">
        <w:rPr>
          <w:rFonts w:ascii="Verdana" w:hAnsi="Verdana"/>
          <w:color w:val="auto"/>
          <w:sz w:val="20"/>
          <w:szCs w:val="16"/>
        </w:rPr>
        <w:t>) support/justify any monthly subsidy billings the project submits to HUD and/or the Contract Administrators (CAs); (</w:t>
      </w:r>
      <w:r w:rsidR="00C76301" w:rsidRPr="00DB451B">
        <w:rPr>
          <w:rFonts w:ascii="Verdana" w:hAnsi="Verdana"/>
          <w:color w:val="auto"/>
          <w:sz w:val="20"/>
          <w:szCs w:val="16"/>
        </w:rPr>
        <w:t>5</w:t>
      </w:r>
      <w:r w:rsidR="00450F51" w:rsidRPr="00DB451B">
        <w:rPr>
          <w:rFonts w:ascii="Verdana" w:hAnsi="Verdana"/>
          <w:color w:val="auto"/>
          <w:sz w:val="20"/>
          <w:szCs w:val="16"/>
        </w:rPr>
        <w:t>) certify that the project has complied with all HUD requirements for verifying tenant’s incomes and calculating HUD’s assistance payments and the tenant rents; and, (</w:t>
      </w:r>
      <w:r w:rsidR="00C76301" w:rsidRPr="00DB451B">
        <w:rPr>
          <w:rFonts w:ascii="Verdana" w:hAnsi="Verdana"/>
          <w:color w:val="auto"/>
          <w:sz w:val="20"/>
          <w:szCs w:val="16"/>
        </w:rPr>
        <w:t>6</w:t>
      </w:r>
      <w:r w:rsidR="00450F51" w:rsidRPr="00DB451B">
        <w:rPr>
          <w:rFonts w:ascii="Verdana" w:hAnsi="Verdana"/>
          <w:color w:val="auto"/>
          <w:sz w:val="20"/>
          <w:szCs w:val="16"/>
        </w:rPr>
        <w:t xml:space="preserve">) submit the information to HUD either directly or through the </w:t>
      </w:r>
      <w:r w:rsidR="0009588C" w:rsidRPr="00DB451B">
        <w:rPr>
          <w:rFonts w:ascii="Verdana" w:hAnsi="Verdana"/>
          <w:color w:val="auto"/>
          <w:sz w:val="20"/>
          <w:szCs w:val="16"/>
        </w:rPr>
        <w:t>contract administrator (</w:t>
      </w:r>
      <w:r w:rsidR="00450F51" w:rsidRPr="00DB451B">
        <w:rPr>
          <w:rFonts w:ascii="Verdana" w:hAnsi="Verdana"/>
          <w:color w:val="auto"/>
          <w:sz w:val="20"/>
          <w:szCs w:val="16"/>
        </w:rPr>
        <w:t>CA</w:t>
      </w:r>
      <w:r w:rsidR="0009588C" w:rsidRPr="00DB451B">
        <w:rPr>
          <w:rFonts w:ascii="Verdana" w:hAnsi="Verdana"/>
          <w:color w:val="auto"/>
          <w:sz w:val="20"/>
          <w:szCs w:val="16"/>
        </w:rPr>
        <w:t>)</w:t>
      </w:r>
      <w:r w:rsidR="00450F51" w:rsidRPr="00DB451B">
        <w:rPr>
          <w:rFonts w:ascii="Verdana" w:hAnsi="Verdana"/>
          <w:color w:val="auto"/>
          <w:sz w:val="20"/>
          <w:szCs w:val="16"/>
        </w:rPr>
        <w:t xml:space="preserve">. </w:t>
      </w:r>
    </w:p>
    <w:p w:rsidR="0084066E" w:rsidRPr="00DB451B" w:rsidRDefault="00450F51" w:rsidP="00450F51">
      <w:pPr>
        <w:pStyle w:val="Default"/>
        <w:ind w:left="360"/>
        <w:rPr>
          <w:rFonts w:ascii="Verdana" w:hAnsi="Verdana"/>
          <w:color w:val="auto"/>
          <w:sz w:val="20"/>
          <w:szCs w:val="16"/>
        </w:rPr>
      </w:pPr>
      <w:r w:rsidRPr="00DB451B">
        <w:rPr>
          <w:rFonts w:ascii="Verdana" w:hAnsi="Verdana"/>
          <w:color w:val="auto"/>
          <w:sz w:val="20"/>
          <w:szCs w:val="16"/>
        </w:rPr>
        <w:t xml:space="preserve"> </w:t>
      </w: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 xml:space="preserve">Owners/management agents must determine an applicant’s eligibility for admission based on the eligibility requirements for the HUD program under which the Multifamily project was developed and the program providing the rental assistance.  The owner enters into a housing assistance </w:t>
      </w:r>
      <w:r w:rsidR="00D42AF7" w:rsidRPr="00DB451B">
        <w:rPr>
          <w:rFonts w:ascii="Verdana" w:hAnsi="Verdana"/>
          <w:color w:val="auto"/>
          <w:sz w:val="20"/>
          <w:szCs w:val="16"/>
        </w:rPr>
        <w:t xml:space="preserve">payments </w:t>
      </w:r>
      <w:r w:rsidRPr="00DB451B">
        <w:rPr>
          <w:rFonts w:ascii="Verdana" w:hAnsi="Verdana"/>
          <w:color w:val="auto"/>
          <w:sz w:val="20"/>
          <w:szCs w:val="16"/>
        </w:rPr>
        <w:t>contract with HUD or the CA that requires all units for which assistance is committed under the contract be made available to eligible families unless HUD authorizes a waiver of the regulations.</w:t>
      </w:r>
      <w:r w:rsidR="00A264BD" w:rsidRPr="00DB451B">
        <w:rPr>
          <w:rFonts w:ascii="Verdana" w:hAnsi="Verdana"/>
          <w:color w:val="auto"/>
          <w:sz w:val="20"/>
          <w:szCs w:val="16"/>
        </w:rPr>
        <w:t xml:space="preserve"> </w:t>
      </w:r>
    </w:p>
    <w:p w:rsidR="00A264BD" w:rsidRPr="00DB451B" w:rsidRDefault="00A264BD">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u w:val="single"/>
        </w:rPr>
        <w:t>Recertification Notice</w:t>
      </w:r>
    </w:p>
    <w:p w:rsidR="00351807" w:rsidRPr="00DB451B" w:rsidRDefault="0084066E">
      <w:pPr>
        <w:pStyle w:val="Default"/>
        <w:ind w:left="360"/>
        <w:rPr>
          <w:rFonts w:ascii="Verdana" w:hAnsi="Verdana"/>
          <w:color w:val="auto"/>
          <w:sz w:val="20"/>
          <w:szCs w:val="16"/>
        </w:rPr>
      </w:pPr>
      <w:r w:rsidRPr="00DB451B">
        <w:rPr>
          <w:rFonts w:ascii="Verdana" w:hAnsi="Verdana"/>
          <w:color w:val="auto"/>
          <w:sz w:val="20"/>
          <w:szCs w:val="16"/>
        </w:rPr>
        <w:t xml:space="preserve">At the time of </w:t>
      </w:r>
      <w:r w:rsidR="00276006" w:rsidRPr="00DB451B">
        <w:rPr>
          <w:rFonts w:ascii="Verdana" w:hAnsi="Verdana"/>
          <w:color w:val="auto"/>
          <w:sz w:val="20"/>
          <w:szCs w:val="16"/>
        </w:rPr>
        <w:t>move-in</w:t>
      </w:r>
      <w:r w:rsidRPr="00DB451B">
        <w:rPr>
          <w:rFonts w:ascii="Verdana" w:hAnsi="Verdana"/>
          <w:color w:val="auto"/>
          <w:sz w:val="20"/>
          <w:szCs w:val="16"/>
        </w:rPr>
        <w:t xml:space="preserve"> and at each </w:t>
      </w:r>
      <w:r w:rsidR="00276006" w:rsidRPr="00DB451B">
        <w:rPr>
          <w:rFonts w:ascii="Verdana" w:hAnsi="Verdana"/>
          <w:color w:val="auto"/>
          <w:sz w:val="20"/>
          <w:szCs w:val="16"/>
        </w:rPr>
        <w:t xml:space="preserve">annual </w:t>
      </w:r>
      <w:r w:rsidRPr="00DB451B">
        <w:rPr>
          <w:rFonts w:ascii="Verdana" w:hAnsi="Verdana"/>
          <w:color w:val="auto"/>
          <w:sz w:val="20"/>
          <w:szCs w:val="16"/>
        </w:rPr>
        <w:t>recertification the owner/management a</w:t>
      </w:r>
      <w:r w:rsidR="00C76301" w:rsidRPr="00DB451B">
        <w:rPr>
          <w:rFonts w:ascii="Verdana" w:hAnsi="Verdana"/>
          <w:color w:val="auto"/>
          <w:sz w:val="20"/>
          <w:szCs w:val="16"/>
        </w:rPr>
        <w:t>gent is required t</w:t>
      </w:r>
      <w:r w:rsidR="00E74ABD" w:rsidRPr="00DB451B">
        <w:rPr>
          <w:rFonts w:ascii="Verdana" w:hAnsi="Verdana"/>
          <w:color w:val="auto"/>
          <w:sz w:val="20"/>
          <w:szCs w:val="16"/>
        </w:rPr>
        <w:t xml:space="preserve">o provide </w:t>
      </w:r>
      <w:r w:rsidRPr="00DB451B">
        <w:rPr>
          <w:rFonts w:ascii="Verdana" w:hAnsi="Verdana"/>
          <w:color w:val="auto"/>
          <w:sz w:val="20"/>
          <w:szCs w:val="16"/>
        </w:rPr>
        <w:t xml:space="preserve">notification to the tenant that </w:t>
      </w:r>
      <w:r w:rsidR="00E74ABD" w:rsidRPr="00DB451B">
        <w:rPr>
          <w:rFonts w:ascii="Verdana" w:hAnsi="Verdana"/>
          <w:color w:val="auto"/>
          <w:sz w:val="20"/>
          <w:szCs w:val="16"/>
        </w:rPr>
        <w:t>his/her</w:t>
      </w:r>
      <w:r w:rsidRPr="00DB451B">
        <w:rPr>
          <w:rFonts w:ascii="Verdana" w:hAnsi="Verdana"/>
          <w:color w:val="auto"/>
          <w:sz w:val="20"/>
          <w:szCs w:val="16"/>
        </w:rPr>
        <w:t xml:space="preserve"> income and family composition will be reviewed and their rent and assistance levels will be re-determined</w:t>
      </w:r>
      <w:r w:rsidR="00D42AF7" w:rsidRPr="00DB451B">
        <w:rPr>
          <w:rFonts w:ascii="Verdana" w:hAnsi="Verdana"/>
          <w:color w:val="auto"/>
          <w:sz w:val="20"/>
          <w:szCs w:val="16"/>
        </w:rPr>
        <w:t>.</w:t>
      </w:r>
      <w:r w:rsidRPr="00DB451B">
        <w:rPr>
          <w:rFonts w:ascii="Verdana" w:hAnsi="Verdana"/>
          <w:color w:val="auto"/>
          <w:sz w:val="20"/>
          <w:szCs w:val="16"/>
        </w:rPr>
        <w:t xml:space="preserve"> </w:t>
      </w:r>
      <w:r w:rsidR="00A264BD" w:rsidRPr="00DB451B">
        <w:rPr>
          <w:rFonts w:ascii="Verdana" w:hAnsi="Verdana"/>
          <w:color w:val="auto"/>
          <w:sz w:val="20"/>
          <w:szCs w:val="16"/>
        </w:rPr>
        <w:t xml:space="preserve">The Notice also provides a listing of </w:t>
      </w:r>
      <w:r w:rsidR="005E36BC" w:rsidRPr="00DB451B">
        <w:rPr>
          <w:rFonts w:ascii="Verdana" w:hAnsi="Verdana"/>
          <w:color w:val="auto"/>
          <w:sz w:val="20"/>
          <w:szCs w:val="16"/>
        </w:rPr>
        <w:t>information the tenant must make available for the recertification process.  This information will vary depending on the type of household (elderly, disabled, family), the type of income the household has and the type of deducti</w:t>
      </w:r>
      <w:r w:rsidR="00B20874" w:rsidRPr="00DB451B">
        <w:rPr>
          <w:rFonts w:ascii="Verdana" w:hAnsi="Verdana"/>
          <w:color w:val="auto"/>
          <w:sz w:val="20"/>
          <w:szCs w:val="16"/>
        </w:rPr>
        <w:t>ons applicable to the household and is minimal as owners are required to obtain third party verification either through upfront income verification (UIV) or direc</w:t>
      </w:r>
      <w:r w:rsidR="00641AAE" w:rsidRPr="00DB451B">
        <w:rPr>
          <w:rFonts w:ascii="Verdana" w:hAnsi="Verdana"/>
          <w:color w:val="auto"/>
          <w:sz w:val="20"/>
          <w:szCs w:val="16"/>
        </w:rPr>
        <w:t>tly from the third party source and not use documents p</w:t>
      </w:r>
      <w:r w:rsidR="00D42AF7" w:rsidRPr="00DB451B">
        <w:rPr>
          <w:rFonts w:ascii="Verdana" w:hAnsi="Verdana"/>
          <w:color w:val="auto"/>
          <w:sz w:val="20"/>
          <w:szCs w:val="16"/>
        </w:rPr>
        <w:t xml:space="preserve">rovided directly from the tenant. </w:t>
      </w:r>
      <w:r w:rsidR="005E36BC" w:rsidRPr="00DB451B">
        <w:rPr>
          <w:rFonts w:ascii="Verdana" w:hAnsi="Verdana"/>
          <w:color w:val="auto"/>
          <w:sz w:val="20"/>
          <w:szCs w:val="16"/>
        </w:rPr>
        <w:t xml:space="preserve"> </w:t>
      </w:r>
      <w:r w:rsidRPr="00DB451B">
        <w:rPr>
          <w:rFonts w:ascii="Verdana" w:hAnsi="Verdana"/>
          <w:color w:val="auto"/>
          <w:sz w:val="20"/>
          <w:szCs w:val="16"/>
        </w:rPr>
        <w:t>The head of household sign</w:t>
      </w:r>
      <w:r w:rsidR="00276006" w:rsidRPr="00DB451B">
        <w:rPr>
          <w:rFonts w:ascii="Verdana" w:hAnsi="Verdana"/>
          <w:color w:val="auto"/>
          <w:sz w:val="20"/>
          <w:szCs w:val="16"/>
        </w:rPr>
        <w:t>s</w:t>
      </w:r>
      <w:r w:rsidRPr="00DB451B">
        <w:rPr>
          <w:rFonts w:ascii="Verdana" w:hAnsi="Verdana"/>
          <w:color w:val="auto"/>
          <w:sz w:val="20"/>
          <w:szCs w:val="16"/>
        </w:rPr>
        <w:t xml:space="preserve"> </w:t>
      </w:r>
      <w:r w:rsidR="00D42AF7" w:rsidRPr="00DB451B">
        <w:rPr>
          <w:rFonts w:ascii="Verdana" w:hAnsi="Verdana"/>
          <w:color w:val="auto"/>
          <w:sz w:val="20"/>
          <w:szCs w:val="16"/>
        </w:rPr>
        <w:t xml:space="preserve">the notification indicating </w:t>
      </w:r>
      <w:r w:rsidRPr="00DB451B">
        <w:rPr>
          <w:rFonts w:ascii="Verdana" w:hAnsi="Verdana"/>
          <w:color w:val="auto"/>
          <w:sz w:val="20"/>
          <w:szCs w:val="16"/>
        </w:rPr>
        <w:t>they re</w:t>
      </w:r>
      <w:r w:rsidR="00795250" w:rsidRPr="00DB451B">
        <w:rPr>
          <w:rFonts w:ascii="Verdana" w:hAnsi="Verdana"/>
          <w:color w:val="auto"/>
          <w:sz w:val="20"/>
          <w:szCs w:val="16"/>
        </w:rPr>
        <w:t xml:space="preserve">ceived </w:t>
      </w:r>
      <w:r w:rsidR="00D42AF7" w:rsidRPr="00DB451B">
        <w:rPr>
          <w:rFonts w:ascii="Verdana" w:hAnsi="Verdana"/>
          <w:color w:val="auto"/>
          <w:sz w:val="20"/>
          <w:szCs w:val="16"/>
        </w:rPr>
        <w:t>it</w:t>
      </w:r>
      <w:r w:rsidR="00795250" w:rsidRPr="00DB451B">
        <w:rPr>
          <w:rFonts w:ascii="Verdana" w:hAnsi="Verdana"/>
          <w:color w:val="auto"/>
          <w:sz w:val="20"/>
          <w:szCs w:val="16"/>
        </w:rPr>
        <w:t xml:space="preserve"> and </w:t>
      </w:r>
      <w:r w:rsidR="00351807" w:rsidRPr="00DB451B">
        <w:rPr>
          <w:rFonts w:ascii="Verdana" w:hAnsi="Verdana"/>
          <w:color w:val="auto"/>
          <w:sz w:val="20"/>
          <w:szCs w:val="16"/>
        </w:rPr>
        <w:t xml:space="preserve">the </w:t>
      </w:r>
      <w:r w:rsidRPr="00DB451B">
        <w:rPr>
          <w:rFonts w:ascii="Verdana" w:hAnsi="Verdana"/>
          <w:color w:val="auto"/>
          <w:sz w:val="20"/>
          <w:szCs w:val="16"/>
        </w:rPr>
        <w:t>head of household’s signature is witnessed</w:t>
      </w:r>
      <w:r w:rsidR="00795250" w:rsidRPr="00DB451B">
        <w:rPr>
          <w:rFonts w:ascii="Verdana" w:hAnsi="Verdana"/>
          <w:color w:val="auto"/>
          <w:sz w:val="20"/>
          <w:szCs w:val="16"/>
        </w:rPr>
        <w:t xml:space="preserve"> by the owner/management agent</w:t>
      </w:r>
      <w:r w:rsidRPr="00DB451B">
        <w:rPr>
          <w:rFonts w:ascii="Verdana" w:hAnsi="Verdana"/>
          <w:color w:val="auto"/>
          <w:sz w:val="20"/>
          <w:szCs w:val="16"/>
        </w:rPr>
        <w:t>.</w:t>
      </w:r>
      <w:r w:rsidR="005E36BC" w:rsidRPr="00DB451B">
        <w:rPr>
          <w:rFonts w:ascii="Verdana" w:hAnsi="Verdana"/>
          <w:color w:val="auto"/>
          <w:sz w:val="20"/>
          <w:szCs w:val="16"/>
        </w:rPr>
        <w:t xml:space="preserve">  </w:t>
      </w:r>
      <w:r w:rsidRPr="00DB451B">
        <w:rPr>
          <w:rFonts w:ascii="Verdana" w:hAnsi="Verdana"/>
          <w:color w:val="auto"/>
          <w:sz w:val="20"/>
          <w:szCs w:val="16"/>
        </w:rPr>
        <w:t xml:space="preserve">The owner/management agent </w:t>
      </w:r>
      <w:r w:rsidR="00450F51" w:rsidRPr="00DB451B">
        <w:rPr>
          <w:rFonts w:ascii="Verdana" w:hAnsi="Verdana"/>
          <w:color w:val="auto"/>
          <w:sz w:val="20"/>
          <w:szCs w:val="16"/>
        </w:rPr>
        <w:t>retains</w:t>
      </w:r>
      <w:r w:rsidRPr="00DB451B">
        <w:rPr>
          <w:rFonts w:ascii="Verdana" w:hAnsi="Verdana"/>
          <w:color w:val="auto"/>
          <w:sz w:val="20"/>
          <w:szCs w:val="16"/>
        </w:rPr>
        <w:t xml:space="preserve"> th</w:t>
      </w:r>
      <w:r w:rsidR="005E36BC" w:rsidRPr="00DB451B">
        <w:rPr>
          <w:rFonts w:ascii="Verdana" w:hAnsi="Verdana"/>
          <w:color w:val="auto"/>
          <w:sz w:val="20"/>
          <w:szCs w:val="16"/>
        </w:rPr>
        <w:t>e</w:t>
      </w:r>
      <w:r w:rsidRPr="00DB451B">
        <w:rPr>
          <w:rFonts w:ascii="Verdana" w:hAnsi="Verdana"/>
          <w:color w:val="auto"/>
          <w:sz w:val="20"/>
          <w:szCs w:val="16"/>
        </w:rPr>
        <w:t xml:space="preserve"> signed </w:t>
      </w:r>
      <w:r w:rsidR="005E36BC" w:rsidRPr="00DB451B">
        <w:rPr>
          <w:rFonts w:ascii="Verdana" w:hAnsi="Verdana"/>
          <w:color w:val="auto"/>
          <w:sz w:val="20"/>
          <w:szCs w:val="16"/>
        </w:rPr>
        <w:t xml:space="preserve">initial </w:t>
      </w:r>
      <w:r w:rsidRPr="00DB451B">
        <w:rPr>
          <w:rFonts w:ascii="Verdana" w:hAnsi="Verdana"/>
          <w:color w:val="auto"/>
          <w:sz w:val="20"/>
          <w:szCs w:val="16"/>
        </w:rPr>
        <w:t>notification on file</w:t>
      </w:r>
      <w:r w:rsidR="00B048B2" w:rsidRPr="00DB451B">
        <w:rPr>
          <w:rFonts w:ascii="Verdana" w:hAnsi="Verdana"/>
          <w:color w:val="auto"/>
          <w:sz w:val="20"/>
          <w:szCs w:val="16"/>
        </w:rPr>
        <w:t xml:space="preserve">. </w:t>
      </w:r>
      <w:r w:rsidRPr="00DB451B">
        <w:rPr>
          <w:rFonts w:ascii="Verdana" w:hAnsi="Verdana"/>
          <w:color w:val="auto"/>
          <w:sz w:val="20"/>
          <w:szCs w:val="16"/>
        </w:rPr>
        <w:t xml:space="preserve"> </w:t>
      </w:r>
      <w:r w:rsidR="0031009C" w:rsidRPr="00DB451B">
        <w:rPr>
          <w:rFonts w:ascii="Verdana" w:hAnsi="Verdana"/>
          <w:color w:val="auto"/>
          <w:sz w:val="20"/>
          <w:szCs w:val="16"/>
        </w:rPr>
        <w:t xml:space="preserve">By providing </w:t>
      </w:r>
      <w:r w:rsidR="000C12EF" w:rsidRPr="00DB451B">
        <w:rPr>
          <w:rFonts w:ascii="Verdana" w:hAnsi="Verdana"/>
          <w:color w:val="auto"/>
          <w:sz w:val="20"/>
          <w:szCs w:val="16"/>
        </w:rPr>
        <w:t xml:space="preserve">tenants </w:t>
      </w:r>
      <w:r w:rsidR="0031009C" w:rsidRPr="00DB451B">
        <w:rPr>
          <w:rFonts w:ascii="Verdana" w:hAnsi="Verdana"/>
          <w:color w:val="auto"/>
          <w:sz w:val="20"/>
          <w:szCs w:val="16"/>
        </w:rPr>
        <w:t>notification in advance of the scheduled recertification meeting</w:t>
      </w:r>
      <w:r w:rsidR="000C12EF" w:rsidRPr="00DB451B">
        <w:rPr>
          <w:rFonts w:ascii="Verdana" w:hAnsi="Verdana"/>
          <w:color w:val="auto"/>
          <w:sz w:val="20"/>
          <w:szCs w:val="16"/>
        </w:rPr>
        <w:t xml:space="preserve"> and the information they need to provide, the tenant </w:t>
      </w:r>
      <w:r w:rsidR="00B048B2" w:rsidRPr="00DB451B">
        <w:rPr>
          <w:rFonts w:ascii="Verdana" w:hAnsi="Verdana"/>
          <w:color w:val="auto"/>
          <w:sz w:val="20"/>
          <w:szCs w:val="16"/>
        </w:rPr>
        <w:t>is made aware of</w:t>
      </w:r>
      <w:r w:rsidR="000C12EF" w:rsidRPr="00DB451B">
        <w:rPr>
          <w:rFonts w:ascii="Verdana" w:hAnsi="Verdana"/>
          <w:color w:val="auto"/>
          <w:sz w:val="20"/>
          <w:szCs w:val="16"/>
        </w:rPr>
        <w:t xml:space="preserve"> the documents they need to retain throughout the recertification period</w:t>
      </w:r>
      <w:r w:rsidR="00FF51FC" w:rsidRPr="00DB451B">
        <w:rPr>
          <w:rFonts w:ascii="Verdana" w:hAnsi="Verdana"/>
          <w:color w:val="auto"/>
          <w:sz w:val="20"/>
          <w:szCs w:val="16"/>
        </w:rPr>
        <w:t xml:space="preserve"> in order to reduce their burden at the time of recertification.  This also</w:t>
      </w:r>
      <w:r w:rsidR="000C12EF" w:rsidRPr="00DB451B">
        <w:rPr>
          <w:rFonts w:ascii="Verdana" w:hAnsi="Verdana"/>
          <w:color w:val="auto"/>
          <w:sz w:val="20"/>
          <w:szCs w:val="16"/>
        </w:rPr>
        <w:t xml:space="preserve"> </w:t>
      </w:r>
      <w:r w:rsidR="0031009C" w:rsidRPr="00DB451B">
        <w:rPr>
          <w:rFonts w:ascii="Verdana" w:hAnsi="Verdana"/>
          <w:color w:val="auto"/>
          <w:sz w:val="20"/>
          <w:szCs w:val="16"/>
        </w:rPr>
        <w:t>reduces the time it takes to complete the recertification process and ensures that the processing is completed on time.</w:t>
      </w:r>
      <w:r w:rsidR="000C12EF" w:rsidRPr="00DB451B">
        <w:rPr>
          <w:rFonts w:ascii="Verdana" w:hAnsi="Verdana"/>
          <w:color w:val="auto"/>
          <w:sz w:val="20"/>
          <w:szCs w:val="16"/>
        </w:rPr>
        <w:t xml:space="preserve"> </w:t>
      </w:r>
      <w:r w:rsidRPr="00DB451B">
        <w:rPr>
          <w:rFonts w:ascii="Verdana" w:hAnsi="Verdana"/>
          <w:color w:val="auto"/>
          <w:sz w:val="20"/>
          <w:szCs w:val="16"/>
        </w:rPr>
        <w:t xml:space="preserve"> </w:t>
      </w:r>
      <w:r w:rsidR="004844D8" w:rsidRPr="00DB451B">
        <w:rPr>
          <w:rFonts w:ascii="Verdana" w:hAnsi="Verdana"/>
          <w:color w:val="auto"/>
          <w:sz w:val="20"/>
          <w:szCs w:val="16"/>
        </w:rPr>
        <w:t>Form HUD-</w:t>
      </w:r>
      <w:r w:rsidR="00A8042E" w:rsidRPr="00DB451B">
        <w:rPr>
          <w:rFonts w:ascii="Verdana" w:hAnsi="Verdana"/>
          <w:color w:val="auto"/>
          <w:sz w:val="20"/>
          <w:szCs w:val="16"/>
        </w:rPr>
        <w:t>90100,</w:t>
      </w:r>
      <w:r w:rsidR="004844D8" w:rsidRPr="00DB451B">
        <w:rPr>
          <w:rFonts w:ascii="Verdana" w:hAnsi="Verdana"/>
          <w:color w:val="auto"/>
          <w:sz w:val="20"/>
          <w:szCs w:val="16"/>
        </w:rPr>
        <w:t xml:space="preserve"> </w:t>
      </w:r>
      <w:r w:rsidR="000C12EF" w:rsidRPr="00DB451B">
        <w:rPr>
          <w:rFonts w:ascii="Verdana" w:hAnsi="Verdana"/>
          <w:i/>
          <w:iCs/>
          <w:color w:val="auto"/>
          <w:sz w:val="20"/>
          <w:szCs w:val="16"/>
        </w:rPr>
        <w:t>Sample Annual Recertification Initial Notice</w:t>
      </w:r>
      <w:r w:rsidR="004844D8" w:rsidRPr="00DB451B">
        <w:rPr>
          <w:rFonts w:ascii="Verdana" w:hAnsi="Verdana"/>
          <w:i/>
          <w:iCs/>
          <w:color w:val="auto"/>
          <w:sz w:val="20"/>
          <w:szCs w:val="16"/>
        </w:rPr>
        <w:t>,</w:t>
      </w:r>
      <w:r w:rsidR="000C12EF" w:rsidRPr="00DB451B">
        <w:rPr>
          <w:rFonts w:ascii="Verdana" w:hAnsi="Verdana"/>
          <w:color w:val="auto"/>
          <w:sz w:val="20"/>
          <w:szCs w:val="16"/>
        </w:rPr>
        <w:t xml:space="preserve"> is attached.</w:t>
      </w:r>
    </w:p>
    <w:p w:rsidR="00351807" w:rsidRPr="00DB451B" w:rsidRDefault="00351807">
      <w:pPr>
        <w:pStyle w:val="Default"/>
        <w:ind w:left="360"/>
        <w:rPr>
          <w:rFonts w:ascii="Verdana" w:hAnsi="Verdana"/>
          <w:color w:val="auto"/>
          <w:sz w:val="20"/>
          <w:szCs w:val="16"/>
        </w:rPr>
      </w:pPr>
    </w:p>
    <w:p w:rsidR="0084066E" w:rsidRPr="00DB451B" w:rsidRDefault="00351807">
      <w:pPr>
        <w:pStyle w:val="Default"/>
        <w:ind w:left="360"/>
        <w:rPr>
          <w:rFonts w:ascii="Verdana" w:hAnsi="Verdana"/>
          <w:color w:val="auto"/>
          <w:sz w:val="20"/>
          <w:szCs w:val="16"/>
        </w:rPr>
      </w:pPr>
      <w:r w:rsidRPr="00DB451B">
        <w:rPr>
          <w:rFonts w:ascii="Verdana" w:hAnsi="Verdana"/>
          <w:color w:val="auto"/>
          <w:sz w:val="20"/>
          <w:szCs w:val="16"/>
        </w:rPr>
        <w:t>24</w:t>
      </w:r>
      <w:r w:rsidR="00276006" w:rsidRPr="00DB451B">
        <w:rPr>
          <w:rFonts w:ascii="Verdana" w:hAnsi="Verdana"/>
          <w:color w:val="auto"/>
          <w:sz w:val="20"/>
          <w:szCs w:val="16"/>
        </w:rPr>
        <w:t xml:space="preserve"> </w:t>
      </w:r>
      <w:r w:rsidRPr="00DB451B">
        <w:rPr>
          <w:rFonts w:ascii="Verdana" w:hAnsi="Verdana"/>
          <w:color w:val="auto"/>
          <w:sz w:val="20"/>
          <w:szCs w:val="16"/>
        </w:rPr>
        <w:t xml:space="preserve">CFR 5.657, 880.603, 884.218, 886.324, 891.410, 891.610 and 891.750 </w:t>
      </w:r>
      <w:r w:rsidR="00F51E24" w:rsidRPr="00DB451B">
        <w:rPr>
          <w:rFonts w:ascii="Verdana" w:hAnsi="Verdana"/>
          <w:color w:val="auto"/>
          <w:sz w:val="20"/>
          <w:szCs w:val="16"/>
        </w:rPr>
        <w:t>require that the</w:t>
      </w:r>
      <w:r w:rsidR="00276006" w:rsidRPr="00DB451B">
        <w:rPr>
          <w:rFonts w:ascii="Verdana" w:hAnsi="Verdana"/>
          <w:color w:val="auto"/>
          <w:sz w:val="20"/>
          <w:szCs w:val="16"/>
        </w:rPr>
        <w:t xml:space="preserve"> owner must reexamine the income and composition of all families at least annually.</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u w:val="single"/>
        </w:rPr>
      </w:pPr>
      <w:r w:rsidRPr="00DB451B">
        <w:rPr>
          <w:rFonts w:ascii="Verdana" w:hAnsi="Verdana"/>
          <w:color w:val="auto"/>
          <w:sz w:val="20"/>
          <w:szCs w:val="16"/>
          <w:u w:val="single"/>
        </w:rPr>
        <w:lastRenderedPageBreak/>
        <w:t>Verification of Long-term Care Insurance Premiums</w:t>
      </w:r>
    </w:p>
    <w:p w:rsidR="00795250" w:rsidRPr="00DB451B" w:rsidRDefault="0084066E">
      <w:pPr>
        <w:pStyle w:val="Default"/>
        <w:ind w:left="360"/>
        <w:rPr>
          <w:rFonts w:ascii="Verdana" w:hAnsi="Verdana"/>
          <w:color w:val="auto"/>
          <w:sz w:val="20"/>
          <w:szCs w:val="16"/>
        </w:rPr>
      </w:pPr>
      <w:r w:rsidRPr="00DB451B">
        <w:rPr>
          <w:rFonts w:ascii="Verdana" w:hAnsi="Verdana"/>
          <w:color w:val="auto"/>
          <w:sz w:val="20"/>
          <w:szCs w:val="16"/>
        </w:rPr>
        <w:t>In order for long-term care insurance premiums to be included as a medical expense deduction used for income determination purposes, the tenant provide</w:t>
      </w:r>
      <w:r w:rsidR="00276006" w:rsidRPr="00DB451B">
        <w:rPr>
          <w:rFonts w:ascii="Verdana" w:hAnsi="Verdana"/>
          <w:color w:val="auto"/>
          <w:sz w:val="20"/>
          <w:szCs w:val="16"/>
        </w:rPr>
        <w:t>s</w:t>
      </w:r>
      <w:r w:rsidRPr="00DB451B">
        <w:rPr>
          <w:rFonts w:ascii="Verdana" w:hAnsi="Verdana"/>
          <w:color w:val="auto"/>
          <w:sz w:val="20"/>
          <w:szCs w:val="16"/>
        </w:rPr>
        <w:t xml:space="preserve"> a certification to the owner/management agent that their long-term care insurance policy contains certain provisions.  </w:t>
      </w:r>
      <w:r w:rsidR="00B048B2" w:rsidRPr="00DB451B">
        <w:rPr>
          <w:rFonts w:ascii="Verdana" w:hAnsi="Verdana"/>
          <w:color w:val="auto"/>
          <w:sz w:val="20"/>
          <w:szCs w:val="16"/>
        </w:rPr>
        <w:t>In order to provide</w:t>
      </w:r>
      <w:r w:rsidR="0031009C" w:rsidRPr="00DB451B">
        <w:rPr>
          <w:rFonts w:ascii="Verdana" w:hAnsi="Verdana"/>
          <w:color w:val="auto"/>
          <w:sz w:val="20"/>
          <w:szCs w:val="16"/>
        </w:rPr>
        <w:t xml:space="preserve"> the certification, the tenant must review the terms of their long-term care insurance policy</w:t>
      </w:r>
      <w:r w:rsidR="00B048B2" w:rsidRPr="00DB451B">
        <w:rPr>
          <w:rFonts w:ascii="Verdana" w:hAnsi="Verdana"/>
          <w:color w:val="auto"/>
          <w:sz w:val="20"/>
          <w:szCs w:val="16"/>
        </w:rPr>
        <w:t xml:space="preserve"> for compliance with the certification provisions</w:t>
      </w:r>
      <w:r w:rsidR="0031009C" w:rsidRPr="00DB451B">
        <w:rPr>
          <w:rFonts w:ascii="Verdana" w:hAnsi="Verdana"/>
          <w:color w:val="auto"/>
          <w:sz w:val="20"/>
          <w:szCs w:val="16"/>
        </w:rPr>
        <w:t>. Upon completion of the certification, t</w:t>
      </w:r>
      <w:r w:rsidRPr="00DB451B">
        <w:rPr>
          <w:rFonts w:ascii="Verdana" w:hAnsi="Verdana"/>
          <w:color w:val="auto"/>
          <w:sz w:val="20"/>
          <w:szCs w:val="16"/>
        </w:rPr>
        <w:t xml:space="preserve">he insurance premiums </w:t>
      </w:r>
      <w:r w:rsidR="00276006" w:rsidRPr="00DB451B">
        <w:rPr>
          <w:rFonts w:ascii="Verdana" w:hAnsi="Verdana"/>
          <w:color w:val="auto"/>
          <w:sz w:val="20"/>
          <w:szCs w:val="16"/>
        </w:rPr>
        <w:t>are</w:t>
      </w:r>
      <w:r w:rsidRPr="00DB451B">
        <w:rPr>
          <w:rFonts w:ascii="Verdana" w:hAnsi="Verdana"/>
          <w:color w:val="auto"/>
          <w:sz w:val="20"/>
          <w:szCs w:val="16"/>
        </w:rPr>
        <w:t xml:space="preserve"> then included in the tenant’s total medical expenses deduction which is electronically transmitted by the owner/management agent to HUD’s Tenant Rental Assistance Certification System (TRACS).  </w:t>
      </w:r>
      <w:r w:rsidR="004844D8" w:rsidRPr="00DB451B">
        <w:rPr>
          <w:rFonts w:ascii="Verdana" w:hAnsi="Verdana"/>
          <w:color w:val="auto"/>
          <w:sz w:val="20"/>
          <w:szCs w:val="16"/>
        </w:rPr>
        <w:t>Form HUD-</w:t>
      </w:r>
      <w:r w:rsidR="00A8042E" w:rsidRPr="00DB451B">
        <w:rPr>
          <w:rFonts w:ascii="Verdana" w:hAnsi="Verdana"/>
          <w:color w:val="auto"/>
          <w:sz w:val="20"/>
          <w:szCs w:val="16"/>
        </w:rPr>
        <w:t>90101</w:t>
      </w:r>
      <w:r w:rsidR="004844D8" w:rsidRPr="00DB451B">
        <w:rPr>
          <w:rFonts w:ascii="Verdana" w:hAnsi="Verdana"/>
          <w:color w:val="auto"/>
          <w:sz w:val="20"/>
          <w:szCs w:val="16"/>
        </w:rPr>
        <w:t xml:space="preserve">, </w:t>
      </w:r>
      <w:r w:rsidRPr="00DB451B">
        <w:rPr>
          <w:rFonts w:ascii="Verdana" w:hAnsi="Verdana"/>
          <w:i/>
          <w:iCs/>
          <w:color w:val="auto"/>
          <w:sz w:val="20"/>
          <w:szCs w:val="16"/>
        </w:rPr>
        <w:t>Sample Certification for Qualified Long-Term Care Insurance Expenses</w:t>
      </w:r>
      <w:r w:rsidR="004844D8" w:rsidRPr="00DB451B">
        <w:rPr>
          <w:rFonts w:ascii="Verdana" w:hAnsi="Verdana"/>
          <w:i/>
          <w:iCs/>
          <w:color w:val="auto"/>
          <w:sz w:val="20"/>
          <w:szCs w:val="16"/>
        </w:rPr>
        <w:t>,</w:t>
      </w:r>
      <w:r w:rsidRPr="00DB451B">
        <w:rPr>
          <w:rFonts w:ascii="Verdana" w:hAnsi="Verdana"/>
          <w:color w:val="auto"/>
          <w:sz w:val="20"/>
          <w:szCs w:val="16"/>
        </w:rPr>
        <w:t xml:space="preserve"> is attached.</w:t>
      </w:r>
      <w:r w:rsidR="00B048B2" w:rsidRPr="00DB451B">
        <w:rPr>
          <w:rFonts w:ascii="Verdana" w:hAnsi="Verdana"/>
          <w:color w:val="auto"/>
          <w:sz w:val="20"/>
          <w:szCs w:val="16"/>
        </w:rPr>
        <w:t xml:space="preserve">  Upon receipt </w:t>
      </w:r>
      <w:r w:rsidR="004844D8" w:rsidRPr="00DB451B">
        <w:rPr>
          <w:rFonts w:ascii="Verdana" w:hAnsi="Verdana"/>
          <w:color w:val="auto"/>
          <w:sz w:val="20"/>
          <w:szCs w:val="16"/>
        </w:rPr>
        <w:t xml:space="preserve">of </w:t>
      </w:r>
      <w:r w:rsidR="00B048B2" w:rsidRPr="00DB451B">
        <w:rPr>
          <w:rFonts w:ascii="Verdana" w:hAnsi="Verdana"/>
          <w:color w:val="auto"/>
          <w:sz w:val="20"/>
          <w:szCs w:val="16"/>
        </w:rPr>
        <w:t>OMB approv</w:t>
      </w:r>
      <w:r w:rsidR="004844D8" w:rsidRPr="00DB451B">
        <w:rPr>
          <w:rFonts w:ascii="Verdana" w:hAnsi="Verdana"/>
          <w:color w:val="auto"/>
          <w:sz w:val="20"/>
          <w:szCs w:val="16"/>
        </w:rPr>
        <w:t>al</w:t>
      </w:r>
      <w:r w:rsidR="00B048B2" w:rsidRPr="00DB451B">
        <w:rPr>
          <w:rFonts w:ascii="Verdana" w:hAnsi="Verdana"/>
          <w:color w:val="auto"/>
          <w:sz w:val="20"/>
          <w:szCs w:val="16"/>
        </w:rPr>
        <w:t>, a fillable pdf form will be posted for use by applicants/tenants (see Section 3 of this document).</w:t>
      </w:r>
      <w:r w:rsidR="00A20BC5" w:rsidRPr="00DB451B">
        <w:rPr>
          <w:rFonts w:ascii="Verdana" w:hAnsi="Verdana"/>
          <w:color w:val="auto"/>
          <w:sz w:val="20"/>
          <w:szCs w:val="16"/>
        </w:rPr>
        <w:t xml:space="preserve">  </w:t>
      </w:r>
    </w:p>
    <w:p w:rsidR="00795250" w:rsidRPr="00DB451B" w:rsidRDefault="00795250">
      <w:pPr>
        <w:pStyle w:val="Default"/>
        <w:ind w:left="360"/>
        <w:rPr>
          <w:rFonts w:ascii="Verdana" w:hAnsi="Verdana"/>
          <w:color w:val="auto"/>
          <w:sz w:val="20"/>
          <w:szCs w:val="16"/>
        </w:rPr>
      </w:pPr>
    </w:p>
    <w:p w:rsidR="0084066E" w:rsidRPr="00DB451B" w:rsidRDefault="00A20BC5">
      <w:pPr>
        <w:pStyle w:val="Default"/>
        <w:ind w:left="360"/>
        <w:rPr>
          <w:rFonts w:ascii="Verdana" w:hAnsi="Verdana"/>
          <w:color w:val="auto"/>
          <w:sz w:val="20"/>
          <w:szCs w:val="16"/>
        </w:rPr>
      </w:pPr>
      <w:r w:rsidRPr="00DB451B">
        <w:rPr>
          <w:rFonts w:ascii="Verdana" w:hAnsi="Verdana"/>
          <w:color w:val="auto"/>
          <w:sz w:val="20"/>
          <w:szCs w:val="16"/>
        </w:rPr>
        <w:t>24 CFR 5.611(a)(3)(i) allows for unreimbursed medical expenses in excess of three (3) percent of annual income be included as a mandatory deduction from annual income for any elderly family or disabled family</w:t>
      </w:r>
      <w:r w:rsidR="00795250" w:rsidRPr="00DB451B">
        <w:rPr>
          <w:rFonts w:ascii="Verdana" w:hAnsi="Verdana"/>
          <w:color w:val="auto"/>
          <w:sz w:val="20"/>
          <w:szCs w:val="16"/>
        </w:rPr>
        <w:t xml:space="preserve"> in order to arrive at the adjusted income used for rent and subsidy determination</w:t>
      </w:r>
      <w:r w:rsidRPr="00DB451B">
        <w:rPr>
          <w:rFonts w:ascii="Verdana" w:hAnsi="Verdana"/>
          <w:color w:val="auto"/>
          <w:sz w:val="20"/>
          <w:szCs w:val="16"/>
        </w:rPr>
        <w:t xml:space="preserve">. </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u w:val="single"/>
        </w:rPr>
      </w:pPr>
      <w:r w:rsidRPr="00DB451B">
        <w:rPr>
          <w:rFonts w:ascii="Verdana" w:hAnsi="Verdana"/>
          <w:color w:val="auto"/>
          <w:sz w:val="20"/>
          <w:szCs w:val="16"/>
          <w:u w:val="single"/>
        </w:rPr>
        <w:t>Eligibility of College Students</w:t>
      </w: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 xml:space="preserve">Owners/managements agents must verify the eligibility to receive section 8 assistance of any individual who is enrolled as a student at an institution of higher education; is under the age of 24; is not a veteran of the United States military; is unmarried; does not have a dependent child; is not disabled and receiving section 8 assistance on November 30, 2005; and is not otherwise individually eligible, or has parents who, individually or jointly, are </w:t>
      </w:r>
      <w:r w:rsidR="00FB4A69" w:rsidRPr="00DB451B">
        <w:rPr>
          <w:rFonts w:ascii="Verdana" w:hAnsi="Verdana"/>
          <w:color w:val="auto"/>
          <w:sz w:val="20"/>
          <w:szCs w:val="16"/>
        </w:rPr>
        <w:t xml:space="preserve">not </w:t>
      </w:r>
      <w:r w:rsidRPr="00DB451B">
        <w:rPr>
          <w:rFonts w:ascii="Verdana" w:hAnsi="Verdana"/>
          <w:color w:val="auto"/>
          <w:sz w:val="20"/>
          <w:szCs w:val="16"/>
        </w:rPr>
        <w:t>eligible for section 8 assistance.  In addition to verifying the student’s income, the owner/management agent must also verify the parent(s) income or, if applicable, verify the student’s independence from parents.</w:t>
      </w:r>
      <w:r w:rsidR="00A07CAD" w:rsidRPr="00DB451B">
        <w:rPr>
          <w:rFonts w:ascii="Verdana" w:hAnsi="Verdana"/>
          <w:color w:val="auto"/>
          <w:sz w:val="20"/>
          <w:szCs w:val="16"/>
        </w:rPr>
        <w:t xml:space="preserve"> T</w:t>
      </w:r>
      <w:r w:rsidRPr="00DB451B">
        <w:rPr>
          <w:rFonts w:ascii="Verdana" w:hAnsi="Verdana"/>
          <w:color w:val="auto"/>
          <w:sz w:val="20"/>
          <w:szCs w:val="16"/>
        </w:rPr>
        <w:t xml:space="preserve">he owner/management agent electronically transmits the college student’s income to TRACS.  </w:t>
      </w:r>
      <w:r w:rsidR="00A07CAD" w:rsidRPr="00DB451B">
        <w:rPr>
          <w:rFonts w:ascii="Verdana" w:hAnsi="Verdana"/>
          <w:color w:val="auto"/>
          <w:sz w:val="20"/>
          <w:szCs w:val="16"/>
        </w:rPr>
        <w:t xml:space="preserve">The income information collected from the college student’s parents is a limited collection </w:t>
      </w:r>
      <w:r w:rsidR="00FF51FC" w:rsidRPr="00DB451B">
        <w:rPr>
          <w:rFonts w:ascii="Verdana" w:hAnsi="Verdana"/>
          <w:color w:val="auto"/>
          <w:sz w:val="20"/>
          <w:szCs w:val="16"/>
        </w:rPr>
        <w:t xml:space="preserve">and will not </w:t>
      </w:r>
      <w:r w:rsidR="004844D8" w:rsidRPr="00DB451B">
        <w:rPr>
          <w:rFonts w:ascii="Verdana" w:hAnsi="Verdana"/>
          <w:color w:val="auto"/>
          <w:sz w:val="20"/>
          <w:szCs w:val="16"/>
        </w:rPr>
        <w:t>a</w:t>
      </w:r>
      <w:r w:rsidR="00FF51FC" w:rsidRPr="00DB451B">
        <w:rPr>
          <w:rFonts w:ascii="Verdana" w:hAnsi="Verdana"/>
          <w:color w:val="auto"/>
          <w:sz w:val="20"/>
          <w:szCs w:val="16"/>
        </w:rPr>
        <w:t>ffect a large number of individuals</w:t>
      </w:r>
      <w:r w:rsidR="004844D8" w:rsidRPr="00DB451B">
        <w:rPr>
          <w:rFonts w:ascii="Verdana" w:hAnsi="Verdana"/>
          <w:color w:val="auto"/>
          <w:sz w:val="20"/>
          <w:szCs w:val="16"/>
        </w:rPr>
        <w:t>;</w:t>
      </w:r>
      <w:r w:rsidR="00FF51FC" w:rsidRPr="00DB451B">
        <w:rPr>
          <w:rFonts w:ascii="Verdana" w:hAnsi="Verdana"/>
          <w:color w:val="auto"/>
          <w:sz w:val="20"/>
          <w:szCs w:val="16"/>
        </w:rPr>
        <w:t xml:space="preserve"> therefore, </w:t>
      </w:r>
      <w:r w:rsidR="00A07CAD" w:rsidRPr="00DB451B">
        <w:rPr>
          <w:rFonts w:ascii="Verdana" w:hAnsi="Verdana"/>
          <w:color w:val="auto"/>
          <w:sz w:val="20"/>
          <w:szCs w:val="16"/>
        </w:rPr>
        <w:t xml:space="preserve">it is not cost effective for HUD to automate the data collection.  </w:t>
      </w:r>
      <w:r w:rsidRPr="00DB451B">
        <w:rPr>
          <w:rFonts w:ascii="Verdana" w:hAnsi="Verdana"/>
          <w:color w:val="auto"/>
          <w:sz w:val="20"/>
          <w:szCs w:val="16"/>
        </w:rPr>
        <w:t xml:space="preserve">See the Federal Register dated April 10, 2006, pages 18146-18150, </w:t>
      </w:r>
      <w:r w:rsidRPr="00DB451B">
        <w:rPr>
          <w:rFonts w:ascii="Verdana" w:hAnsi="Verdana"/>
          <w:i/>
          <w:iCs/>
          <w:color w:val="auto"/>
          <w:sz w:val="20"/>
          <w:szCs w:val="16"/>
        </w:rPr>
        <w:t>Supplementary Guidance,</w:t>
      </w:r>
      <w:r w:rsidRPr="00DB451B">
        <w:rPr>
          <w:rFonts w:ascii="Verdana" w:hAnsi="Verdana"/>
          <w:color w:val="auto"/>
          <w:sz w:val="20"/>
          <w:szCs w:val="16"/>
        </w:rPr>
        <w:t xml:space="preserve"> for information on verifying the student’s income, parent(s) income and, when applicable, the student</w:t>
      </w:r>
      <w:r w:rsidR="00D42AF7" w:rsidRPr="00DB451B">
        <w:rPr>
          <w:rFonts w:ascii="Verdana" w:hAnsi="Verdana"/>
          <w:color w:val="auto"/>
          <w:sz w:val="20"/>
          <w:szCs w:val="16"/>
        </w:rPr>
        <w:t>’</w:t>
      </w:r>
      <w:r w:rsidRPr="00DB451B">
        <w:rPr>
          <w:rFonts w:ascii="Verdana" w:hAnsi="Verdana"/>
          <w:color w:val="auto"/>
          <w:sz w:val="20"/>
          <w:szCs w:val="16"/>
        </w:rPr>
        <w:t>s independence from parents.</w:t>
      </w:r>
    </w:p>
    <w:p w:rsidR="00795250" w:rsidRPr="00DB451B" w:rsidRDefault="00795250">
      <w:pPr>
        <w:pStyle w:val="Default"/>
        <w:ind w:left="360"/>
        <w:rPr>
          <w:color w:val="auto"/>
        </w:rPr>
      </w:pPr>
    </w:p>
    <w:p w:rsidR="00A20BC5" w:rsidRPr="00DB451B" w:rsidRDefault="00A20BC5">
      <w:pPr>
        <w:pStyle w:val="Default"/>
        <w:ind w:left="360"/>
        <w:rPr>
          <w:rFonts w:ascii="Verdana" w:hAnsi="Verdana"/>
          <w:color w:val="auto"/>
          <w:sz w:val="20"/>
          <w:szCs w:val="20"/>
        </w:rPr>
      </w:pPr>
      <w:r w:rsidRPr="00DB451B">
        <w:rPr>
          <w:rFonts w:ascii="Verdana" w:hAnsi="Verdana"/>
          <w:color w:val="auto"/>
          <w:sz w:val="20"/>
          <w:szCs w:val="20"/>
        </w:rPr>
        <w:t>Section 327 of the FY 2006 Appropriations Act, enacted in Public Law 109-115</w:t>
      </w:r>
      <w:r w:rsidR="00F51E24" w:rsidRPr="00DB451B">
        <w:rPr>
          <w:rFonts w:ascii="Verdana" w:hAnsi="Verdana"/>
          <w:color w:val="auto"/>
          <w:sz w:val="20"/>
          <w:szCs w:val="20"/>
        </w:rPr>
        <w:t xml:space="preserve"> amended by Public Law 109-249</w:t>
      </w:r>
      <w:r w:rsidRPr="00DB451B">
        <w:rPr>
          <w:rFonts w:ascii="Verdana" w:hAnsi="Verdana"/>
          <w:color w:val="auto"/>
          <w:sz w:val="20"/>
          <w:szCs w:val="20"/>
        </w:rPr>
        <w:t>, placing restrictions on a student’s eligibility to receive section 8 assistance under the U.S. Housing Act of 1937 (42 U.S.C. 1437f). The Final Rule implementing Public Law 109-115 and a Supplementary Guidance Notice were published in the Federal Register on December 30, 2005 and April 10, 2006, respectively</w:t>
      </w:r>
      <w:r w:rsidR="00D42AF7" w:rsidRPr="00DB451B">
        <w:rPr>
          <w:rFonts w:ascii="Verdana" w:hAnsi="Verdana"/>
          <w:color w:val="auto"/>
          <w:sz w:val="20"/>
          <w:szCs w:val="20"/>
        </w:rPr>
        <w:t>.</w:t>
      </w:r>
      <w:r w:rsidRPr="00DB451B">
        <w:rPr>
          <w:rFonts w:ascii="Verdana" w:hAnsi="Verdana"/>
          <w:color w:val="auto"/>
          <w:sz w:val="20"/>
          <w:szCs w:val="20"/>
        </w:rPr>
        <w:t xml:space="preserve">   </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ind w:left="360"/>
        <w:rPr>
          <w:rFonts w:ascii="Verdana" w:hAnsi="Verdana"/>
          <w:b/>
          <w:bCs/>
          <w:color w:val="auto"/>
          <w:sz w:val="20"/>
          <w:szCs w:val="16"/>
          <w:u w:val="single"/>
        </w:rPr>
      </w:pPr>
      <w:r w:rsidRPr="00DB451B">
        <w:rPr>
          <w:rFonts w:ascii="Verdana" w:hAnsi="Verdana"/>
          <w:color w:val="auto"/>
          <w:sz w:val="20"/>
          <w:szCs w:val="16"/>
          <w:u w:val="single"/>
        </w:rPr>
        <w:t>Eligibility of Persons with Disabilities</w:t>
      </w:r>
    </w:p>
    <w:p w:rsidR="00AC6EFB" w:rsidRPr="00DB451B" w:rsidRDefault="0084066E" w:rsidP="00AC6EFB">
      <w:pPr>
        <w:pStyle w:val="Default"/>
        <w:ind w:left="360"/>
        <w:rPr>
          <w:rFonts w:ascii="Verdana" w:hAnsi="Verdana"/>
          <w:color w:val="auto"/>
          <w:sz w:val="20"/>
          <w:szCs w:val="16"/>
        </w:rPr>
      </w:pPr>
      <w:r w:rsidRPr="00DB451B">
        <w:rPr>
          <w:rFonts w:ascii="Verdana" w:hAnsi="Verdana"/>
          <w:color w:val="auto"/>
          <w:sz w:val="20"/>
          <w:szCs w:val="16"/>
        </w:rPr>
        <w:t xml:space="preserve">Owners/management agents must obtain third party verification that a disabled individual meets the definition for persons with disabilities for the program governing the housing where the individual is applying to live.  The owner/management agent will electronically transmit this information to TRACS using the Special Status Code “H” designating the individual qualifies as being disabled under program requirements.  A copy of </w:t>
      </w:r>
      <w:r w:rsidR="004844D8" w:rsidRPr="00DB451B">
        <w:rPr>
          <w:rFonts w:ascii="Verdana" w:hAnsi="Verdana"/>
          <w:color w:val="auto"/>
          <w:sz w:val="20"/>
          <w:szCs w:val="16"/>
        </w:rPr>
        <w:t>form HUD-</w:t>
      </w:r>
      <w:r w:rsidR="00A8042E" w:rsidRPr="00DB451B">
        <w:rPr>
          <w:rFonts w:ascii="Verdana" w:hAnsi="Verdana"/>
          <w:color w:val="auto"/>
          <w:sz w:val="20"/>
          <w:szCs w:val="16"/>
        </w:rPr>
        <w:t>90102,</w:t>
      </w:r>
      <w:r w:rsidR="004844D8" w:rsidRPr="00DB451B">
        <w:rPr>
          <w:rFonts w:ascii="Verdana" w:hAnsi="Verdana"/>
          <w:color w:val="auto"/>
          <w:sz w:val="20"/>
          <w:szCs w:val="16"/>
        </w:rPr>
        <w:t xml:space="preserve"> </w:t>
      </w:r>
      <w:r w:rsidRPr="00DB451B">
        <w:rPr>
          <w:rFonts w:ascii="Verdana" w:hAnsi="Verdana"/>
          <w:i/>
          <w:iCs/>
          <w:color w:val="auto"/>
          <w:sz w:val="20"/>
          <w:szCs w:val="16"/>
        </w:rPr>
        <w:t>Sample Verification of Disability When Eligibility for Admission or Qualification for Certain Income D</w:t>
      </w:r>
      <w:r w:rsidR="00A8042E" w:rsidRPr="00DB451B">
        <w:rPr>
          <w:rFonts w:ascii="Verdana" w:hAnsi="Verdana"/>
          <w:i/>
          <w:iCs/>
          <w:color w:val="auto"/>
          <w:sz w:val="20"/>
          <w:szCs w:val="16"/>
        </w:rPr>
        <w:t xml:space="preserve">eductions is based on Disability-Section 202/8, Section </w:t>
      </w:r>
      <w:r w:rsidR="00BC27E0" w:rsidRPr="00DB451B">
        <w:rPr>
          <w:rFonts w:ascii="Verdana" w:hAnsi="Verdana"/>
          <w:i/>
          <w:iCs/>
          <w:color w:val="auto"/>
          <w:sz w:val="20"/>
          <w:szCs w:val="16"/>
        </w:rPr>
        <w:t>2</w:t>
      </w:r>
      <w:r w:rsidR="00A8042E" w:rsidRPr="00DB451B">
        <w:rPr>
          <w:rFonts w:ascii="Verdana" w:hAnsi="Verdana"/>
          <w:i/>
          <w:iCs/>
          <w:color w:val="auto"/>
          <w:sz w:val="20"/>
          <w:szCs w:val="16"/>
        </w:rPr>
        <w:t>02 PAC, Section 202 PRAC, Section 811 PRAC</w:t>
      </w:r>
      <w:r w:rsidR="00A8042E" w:rsidRPr="00DB451B">
        <w:rPr>
          <w:rFonts w:ascii="Verdana" w:hAnsi="Verdana"/>
          <w:iCs/>
          <w:color w:val="auto"/>
          <w:sz w:val="20"/>
          <w:szCs w:val="16"/>
        </w:rPr>
        <w:t xml:space="preserve">, and HUD-90103, </w:t>
      </w:r>
      <w:r w:rsidR="00A8042E" w:rsidRPr="00DB451B">
        <w:rPr>
          <w:rFonts w:ascii="Verdana" w:hAnsi="Verdana"/>
          <w:i/>
          <w:iCs/>
          <w:color w:val="auto"/>
          <w:sz w:val="20"/>
          <w:szCs w:val="16"/>
        </w:rPr>
        <w:t xml:space="preserve">Sample Verification of Disability When Eligibility for Admission or Qualification for Certain Income Deductions is based on Disability- All Other Programs, </w:t>
      </w:r>
      <w:r w:rsidR="00A8042E" w:rsidRPr="00DB451B">
        <w:rPr>
          <w:rFonts w:ascii="Verdana" w:hAnsi="Verdana"/>
          <w:iCs/>
          <w:color w:val="auto"/>
          <w:sz w:val="20"/>
          <w:szCs w:val="16"/>
        </w:rPr>
        <w:t>are</w:t>
      </w:r>
      <w:r w:rsidRPr="00DB451B">
        <w:rPr>
          <w:rFonts w:ascii="Verdana" w:hAnsi="Verdana"/>
          <w:color w:val="auto"/>
          <w:sz w:val="20"/>
          <w:szCs w:val="16"/>
        </w:rPr>
        <w:t xml:space="preserve"> attached.</w:t>
      </w:r>
      <w:r w:rsidR="00A20BC5" w:rsidRPr="00DB451B">
        <w:rPr>
          <w:rFonts w:ascii="Verdana" w:hAnsi="Verdana"/>
          <w:color w:val="auto"/>
          <w:sz w:val="20"/>
          <w:szCs w:val="16"/>
        </w:rPr>
        <w:t xml:space="preserve">  </w:t>
      </w:r>
      <w:r w:rsidR="008576D0" w:rsidRPr="00DB451B">
        <w:rPr>
          <w:rFonts w:ascii="Verdana" w:hAnsi="Verdana"/>
          <w:color w:val="auto"/>
          <w:sz w:val="20"/>
          <w:szCs w:val="16"/>
        </w:rPr>
        <w:t>A</w:t>
      </w:r>
      <w:r w:rsidR="00AC6EFB" w:rsidRPr="00DB451B">
        <w:rPr>
          <w:rFonts w:ascii="Verdana" w:hAnsi="Verdana"/>
          <w:color w:val="auto"/>
          <w:sz w:val="20"/>
          <w:szCs w:val="16"/>
        </w:rPr>
        <w:t xml:space="preserve"> fillable pdf form will be posted for use by owners/management agents and persons providing the third party verification (see Section 3 of this document).  </w:t>
      </w:r>
    </w:p>
    <w:p w:rsidR="00795250" w:rsidRPr="00DB451B" w:rsidRDefault="00795250">
      <w:pPr>
        <w:pStyle w:val="Default"/>
        <w:ind w:left="360"/>
        <w:rPr>
          <w:rFonts w:ascii="Verdana" w:hAnsi="Verdana"/>
          <w:color w:val="auto"/>
          <w:sz w:val="20"/>
          <w:szCs w:val="16"/>
        </w:rPr>
      </w:pPr>
    </w:p>
    <w:p w:rsidR="0084066E" w:rsidRPr="00DB451B" w:rsidRDefault="00A20BC5">
      <w:pPr>
        <w:pStyle w:val="Default"/>
        <w:ind w:left="360"/>
        <w:rPr>
          <w:rFonts w:ascii="Verdana" w:hAnsi="Verdana"/>
          <w:color w:val="auto"/>
          <w:sz w:val="20"/>
          <w:szCs w:val="16"/>
        </w:rPr>
      </w:pPr>
      <w:r w:rsidRPr="00DB451B">
        <w:rPr>
          <w:rFonts w:ascii="Verdana" w:hAnsi="Verdana"/>
          <w:color w:val="auto"/>
          <w:sz w:val="20"/>
          <w:szCs w:val="16"/>
        </w:rPr>
        <w:t>The definitions for persons with disabilities for programs covered under the United States Housing Act of 1937 are in 24 CFR 403 and for the Section 202 and Section 811 Supportive Housing for the Elderly and Persons with Disabilities in 24 CFR 891.305 and 891.505.</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u w:val="single"/>
        </w:rPr>
      </w:pPr>
      <w:r w:rsidRPr="00DB451B">
        <w:rPr>
          <w:rFonts w:ascii="Verdana" w:hAnsi="Verdana"/>
          <w:color w:val="auto"/>
          <w:sz w:val="20"/>
          <w:szCs w:val="16"/>
          <w:u w:val="single"/>
        </w:rPr>
        <w:t>Eligibility Waivers</w:t>
      </w: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 xml:space="preserve">If the owner is temporarily unable to lease all units for which assistance is committed under the housing assistance </w:t>
      </w:r>
      <w:r w:rsidR="00D42AF7" w:rsidRPr="00DB451B">
        <w:rPr>
          <w:rFonts w:ascii="Verdana" w:hAnsi="Verdana"/>
          <w:color w:val="auto"/>
          <w:sz w:val="20"/>
          <w:szCs w:val="16"/>
        </w:rPr>
        <w:t xml:space="preserve">payments </w:t>
      </w:r>
      <w:r w:rsidRPr="00DB451B">
        <w:rPr>
          <w:rFonts w:ascii="Verdana" w:hAnsi="Verdana"/>
          <w:color w:val="auto"/>
          <w:sz w:val="20"/>
          <w:szCs w:val="16"/>
        </w:rPr>
        <w:t xml:space="preserve">contract to eligible families, they may request a waiver of the regulations for approval to admit ineligible tenants.  The request and </w:t>
      </w:r>
      <w:r w:rsidR="00A20BC5" w:rsidRPr="00DB451B">
        <w:rPr>
          <w:rFonts w:ascii="Verdana" w:hAnsi="Verdana"/>
          <w:color w:val="auto"/>
          <w:sz w:val="20"/>
          <w:szCs w:val="16"/>
        </w:rPr>
        <w:t xml:space="preserve">required </w:t>
      </w:r>
      <w:r w:rsidRPr="00DB451B">
        <w:rPr>
          <w:rFonts w:ascii="Verdana" w:hAnsi="Verdana"/>
          <w:color w:val="auto"/>
          <w:sz w:val="20"/>
          <w:szCs w:val="16"/>
        </w:rPr>
        <w:t>supporting documentation</w:t>
      </w:r>
      <w:r w:rsidR="00A20BC5" w:rsidRPr="00DB451B">
        <w:rPr>
          <w:rFonts w:ascii="Verdana" w:hAnsi="Verdana"/>
          <w:color w:val="auto"/>
          <w:sz w:val="20"/>
          <w:szCs w:val="16"/>
        </w:rPr>
        <w:t xml:space="preserve"> </w:t>
      </w:r>
      <w:r w:rsidR="00D42AF7" w:rsidRPr="00DB451B">
        <w:rPr>
          <w:rFonts w:ascii="Verdana" w:hAnsi="Verdana"/>
          <w:color w:val="auto"/>
          <w:sz w:val="20"/>
          <w:szCs w:val="16"/>
        </w:rPr>
        <w:t>are</w:t>
      </w:r>
      <w:r w:rsidRPr="00DB451B">
        <w:rPr>
          <w:rFonts w:ascii="Verdana" w:hAnsi="Verdana"/>
          <w:color w:val="auto"/>
          <w:sz w:val="20"/>
          <w:szCs w:val="16"/>
        </w:rPr>
        <w:t xml:space="preserve"> sent to HUD or the CA for approval.  </w:t>
      </w:r>
      <w:r w:rsidR="00AC6EFB" w:rsidRPr="00DB451B">
        <w:rPr>
          <w:rFonts w:ascii="Verdana" w:hAnsi="Verdana"/>
          <w:color w:val="auto"/>
          <w:sz w:val="20"/>
          <w:szCs w:val="16"/>
        </w:rPr>
        <w:t>Upon approval of the waiver, t</w:t>
      </w:r>
      <w:r w:rsidRPr="00DB451B">
        <w:rPr>
          <w:rFonts w:ascii="Verdana" w:hAnsi="Verdana"/>
          <w:color w:val="auto"/>
          <w:sz w:val="20"/>
          <w:szCs w:val="16"/>
        </w:rPr>
        <w:t>he owner/management agent will designate the household’s eligibility by electronically transmitting to TRACS one of the eligibility Exception Codes.  Owners may use the attached</w:t>
      </w:r>
      <w:r w:rsidR="004844D8" w:rsidRPr="00DB451B">
        <w:rPr>
          <w:rFonts w:ascii="Verdana" w:hAnsi="Verdana"/>
          <w:color w:val="auto"/>
          <w:sz w:val="20"/>
          <w:szCs w:val="16"/>
        </w:rPr>
        <w:t xml:space="preserve"> form HUD-</w:t>
      </w:r>
      <w:r w:rsidR="00A8042E" w:rsidRPr="00DB451B">
        <w:rPr>
          <w:rFonts w:ascii="Verdana" w:hAnsi="Verdana"/>
          <w:color w:val="auto"/>
          <w:sz w:val="20"/>
          <w:szCs w:val="16"/>
        </w:rPr>
        <w:t>90104</w:t>
      </w:r>
      <w:r w:rsidR="004844D8" w:rsidRPr="00DB451B">
        <w:rPr>
          <w:rFonts w:ascii="Verdana" w:hAnsi="Verdana"/>
          <w:color w:val="auto"/>
          <w:sz w:val="20"/>
          <w:szCs w:val="16"/>
        </w:rPr>
        <w:t>,</w:t>
      </w:r>
      <w:r w:rsidRPr="00DB451B">
        <w:rPr>
          <w:rFonts w:ascii="Verdana" w:hAnsi="Verdana"/>
          <w:color w:val="auto"/>
          <w:sz w:val="20"/>
          <w:szCs w:val="16"/>
        </w:rPr>
        <w:t xml:space="preserve"> </w:t>
      </w:r>
      <w:r w:rsidRPr="00DB451B">
        <w:rPr>
          <w:rFonts w:ascii="Verdana" w:hAnsi="Verdana"/>
          <w:i/>
          <w:color w:val="auto"/>
          <w:sz w:val="20"/>
          <w:szCs w:val="16"/>
        </w:rPr>
        <w:t>Sample Request for Exception to Limitations on Admission of Families with Incomes Above 50% of the Area Median Income</w:t>
      </w:r>
      <w:r w:rsidR="0000798A" w:rsidRPr="00DB451B">
        <w:rPr>
          <w:rFonts w:ascii="Verdana" w:hAnsi="Verdana"/>
          <w:i/>
          <w:color w:val="auto"/>
          <w:sz w:val="20"/>
          <w:szCs w:val="16"/>
        </w:rPr>
        <w:t>,</w:t>
      </w:r>
      <w:r w:rsidRPr="00DB451B">
        <w:rPr>
          <w:rFonts w:ascii="Verdana" w:hAnsi="Verdana"/>
          <w:i/>
          <w:color w:val="auto"/>
          <w:sz w:val="20"/>
          <w:szCs w:val="16"/>
        </w:rPr>
        <w:t xml:space="preserve"> </w:t>
      </w:r>
      <w:r w:rsidRPr="00DB451B">
        <w:rPr>
          <w:rFonts w:ascii="Verdana" w:hAnsi="Verdana"/>
          <w:color w:val="auto"/>
          <w:sz w:val="20"/>
          <w:szCs w:val="16"/>
        </w:rPr>
        <w:t>when requesting an income waiver.</w:t>
      </w:r>
      <w:r w:rsidR="00AC6EFB" w:rsidRPr="00DB451B">
        <w:rPr>
          <w:rFonts w:ascii="Verdana" w:hAnsi="Verdana"/>
          <w:color w:val="auto"/>
          <w:sz w:val="20"/>
          <w:szCs w:val="16"/>
        </w:rPr>
        <w:t xml:space="preserve">   </w:t>
      </w:r>
      <w:r w:rsidR="008576D0" w:rsidRPr="00DB451B">
        <w:rPr>
          <w:rFonts w:ascii="Verdana" w:hAnsi="Verdana"/>
          <w:color w:val="auto"/>
          <w:sz w:val="20"/>
          <w:szCs w:val="16"/>
        </w:rPr>
        <w:t xml:space="preserve">A </w:t>
      </w:r>
      <w:r w:rsidR="00AC6EFB" w:rsidRPr="00DB451B">
        <w:rPr>
          <w:rFonts w:ascii="Verdana" w:hAnsi="Verdana"/>
          <w:color w:val="auto"/>
          <w:sz w:val="20"/>
          <w:szCs w:val="16"/>
        </w:rPr>
        <w:t xml:space="preserve">fillable pdf form will be posted for use by owners/management agents (see Section 3 of this document).  </w:t>
      </w:r>
    </w:p>
    <w:p w:rsidR="00AC6EFB" w:rsidRPr="00DB451B" w:rsidRDefault="00AC6EFB">
      <w:pPr>
        <w:pStyle w:val="Default"/>
        <w:ind w:left="360"/>
        <w:rPr>
          <w:rFonts w:ascii="Verdana" w:hAnsi="Verdana"/>
          <w:color w:val="auto"/>
          <w:sz w:val="20"/>
          <w:szCs w:val="16"/>
        </w:rPr>
      </w:pPr>
    </w:p>
    <w:p w:rsidR="00A20BC5" w:rsidRPr="00DB451B" w:rsidRDefault="00A20BC5">
      <w:pPr>
        <w:pStyle w:val="Default"/>
        <w:ind w:left="360"/>
        <w:rPr>
          <w:rFonts w:ascii="Verdana" w:hAnsi="Verdana"/>
          <w:color w:val="auto"/>
          <w:sz w:val="20"/>
          <w:szCs w:val="16"/>
        </w:rPr>
      </w:pPr>
      <w:r w:rsidRPr="00DB451B">
        <w:rPr>
          <w:rFonts w:ascii="Verdana" w:hAnsi="Verdana"/>
          <w:color w:val="auto"/>
          <w:sz w:val="20"/>
          <w:szCs w:val="16"/>
        </w:rPr>
        <w:t xml:space="preserve">24 CFR </w:t>
      </w:r>
      <w:r w:rsidR="004361E5" w:rsidRPr="00DB451B">
        <w:rPr>
          <w:rFonts w:ascii="Verdana" w:hAnsi="Verdana"/>
          <w:color w:val="auto"/>
          <w:sz w:val="20"/>
          <w:szCs w:val="16"/>
        </w:rPr>
        <w:t xml:space="preserve">236.715, </w:t>
      </w:r>
      <w:r w:rsidRPr="00DB451B">
        <w:rPr>
          <w:rFonts w:ascii="Verdana" w:hAnsi="Verdana"/>
          <w:color w:val="auto"/>
          <w:sz w:val="20"/>
          <w:szCs w:val="16"/>
        </w:rPr>
        <w:t>880.504, 884.223, 886.129, 886.329, 891.575, 891.20 cover the requirements for requesting a waiver to admit ineligible persons for the Section 8, Section 202 and Section 811 programs.  24 CFR 5.661 covers the approval for a police officer or other security personnel to live in a Section 8 project.</w:t>
      </w:r>
      <w:r w:rsidR="004361E5" w:rsidRPr="00DB451B">
        <w:rPr>
          <w:rFonts w:ascii="Verdana" w:hAnsi="Verdana"/>
          <w:color w:val="auto"/>
          <w:sz w:val="20"/>
          <w:szCs w:val="16"/>
        </w:rPr>
        <w:t xml:space="preserve">  Section 658 of Title VI of Subtitle D of the Housing and Community Development Act of 1992 covers the restriction of occupancy to elderly families.</w:t>
      </w:r>
    </w:p>
    <w:p w:rsidR="00A20BC5" w:rsidRPr="00DB451B" w:rsidRDefault="00A20BC5">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u w:val="single"/>
        </w:rPr>
      </w:pPr>
      <w:r w:rsidRPr="00DB451B">
        <w:rPr>
          <w:rFonts w:ascii="Verdana" w:hAnsi="Verdana"/>
          <w:color w:val="auto"/>
          <w:sz w:val="20"/>
          <w:szCs w:val="16"/>
          <w:u w:val="single"/>
        </w:rPr>
        <w:t>Lease</w:t>
      </w: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The lease is a contract between the owner of the project and the tenant(s) that explains the terms for residing in the unit.  Leases are a standard business practice in the housing rental industry.  Owners are required to use the HUD model lease</w:t>
      </w:r>
      <w:r w:rsidR="00C76301" w:rsidRPr="00DB451B">
        <w:rPr>
          <w:rFonts w:ascii="Verdana" w:hAnsi="Verdana"/>
          <w:color w:val="auto"/>
          <w:sz w:val="20"/>
          <w:szCs w:val="16"/>
        </w:rPr>
        <w:t xml:space="preserve"> which includes terms normally covered by leases used in the housing rental industry plus </w:t>
      </w:r>
      <w:r w:rsidRPr="00DB451B">
        <w:rPr>
          <w:rFonts w:ascii="Verdana" w:hAnsi="Verdana"/>
          <w:color w:val="auto"/>
          <w:sz w:val="20"/>
          <w:szCs w:val="16"/>
        </w:rPr>
        <w:t>terms</w:t>
      </w:r>
      <w:r w:rsidR="00C76301" w:rsidRPr="00DB451B">
        <w:rPr>
          <w:rFonts w:ascii="Verdana" w:hAnsi="Verdana"/>
          <w:color w:val="auto"/>
          <w:sz w:val="20"/>
          <w:szCs w:val="16"/>
        </w:rPr>
        <w:t xml:space="preserve"> required by HUD</w:t>
      </w:r>
      <w:r w:rsidRPr="00DB451B">
        <w:rPr>
          <w:rFonts w:ascii="Verdana" w:hAnsi="Verdana"/>
          <w:color w:val="auto"/>
          <w:sz w:val="20"/>
          <w:szCs w:val="16"/>
        </w:rPr>
        <w:t xml:space="preserve"> for the program under which the project was built and/or the program providing rental assistance to the tenants.  The </w:t>
      </w:r>
      <w:r w:rsidR="00C26ED6" w:rsidRPr="00DB451B">
        <w:rPr>
          <w:rFonts w:ascii="Verdana" w:hAnsi="Verdana"/>
          <w:color w:val="auto"/>
          <w:sz w:val="20"/>
          <w:szCs w:val="16"/>
        </w:rPr>
        <w:t xml:space="preserve">HUD </w:t>
      </w:r>
      <w:r w:rsidRPr="00DB451B">
        <w:rPr>
          <w:rFonts w:ascii="Verdana" w:hAnsi="Verdana"/>
          <w:color w:val="auto"/>
          <w:sz w:val="20"/>
          <w:szCs w:val="16"/>
        </w:rPr>
        <w:t xml:space="preserve">model leases are attached:  </w:t>
      </w:r>
      <w:r w:rsidR="00AD1231" w:rsidRPr="00DB451B">
        <w:rPr>
          <w:rFonts w:ascii="Verdana" w:hAnsi="Verdana"/>
          <w:color w:val="auto"/>
          <w:sz w:val="20"/>
          <w:szCs w:val="16"/>
        </w:rPr>
        <w:t>HUD-</w:t>
      </w:r>
      <w:r w:rsidR="00A8042E" w:rsidRPr="00DB451B">
        <w:rPr>
          <w:rFonts w:ascii="Verdana" w:hAnsi="Verdana"/>
          <w:color w:val="auto"/>
          <w:sz w:val="20"/>
          <w:szCs w:val="16"/>
        </w:rPr>
        <w:t>90105-a,</w:t>
      </w:r>
      <w:r w:rsidR="00AD1231" w:rsidRPr="00DB451B">
        <w:rPr>
          <w:rFonts w:ascii="Verdana" w:hAnsi="Verdana"/>
          <w:color w:val="auto"/>
          <w:sz w:val="20"/>
          <w:szCs w:val="16"/>
        </w:rPr>
        <w:t xml:space="preserve"> </w:t>
      </w:r>
      <w:r w:rsidRPr="00DB451B">
        <w:rPr>
          <w:rFonts w:ascii="Verdana" w:hAnsi="Verdana"/>
          <w:i/>
          <w:color w:val="auto"/>
          <w:sz w:val="20"/>
          <w:szCs w:val="16"/>
        </w:rPr>
        <w:t>Model Lease for Subsidized Programs</w:t>
      </w:r>
      <w:r w:rsidRPr="00DB451B">
        <w:rPr>
          <w:rFonts w:ascii="Verdana" w:hAnsi="Verdana"/>
          <w:color w:val="auto"/>
          <w:sz w:val="20"/>
          <w:szCs w:val="16"/>
        </w:rPr>
        <w:t xml:space="preserve">; </w:t>
      </w:r>
      <w:r w:rsidR="00AD1231" w:rsidRPr="00DB451B">
        <w:rPr>
          <w:rFonts w:ascii="Verdana" w:hAnsi="Verdana"/>
          <w:color w:val="auto"/>
          <w:sz w:val="20"/>
          <w:szCs w:val="16"/>
        </w:rPr>
        <w:t>HUD-</w:t>
      </w:r>
      <w:r w:rsidR="00A8042E" w:rsidRPr="00DB451B">
        <w:rPr>
          <w:rFonts w:ascii="Verdana" w:hAnsi="Verdana"/>
          <w:color w:val="auto"/>
          <w:sz w:val="20"/>
          <w:szCs w:val="16"/>
        </w:rPr>
        <w:t>90105-b</w:t>
      </w:r>
      <w:r w:rsidR="00AD1231" w:rsidRPr="00DB451B">
        <w:rPr>
          <w:rFonts w:ascii="Verdana" w:hAnsi="Verdana"/>
          <w:color w:val="auto"/>
          <w:sz w:val="20"/>
          <w:szCs w:val="16"/>
        </w:rPr>
        <w:t>,</w:t>
      </w:r>
      <w:r w:rsidR="00A8042E" w:rsidRPr="00DB451B">
        <w:rPr>
          <w:rFonts w:ascii="Verdana" w:hAnsi="Verdana"/>
          <w:color w:val="auto"/>
          <w:sz w:val="20"/>
          <w:szCs w:val="16"/>
        </w:rPr>
        <w:t xml:space="preserve"> </w:t>
      </w:r>
      <w:r w:rsidRPr="00DB451B">
        <w:rPr>
          <w:rFonts w:ascii="Verdana" w:hAnsi="Verdana"/>
          <w:i/>
          <w:color w:val="auto"/>
          <w:sz w:val="20"/>
          <w:szCs w:val="16"/>
        </w:rPr>
        <w:t>Model Lease for Section 202/8 or Section 202 P</w:t>
      </w:r>
      <w:r w:rsidR="004A2E9B" w:rsidRPr="00DB451B">
        <w:rPr>
          <w:rFonts w:ascii="Verdana" w:hAnsi="Verdana"/>
          <w:i/>
          <w:color w:val="auto"/>
          <w:sz w:val="20"/>
          <w:szCs w:val="16"/>
        </w:rPr>
        <w:t xml:space="preserve">roject </w:t>
      </w:r>
      <w:r w:rsidRPr="00DB451B">
        <w:rPr>
          <w:rFonts w:ascii="Verdana" w:hAnsi="Verdana"/>
          <w:i/>
          <w:color w:val="auto"/>
          <w:sz w:val="20"/>
          <w:szCs w:val="16"/>
        </w:rPr>
        <w:t>A</w:t>
      </w:r>
      <w:r w:rsidR="004A2E9B" w:rsidRPr="00DB451B">
        <w:rPr>
          <w:rFonts w:ascii="Verdana" w:hAnsi="Verdana"/>
          <w:i/>
          <w:color w:val="auto"/>
          <w:sz w:val="20"/>
          <w:szCs w:val="16"/>
        </w:rPr>
        <w:t xml:space="preserve">ssistance </w:t>
      </w:r>
      <w:r w:rsidRPr="00DB451B">
        <w:rPr>
          <w:rFonts w:ascii="Verdana" w:hAnsi="Verdana"/>
          <w:i/>
          <w:color w:val="auto"/>
          <w:sz w:val="20"/>
          <w:szCs w:val="16"/>
        </w:rPr>
        <w:t>C</w:t>
      </w:r>
      <w:r w:rsidR="004A2E9B" w:rsidRPr="00DB451B">
        <w:rPr>
          <w:rFonts w:ascii="Verdana" w:hAnsi="Verdana"/>
          <w:i/>
          <w:color w:val="auto"/>
          <w:sz w:val="20"/>
          <w:szCs w:val="16"/>
        </w:rPr>
        <w:t>ontracts (PACs)</w:t>
      </w:r>
      <w:r w:rsidRPr="00DB451B">
        <w:rPr>
          <w:rFonts w:ascii="Verdana" w:hAnsi="Verdana"/>
          <w:color w:val="auto"/>
          <w:sz w:val="20"/>
          <w:szCs w:val="16"/>
        </w:rPr>
        <w:t xml:space="preserve">; </w:t>
      </w:r>
      <w:r w:rsidR="00AD1231" w:rsidRPr="00DB451B">
        <w:rPr>
          <w:rFonts w:ascii="Verdana" w:hAnsi="Verdana"/>
          <w:color w:val="auto"/>
          <w:sz w:val="20"/>
          <w:szCs w:val="16"/>
        </w:rPr>
        <w:t>HUD-</w:t>
      </w:r>
      <w:r w:rsidR="00A8042E" w:rsidRPr="00DB451B">
        <w:rPr>
          <w:rFonts w:ascii="Verdana" w:hAnsi="Verdana"/>
          <w:color w:val="auto"/>
          <w:sz w:val="20"/>
          <w:szCs w:val="16"/>
        </w:rPr>
        <w:t>90105-c</w:t>
      </w:r>
      <w:r w:rsidR="00AD1231" w:rsidRPr="00DB451B">
        <w:rPr>
          <w:rFonts w:ascii="Verdana" w:hAnsi="Verdana"/>
          <w:color w:val="auto"/>
          <w:sz w:val="20"/>
          <w:szCs w:val="16"/>
        </w:rPr>
        <w:t xml:space="preserve">, </w:t>
      </w:r>
      <w:r w:rsidRPr="00DB451B">
        <w:rPr>
          <w:rFonts w:ascii="Verdana" w:hAnsi="Verdana"/>
          <w:i/>
          <w:color w:val="auto"/>
          <w:sz w:val="20"/>
          <w:szCs w:val="16"/>
        </w:rPr>
        <w:t>Model Lease for Section 202 P</w:t>
      </w:r>
      <w:r w:rsidR="004A2E9B" w:rsidRPr="00DB451B">
        <w:rPr>
          <w:rFonts w:ascii="Verdana" w:hAnsi="Verdana"/>
          <w:i/>
          <w:color w:val="auto"/>
          <w:sz w:val="20"/>
          <w:szCs w:val="16"/>
        </w:rPr>
        <w:t xml:space="preserve">roject </w:t>
      </w:r>
      <w:r w:rsidRPr="00DB451B">
        <w:rPr>
          <w:rFonts w:ascii="Verdana" w:hAnsi="Verdana"/>
          <w:i/>
          <w:color w:val="auto"/>
          <w:sz w:val="20"/>
          <w:szCs w:val="16"/>
        </w:rPr>
        <w:t>R</w:t>
      </w:r>
      <w:r w:rsidR="004A2E9B" w:rsidRPr="00DB451B">
        <w:rPr>
          <w:rFonts w:ascii="Verdana" w:hAnsi="Verdana"/>
          <w:i/>
          <w:color w:val="auto"/>
          <w:sz w:val="20"/>
          <w:szCs w:val="16"/>
        </w:rPr>
        <w:t xml:space="preserve">ental </w:t>
      </w:r>
      <w:r w:rsidRPr="00DB451B">
        <w:rPr>
          <w:rFonts w:ascii="Verdana" w:hAnsi="Verdana"/>
          <w:i/>
          <w:color w:val="auto"/>
          <w:sz w:val="20"/>
          <w:szCs w:val="16"/>
        </w:rPr>
        <w:t>A</w:t>
      </w:r>
      <w:r w:rsidR="004A2E9B" w:rsidRPr="00DB451B">
        <w:rPr>
          <w:rFonts w:ascii="Verdana" w:hAnsi="Verdana"/>
          <w:i/>
          <w:color w:val="auto"/>
          <w:sz w:val="20"/>
          <w:szCs w:val="16"/>
        </w:rPr>
        <w:t xml:space="preserve">ssistance </w:t>
      </w:r>
      <w:r w:rsidRPr="00DB451B">
        <w:rPr>
          <w:rFonts w:ascii="Verdana" w:hAnsi="Verdana"/>
          <w:i/>
          <w:color w:val="auto"/>
          <w:sz w:val="20"/>
          <w:szCs w:val="16"/>
        </w:rPr>
        <w:t>C</w:t>
      </w:r>
      <w:r w:rsidR="004A2E9B" w:rsidRPr="00DB451B">
        <w:rPr>
          <w:rFonts w:ascii="Verdana" w:hAnsi="Verdana"/>
          <w:i/>
          <w:color w:val="auto"/>
          <w:sz w:val="20"/>
          <w:szCs w:val="16"/>
        </w:rPr>
        <w:t>ontracts (PRACs)</w:t>
      </w:r>
      <w:r w:rsidRPr="00DB451B">
        <w:rPr>
          <w:rFonts w:ascii="Verdana" w:hAnsi="Verdana"/>
          <w:color w:val="auto"/>
          <w:sz w:val="20"/>
          <w:szCs w:val="16"/>
        </w:rPr>
        <w:t xml:space="preserve">; and </w:t>
      </w:r>
      <w:r w:rsidR="00AD1231" w:rsidRPr="00DB451B">
        <w:rPr>
          <w:rFonts w:ascii="Verdana" w:hAnsi="Verdana"/>
          <w:color w:val="auto"/>
          <w:sz w:val="20"/>
          <w:szCs w:val="16"/>
        </w:rPr>
        <w:t>HUD-</w:t>
      </w:r>
      <w:r w:rsidR="00A8042E" w:rsidRPr="00DB451B">
        <w:rPr>
          <w:rFonts w:ascii="Verdana" w:hAnsi="Verdana"/>
          <w:color w:val="auto"/>
          <w:sz w:val="20"/>
          <w:szCs w:val="16"/>
        </w:rPr>
        <w:t>90105-d</w:t>
      </w:r>
      <w:r w:rsidR="00AD1231" w:rsidRPr="00DB451B">
        <w:rPr>
          <w:rFonts w:ascii="Verdana" w:hAnsi="Verdana"/>
          <w:color w:val="auto"/>
          <w:sz w:val="20"/>
          <w:szCs w:val="16"/>
        </w:rPr>
        <w:t>,</w:t>
      </w:r>
      <w:r w:rsidR="00A8042E" w:rsidRPr="00DB451B">
        <w:rPr>
          <w:rFonts w:ascii="Verdana" w:hAnsi="Verdana"/>
          <w:color w:val="auto"/>
          <w:sz w:val="20"/>
          <w:szCs w:val="16"/>
        </w:rPr>
        <w:t xml:space="preserve"> </w:t>
      </w:r>
      <w:r w:rsidRPr="00DB451B">
        <w:rPr>
          <w:rFonts w:ascii="Verdana" w:hAnsi="Verdana"/>
          <w:i/>
          <w:color w:val="auto"/>
          <w:sz w:val="20"/>
          <w:szCs w:val="16"/>
        </w:rPr>
        <w:t>Model Lease for Section 811 PRACs</w:t>
      </w:r>
      <w:r w:rsidRPr="00DB451B">
        <w:rPr>
          <w:rFonts w:ascii="Verdana" w:hAnsi="Verdana"/>
          <w:color w:val="auto"/>
          <w:sz w:val="20"/>
          <w:szCs w:val="16"/>
        </w:rPr>
        <w:t>.</w:t>
      </w:r>
      <w:r w:rsidR="008576D0" w:rsidRPr="00DB451B">
        <w:rPr>
          <w:rFonts w:ascii="Verdana" w:hAnsi="Verdana"/>
          <w:color w:val="auto"/>
          <w:sz w:val="20"/>
          <w:szCs w:val="16"/>
        </w:rPr>
        <w:t xml:space="preserve">  A</w:t>
      </w:r>
      <w:r w:rsidR="00AD1231" w:rsidRPr="00DB451B">
        <w:rPr>
          <w:rFonts w:ascii="Verdana" w:hAnsi="Verdana"/>
          <w:color w:val="auto"/>
          <w:sz w:val="20"/>
          <w:szCs w:val="16"/>
        </w:rPr>
        <w:t xml:space="preserve"> fillable pdf form will be posted for use by owners/management agents. HUD is not requesting approval of any burden hours for the model leases</w:t>
      </w:r>
      <w:r w:rsidR="00D42AF7" w:rsidRPr="00DB451B">
        <w:rPr>
          <w:rFonts w:ascii="Verdana" w:hAnsi="Verdana"/>
          <w:color w:val="auto"/>
          <w:sz w:val="20"/>
          <w:szCs w:val="16"/>
        </w:rPr>
        <w:t xml:space="preserve"> since use of leases are a standard business practice in the housing rental industry.</w:t>
      </w:r>
      <w:r w:rsidR="00AD1231" w:rsidRPr="00DB451B">
        <w:rPr>
          <w:rFonts w:ascii="Verdana" w:hAnsi="Verdana"/>
          <w:color w:val="auto"/>
          <w:sz w:val="20"/>
          <w:szCs w:val="16"/>
        </w:rPr>
        <w:t xml:space="preserve">  </w:t>
      </w:r>
    </w:p>
    <w:p w:rsidR="0084066E" w:rsidRPr="00DB451B" w:rsidRDefault="0084066E">
      <w:pPr>
        <w:pStyle w:val="Default"/>
        <w:ind w:left="360"/>
        <w:rPr>
          <w:rFonts w:ascii="Verdana" w:hAnsi="Verdana"/>
          <w:color w:val="auto"/>
          <w:sz w:val="20"/>
          <w:szCs w:val="16"/>
        </w:rPr>
      </w:pPr>
    </w:p>
    <w:p w:rsidR="00A20BC5" w:rsidRPr="00DB451B" w:rsidRDefault="00A20BC5">
      <w:pPr>
        <w:pStyle w:val="Default"/>
        <w:ind w:left="360"/>
        <w:rPr>
          <w:rFonts w:ascii="Verdana" w:hAnsi="Verdana"/>
          <w:color w:val="auto"/>
          <w:sz w:val="20"/>
          <w:szCs w:val="16"/>
        </w:rPr>
      </w:pPr>
      <w:r w:rsidRPr="00DB451B">
        <w:rPr>
          <w:rFonts w:ascii="Verdana" w:hAnsi="Verdana"/>
          <w:color w:val="auto"/>
          <w:sz w:val="20"/>
          <w:szCs w:val="16"/>
        </w:rPr>
        <w:t>24 CFR 5.360, 236.750, 880.606, 883.701, 884.215, 886.127, 886.327, 891.425, 891.625 and 891.765 cover lease requirements and provisions.</w:t>
      </w:r>
    </w:p>
    <w:p w:rsidR="00A20BC5" w:rsidRPr="00DB451B" w:rsidRDefault="00A20BC5">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u w:val="single"/>
        </w:rPr>
      </w:pPr>
      <w:r w:rsidRPr="00DB451B">
        <w:rPr>
          <w:rFonts w:ascii="Verdana" w:hAnsi="Verdana"/>
          <w:color w:val="auto"/>
          <w:sz w:val="20"/>
          <w:szCs w:val="16"/>
          <w:u w:val="single"/>
        </w:rPr>
        <w:t>Move-in/out Inspection Report</w:t>
      </w: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 xml:space="preserve">The owner/management agent and tenant together conduct a move-in/move-out inspection to document the condition of the unit at the time of move-in/move-out.  Conducting move-in/move-out inspections are a standard business practice in the </w:t>
      </w:r>
      <w:r w:rsidR="00FB4A69" w:rsidRPr="00DB451B">
        <w:rPr>
          <w:rFonts w:ascii="Verdana" w:hAnsi="Verdana"/>
          <w:color w:val="auto"/>
          <w:sz w:val="20"/>
          <w:szCs w:val="16"/>
        </w:rPr>
        <w:t xml:space="preserve">rental </w:t>
      </w:r>
      <w:r w:rsidRPr="00DB451B">
        <w:rPr>
          <w:rFonts w:ascii="Verdana" w:hAnsi="Verdana"/>
          <w:color w:val="auto"/>
          <w:sz w:val="20"/>
          <w:szCs w:val="16"/>
        </w:rPr>
        <w:t>housing industry</w:t>
      </w:r>
      <w:r w:rsidR="00C76301" w:rsidRPr="00DB451B">
        <w:rPr>
          <w:rFonts w:ascii="Verdana" w:hAnsi="Verdana"/>
          <w:color w:val="auto"/>
          <w:sz w:val="20"/>
          <w:szCs w:val="16"/>
        </w:rPr>
        <w:t xml:space="preserve"> and are used for determining damages caused by the tenant during tenancy and allowable deductions from the tenant’s security deposit held by the owner</w:t>
      </w:r>
      <w:r w:rsidRPr="00DB451B">
        <w:rPr>
          <w:rFonts w:ascii="Verdana" w:hAnsi="Verdana"/>
          <w:color w:val="auto"/>
          <w:sz w:val="20"/>
          <w:szCs w:val="16"/>
        </w:rPr>
        <w:t xml:space="preserve">.  A copy of </w:t>
      </w:r>
      <w:r w:rsidR="00AD1231" w:rsidRPr="00DB451B">
        <w:rPr>
          <w:rFonts w:ascii="Verdana" w:hAnsi="Verdana"/>
          <w:color w:val="auto"/>
          <w:sz w:val="20"/>
          <w:szCs w:val="16"/>
        </w:rPr>
        <w:t>form HUD-</w:t>
      </w:r>
      <w:r w:rsidR="00A8042E" w:rsidRPr="00DB451B">
        <w:rPr>
          <w:rFonts w:ascii="Verdana" w:hAnsi="Verdana"/>
          <w:color w:val="auto"/>
          <w:sz w:val="20"/>
          <w:szCs w:val="16"/>
        </w:rPr>
        <w:t>90106</w:t>
      </w:r>
      <w:r w:rsidR="00AD1231" w:rsidRPr="00DB451B">
        <w:rPr>
          <w:rFonts w:ascii="Verdana" w:hAnsi="Verdana"/>
          <w:color w:val="auto"/>
          <w:sz w:val="20"/>
          <w:szCs w:val="16"/>
        </w:rPr>
        <w:t>,</w:t>
      </w:r>
      <w:r w:rsidRPr="00DB451B">
        <w:rPr>
          <w:rFonts w:ascii="Verdana" w:hAnsi="Verdana"/>
          <w:color w:val="auto"/>
          <w:sz w:val="20"/>
          <w:szCs w:val="16"/>
        </w:rPr>
        <w:t xml:space="preserve"> </w:t>
      </w:r>
      <w:r w:rsidRPr="00DB451B">
        <w:rPr>
          <w:rFonts w:ascii="Verdana" w:hAnsi="Verdana"/>
          <w:i/>
          <w:iCs/>
          <w:color w:val="auto"/>
          <w:sz w:val="20"/>
          <w:szCs w:val="16"/>
        </w:rPr>
        <w:t xml:space="preserve">Sample Move-in/Move-out Inspection Format </w:t>
      </w:r>
      <w:r w:rsidRPr="00DB451B">
        <w:rPr>
          <w:rFonts w:ascii="Verdana" w:hAnsi="Verdana"/>
          <w:iCs/>
          <w:color w:val="auto"/>
          <w:sz w:val="20"/>
          <w:szCs w:val="16"/>
        </w:rPr>
        <w:t>is attached</w:t>
      </w:r>
      <w:r w:rsidRPr="00DB451B">
        <w:rPr>
          <w:rFonts w:ascii="Verdana" w:hAnsi="Verdana"/>
          <w:color w:val="auto"/>
          <w:sz w:val="20"/>
          <w:szCs w:val="16"/>
        </w:rPr>
        <w:t>.</w:t>
      </w:r>
      <w:r w:rsidR="00674AAE" w:rsidRPr="00DB451B">
        <w:rPr>
          <w:rFonts w:ascii="Verdana" w:hAnsi="Verdana"/>
          <w:color w:val="auto"/>
          <w:sz w:val="20"/>
          <w:szCs w:val="16"/>
        </w:rPr>
        <w:t xml:space="preserve">  </w:t>
      </w:r>
      <w:r w:rsidR="008576D0" w:rsidRPr="00DB451B">
        <w:rPr>
          <w:rFonts w:ascii="Verdana" w:hAnsi="Verdana"/>
          <w:color w:val="auto"/>
          <w:sz w:val="20"/>
          <w:szCs w:val="16"/>
        </w:rPr>
        <w:t>A</w:t>
      </w:r>
      <w:r w:rsidR="00AD1231" w:rsidRPr="00DB451B">
        <w:rPr>
          <w:rFonts w:ascii="Verdana" w:hAnsi="Verdana"/>
          <w:color w:val="auto"/>
          <w:sz w:val="20"/>
          <w:szCs w:val="16"/>
        </w:rPr>
        <w:t xml:space="preserve"> fillable pdf form will be posted for use by owners/management agents.  </w:t>
      </w:r>
      <w:r w:rsidR="00674AAE" w:rsidRPr="00DB451B">
        <w:rPr>
          <w:rFonts w:ascii="Verdana" w:hAnsi="Verdana"/>
          <w:color w:val="auto"/>
          <w:sz w:val="20"/>
          <w:szCs w:val="16"/>
        </w:rPr>
        <w:t>HUD is not requesting approval of any burden hours for the mov</w:t>
      </w:r>
      <w:r w:rsidR="00D42AF7" w:rsidRPr="00DB451B">
        <w:rPr>
          <w:rFonts w:ascii="Verdana" w:hAnsi="Verdana"/>
          <w:color w:val="auto"/>
          <w:sz w:val="20"/>
          <w:szCs w:val="16"/>
        </w:rPr>
        <w:t>e-in/move-out inspection report since use of move-in/move-out inspection reports are a standard business practice in the housing rental industry.</w:t>
      </w:r>
    </w:p>
    <w:p w:rsidR="0084066E" w:rsidRPr="00DB451B" w:rsidRDefault="0084066E">
      <w:pPr>
        <w:pStyle w:val="Default"/>
        <w:ind w:left="360"/>
        <w:rPr>
          <w:rFonts w:ascii="Verdana" w:hAnsi="Verdana"/>
          <w:b/>
          <w:bCs/>
          <w:color w:val="auto"/>
          <w:sz w:val="20"/>
          <w:szCs w:val="16"/>
        </w:rPr>
      </w:pPr>
    </w:p>
    <w:p w:rsidR="00A20BC5" w:rsidRPr="00DB451B" w:rsidRDefault="00A20BC5">
      <w:pPr>
        <w:pStyle w:val="Default"/>
        <w:ind w:left="360"/>
        <w:rPr>
          <w:rFonts w:ascii="Verdana" w:hAnsi="Verdana"/>
          <w:bCs/>
          <w:color w:val="auto"/>
          <w:sz w:val="20"/>
          <w:szCs w:val="16"/>
        </w:rPr>
      </w:pPr>
      <w:r w:rsidRPr="00DB451B">
        <w:rPr>
          <w:rFonts w:ascii="Verdana" w:hAnsi="Verdana"/>
          <w:bCs/>
          <w:color w:val="auto"/>
          <w:sz w:val="20"/>
          <w:szCs w:val="16"/>
        </w:rPr>
        <w:t>24 CFR 5.703 and 5.705, 886.123, 886.223 cover unit inspections.</w:t>
      </w:r>
    </w:p>
    <w:p w:rsidR="00A20BC5" w:rsidRPr="00DB451B" w:rsidRDefault="00A20BC5">
      <w:pPr>
        <w:pStyle w:val="Default"/>
        <w:ind w:left="360"/>
        <w:rPr>
          <w:rFonts w:ascii="Verdana" w:hAnsi="Verdana"/>
          <w:b/>
          <w:bCs/>
          <w:color w:val="auto"/>
          <w:sz w:val="20"/>
          <w:szCs w:val="16"/>
        </w:rPr>
      </w:pPr>
    </w:p>
    <w:p w:rsidR="002B0A13" w:rsidRPr="00DB451B" w:rsidRDefault="00A8042E">
      <w:pPr>
        <w:pStyle w:val="Default"/>
        <w:ind w:left="360"/>
        <w:rPr>
          <w:rFonts w:ascii="Verdana" w:hAnsi="Verdana"/>
          <w:color w:val="auto"/>
          <w:sz w:val="20"/>
          <w:szCs w:val="16"/>
          <w:u w:val="single"/>
        </w:rPr>
      </w:pPr>
      <w:r w:rsidRPr="00DB451B">
        <w:rPr>
          <w:rFonts w:ascii="Verdana" w:hAnsi="Verdana"/>
          <w:color w:val="auto"/>
          <w:sz w:val="20"/>
          <w:szCs w:val="16"/>
          <w:u w:val="single"/>
        </w:rPr>
        <w:t xml:space="preserve">HUD-50059, </w:t>
      </w:r>
      <w:r w:rsidRPr="00DB451B">
        <w:rPr>
          <w:rFonts w:ascii="Verdana" w:hAnsi="Verdana"/>
          <w:i/>
          <w:color w:val="auto"/>
          <w:sz w:val="20"/>
          <w:szCs w:val="16"/>
          <w:u w:val="single"/>
        </w:rPr>
        <w:t xml:space="preserve">Owner’s Certification of Compliance with HUD’s Tenant Eligibility and Rent </w:t>
      </w:r>
      <w:r w:rsidRPr="00DB451B">
        <w:rPr>
          <w:rFonts w:ascii="Verdana" w:hAnsi="Verdana"/>
          <w:color w:val="auto"/>
          <w:sz w:val="20"/>
          <w:szCs w:val="16"/>
          <w:u w:val="single"/>
        </w:rPr>
        <w:t>Procedures</w:t>
      </w:r>
      <w:r w:rsidR="00047E1F" w:rsidRPr="00DB451B">
        <w:rPr>
          <w:rFonts w:ascii="Verdana" w:hAnsi="Verdana"/>
          <w:color w:val="auto"/>
          <w:sz w:val="20"/>
          <w:szCs w:val="16"/>
          <w:u w:val="single"/>
        </w:rPr>
        <w:t xml:space="preserve">, </w:t>
      </w:r>
    </w:p>
    <w:p w:rsidR="00900849" w:rsidRPr="00DB451B" w:rsidRDefault="002B0A13">
      <w:pPr>
        <w:pStyle w:val="Default"/>
        <w:ind w:left="360"/>
        <w:rPr>
          <w:rFonts w:ascii="Verdana" w:hAnsi="Verdana"/>
          <w:color w:val="auto"/>
          <w:sz w:val="20"/>
          <w:szCs w:val="16"/>
        </w:rPr>
      </w:pPr>
      <w:r w:rsidRPr="00DB451B">
        <w:rPr>
          <w:rFonts w:ascii="Verdana" w:hAnsi="Verdana"/>
          <w:i/>
          <w:color w:val="auto"/>
          <w:sz w:val="20"/>
          <w:szCs w:val="16"/>
          <w:u w:val="single"/>
        </w:rPr>
        <w:t xml:space="preserve">HUD-50059-A, Owner’s Certification of Compliance with HUD’s Tenant Eligibility and Rent </w:t>
      </w:r>
      <w:r w:rsidRPr="00DB451B">
        <w:rPr>
          <w:rFonts w:ascii="Verdana" w:hAnsi="Verdana"/>
          <w:color w:val="auto"/>
          <w:sz w:val="20"/>
          <w:szCs w:val="16"/>
          <w:u w:val="single"/>
        </w:rPr>
        <w:t>Procedures</w:t>
      </w:r>
      <w:r w:rsidR="00027D69" w:rsidRPr="00DB451B">
        <w:rPr>
          <w:rFonts w:ascii="Verdana" w:hAnsi="Verdana"/>
          <w:color w:val="auto"/>
          <w:sz w:val="20"/>
          <w:szCs w:val="16"/>
          <w:u w:val="single"/>
        </w:rPr>
        <w:t xml:space="preserve"> – </w:t>
      </w:r>
      <w:r w:rsidR="00027D69" w:rsidRPr="00DB451B">
        <w:rPr>
          <w:rFonts w:ascii="Verdana" w:hAnsi="Verdana"/>
          <w:i/>
          <w:color w:val="auto"/>
          <w:sz w:val="20"/>
          <w:szCs w:val="16"/>
          <w:u w:val="single"/>
        </w:rPr>
        <w:t>Partial Certification</w:t>
      </w:r>
      <w:r w:rsidRPr="00DB451B">
        <w:rPr>
          <w:rFonts w:ascii="Verdana" w:hAnsi="Verdana"/>
          <w:color w:val="auto"/>
          <w:sz w:val="20"/>
          <w:szCs w:val="16"/>
          <w:u w:val="single"/>
        </w:rPr>
        <w:t>,</w:t>
      </w:r>
      <w:r w:rsidR="00531015" w:rsidRPr="00DB451B">
        <w:rPr>
          <w:rFonts w:ascii="Verdana" w:hAnsi="Verdana"/>
          <w:color w:val="auto"/>
          <w:sz w:val="20"/>
          <w:szCs w:val="16"/>
          <w:u w:val="single"/>
        </w:rPr>
        <w:t xml:space="preserve"> </w:t>
      </w:r>
      <w:r w:rsidR="00047E1F" w:rsidRPr="00DB451B">
        <w:rPr>
          <w:rFonts w:ascii="Verdana" w:hAnsi="Verdana"/>
          <w:color w:val="auto"/>
          <w:sz w:val="20"/>
          <w:szCs w:val="16"/>
          <w:u w:val="single"/>
        </w:rPr>
        <w:t xml:space="preserve">HUD-9887/9887-A, </w:t>
      </w:r>
      <w:r w:rsidR="00047E1F" w:rsidRPr="00DB451B">
        <w:rPr>
          <w:rFonts w:ascii="Verdana" w:hAnsi="Verdana"/>
          <w:i/>
          <w:color w:val="auto"/>
          <w:sz w:val="20"/>
          <w:szCs w:val="16"/>
          <w:u w:val="single"/>
        </w:rPr>
        <w:t xml:space="preserve">Consent for the Release of </w:t>
      </w:r>
      <w:r w:rsidR="00047E1F" w:rsidRPr="00DB451B">
        <w:rPr>
          <w:rFonts w:ascii="Verdana" w:hAnsi="Verdana"/>
          <w:color w:val="auto"/>
          <w:sz w:val="20"/>
          <w:szCs w:val="16"/>
          <w:u w:val="single"/>
        </w:rPr>
        <w:t xml:space="preserve">Information, HUD-27061, </w:t>
      </w:r>
      <w:r w:rsidR="00047E1F" w:rsidRPr="00DB451B">
        <w:rPr>
          <w:rFonts w:ascii="Verdana" w:hAnsi="Verdana"/>
          <w:i/>
          <w:color w:val="auto"/>
          <w:sz w:val="20"/>
          <w:szCs w:val="16"/>
          <w:u w:val="single"/>
        </w:rPr>
        <w:t>Race and Ethnic Reporting</w:t>
      </w:r>
      <w:r w:rsidR="00531015" w:rsidRPr="00DB451B">
        <w:rPr>
          <w:rFonts w:ascii="Verdana" w:hAnsi="Verdana"/>
          <w:color w:val="auto"/>
          <w:sz w:val="20"/>
          <w:szCs w:val="16"/>
        </w:rPr>
        <w:t xml:space="preserve"> O</w:t>
      </w:r>
      <w:r w:rsidR="0084066E" w:rsidRPr="00DB451B">
        <w:rPr>
          <w:rFonts w:ascii="Verdana" w:hAnsi="Verdana"/>
          <w:color w:val="auto"/>
          <w:sz w:val="20"/>
          <w:szCs w:val="16"/>
        </w:rPr>
        <w:t>wners/management agents use the automated Monthly Activity Transmission (MAT) software to process certifications/re</w:t>
      </w:r>
      <w:r w:rsidR="0081175C" w:rsidRPr="00DB451B">
        <w:rPr>
          <w:rFonts w:ascii="Verdana" w:hAnsi="Verdana"/>
          <w:color w:val="auto"/>
          <w:sz w:val="20"/>
          <w:szCs w:val="16"/>
        </w:rPr>
        <w:t>-</w:t>
      </w:r>
      <w:r w:rsidR="0084066E" w:rsidRPr="00DB451B">
        <w:rPr>
          <w:rFonts w:ascii="Verdana" w:hAnsi="Verdana"/>
          <w:color w:val="auto"/>
          <w:sz w:val="20"/>
          <w:szCs w:val="16"/>
        </w:rPr>
        <w:t xml:space="preserve">certifications and to provide subsidy billings to HUD, which ensures accurate computations.  MAT generates </w:t>
      </w:r>
      <w:r w:rsidR="004B564D" w:rsidRPr="00DB451B">
        <w:rPr>
          <w:rFonts w:ascii="Verdana" w:hAnsi="Verdana"/>
          <w:color w:val="auto"/>
          <w:sz w:val="20"/>
          <w:szCs w:val="16"/>
        </w:rPr>
        <w:t xml:space="preserve">a </w:t>
      </w:r>
      <w:r w:rsidR="0084066E" w:rsidRPr="00DB451B">
        <w:rPr>
          <w:rFonts w:ascii="Verdana" w:hAnsi="Verdana"/>
          <w:color w:val="auto"/>
          <w:sz w:val="20"/>
          <w:szCs w:val="16"/>
        </w:rPr>
        <w:t>complicated facsimile</w:t>
      </w:r>
      <w:r w:rsidR="004B564D" w:rsidRPr="00DB451B">
        <w:rPr>
          <w:rFonts w:ascii="Verdana" w:hAnsi="Verdana"/>
          <w:color w:val="auto"/>
          <w:sz w:val="20"/>
          <w:szCs w:val="16"/>
        </w:rPr>
        <w:t xml:space="preserve"> of the data contained on the HUD-50059, </w:t>
      </w:r>
      <w:r w:rsidR="004B564D" w:rsidRPr="00DB451B">
        <w:rPr>
          <w:rFonts w:ascii="Verdana" w:hAnsi="Verdana"/>
          <w:i/>
          <w:color w:val="auto"/>
          <w:sz w:val="20"/>
          <w:szCs w:val="16"/>
        </w:rPr>
        <w:t xml:space="preserve">Owner’s Certification of Compliance with HUD’s Tenant Eligibility and Rent </w:t>
      </w:r>
      <w:r w:rsidR="004D4F12" w:rsidRPr="00DB451B">
        <w:rPr>
          <w:rFonts w:ascii="Verdana" w:hAnsi="Verdana"/>
          <w:i/>
          <w:color w:val="auto"/>
          <w:sz w:val="20"/>
          <w:szCs w:val="16"/>
        </w:rPr>
        <w:t>Procedures,</w:t>
      </w:r>
      <w:r w:rsidR="004D4F12" w:rsidRPr="00DB451B">
        <w:rPr>
          <w:rFonts w:ascii="Verdana" w:hAnsi="Verdana"/>
          <w:color w:val="auto"/>
          <w:sz w:val="20"/>
          <w:szCs w:val="16"/>
        </w:rPr>
        <w:t xml:space="preserve"> and HUD</w:t>
      </w:r>
      <w:r w:rsidR="00027D69" w:rsidRPr="00DB451B">
        <w:rPr>
          <w:rFonts w:ascii="Verdana" w:hAnsi="Verdana"/>
          <w:color w:val="auto"/>
          <w:sz w:val="20"/>
          <w:szCs w:val="16"/>
        </w:rPr>
        <w:t>-50059-A</w:t>
      </w:r>
      <w:r w:rsidR="00F7360A" w:rsidRPr="00DB451B">
        <w:rPr>
          <w:rFonts w:ascii="Verdana" w:hAnsi="Verdana"/>
          <w:color w:val="auto"/>
          <w:sz w:val="20"/>
          <w:szCs w:val="16"/>
        </w:rPr>
        <w:t>,</w:t>
      </w:r>
      <w:r w:rsidR="004D4F12" w:rsidRPr="00DB451B">
        <w:rPr>
          <w:rFonts w:ascii="Verdana" w:hAnsi="Verdana"/>
          <w:color w:val="auto"/>
          <w:sz w:val="20"/>
          <w:szCs w:val="16"/>
        </w:rPr>
        <w:t xml:space="preserve"> </w:t>
      </w:r>
      <w:r w:rsidR="004D4F12" w:rsidRPr="00DB451B">
        <w:rPr>
          <w:rFonts w:ascii="Verdana" w:hAnsi="Verdana"/>
          <w:i/>
          <w:color w:val="auto"/>
          <w:sz w:val="20"/>
          <w:szCs w:val="16"/>
        </w:rPr>
        <w:t>Owner’s Certification of Compliance with HUD’s Tenant Eligibility and Rent Procedures</w:t>
      </w:r>
      <w:r w:rsidR="004D4F12" w:rsidRPr="00DB451B">
        <w:rPr>
          <w:rFonts w:ascii="Verdana" w:hAnsi="Verdana"/>
          <w:color w:val="auto"/>
          <w:sz w:val="20"/>
          <w:szCs w:val="16"/>
        </w:rPr>
        <w:t xml:space="preserve"> – </w:t>
      </w:r>
      <w:r w:rsidR="004D4F12" w:rsidRPr="00DB451B">
        <w:rPr>
          <w:rFonts w:ascii="Verdana" w:hAnsi="Verdana"/>
          <w:i/>
          <w:color w:val="auto"/>
          <w:sz w:val="20"/>
          <w:szCs w:val="16"/>
        </w:rPr>
        <w:t>Partial Certification</w:t>
      </w:r>
      <w:r w:rsidR="004D4F12" w:rsidRPr="00DB451B">
        <w:rPr>
          <w:rFonts w:ascii="Verdana" w:hAnsi="Verdana"/>
          <w:color w:val="auto"/>
          <w:sz w:val="20"/>
          <w:szCs w:val="16"/>
        </w:rPr>
        <w:t xml:space="preserve"> </w:t>
      </w:r>
      <w:r w:rsidR="004B564D" w:rsidRPr="00DB451B">
        <w:rPr>
          <w:rFonts w:ascii="Verdana" w:hAnsi="Verdana"/>
          <w:color w:val="auto"/>
          <w:sz w:val="20"/>
          <w:szCs w:val="16"/>
        </w:rPr>
        <w:t>and</w:t>
      </w:r>
      <w:r w:rsidR="0084066E" w:rsidRPr="00DB451B">
        <w:rPr>
          <w:rFonts w:ascii="Verdana" w:hAnsi="Verdana"/>
          <w:color w:val="auto"/>
          <w:sz w:val="20"/>
          <w:szCs w:val="16"/>
        </w:rPr>
        <w:t xml:space="preserve"> closely replicate</w:t>
      </w:r>
      <w:r w:rsidR="004B564D" w:rsidRPr="00DB451B">
        <w:rPr>
          <w:rFonts w:ascii="Verdana" w:hAnsi="Verdana"/>
          <w:color w:val="auto"/>
          <w:sz w:val="20"/>
          <w:szCs w:val="16"/>
        </w:rPr>
        <w:t>s</w:t>
      </w:r>
      <w:r w:rsidR="0084066E" w:rsidRPr="00DB451B">
        <w:rPr>
          <w:rFonts w:ascii="Verdana" w:hAnsi="Verdana"/>
          <w:color w:val="auto"/>
          <w:sz w:val="20"/>
          <w:szCs w:val="16"/>
        </w:rPr>
        <w:t xml:space="preserve"> the data being submitted to HUD.  As changes are required by legislation and regulation, MAT also changes.  Software vendors concurrently update their software to replicate the capabilities of TRACS by using the MAT Guide changes.  In this way, software changes are concurrent, and owners</w:t>
      </w:r>
      <w:r w:rsidR="00D42AF7" w:rsidRPr="00DB451B">
        <w:rPr>
          <w:rFonts w:ascii="Verdana" w:hAnsi="Verdana"/>
          <w:color w:val="auto"/>
          <w:sz w:val="20"/>
          <w:szCs w:val="16"/>
        </w:rPr>
        <w:t>’</w:t>
      </w:r>
      <w:r w:rsidR="0084066E" w:rsidRPr="00DB451B">
        <w:rPr>
          <w:rFonts w:ascii="Verdana" w:hAnsi="Verdana"/>
          <w:color w:val="auto"/>
          <w:sz w:val="20"/>
          <w:szCs w:val="16"/>
        </w:rPr>
        <w:t>/management agents’ submissions to TRACS remain in synch with HUD’s system.</w:t>
      </w:r>
      <w:r w:rsidR="00900849" w:rsidRPr="00DB451B">
        <w:rPr>
          <w:rFonts w:ascii="Verdana" w:hAnsi="Verdana"/>
          <w:color w:val="auto"/>
          <w:sz w:val="20"/>
          <w:szCs w:val="16"/>
        </w:rPr>
        <w:t xml:space="preserve">  </w:t>
      </w:r>
      <w:r w:rsidR="00900849" w:rsidRPr="00DB451B">
        <w:rPr>
          <w:rFonts w:ascii="Verdana" w:hAnsi="Verdana"/>
          <w:color w:val="auto"/>
          <w:sz w:val="20"/>
          <w:szCs w:val="20"/>
        </w:rPr>
        <w:t>The regulation at 24 CFR 5.216 now requires that assistance applicants and tenants, excluding tenants age 62 and older as of January 31, 2010, whose initial determination of eligibility was begun prior to January 31, 2010, and those individuals who do not contend eligible immigration status, to disclose and provide verification of the complete and accurate SSN assigned to them.</w:t>
      </w:r>
    </w:p>
    <w:p w:rsidR="00F461CC" w:rsidRPr="00DB451B" w:rsidRDefault="00F461CC">
      <w:pPr>
        <w:pStyle w:val="Default"/>
        <w:ind w:left="360"/>
        <w:rPr>
          <w:rFonts w:ascii="Verdana" w:hAnsi="Verdana"/>
          <w:color w:val="auto"/>
          <w:sz w:val="20"/>
          <w:szCs w:val="16"/>
        </w:rPr>
      </w:pPr>
    </w:p>
    <w:p w:rsidR="00F461CC" w:rsidRPr="00DB451B" w:rsidRDefault="00F461CC">
      <w:pPr>
        <w:pStyle w:val="Default"/>
        <w:ind w:left="360"/>
        <w:rPr>
          <w:rFonts w:ascii="Verdana" w:hAnsi="Verdana"/>
          <w:color w:val="auto"/>
          <w:sz w:val="20"/>
          <w:szCs w:val="16"/>
        </w:rPr>
      </w:pPr>
      <w:r w:rsidRPr="00DB451B">
        <w:rPr>
          <w:rFonts w:ascii="Verdana" w:hAnsi="Verdana"/>
          <w:color w:val="auto"/>
          <w:sz w:val="20"/>
          <w:szCs w:val="16"/>
        </w:rPr>
        <w:t>24 CFR 5.233 mandates that owner/agent</w:t>
      </w:r>
      <w:r w:rsidR="00D87BA4" w:rsidRPr="00DB451B">
        <w:rPr>
          <w:rFonts w:ascii="Verdana" w:hAnsi="Verdana"/>
          <w:color w:val="auto"/>
          <w:sz w:val="20"/>
          <w:szCs w:val="16"/>
        </w:rPr>
        <w:t>s</w:t>
      </w:r>
      <w:r w:rsidRPr="00DB451B">
        <w:rPr>
          <w:rFonts w:ascii="Verdana" w:hAnsi="Verdana"/>
          <w:color w:val="auto"/>
          <w:sz w:val="20"/>
          <w:szCs w:val="16"/>
        </w:rPr>
        <w:t xml:space="preserve"> (O/As) use HUD’s Enterprise I</w:t>
      </w:r>
      <w:r w:rsidR="00D87BA4" w:rsidRPr="00DB451B">
        <w:rPr>
          <w:rFonts w:ascii="Verdana" w:hAnsi="Verdana"/>
          <w:color w:val="auto"/>
          <w:sz w:val="20"/>
          <w:szCs w:val="16"/>
        </w:rPr>
        <w:t xml:space="preserve">ncome Verification (EIV) System in its entirety as third party verification of tenant’s employment and income information and to reduce administrative and subsidy errors. </w:t>
      </w:r>
      <w:r w:rsidRPr="00DB451B">
        <w:rPr>
          <w:rFonts w:ascii="Verdana" w:hAnsi="Verdana"/>
          <w:color w:val="auto"/>
          <w:sz w:val="20"/>
          <w:szCs w:val="16"/>
        </w:rPr>
        <w:t xml:space="preserve">  </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The MAT Guide, as approved by HUD, is the only data format to be used for HUD’s assisted housing; i.e., Section 8, PAC, PRAC, Rent Supplement, R</w:t>
      </w:r>
      <w:r w:rsidR="004A2E9B" w:rsidRPr="00DB451B">
        <w:rPr>
          <w:rFonts w:ascii="Verdana" w:hAnsi="Verdana"/>
          <w:color w:val="auto"/>
          <w:sz w:val="20"/>
          <w:szCs w:val="16"/>
        </w:rPr>
        <w:t xml:space="preserve">ental </w:t>
      </w:r>
      <w:r w:rsidRPr="00DB451B">
        <w:rPr>
          <w:rFonts w:ascii="Verdana" w:hAnsi="Verdana"/>
          <w:color w:val="auto"/>
          <w:sz w:val="20"/>
          <w:szCs w:val="16"/>
        </w:rPr>
        <w:t>A</w:t>
      </w:r>
      <w:r w:rsidR="004A2E9B" w:rsidRPr="00DB451B">
        <w:rPr>
          <w:rFonts w:ascii="Verdana" w:hAnsi="Verdana"/>
          <w:color w:val="auto"/>
          <w:sz w:val="20"/>
          <w:szCs w:val="16"/>
        </w:rPr>
        <w:t xml:space="preserve">ssistance </w:t>
      </w:r>
      <w:r w:rsidRPr="00DB451B">
        <w:rPr>
          <w:rFonts w:ascii="Verdana" w:hAnsi="Verdana"/>
          <w:color w:val="auto"/>
          <w:sz w:val="20"/>
          <w:szCs w:val="16"/>
        </w:rPr>
        <w:t>P</w:t>
      </w:r>
      <w:r w:rsidR="004A2E9B" w:rsidRPr="00DB451B">
        <w:rPr>
          <w:rFonts w:ascii="Verdana" w:hAnsi="Verdana"/>
          <w:color w:val="auto"/>
          <w:sz w:val="20"/>
          <w:szCs w:val="16"/>
        </w:rPr>
        <w:t>rogram</w:t>
      </w:r>
      <w:r w:rsidRPr="00DB451B">
        <w:rPr>
          <w:rFonts w:ascii="Verdana" w:hAnsi="Verdana"/>
          <w:color w:val="auto"/>
          <w:sz w:val="20"/>
          <w:szCs w:val="16"/>
        </w:rPr>
        <w:t>, Section 236 and Section 221(d)(3) BMIR programs.</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Data is electronically transmitted to the Department’s TRACS, which revalidates the accuracy of the submitted data, sends discrepancy messages when errors are detected, and stores the data in its database.</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Listed below is the URL for the page with information on the TRACS with the official document defining the TRACS/MAT data format used by industry partners to transmit certification and voucher data to TRACS.</w:t>
      </w:r>
    </w:p>
    <w:p w:rsidR="0084066E" w:rsidRPr="00DB451B" w:rsidRDefault="00A2527A">
      <w:pPr>
        <w:pStyle w:val="Default"/>
        <w:ind w:left="360"/>
        <w:rPr>
          <w:rFonts w:ascii="Verdana" w:hAnsi="Verdana"/>
          <w:color w:val="auto"/>
          <w:sz w:val="20"/>
          <w:szCs w:val="16"/>
        </w:rPr>
      </w:pPr>
      <w:hyperlink r:id="rId7" w:history="1">
        <w:r w:rsidR="0084066E" w:rsidRPr="00DB451B">
          <w:rPr>
            <w:rStyle w:val="Hyperlink"/>
            <w:rFonts w:ascii="Verdana" w:hAnsi="Verdana"/>
            <w:color w:val="auto"/>
            <w:sz w:val="20"/>
            <w:szCs w:val="16"/>
          </w:rPr>
          <w:t>http://www.hud.gov/offices/hsg/mfh/trx/trxmatg.cfm</w:t>
        </w:r>
      </w:hyperlink>
    </w:p>
    <w:p w:rsidR="0084066E" w:rsidRPr="00DB451B" w:rsidRDefault="0084066E">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u w:val="single"/>
        </w:rPr>
      </w:pPr>
      <w:r w:rsidRPr="00DB451B">
        <w:rPr>
          <w:rFonts w:ascii="Verdana" w:hAnsi="Verdana"/>
          <w:color w:val="auto"/>
          <w:sz w:val="20"/>
          <w:szCs w:val="16"/>
          <w:u w:val="single"/>
        </w:rPr>
        <w:t>Project Owners/Management Agents</w:t>
      </w: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 xml:space="preserve">In interviewing and verifying information provided by the applicant/resident, project owners/management agents </w:t>
      </w:r>
      <w:r w:rsidR="009069A1" w:rsidRPr="00DB451B">
        <w:rPr>
          <w:rFonts w:ascii="Verdana" w:hAnsi="Verdana"/>
          <w:color w:val="auto"/>
          <w:sz w:val="20"/>
          <w:szCs w:val="16"/>
        </w:rPr>
        <w:t>must obtain consent from the applicant/resident</w:t>
      </w:r>
      <w:r w:rsidR="0000798A" w:rsidRPr="00DB451B">
        <w:rPr>
          <w:rFonts w:ascii="Verdana" w:hAnsi="Verdana"/>
          <w:color w:val="auto"/>
          <w:sz w:val="20"/>
          <w:szCs w:val="16"/>
        </w:rPr>
        <w:t xml:space="preserve"> using form HUD-9887/9887-A, </w:t>
      </w:r>
      <w:r w:rsidR="0000798A" w:rsidRPr="00DB451B">
        <w:rPr>
          <w:rFonts w:ascii="Verdana" w:hAnsi="Verdana"/>
          <w:i/>
          <w:color w:val="auto"/>
          <w:sz w:val="20"/>
          <w:szCs w:val="16"/>
        </w:rPr>
        <w:t>Notice and Consent for the Release of Information,</w:t>
      </w:r>
      <w:r w:rsidR="009069A1" w:rsidRPr="00DB451B">
        <w:rPr>
          <w:rFonts w:ascii="Verdana" w:hAnsi="Verdana"/>
          <w:color w:val="auto"/>
          <w:sz w:val="20"/>
          <w:szCs w:val="16"/>
        </w:rPr>
        <w:t xml:space="preserve"> to verify eligibility and income information provide</w:t>
      </w:r>
      <w:r w:rsidR="00303BD1" w:rsidRPr="00DB451B">
        <w:rPr>
          <w:rFonts w:ascii="Verdana" w:hAnsi="Verdana"/>
          <w:color w:val="auto"/>
          <w:sz w:val="20"/>
          <w:szCs w:val="16"/>
        </w:rPr>
        <w:t>d</w:t>
      </w:r>
      <w:r w:rsidR="009069A1" w:rsidRPr="00DB451B">
        <w:rPr>
          <w:rFonts w:ascii="Verdana" w:hAnsi="Verdana"/>
          <w:color w:val="auto"/>
          <w:sz w:val="20"/>
          <w:szCs w:val="16"/>
        </w:rPr>
        <w:t xml:space="preserve"> through computer matching or</w:t>
      </w:r>
      <w:r w:rsidR="00D42AF7" w:rsidRPr="00DB451B">
        <w:rPr>
          <w:rFonts w:ascii="Verdana" w:hAnsi="Verdana"/>
          <w:color w:val="auto"/>
          <w:sz w:val="20"/>
          <w:szCs w:val="16"/>
        </w:rPr>
        <w:t xml:space="preserve"> by</w:t>
      </w:r>
      <w:r w:rsidR="009069A1" w:rsidRPr="00DB451B">
        <w:rPr>
          <w:rFonts w:ascii="Verdana" w:hAnsi="Verdana"/>
          <w:color w:val="auto"/>
          <w:sz w:val="20"/>
          <w:szCs w:val="16"/>
        </w:rPr>
        <w:t xml:space="preserve"> obtaining information directly from the third party source; </w:t>
      </w:r>
      <w:r w:rsidR="00373F3E" w:rsidRPr="00DB451B">
        <w:rPr>
          <w:rFonts w:ascii="Verdana" w:hAnsi="Verdana"/>
          <w:color w:val="auto"/>
          <w:sz w:val="20"/>
          <w:szCs w:val="16"/>
        </w:rPr>
        <w:t xml:space="preserve">provide applicants the opportunity to provide their race and ethnic information using form HUD-27061-H, </w:t>
      </w:r>
      <w:r w:rsidR="00373F3E" w:rsidRPr="00DB451B">
        <w:rPr>
          <w:rFonts w:ascii="Verdana" w:hAnsi="Verdana"/>
          <w:i/>
          <w:color w:val="auto"/>
          <w:sz w:val="20"/>
          <w:szCs w:val="16"/>
        </w:rPr>
        <w:t>Race and Ethnic Data Reporting Form</w:t>
      </w:r>
      <w:r w:rsidR="00373F3E" w:rsidRPr="00DB451B">
        <w:rPr>
          <w:rFonts w:ascii="Verdana" w:hAnsi="Verdana"/>
          <w:color w:val="auto"/>
          <w:sz w:val="20"/>
          <w:szCs w:val="16"/>
        </w:rPr>
        <w:t xml:space="preserve">; </w:t>
      </w:r>
      <w:r w:rsidRPr="00DB451B">
        <w:rPr>
          <w:rFonts w:ascii="Verdana" w:hAnsi="Verdana"/>
          <w:color w:val="auto"/>
          <w:sz w:val="20"/>
          <w:szCs w:val="16"/>
        </w:rPr>
        <w:t xml:space="preserve">ensure that the household is eligible for admission or continues to be eligible for assistance; ensures accurate calculation of both the tenant payment and the portion </w:t>
      </w:r>
      <w:r w:rsidR="00D42AF7" w:rsidRPr="00DB451B">
        <w:rPr>
          <w:rFonts w:ascii="Verdana" w:hAnsi="Verdana"/>
          <w:color w:val="auto"/>
          <w:sz w:val="20"/>
          <w:szCs w:val="16"/>
        </w:rPr>
        <w:t>paid</w:t>
      </w:r>
      <w:r w:rsidRPr="00DB451B">
        <w:rPr>
          <w:rFonts w:ascii="Verdana" w:hAnsi="Verdana"/>
          <w:color w:val="auto"/>
          <w:sz w:val="20"/>
          <w:szCs w:val="16"/>
        </w:rPr>
        <w:t xml:space="preserve"> by HUD.  When coupled with software which transfers the housing assistance payment f</w:t>
      </w:r>
      <w:r w:rsidR="00D42AF7" w:rsidRPr="00DB451B">
        <w:rPr>
          <w:rFonts w:ascii="Verdana" w:hAnsi="Verdana"/>
          <w:color w:val="auto"/>
          <w:sz w:val="20"/>
          <w:szCs w:val="16"/>
        </w:rPr>
        <w:t>r</w:t>
      </w:r>
      <w:r w:rsidRPr="00DB451B">
        <w:rPr>
          <w:rFonts w:ascii="Verdana" w:hAnsi="Verdana"/>
          <w:color w:val="auto"/>
          <w:sz w:val="20"/>
          <w:szCs w:val="16"/>
        </w:rPr>
        <w:t>om the certification to the monthly subsidy billing, the amounts paid on behalf of each tenant, rolled up to the total units under contracts, ensure accurate payment of assistance by HUD or the CA to the owner/management agent.</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In less than 200 households nationwide, owners/management agents continue to follow the old “10% cap” rules which date back to the Housing and Urban Rural Recovery Act (HURRA) of 1983 and provide additional protections for elderly households who converted from the Rent Supplement or RAP programs to Section 8 during that era.</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u w:val="single"/>
        </w:rPr>
        <w:t>HUD Field Staff and CAs</w:t>
      </w: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These two entities monitor the owner to ensure that the certifications are submitted and review them for compliance with HUD’s regulations and statutes.  CAs, whether they are Performance-Based or Non-Performance-Based, must use the certification to ensure the accuracy of the vouchers on which they make payment.</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u w:val="single"/>
        </w:rPr>
      </w:pPr>
      <w:r w:rsidRPr="00DB451B">
        <w:rPr>
          <w:rFonts w:ascii="Verdana" w:hAnsi="Verdana"/>
          <w:color w:val="auto"/>
          <w:sz w:val="20"/>
          <w:szCs w:val="16"/>
          <w:u w:val="single"/>
        </w:rPr>
        <w:t>Headquarters:</w:t>
      </w: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Historically, HUD collects and uses the data for a variety of functions which include policy and budget development; responding to Congressional inquiries, OMB and the public’s questions; litigation, Inspector General investigations, and the Office of Fair Housing and Equal Opportunity (FHEO) monitoring of civil rights laws, including compliance activities based on racial, ethnic and other tenant characteristic data collected on their behalf.</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 xml:space="preserve">Since the Stewart McKinney Homeless Assistance Amendments of 1989 and the Computer Matching and Privacy Act of 1988, which were strengthened by 24 CFR 5.240 based on the wording in the Quality Housing and Work Responsibility Act of 1998 (QHWRA), the Department has taken tenant personal identifiers (Social Security number, full names and dates of birth) from TRACS for an established data range, matching those identifiers against databases from both the </w:t>
      </w:r>
      <w:r w:rsidR="003B47B9" w:rsidRPr="00DB451B">
        <w:rPr>
          <w:rFonts w:ascii="Verdana" w:hAnsi="Verdana"/>
          <w:color w:val="auto"/>
          <w:sz w:val="20"/>
          <w:szCs w:val="16"/>
        </w:rPr>
        <w:t xml:space="preserve">Department of Health and Human Services </w:t>
      </w:r>
      <w:r w:rsidRPr="00DB451B">
        <w:rPr>
          <w:rFonts w:ascii="Verdana" w:hAnsi="Verdana"/>
          <w:color w:val="auto"/>
          <w:sz w:val="20"/>
          <w:szCs w:val="16"/>
        </w:rPr>
        <w:t>and the Social Security Administration to capture 1099 data</w:t>
      </w:r>
      <w:r w:rsidR="00D42AF7" w:rsidRPr="00DB451B">
        <w:rPr>
          <w:rFonts w:ascii="Verdana" w:hAnsi="Verdana"/>
          <w:color w:val="auto"/>
          <w:sz w:val="20"/>
          <w:szCs w:val="16"/>
        </w:rPr>
        <w:t>,</w:t>
      </w:r>
      <w:r w:rsidRPr="00DB451B">
        <w:rPr>
          <w:rFonts w:ascii="Verdana" w:hAnsi="Verdana"/>
          <w:color w:val="auto"/>
          <w:sz w:val="20"/>
          <w:szCs w:val="16"/>
        </w:rPr>
        <w:t xml:space="preserve"> wage and benefit information for the individuals, and then matching amounts against data transmitted to TRACS.  This function is called Computer Matching Income Verification (CMIV).  Matching activity has been performed on a limited basis since 1994.  However, with the establishment of the Real Estate Assessment Center (REAC) and for calendar year 1998 income data, the CMIV function was performed on all household members residing in assisted housing for baseline purposes.  Based on results, the large-scale computer matching function </w:t>
      </w:r>
      <w:r w:rsidR="00047E1F" w:rsidRPr="00DB451B">
        <w:rPr>
          <w:rFonts w:ascii="Verdana" w:hAnsi="Verdana"/>
          <w:color w:val="auto"/>
          <w:sz w:val="20"/>
          <w:szCs w:val="16"/>
        </w:rPr>
        <w:t>has</w:t>
      </w:r>
      <w:r w:rsidRPr="00DB451B">
        <w:rPr>
          <w:rFonts w:ascii="Verdana" w:hAnsi="Verdana"/>
          <w:color w:val="auto"/>
          <w:sz w:val="20"/>
          <w:szCs w:val="16"/>
        </w:rPr>
        <w:t xml:space="preserve"> become an annual function using tenant data resident in TRACS.</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As subsidy vouchers (HUD-52670, OMB #2502-0182) are paid based on active certifications,</w:t>
      </w:r>
      <w:r w:rsidR="004D4F12" w:rsidRPr="00DB451B">
        <w:rPr>
          <w:rFonts w:ascii="Verdana" w:hAnsi="Verdana"/>
          <w:color w:val="auto"/>
          <w:sz w:val="20"/>
          <w:szCs w:val="16"/>
        </w:rPr>
        <w:t xml:space="preserve"> </w:t>
      </w:r>
      <w:r w:rsidRPr="00DB451B">
        <w:rPr>
          <w:rFonts w:ascii="Verdana" w:hAnsi="Verdana"/>
          <w:color w:val="auto"/>
          <w:sz w:val="20"/>
          <w:szCs w:val="16"/>
        </w:rPr>
        <w:t xml:space="preserve">TRACS  </w:t>
      </w:r>
      <w:r w:rsidR="00B74B5D" w:rsidRPr="00DB451B">
        <w:rPr>
          <w:rFonts w:ascii="Verdana" w:hAnsi="Verdana"/>
          <w:color w:val="auto"/>
          <w:sz w:val="20"/>
          <w:szCs w:val="16"/>
        </w:rPr>
        <w:t>Payment S</w:t>
      </w:r>
      <w:r w:rsidRPr="00DB451B">
        <w:rPr>
          <w:rFonts w:ascii="Verdana" w:hAnsi="Verdana"/>
          <w:color w:val="auto"/>
          <w:sz w:val="20"/>
          <w:szCs w:val="16"/>
        </w:rPr>
        <w:t>ubsystem remind</w:t>
      </w:r>
      <w:r w:rsidR="00B74B5D" w:rsidRPr="00DB451B">
        <w:rPr>
          <w:rFonts w:ascii="Verdana" w:hAnsi="Verdana"/>
          <w:color w:val="auto"/>
          <w:sz w:val="20"/>
          <w:szCs w:val="16"/>
        </w:rPr>
        <w:t>s</w:t>
      </w:r>
      <w:r w:rsidRPr="00DB451B">
        <w:rPr>
          <w:rFonts w:ascii="Verdana" w:hAnsi="Verdana"/>
          <w:color w:val="auto"/>
          <w:sz w:val="20"/>
          <w:szCs w:val="16"/>
        </w:rPr>
        <w:t xml:space="preserve"> owners that they are to maintain at least 90% of their active certifications in TRACS to continue to receive full payment of the subsidy requested.</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numPr>
          <w:ilvl w:val="0"/>
          <w:numId w:val="1"/>
        </w:numPr>
        <w:rPr>
          <w:rFonts w:ascii="Verdana" w:hAnsi="Verdana"/>
          <w:b/>
          <w:color w:val="auto"/>
          <w:sz w:val="20"/>
          <w:szCs w:val="16"/>
        </w:rPr>
      </w:pPr>
      <w:r w:rsidRPr="00DB451B">
        <w:rPr>
          <w:rFonts w:ascii="Verdana" w:hAnsi="Verdana"/>
          <w:b/>
          <w:color w:val="auto"/>
          <w:sz w:val="20"/>
          <w:szCs w:val="16"/>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4066E" w:rsidRPr="00DB451B" w:rsidRDefault="0084066E">
      <w:pPr>
        <w:pStyle w:val="Default"/>
        <w:rPr>
          <w:rFonts w:ascii="Verdana" w:hAnsi="Verdana"/>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 xml:space="preserve">Collections of information </w:t>
      </w:r>
      <w:r w:rsidR="005E20B5" w:rsidRPr="00DB451B">
        <w:rPr>
          <w:rFonts w:ascii="Verdana" w:hAnsi="Verdana"/>
          <w:color w:val="auto"/>
          <w:sz w:val="20"/>
          <w:szCs w:val="16"/>
        </w:rPr>
        <w:t xml:space="preserve">for the </w:t>
      </w:r>
      <w:r w:rsidR="005B31F7" w:rsidRPr="00DB451B">
        <w:rPr>
          <w:rFonts w:ascii="Verdana" w:hAnsi="Verdana"/>
          <w:color w:val="auto"/>
          <w:sz w:val="20"/>
          <w:szCs w:val="16"/>
        </w:rPr>
        <w:t>exten</w:t>
      </w:r>
      <w:r w:rsidR="00F52EA1" w:rsidRPr="00DB451B">
        <w:rPr>
          <w:rFonts w:ascii="Verdana" w:hAnsi="Verdana"/>
          <w:color w:val="auto"/>
          <w:sz w:val="20"/>
          <w:szCs w:val="16"/>
        </w:rPr>
        <w:t>ded</w:t>
      </w:r>
      <w:r w:rsidR="005B31F7" w:rsidRPr="00DB451B">
        <w:rPr>
          <w:rFonts w:ascii="Verdana" w:hAnsi="Verdana"/>
          <w:color w:val="auto"/>
          <w:sz w:val="20"/>
          <w:szCs w:val="16"/>
        </w:rPr>
        <w:t xml:space="preserve"> </w:t>
      </w:r>
      <w:r w:rsidR="005E20B5" w:rsidRPr="00DB451B">
        <w:rPr>
          <w:rFonts w:ascii="Verdana" w:hAnsi="Verdana"/>
          <w:color w:val="auto"/>
          <w:sz w:val="20"/>
          <w:szCs w:val="16"/>
        </w:rPr>
        <w:t xml:space="preserve">collection </w:t>
      </w:r>
      <w:r w:rsidRPr="00DB451B">
        <w:rPr>
          <w:rFonts w:ascii="Verdana" w:hAnsi="Verdana"/>
          <w:color w:val="auto"/>
          <w:sz w:val="20"/>
          <w:szCs w:val="16"/>
        </w:rPr>
        <w:t>are automated except for the income information of a student’s parent</w:t>
      </w:r>
      <w:r w:rsidR="0000798A" w:rsidRPr="00DB451B">
        <w:rPr>
          <w:rFonts w:ascii="Verdana" w:hAnsi="Verdana"/>
          <w:color w:val="auto"/>
          <w:sz w:val="20"/>
          <w:szCs w:val="16"/>
        </w:rPr>
        <w:t>(</w:t>
      </w:r>
      <w:r w:rsidRPr="00DB451B">
        <w:rPr>
          <w:rFonts w:ascii="Verdana" w:hAnsi="Verdana"/>
          <w:color w:val="auto"/>
          <w:sz w:val="20"/>
          <w:szCs w:val="16"/>
        </w:rPr>
        <w:t>s</w:t>
      </w:r>
      <w:r w:rsidR="0000798A" w:rsidRPr="00DB451B">
        <w:rPr>
          <w:rFonts w:ascii="Verdana" w:hAnsi="Verdana"/>
          <w:color w:val="auto"/>
          <w:sz w:val="20"/>
          <w:szCs w:val="16"/>
        </w:rPr>
        <w:t>)</w:t>
      </w:r>
      <w:r w:rsidRPr="00DB451B">
        <w:rPr>
          <w:rFonts w:ascii="Verdana" w:hAnsi="Verdana"/>
          <w:color w:val="auto"/>
          <w:sz w:val="20"/>
          <w:szCs w:val="16"/>
        </w:rPr>
        <w:t xml:space="preserve"> and the initial recertification notice.  The income information collected from a college student’s parent</w:t>
      </w:r>
      <w:r w:rsidR="0000798A" w:rsidRPr="00DB451B">
        <w:rPr>
          <w:rFonts w:ascii="Verdana" w:hAnsi="Verdana"/>
          <w:color w:val="auto"/>
          <w:sz w:val="20"/>
          <w:szCs w:val="16"/>
        </w:rPr>
        <w:t>(</w:t>
      </w:r>
      <w:r w:rsidRPr="00DB451B">
        <w:rPr>
          <w:rFonts w:ascii="Verdana" w:hAnsi="Verdana"/>
          <w:color w:val="auto"/>
          <w:sz w:val="20"/>
          <w:szCs w:val="16"/>
        </w:rPr>
        <w:t>s</w:t>
      </w:r>
      <w:r w:rsidR="0000798A" w:rsidRPr="00DB451B">
        <w:rPr>
          <w:rFonts w:ascii="Verdana" w:hAnsi="Verdana"/>
          <w:color w:val="auto"/>
          <w:sz w:val="20"/>
          <w:szCs w:val="16"/>
        </w:rPr>
        <w:t>)</w:t>
      </w:r>
      <w:r w:rsidRPr="00DB451B">
        <w:rPr>
          <w:rFonts w:ascii="Verdana" w:hAnsi="Verdana"/>
          <w:color w:val="auto"/>
          <w:sz w:val="20"/>
          <w:szCs w:val="16"/>
        </w:rPr>
        <w:t xml:space="preserve"> is a limited collection and will not affect a large number of </w:t>
      </w:r>
      <w:r w:rsidR="009069A1" w:rsidRPr="00DB451B">
        <w:rPr>
          <w:rFonts w:ascii="Verdana" w:hAnsi="Verdana"/>
          <w:color w:val="auto"/>
          <w:sz w:val="20"/>
          <w:szCs w:val="16"/>
        </w:rPr>
        <w:t>individuals</w:t>
      </w:r>
      <w:r w:rsidR="00B21BC1" w:rsidRPr="00DB451B">
        <w:rPr>
          <w:rFonts w:ascii="Verdana" w:hAnsi="Verdana"/>
          <w:color w:val="auto"/>
          <w:sz w:val="20"/>
          <w:szCs w:val="16"/>
        </w:rPr>
        <w:t>;</w:t>
      </w:r>
      <w:r w:rsidRPr="00DB451B">
        <w:rPr>
          <w:rFonts w:ascii="Verdana" w:hAnsi="Verdana"/>
          <w:color w:val="auto"/>
          <w:sz w:val="20"/>
          <w:szCs w:val="16"/>
        </w:rPr>
        <w:t xml:space="preserve"> therefore, it would not be cost effective </w:t>
      </w:r>
      <w:r w:rsidR="00AC6EFB" w:rsidRPr="00DB451B">
        <w:rPr>
          <w:rFonts w:ascii="Verdana" w:hAnsi="Verdana"/>
          <w:color w:val="auto"/>
          <w:sz w:val="20"/>
          <w:szCs w:val="16"/>
        </w:rPr>
        <w:t xml:space="preserve">for HUD </w:t>
      </w:r>
      <w:r w:rsidRPr="00DB451B">
        <w:rPr>
          <w:rFonts w:ascii="Verdana" w:hAnsi="Verdana"/>
          <w:color w:val="auto"/>
          <w:sz w:val="20"/>
          <w:szCs w:val="16"/>
        </w:rPr>
        <w:t xml:space="preserve">to automate the collection of income data from </w:t>
      </w:r>
      <w:r w:rsidR="0000798A" w:rsidRPr="00DB451B">
        <w:rPr>
          <w:rFonts w:ascii="Verdana" w:hAnsi="Verdana"/>
          <w:color w:val="auto"/>
          <w:sz w:val="20"/>
          <w:szCs w:val="16"/>
        </w:rPr>
        <w:t xml:space="preserve">a student’s </w:t>
      </w:r>
      <w:r w:rsidRPr="00DB451B">
        <w:rPr>
          <w:rFonts w:ascii="Verdana" w:hAnsi="Verdana"/>
          <w:color w:val="auto"/>
          <w:sz w:val="20"/>
          <w:szCs w:val="16"/>
        </w:rPr>
        <w:t>parent</w:t>
      </w:r>
      <w:r w:rsidR="0000798A" w:rsidRPr="00DB451B">
        <w:rPr>
          <w:rFonts w:ascii="Verdana" w:hAnsi="Verdana"/>
          <w:color w:val="auto"/>
          <w:sz w:val="20"/>
          <w:szCs w:val="16"/>
        </w:rPr>
        <w:t>(</w:t>
      </w:r>
      <w:r w:rsidRPr="00DB451B">
        <w:rPr>
          <w:rFonts w:ascii="Verdana" w:hAnsi="Verdana"/>
          <w:color w:val="auto"/>
          <w:sz w:val="20"/>
          <w:szCs w:val="16"/>
        </w:rPr>
        <w:t>s</w:t>
      </w:r>
      <w:r w:rsidR="0000798A" w:rsidRPr="00DB451B">
        <w:rPr>
          <w:rFonts w:ascii="Verdana" w:hAnsi="Verdana"/>
          <w:color w:val="auto"/>
          <w:sz w:val="20"/>
          <w:szCs w:val="16"/>
        </w:rPr>
        <w:t>)</w:t>
      </w:r>
      <w:r w:rsidRPr="00DB451B">
        <w:rPr>
          <w:rFonts w:ascii="Verdana" w:hAnsi="Verdana"/>
          <w:color w:val="auto"/>
          <w:sz w:val="20"/>
          <w:szCs w:val="16"/>
        </w:rPr>
        <w:t xml:space="preserve">.  The initial recertification notice only serves as a notification to the tenant of the recertification requirements and is not used for income, rent or subsidy </w:t>
      </w:r>
      <w:r w:rsidR="009069A1" w:rsidRPr="00DB451B">
        <w:rPr>
          <w:rFonts w:ascii="Verdana" w:hAnsi="Verdana"/>
          <w:color w:val="auto"/>
          <w:sz w:val="20"/>
          <w:szCs w:val="16"/>
        </w:rPr>
        <w:t>determinations;</w:t>
      </w:r>
      <w:r w:rsidRPr="00DB451B">
        <w:rPr>
          <w:rFonts w:ascii="Verdana" w:hAnsi="Verdana"/>
          <w:color w:val="auto"/>
          <w:sz w:val="20"/>
          <w:szCs w:val="16"/>
        </w:rPr>
        <w:t xml:space="preserve"> therefore, the information is not automated</w:t>
      </w:r>
      <w:r w:rsidR="00B21BC1" w:rsidRPr="00DB451B">
        <w:rPr>
          <w:rFonts w:ascii="Verdana" w:hAnsi="Verdana"/>
          <w:color w:val="auto"/>
          <w:sz w:val="20"/>
          <w:szCs w:val="16"/>
        </w:rPr>
        <w:t>.</w:t>
      </w:r>
      <w:r w:rsidRPr="00DB451B">
        <w:rPr>
          <w:rFonts w:ascii="Verdana" w:hAnsi="Verdana"/>
          <w:color w:val="auto"/>
          <w:sz w:val="20"/>
          <w:szCs w:val="16"/>
        </w:rPr>
        <w:t xml:space="preserve">  The owner/management agent electronically transmits the data identified in section 2 above to TRACS.</w:t>
      </w:r>
    </w:p>
    <w:p w:rsidR="002C329E" w:rsidRPr="00DB451B" w:rsidRDefault="002C329E">
      <w:pPr>
        <w:pStyle w:val="Default"/>
        <w:ind w:firstLine="360"/>
        <w:jc w:val="both"/>
        <w:rPr>
          <w:rFonts w:ascii="Verdana" w:hAnsi="Verdana"/>
          <w:color w:val="auto"/>
          <w:sz w:val="20"/>
          <w:szCs w:val="16"/>
        </w:rPr>
      </w:pPr>
    </w:p>
    <w:p w:rsidR="00B21BC1" w:rsidRPr="00DB451B" w:rsidRDefault="002C329E" w:rsidP="00D42AF7">
      <w:pPr>
        <w:pStyle w:val="Default"/>
        <w:ind w:left="360"/>
        <w:rPr>
          <w:rFonts w:ascii="Verdana" w:hAnsi="Verdana"/>
          <w:color w:val="auto"/>
          <w:sz w:val="20"/>
          <w:szCs w:val="16"/>
        </w:rPr>
      </w:pPr>
      <w:r w:rsidRPr="00DB451B">
        <w:rPr>
          <w:rFonts w:ascii="Verdana" w:hAnsi="Verdana"/>
          <w:color w:val="auto"/>
          <w:sz w:val="20"/>
          <w:szCs w:val="16"/>
        </w:rPr>
        <w:t xml:space="preserve">Forms provided by HUD that may </w:t>
      </w:r>
      <w:r w:rsidR="004B3ACE" w:rsidRPr="00DB451B">
        <w:rPr>
          <w:rFonts w:ascii="Verdana" w:hAnsi="Verdana"/>
          <w:color w:val="auto"/>
          <w:sz w:val="20"/>
          <w:szCs w:val="16"/>
        </w:rPr>
        <w:t xml:space="preserve">be </w:t>
      </w:r>
      <w:r w:rsidRPr="00DB451B">
        <w:rPr>
          <w:rFonts w:ascii="Verdana" w:hAnsi="Verdana"/>
          <w:color w:val="auto"/>
          <w:sz w:val="20"/>
          <w:szCs w:val="16"/>
        </w:rPr>
        <w:t>use</w:t>
      </w:r>
      <w:r w:rsidR="004B3ACE" w:rsidRPr="00DB451B">
        <w:rPr>
          <w:rFonts w:ascii="Verdana" w:hAnsi="Verdana"/>
          <w:color w:val="auto"/>
          <w:sz w:val="20"/>
          <w:szCs w:val="16"/>
        </w:rPr>
        <w:t>d</w:t>
      </w:r>
      <w:r w:rsidRPr="00DB451B">
        <w:rPr>
          <w:rFonts w:ascii="Verdana" w:hAnsi="Verdana"/>
          <w:color w:val="auto"/>
          <w:sz w:val="20"/>
          <w:szCs w:val="16"/>
        </w:rPr>
        <w:t xml:space="preserve"> </w:t>
      </w:r>
      <w:r w:rsidR="00B21BC1" w:rsidRPr="00DB451B">
        <w:rPr>
          <w:rFonts w:ascii="Verdana" w:hAnsi="Verdana"/>
          <w:color w:val="auto"/>
          <w:sz w:val="20"/>
          <w:szCs w:val="16"/>
        </w:rPr>
        <w:t xml:space="preserve">by owners/management agents </w:t>
      </w:r>
      <w:r w:rsidRPr="00DB451B">
        <w:rPr>
          <w:rFonts w:ascii="Verdana" w:hAnsi="Verdana"/>
          <w:color w:val="auto"/>
          <w:sz w:val="20"/>
          <w:szCs w:val="16"/>
        </w:rPr>
        <w:t>during the certification</w:t>
      </w:r>
      <w:r w:rsidR="00D42AF7" w:rsidRPr="00DB451B">
        <w:rPr>
          <w:rFonts w:ascii="Verdana" w:hAnsi="Verdana"/>
          <w:color w:val="auto"/>
          <w:sz w:val="20"/>
          <w:szCs w:val="16"/>
        </w:rPr>
        <w:t xml:space="preserve">/recertification </w:t>
      </w:r>
      <w:r w:rsidRPr="00DB451B">
        <w:rPr>
          <w:rFonts w:ascii="Verdana" w:hAnsi="Verdana"/>
          <w:color w:val="auto"/>
          <w:sz w:val="20"/>
          <w:szCs w:val="16"/>
        </w:rPr>
        <w:t>process</w:t>
      </w:r>
      <w:r w:rsidR="004B3ACE" w:rsidRPr="00DB451B">
        <w:rPr>
          <w:rFonts w:ascii="Verdana" w:hAnsi="Verdana"/>
          <w:color w:val="auto"/>
          <w:sz w:val="20"/>
          <w:szCs w:val="16"/>
        </w:rPr>
        <w:t xml:space="preserve"> that</w:t>
      </w:r>
      <w:r w:rsidRPr="00DB451B">
        <w:rPr>
          <w:rFonts w:ascii="Verdana" w:hAnsi="Verdana"/>
          <w:color w:val="auto"/>
          <w:sz w:val="20"/>
          <w:szCs w:val="16"/>
        </w:rPr>
        <w:t xml:space="preserve"> have an OMB approved form numb</w:t>
      </w:r>
      <w:r w:rsidR="007322EA" w:rsidRPr="00DB451B">
        <w:rPr>
          <w:rFonts w:ascii="Verdana" w:hAnsi="Verdana"/>
          <w:color w:val="auto"/>
          <w:sz w:val="20"/>
          <w:szCs w:val="16"/>
        </w:rPr>
        <w:t>er</w:t>
      </w:r>
      <w:r w:rsidR="00FF51FC" w:rsidRPr="00DB451B">
        <w:rPr>
          <w:rFonts w:ascii="Verdana" w:hAnsi="Verdana"/>
          <w:color w:val="auto"/>
          <w:sz w:val="20"/>
          <w:szCs w:val="16"/>
        </w:rPr>
        <w:t xml:space="preserve"> at initial posting or at the time of renewal of the</w:t>
      </w:r>
      <w:r w:rsidR="00D42AF7" w:rsidRPr="00DB451B">
        <w:rPr>
          <w:rFonts w:ascii="Verdana" w:hAnsi="Verdana"/>
          <w:color w:val="auto"/>
          <w:sz w:val="20"/>
          <w:szCs w:val="16"/>
        </w:rPr>
        <w:t xml:space="preserve"> </w:t>
      </w:r>
      <w:r w:rsidR="00FF51FC" w:rsidRPr="00DB451B">
        <w:rPr>
          <w:rFonts w:ascii="Verdana" w:hAnsi="Verdana"/>
          <w:color w:val="auto"/>
          <w:sz w:val="20"/>
          <w:szCs w:val="16"/>
        </w:rPr>
        <w:t>form</w:t>
      </w:r>
      <w:r w:rsidR="00AA5F5C" w:rsidRPr="00DB451B">
        <w:rPr>
          <w:rFonts w:ascii="Verdana" w:hAnsi="Verdana"/>
          <w:color w:val="auto"/>
          <w:sz w:val="20"/>
          <w:szCs w:val="16"/>
        </w:rPr>
        <w:t>s</w:t>
      </w:r>
      <w:r w:rsidR="007322EA" w:rsidRPr="00DB451B">
        <w:rPr>
          <w:rFonts w:ascii="Verdana" w:hAnsi="Verdana"/>
          <w:color w:val="auto"/>
          <w:sz w:val="20"/>
          <w:szCs w:val="16"/>
        </w:rPr>
        <w:t xml:space="preserve"> are provided in a fillable pdf f</w:t>
      </w:r>
      <w:r w:rsidR="00EB5B18" w:rsidRPr="00DB451B">
        <w:rPr>
          <w:rFonts w:ascii="Verdana" w:hAnsi="Verdana"/>
          <w:color w:val="auto"/>
          <w:sz w:val="20"/>
          <w:szCs w:val="16"/>
        </w:rPr>
        <w:t>ormat at</w:t>
      </w:r>
      <w:r w:rsidR="00FF51FC" w:rsidRPr="00DB451B">
        <w:rPr>
          <w:rFonts w:ascii="Verdana" w:hAnsi="Verdana"/>
          <w:color w:val="auto"/>
          <w:sz w:val="20"/>
          <w:szCs w:val="16"/>
        </w:rPr>
        <w:t xml:space="preserve"> </w:t>
      </w:r>
      <w:hyperlink r:id="rId8" w:history="1">
        <w:r w:rsidR="007322EA" w:rsidRPr="00DB451B">
          <w:rPr>
            <w:rStyle w:val="Hyperlink"/>
            <w:rFonts w:ascii="Verdana" w:hAnsi="Verdana"/>
            <w:color w:val="auto"/>
            <w:sz w:val="20"/>
            <w:szCs w:val="16"/>
          </w:rPr>
          <w:t>www.hudclips.org</w:t>
        </w:r>
      </w:hyperlink>
      <w:r w:rsidR="007322EA" w:rsidRPr="00DB451B">
        <w:rPr>
          <w:rFonts w:ascii="Verdana" w:hAnsi="Verdana"/>
          <w:color w:val="auto"/>
          <w:sz w:val="20"/>
          <w:szCs w:val="16"/>
        </w:rPr>
        <w:t xml:space="preserve"> and</w:t>
      </w:r>
      <w:r w:rsidR="004B3ACE" w:rsidRPr="00DB451B">
        <w:rPr>
          <w:rFonts w:ascii="Verdana" w:hAnsi="Verdana"/>
          <w:color w:val="auto"/>
          <w:sz w:val="20"/>
          <w:szCs w:val="16"/>
        </w:rPr>
        <w:t xml:space="preserve"> </w:t>
      </w:r>
      <w:r w:rsidR="00EB5B18" w:rsidRPr="00DB451B">
        <w:rPr>
          <w:rFonts w:ascii="Verdana" w:hAnsi="Verdana"/>
          <w:color w:val="auto"/>
          <w:sz w:val="20"/>
          <w:szCs w:val="16"/>
        </w:rPr>
        <w:t>are avail</w:t>
      </w:r>
      <w:r w:rsidR="007322EA" w:rsidRPr="00DB451B">
        <w:rPr>
          <w:rFonts w:ascii="Verdana" w:hAnsi="Verdana"/>
          <w:color w:val="auto"/>
          <w:sz w:val="20"/>
          <w:szCs w:val="16"/>
        </w:rPr>
        <w:t>able for use by</w:t>
      </w:r>
      <w:r w:rsidR="00B21BC1" w:rsidRPr="00DB451B">
        <w:rPr>
          <w:rFonts w:ascii="Verdana" w:hAnsi="Verdana"/>
          <w:color w:val="auto"/>
          <w:sz w:val="20"/>
          <w:szCs w:val="16"/>
        </w:rPr>
        <w:t xml:space="preserve"> </w:t>
      </w:r>
      <w:r w:rsidR="007322EA" w:rsidRPr="00DB451B">
        <w:rPr>
          <w:rFonts w:ascii="Verdana" w:hAnsi="Verdana"/>
          <w:color w:val="auto"/>
          <w:sz w:val="20"/>
          <w:szCs w:val="16"/>
        </w:rPr>
        <w:t>owners/management agents</w:t>
      </w:r>
      <w:r w:rsidR="005E20B5" w:rsidRPr="00DB451B">
        <w:rPr>
          <w:rFonts w:ascii="Verdana" w:hAnsi="Verdana"/>
          <w:color w:val="auto"/>
          <w:sz w:val="20"/>
          <w:szCs w:val="16"/>
        </w:rPr>
        <w:t>, applicants/tenants and other parties providing third party verification of</w:t>
      </w:r>
      <w:r w:rsidR="00D42AF7" w:rsidRPr="00DB451B">
        <w:rPr>
          <w:rFonts w:ascii="Verdana" w:hAnsi="Verdana"/>
          <w:color w:val="auto"/>
          <w:sz w:val="20"/>
          <w:szCs w:val="16"/>
        </w:rPr>
        <w:t xml:space="preserve"> </w:t>
      </w:r>
      <w:r w:rsidR="005E20B5" w:rsidRPr="00DB451B">
        <w:rPr>
          <w:rFonts w:ascii="Verdana" w:hAnsi="Verdana"/>
          <w:color w:val="auto"/>
          <w:sz w:val="20"/>
          <w:szCs w:val="16"/>
        </w:rPr>
        <w:t>information.</w:t>
      </w:r>
      <w:r w:rsidR="00EB5B18" w:rsidRPr="00DB451B">
        <w:rPr>
          <w:rFonts w:ascii="Verdana" w:hAnsi="Verdana"/>
          <w:color w:val="auto"/>
          <w:sz w:val="20"/>
          <w:szCs w:val="16"/>
        </w:rPr>
        <w:t xml:space="preserve">  </w:t>
      </w:r>
    </w:p>
    <w:p w:rsidR="00B21BC1" w:rsidRPr="00DB451B" w:rsidRDefault="00B21BC1">
      <w:pPr>
        <w:pStyle w:val="Default"/>
        <w:ind w:firstLine="360"/>
        <w:jc w:val="both"/>
        <w:rPr>
          <w:rFonts w:ascii="Verdana" w:hAnsi="Verdana"/>
          <w:color w:val="auto"/>
          <w:sz w:val="20"/>
          <w:szCs w:val="16"/>
        </w:rPr>
      </w:pPr>
    </w:p>
    <w:p w:rsidR="00B21BC1" w:rsidRPr="00DB451B" w:rsidRDefault="00B21BC1" w:rsidP="00F52EA1">
      <w:pPr>
        <w:pStyle w:val="Default"/>
        <w:ind w:left="374" w:hanging="14"/>
        <w:jc w:val="both"/>
        <w:rPr>
          <w:rFonts w:ascii="Verdana" w:hAnsi="Verdana"/>
          <w:color w:val="auto"/>
          <w:sz w:val="20"/>
          <w:szCs w:val="16"/>
        </w:rPr>
      </w:pPr>
      <w:r w:rsidRPr="00DB451B">
        <w:rPr>
          <w:rFonts w:ascii="Verdana" w:hAnsi="Verdana"/>
          <w:color w:val="auto"/>
          <w:sz w:val="20"/>
          <w:szCs w:val="16"/>
        </w:rPr>
        <w:t xml:space="preserve">The majority of owners/management agents </w:t>
      </w:r>
      <w:r w:rsidR="00FF51FC" w:rsidRPr="00DB451B">
        <w:rPr>
          <w:rFonts w:ascii="Verdana" w:hAnsi="Verdana"/>
          <w:color w:val="auto"/>
          <w:sz w:val="20"/>
          <w:szCs w:val="16"/>
        </w:rPr>
        <w:t>use</w:t>
      </w:r>
      <w:r w:rsidRPr="00DB451B">
        <w:rPr>
          <w:rFonts w:ascii="Verdana" w:hAnsi="Verdana"/>
          <w:color w:val="auto"/>
          <w:sz w:val="20"/>
          <w:szCs w:val="16"/>
        </w:rPr>
        <w:t xml:space="preserve"> automated forms, letters, certifications, etc. that</w:t>
      </w:r>
      <w:r w:rsidR="00F52EA1" w:rsidRPr="00DB451B">
        <w:rPr>
          <w:rFonts w:ascii="Verdana" w:hAnsi="Verdana"/>
          <w:color w:val="auto"/>
          <w:sz w:val="20"/>
          <w:szCs w:val="16"/>
        </w:rPr>
        <w:t xml:space="preserve">   </w:t>
      </w:r>
      <w:r w:rsidRPr="00DB451B">
        <w:rPr>
          <w:rFonts w:ascii="Verdana" w:hAnsi="Verdana"/>
          <w:color w:val="auto"/>
          <w:sz w:val="20"/>
          <w:szCs w:val="16"/>
        </w:rPr>
        <w:t>they have created or that have been created by developers</w:t>
      </w:r>
      <w:r w:rsidR="005B76DC" w:rsidRPr="00DB451B">
        <w:rPr>
          <w:rFonts w:ascii="Verdana" w:hAnsi="Verdana"/>
          <w:color w:val="auto"/>
          <w:sz w:val="20"/>
          <w:szCs w:val="16"/>
        </w:rPr>
        <w:t xml:space="preserve"> (Vendors)</w:t>
      </w:r>
      <w:r w:rsidRPr="00DB451B">
        <w:rPr>
          <w:rFonts w:ascii="Verdana" w:hAnsi="Verdana"/>
          <w:color w:val="auto"/>
          <w:sz w:val="20"/>
          <w:szCs w:val="16"/>
        </w:rPr>
        <w:t xml:space="preserve"> of their on-site TRACS software for use in the recertification process.       </w:t>
      </w:r>
    </w:p>
    <w:p w:rsidR="00EB5B18" w:rsidRPr="00DB451B" w:rsidRDefault="00EB5B18">
      <w:pPr>
        <w:pStyle w:val="Default"/>
        <w:ind w:firstLine="360"/>
        <w:jc w:val="both"/>
        <w:rPr>
          <w:rFonts w:ascii="Verdana" w:hAnsi="Verdana"/>
          <w:color w:val="auto"/>
          <w:sz w:val="20"/>
          <w:szCs w:val="16"/>
        </w:rPr>
      </w:pPr>
    </w:p>
    <w:p w:rsidR="00A43801" w:rsidRPr="00DB451B" w:rsidRDefault="007322EA">
      <w:pPr>
        <w:pStyle w:val="Default"/>
        <w:ind w:firstLine="360"/>
        <w:jc w:val="both"/>
        <w:rPr>
          <w:rFonts w:ascii="Verdana" w:hAnsi="Verdana"/>
          <w:color w:val="auto"/>
          <w:sz w:val="20"/>
          <w:szCs w:val="20"/>
        </w:rPr>
      </w:pPr>
      <w:r w:rsidRPr="00DB451B">
        <w:rPr>
          <w:rFonts w:ascii="Verdana" w:hAnsi="Verdana"/>
          <w:color w:val="auto"/>
          <w:sz w:val="20"/>
          <w:szCs w:val="20"/>
        </w:rPr>
        <w:t xml:space="preserve">Upfront </w:t>
      </w:r>
      <w:r w:rsidR="004B3ACE" w:rsidRPr="00DB451B">
        <w:rPr>
          <w:rFonts w:ascii="Verdana" w:hAnsi="Verdana"/>
          <w:color w:val="auto"/>
          <w:sz w:val="20"/>
          <w:szCs w:val="20"/>
        </w:rPr>
        <w:t xml:space="preserve">income </w:t>
      </w:r>
      <w:r w:rsidRPr="00DB451B">
        <w:rPr>
          <w:rFonts w:ascii="Verdana" w:hAnsi="Verdana"/>
          <w:color w:val="auto"/>
          <w:sz w:val="20"/>
          <w:szCs w:val="20"/>
        </w:rPr>
        <w:t>verification</w:t>
      </w:r>
      <w:r w:rsidR="004B3ACE" w:rsidRPr="00DB451B">
        <w:rPr>
          <w:rFonts w:ascii="Verdana" w:hAnsi="Verdana"/>
          <w:color w:val="auto"/>
          <w:sz w:val="20"/>
          <w:szCs w:val="20"/>
        </w:rPr>
        <w:t xml:space="preserve"> (UIV)</w:t>
      </w:r>
      <w:r w:rsidRPr="00DB451B">
        <w:rPr>
          <w:rFonts w:ascii="Verdana" w:hAnsi="Verdana"/>
          <w:color w:val="auto"/>
          <w:sz w:val="20"/>
          <w:szCs w:val="20"/>
        </w:rPr>
        <w:t xml:space="preserve"> of social security benefits is currently being provided electronically to </w:t>
      </w:r>
    </w:p>
    <w:p w:rsidR="004B3ACE" w:rsidRPr="00DB451B" w:rsidRDefault="007322EA">
      <w:pPr>
        <w:pStyle w:val="Default"/>
        <w:ind w:firstLine="360"/>
        <w:jc w:val="both"/>
        <w:rPr>
          <w:rFonts w:ascii="Verdana" w:hAnsi="Verdana"/>
          <w:color w:val="auto"/>
          <w:sz w:val="20"/>
          <w:szCs w:val="20"/>
        </w:rPr>
      </w:pPr>
      <w:r w:rsidRPr="00DB451B">
        <w:rPr>
          <w:rFonts w:ascii="Verdana" w:hAnsi="Verdana"/>
          <w:color w:val="auto"/>
          <w:sz w:val="20"/>
          <w:szCs w:val="20"/>
        </w:rPr>
        <w:t>owners/management agents through</w:t>
      </w:r>
      <w:r w:rsidR="004B3ACE" w:rsidRPr="00DB451B">
        <w:rPr>
          <w:rFonts w:ascii="Verdana" w:hAnsi="Verdana"/>
          <w:color w:val="auto"/>
          <w:sz w:val="20"/>
          <w:szCs w:val="20"/>
        </w:rPr>
        <w:t xml:space="preserve"> HUD’s</w:t>
      </w:r>
      <w:r w:rsidRPr="00DB451B">
        <w:rPr>
          <w:rFonts w:ascii="Verdana" w:hAnsi="Verdana"/>
          <w:color w:val="auto"/>
          <w:sz w:val="20"/>
          <w:szCs w:val="20"/>
        </w:rPr>
        <w:t xml:space="preserve"> Enterprise Income Verification </w:t>
      </w:r>
      <w:r w:rsidR="004B3ACE" w:rsidRPr="00DB451B">
        <w:rPr>
          <w:rFonts w:ascii="Verdana" w:hAnsi="Verdana"/>
          <w:color w:val="auto"/>
          <w:sz w:val="20"/>
          <w:szCs w:val="20"/>
        </w:rPr>
        <w:t xml:space="preserve">(EIV) </w:t>
      </w:r>
      <w:r w:rsidRPr="00DB451B">
        <w:rPr>
          <w:rFonts w:ascii="Verdana" w:hAnsi="Verdana"/>
          <w:color w:val="auto"/>
          <w:sz w:val="20"/>
          <w:szCs w:val="20"/>
        </w:rPr>
        <w:t>system</w:t>
      </w:r>
      <w:r w:rsidR="00B431D3" w:rsidRPr="00DB451B">
        <w:rPr>
          <w:rFonts w:ascii="Verdana" w:hAnsi="Verdana"/>
          <w:color w:val="auto"/>
          <w:sz w:val="20"/>
          <w:szCs w:val="20"/>
        </w:rPr>
        <w:t xml:space="preserve"> for use in </w:t>
      </w:r>
    </w:p>
    <w:p w:rsidR="00EB5B18" w:rsidRPr="00DB451B" w:rsidRDefault="00B431D3">
      <w:pPr>
        <w:pStyle w:val="Default"/>
        <w:ind w:firstLine="360"/>
        <w:jc w:val="both"/>
        <w:rPr>
          <w:rFonts w:ascii="Verdana" w:hAnsi="Verdana"/>
          <w:color w:val="auto"/>
          <w:sz w:val="20"/>
          <w:szCs w:val="20"/>
        </w:rPr>
      </w:pPr>
      <w:r w:rsidRPr="00DB451B">
        <w:rPr>
          <w:rFonts w:ascii="Verdana" w:hAnsi="Verdana"/>
          <w:color w:val="auto"/>
          <w:sz w:val="20"/>
          <w:szCs w:val="20"/>
        </w:rPr>
        <w:t>verifying social security benefit informa</w:t>
      </w:r>
      <w:r w:rsidR="00A43801" w:rsidRPr="00DB451B">
        <w:rPr>
          <w:rFonts w:ascii="Verdana" w:hAnsi="Verdana"/>
          <w:color w:val="auto"/>
          <w:sz w:val="20"/>
          <w:szCs w:val="20"/>
        </w:rPr>
        <w:t>tion for tenants at the time of recertification.</w:t>
      </w:r>
      <w:r w:rsidR="005E20B5" w:rsidRPr="00DB451B">
        <w:rPr>
          <w:rFonts w:ascii="Verdana" w:hAnsi="Verdana"/>
          <w:color w:val="auto"/>
          <w:sz w:val="20"/>
          <w:szCs w:val="20"/>
        </w:rPr>
        <w:t xml:space="preserve"> </w:t>
      </w:r>
      <w:r w:rsidR="00EB5B18" w:rsidRPr="00DB451B">
        <w:rPr>
          <w:rFonts w:ascii="Verdana" w:hAnsi="Verdana"/>
          <w:color w:val="auto"/>
          <w:sz w:val="20"/>
          <w:szCs w:val="20"/>
        </w:rPr>
        <w:t xml:space="preserve">The EIV system </w:t>
      </w:r>
    </w:p>
    <w:p w:rsidR="00EB5B18" w:rsidRPr="00DB451B" w:rsidRDefault="00EB5B18">
      <w:pPr>
        <w:pStyle w:val="Default"/>
        <w:ind w:firstLine="360"/>
        <w:jc w:val="both"/>
        <w:rPr>
          <w:rFonts w:ascii="Verdana" w:hAnsi="Verdana"/>
          <w:color w:val="auto"/>
          <w:sz w:val="20"/>
          <w:szCs w:val="20"/>
        </w:rPr>
      </w:pPr>
      <w:r w:rsidRPr="00DB451B">
        <w:rPr>
          <w:rFonts w:ascii="Verdana" w:hAnsi="Verdana"/>
          <w:color w:val="auto"/>
          <w:sz w:val="20"/>
          <w:szCs w:val="20"/>
        </w:rPr>
        <w:t xml:space="preserve">uses personal identifiers (Social Security number, </w:t>
      </w:r>
      <w:r w:rsidR="00D03656" w:rsidRPr="00DB451B">
        <w:rPr>
          <w:rFonts w:ascii="Verdana" w:hAnsi="Verdana"/>
          <w:color w:val="auto"/>
          <w:sz w:val="20"/>
          <w:szCs w:val="20"/>
        </w:rPr>
        <w:t>last</w:t>
      </w:r>
      <w:r w:rsidRPr="00DB451B">
        <w:rPr>
          <w:rFonts w:ascii="Verdana" w:hAnsi="Verdana"/>
          <w:color w:val="auto"/>
          <w:sz w:val="20"/>
          <w:szCs w:val="20"/>
        </w:rPr>
        <w:t xml:space="preserve"> names and dates of birth) from participant </w:t>
      </w:r>
    </w:p>
    <w:p w:rsidR="00E123EA" w:rsidRPr="00DB451B" w:rsidRDefault="00EB5B18">
      <w:pPr>
        <w:pStyle w:val="Default"/>
        <w:ind w:firstLine="360"/>
        <w:jc w:val="both"/>
        <w:rPr>
          <w:rFonts w:ascii="Verdana" w:hAnsi="Verdana"/>
          <w:color w:val="auto"/>
          <w:sz w:val="20"/>
          <w:szCs w:val="20"/>
        </w:rPr>
      </w:pPr>
      <w:r w:rsidRPr="00DB451B">
        <w:rPr>
          <w:rFonts w:ascii="Verdana" w:hAnsi="Verdana"/>
          <w:color w:val="auto"/>
          <w:sz w:val="20"/>
          <w:szCs w:val="20"/>
        </w:rPr>
        <w:t>information located in the TRACS system, matching those identifiers</w:t>
      </w:r>
      <w:r w:rsidR="00E123EA" w:rsidRPr="00DB451B">
        <w:rPr>
          <w:rFonts w:ascii="Verdana" w:hAnsi="Verdana"/>
          <w:color w:val="auto"/>
          <w:sz w:val="20"/>
          <w:szCs w:val="20"/>
        </w:rPr>
        <w:t xml:space="preserve"> </w:t>
      </w:r>
      <w:r w:rsidRPr="00DB451B">
        <w:rPr>
          <w:rFonts w:ascii="Verdana" w:hAnsi="Verdana"/>
          <w:color w:val="auto"/>
          <w:sz w:val="20"/>
          <w:szCs w:val="20"/>
        </w:rPr>
        <w:t xml:space="preserve">against data from the Social </w:t>
      </w:r>
    </w:p>
    <w:p w:rsidR="00417A8B" w:rsidRPr="00DB451B" w:rsidRDefault="00EB5B18" w:rsidP="007472A1">
      <w:pPr>
        <w:pStyle w:val="Default"/>
        <w:ind w:left="360"/>
        <w:rPr>
          <w:rFonts w:ascii="Verdana" w:hAnsi="Verdana"/>
          <w:color w:val="auto"/>
          <w:sz w:val="20"/>
          <w:szCs w:val="20"/>
        </w:rPr>
      </w:pPr>
      <w:r w:rsidRPr="00DB451B">
        <w:rPr>
          <w:rFonts w:ascii="Verdana" w:hAnsi="Verdana"/>
          <w:color w:val="auto"/>
          <w:sz w:val="20"/>
          <w:szCs w:val="20"/>
        </w:rPr>
        <w:t>Security Administration</w:t>
      </w:r>
      <w:r w:rsidR="00A8042E" w:rsidRPr="00DB451B">
        <w:rPr>
          <w:rFonts w:ascii="Verdana" w:hAnsi="Verdana"/>
          <w:color w:val="auto"/>
          <w:sz w:val="20"/>
          <w:szCs w:val="20"/>
        </w:rPr>
        <w:t>’</w:t>
      </w:r>
      <w:r w:rsidRPr="00DB451B">
        <w:rPr>
          <w:rFonts w:ascii="Verdana" w:hAnsi="Verdana"/>
          <w:color w:val="auto"/>
          <w:sz w:val="20"/>
          <w:szCs w:val="20"/>
        </w:rPr>
        <w:t>s data files to obtain the social security benefit</w:t>
      </w:r>
      <w:r w:rsidR="00E123EA" w:rsidRPr="00DB451B">
        <w:rPr>
          <w:rFonts w:ascii="Verdana" w:hAnsi="Verdana"/>
          <w:color w:val="auto"/>
          <w:sz w:val="20"/>
          <w:szCs w:val="20"/>
        </w:rPr>
        <w:t xml:space="preserve"> </w:t>
      </w:r>
      <w:r w:rsidRPr="00DB451B">
        <w:rPr>
          <w:rFonts w:ascii="Verdana" w:hAnsi="Verdana"/>
          <w:color w:val="auto"/>
          <w:sz w:val="20"/>
          <w:szCs w:val="20"/>
        </w:rPr>
        <w:t xml:space="preserve">information.  </w:t>
      </w:r>
      <w:r w:rsidR="00B431D3" w:rsidRPr="00DB451B">
        <w:rPr>
          <w:rFonts w:ascii="Verdana" w:hAnsi="Verdana"/>
          <w:color w:val="auto"/>
          <w:sz w:val="20"/>
          <w:szCs w:val="20"/>
        </w:rPr>
        <w:t>W-</w:t>
      </w:r>
      <w:r w:rsidR="007472A1" w:rsidRPr="00DB451B">
        <w:rPr>
          <w:rFonts w:ascii="Verdana" w:hAnsi="Verdana"/>
          <w:color w:val="auto"/>
          <w:sz w:val="20"/>
          <w:szCs w:val="20"/>
        </w:rPr>
        <w:t>4</w:t>
      </w:r>
      <w:r w:rsidR="00B431D3" w:rsidRPr="00DB451B">
        <w:rPr>
          <w:rFonts w:ascii="Verdana" w:hAnsi="Verdana"/>
          <w:color w:val="auto"/>
          <w:sz w:val="20"/>
          <w:szCs w:val="20"/>
        </w:rPr>
        <w:t xml:space="preserve"> (new</w:t>
      </w:r>
      <w:r w:rsidR="004B3ACE" w:rsidRPr="00DB451B">
        <w:rPr>
          <w:rFonts w:ascii="Verdana" w:hAnsi="Verdana"/>
          <w:color w:val="auto"/>
          <w:sz w:val="20"/>
          <w:szCs w:val="20"/>
        </w:rPr>
        <w:t xml:space="preserve"> </w:t>
      </w:r>
      <w:r w:rsidR="00B431D3" w:rsidRPr="00DB451B">
        <w:rPr>
          <w:rFonts w:ascii="Verdana" w:hAnsi="Verdana"/>
          <w:color w:val="auto"/>
          <w:sz w:val="20"/>
          <w:szCs w:val="20"/>
        </w:rPr>
        <w:t>hires), wage and unemployment benefit information from the Department of Health and Human</w:t>
      </w:r>
      <w:r w:rsidR="007472A1" w:rsidRPr="00DB451B">
        <w:rPr>
          <w:rFonts w:ascii="Verdana" w:hAnsi="Verdana"/>
          <w:color w:val="auto"/>
          <w:sz w:val="20"/>
          <w:szCs w:val="20"/>
        </w:rPr>
        <w:t xml:space="preserve"> </w:t>
      </w:r>
      <w:r w:rsidR="00B431D3" w:rsidRPr="00DB451B">
        <w:rPr>
          <w:rFonts w:ascii="Verdana" w:hAnsi="Verdana"/>
          <w:color w:val="auto"/>
          <w:sz w:val="20"/>
          <w:szCs w:val="20"/>
        </w:rPr>
        <w:t xml:space="preserve">Services’ National Directory of New Hires (NDNH) </w:t>
      </w:r>
      <w:r w:rsidR="004D4F12" w:rsidRPr="00DB451B">
        <w:rPr>
          <w:rFonts w:ascii="Verdana" w:hAnsi="Verdana"/>
          <w:color w:val="auto"/>
          <w:sz w:val="20"/>
          <w:szCs w:val="20"/>
        </w:rPr>
        <w:t>is</w:t>
      </w:r>
      <w:r w:rsidR="00B431D3" w:rsidRPr="00DB451B">
        <w:rPr>
          <w:rFonts w:ascii="Verdana" w:hAnsi="Verdana"/>
          <w:color w:val="auto"/>
          <w:sz w:val="20"/>
          <w:szCs w:val="20"/>
        </w:rPr>
        <w:t xml:space="preserve"> </w:t>
      </w:r>
      <w:r w:rsidR="00A43801" w:rsidRPr="00DB451B">
        <w:rPr>
          <w:rFonts w:ascii="Verdana" w:hAnsi="Verdana"/>
          <w:color w:val="auto"/>
          <w:sz w:val="20"/>
          <w:szCs w:val="20"/>
        </w:rPr>
        <w:t xml:space="preserve">also provided to owners/management </w:t>
      </w:r>
      <w:r w:rsidR="004B3ACE" w:rsidRPr="00DB451B">
        <w:rPr>
          <w:rFonts w:ascii="Verdana" w:hAnsi="Verdana"/>
          <w:color w:val="auto"/>
          <w:sz w:val="20"/>
          <w:szCs w:val="20"/>
        </w:rPr>
        <w:t>a</w:t>
      </w:r>
      <w:r w:rsidR="00A43801" w:rsidRPr="00DB451B">
        <w:rPr>
          <w:rFonts w:ascii="Verdana" w:hAnsi="Verdana"/>
          <w:color w:val="auto"/>
          <w:sz w:val="20"/>
          <w:szCs w:val="20"/>
        </w:rPr>
        <w:t>gents</w:t>
      </w:r>
      <w:r w:rsidR="007472A1" w:rsidRPr="00DB451B">
        <w:rPr>
          <w:rFonts w:ascii="Verdana" w:hAnsi="Verdana"/>
          <w:color w:val="auto"/>
          <w:sz w:val="20"/>
          <w:szCs w:val="20"/>
        </w:rPr>
        <w:t xml:space="preserve"> </w:t>
      </w:r>
      <w:r w:rsidR="00A43801" w:rsidRPr="00DB451B">
        <w:rPr>
          <w:rFonts w:ascii="Verdana" w:hAnsi="Verdana"/>
          <w:color w:val="auto"/>
          <w:sz w:val="20"/>
          <w:szCs w:val="20"/>
        </w:rPr>
        <w:t>through the EIV system for use in verifying employment and wage information for tenants at the time</w:t>
      </w:r>
      <w:r w:rsidR="007472A1" w:rsidRPr="00DB451B">
        <w:rPr>
          <w:rFonts w:ascii="Verdana" w:hAnsi="Verdana"/>
          <w:color w:val="auto"/>
          <w:sz w:val="20"/>
          <w:szCs w:val="20"/>
        </w:rPr>
        <w:t xml:space="preserve"> </w:t>
      </w:r>
      <w:r w:rsidR="00A43801" w:rsidRPr="00DB451B">
        <w:rPr>
          <w:rFonts w:ascii="Verdana" w:hAnsi="Verdana"/>
          <w:color w:val="auto"/>
          <w:sz w:val="20"/>
          <w:szCs w:val="20"/>
        </w:rPr>
        <w:t xml:space="preserve">of recertification. </w:t>
      </w:r>
      <w:r w:rsidR="00417A8B" w:rsidRPr="00DB451B">
        <w:rPr>
          <w:rFonts w:ascii="Verdana" w:hAnsi="Verdana"/>
          <w:color w:val="auto"/>
          <w:sz w:val="20"/>
          <w:szCs w:val="20"/>
        </w:rPr>
        <w:t xml:space="preserve"> </w:t>
      </w:r>
      <w:r w:rsidR="005E20B5" w:rsidRPr="00DB451B">
        <w:rPr>
          <w:rFonts w:ascii="Verdana" w:hAnsi="Verdana"/>
          <w:color w:val="auto"/>
          <w:sz w:val="20"/>
          <w:szCs w:val="20"/>
        </w:rPr>
        <w:t>Use of the</w:t>
      </w:r>
      <w:r w:rsidR="004B3ACE" w:rsidRPr="00DB451B">
        <w:rPr>
          <w:rFonts w:ascii="Verdana" w:hAnsi="Verdana"/>
          <w:color w:val="auto"/>
          <w:sz w:val="20"/>
          <w:szCs w:val="20"/>
        </w:rPr>
        <w:t xml:space="preserve"> UIV information</w:t>
      </w:r>
      <w:r w:rsidR="00AA5F5C" w:rsidRPr="00DB451B">
        <w:rPr>
          <w:rFonts w:ascii="Verdana" w:hAnsi="Verdana"/>
          <w:color w:val="auto"/>
          <w:sz w:val="20"/>
          <w:szCs w:val="20"/>
        </w:rPr>
        <w:t xml:space="preserve"> will help reduce some of the owner</w:t>
      </w:r>
      <w:r w:rsidR="00A8042E" w:rsidRPr="00DB451B">
        <w:rPr>
          <w:rFonts w:ascii="Verdana" w:hAnsi="Verdana"/>
          <w:color w:val="auto"/>
          <w:sz w:val="20"/>
          <w:szCs w:val="20"/>
        </w:rPr>
        <w:t>’s</w:t>
      </w:r>
      <w:r w:rsidR="00AA5F5C" w:rsidRPr="00DB451B">
        <w:rPr>
          <w:rFonts w:ascii="Verdana" w:hAnsi="Verdana"/>
          <w:color w:val="auto"/>
          <w:sz w:val="20"/>
          <w:szCs w:val="20"/>
        </w:rPr>
        <w:t xml:space="preserve">/management agent’s burden as using the UIV data </w:t>
      </w:r>
      <w:r w:rsidR="00417A8B" w:rsidRPr="00DB451B">
        <w:rPr>
          <w:rFonts w:ascii="Verdana" w:hAnsi="Verdana"/>
          <w:color w:val="auto"/>
          <w:sz w:val="20"/>
          <w:szCs w:val="20"/>
        </w:rPr>
        <w:t>replace</w:t>
      </w:r>
      <w:r w:rsidR="005E20B5" w:rsidRPr="00DB451B">
        <w:rPr>
          <w:rFonts w:ascii="Verdana" w:hAnsi="Verdana"/>
          <w:color w:val="auto"/>
          <w:sz w:val="20"/>
          <w:szCs w:val="20"/>
        </w:rPr>
        <w:t>s</w:t>
      </w:r>
      <w:r w:rsidR="00417A8B" w:rsidRPr="00DB451B">
        <w:rPr>
          <w:rFonts w:ascii="Verdana" w:hAnsi="Verdana"/>
          <w:color w:val="auto"/>
          <w:sz w:val="20"/>
          <w:szCs w:val="20"/>
        </w:rPr>
        <w:t xml:space="preserve"> the more</w:t>
      </w:r>
      <w:r w:rsidR="005E20B5" w:rsidRPr="00DB451B">
        <w:rPr>
          <w:rFonts w:ascii="Verdana" w:hAnsi="Verdana"/>
          <w:color w:val="auto"/>
          <w:sz w:val="20"/>
          <w:szCs w:val="20"/>
        </w:rPr>
        <w:t xml:space="preserve"> </w:t>
      </w:r>
      <w:r w:rsidR="00417A8B" w:rsidRPr="00DB451B">
        <w:rPr>
          <w:rFonts w:ascii="Verdana" w:hAnsi="Verdana"/>
          <w:color w:val="auto"/>
          <w:sz w:val="20"/>
          <w:szCs w:val="20"/>
        </w:rPr>
        <w:t>time-consuming and less</w:t>
      </w:r>
      <w:r w:rsidR="005E20B5" w:rsidRPr="00DB451B">
        <w:rPr>
          <w:rFonts w:ascii="Verdana" w:hAnsi="Verdana"/>
          <w:color w:val="auto"/>
          <w:sz w:val="20"/>
          <w:szCs w:val="20"/>
        </w:rPr>
        <w:t xml:space="preserve"> </w:t>
      </w:r>
      <w:r w:rsidR="00417A8B" w:rsidRPr="00DB451B">
        <w:rPr>
          <w:rFonts w:ascii="Verdana" w:hAnsi="Verdana"/>
          <w:color w:val="auto"/>
          <w:sz w:val="20"/>
          <w:szCs w:val="20"/>
        </w:rPr>
        <w:t>accurate third party</w:t>
      </w:r>
      <w:r w:rsidR="004B3ACE" w:rsidRPr="00DB451B">
        <w:rPr>
          <w:rFonts w:ascii="Verdana" w:hAnsi="Verdana"/>
          <w:color w:val="auto"/>
          <w:sz w:val="20"/>
          <w:szCs w:val="20"/>
        </w:rPr>
        <w:t xml:space="preserve"> </w:t>
      </w:r>
      <w:r w:rsidR="00417A8B" w:rsidRPr="00DB451B">
        <w:rPr>
          <w:rFonts w:ascii="Verdana" w:hAnsi="Verdana"/>
          <w:color w:val="auto"/>
          <w:sz w:val="20"/>
          <w:szCs w:val="20"/>
        </w:rPr>
        <w:t>verification</w:t>
      </w:r>
      <w:r w:rsidR="004B3ACE" w:rsidRPr="00DB451B">
        <w:rPr>
          <w:rFonts w:ascii="Verdana" w:hAnsi="Verdana"/>
          <w:color w:val="auto"/>
          <w:sz w:val="20"/>
          <w:szCs w:val="20"/>
        </w:rPr>
        <w:t xml:space="preserve"> </w:t>
      </w:r>
      <w:r w:rsidR="00417A8B" w:rsidRPr="00DB451B">
        <w:rPr>
          <w:rFonts w:ascii="Verdana" w:hAnsi="Verdana"/>
          <w:color w:val="auto"/>
          <w:sz w:val="20"/>
          <w:szCs w:val="20"/>
        </w:rPr>
        <w:t>process</w:t>
      </w:r>
      <w:r w:rsidR="00AA5F5C" w:rsidRPr="00DB451B">
        <w:rPr>
          <w:rFonts w:ascii="Verdana" w:hAnsi="Verdana"/>
          <w:color w:val="auto"/>
          <w:sz w:val="20"/>
          <w:szCs w:val="20"/>
        </w:rPr>
        <w:t>.</w:t>
      </w:r>
      <w:r w:rsidR="00FF51FC" w:rsidRPr="00DB451B">
        <w:rPr>
          <w:rFonts w:ascii="Verdana" w:hAnsi="Verdana"/>
          <w:color w:val="auto"/>
          <w:sz w:val="20"/>
          <w:szCs w:val="20"/>
        </w:rPr>
        <w:t xml:space="preserve">  However, if the</w:t>
      </w:r>
      <w:r w:rsidR="00417A8B" w:rsidRPr="00DB451B">
        <w:rPr>
          <w:rFonts w:ascii="Verdana" w:hAnsi="Verdana"/>
          <w:color w:val="auto"/>
          <w:sz w:val="20"/>
          <w:szCs w:val="20"/>
        </w:rPr>
        <w:t xml:space="preserve"> tenant disputes the information provided through </w:t>
      </w:r>
      <w:r w:rsidR="00D03656" w:rsidRPr="00DB451B">
        <w:rPr>
          <w:rFonts w:ascii="Verdana" w:hAnsi="Verdana"/>
          <w:color w:val="auto"/>
          <w:sz w:val="20"/>
          <w:szCs w:val="20"/>
        </w:rPr>
        <w:t>E</w:t>
      </w:r>
      <w:r w:rsidR="005E20B5" w:rsidRPr="00DB451B">
        <w:rPr>
          <w:rFonts w:ascii="Verdana" w:hAnsi="Verdana"/>
          <w:color w:val="auto"/>
          <w:sz w:val="20"/>
          <w:szCs w:val="20"/>
        </w:rPr>
        <w:t>IV</w:t>
      </w:r>
      <w:r w:rsidR="00FF51FC" w:rsidRPr="00DB451B">
        <w:rPr>
          <w:rFonts w:ascii="Verdana" w:hAnsi="Verdana"/>
          <w:color w:val="auto"/>
          <w:sz w:val="20"/>
          <w:szCs w:val="20"/>
        </w:rPr>
        <w:t>,</w:t>
      </w:r>
      <w:r w:rsidR="00417A8B" w:rsidRPr="00DB451B">
        <w:rPr>
          <w:rFonts w:ascii="Verdana" w:hAnsi="Verdana"/>
          <w:color w:val="auto"/>
          <w:sz w:val="20"/>
          <w:szCs w:val="20"/>
        </w:rPr>
        <w:t xml:space="preserve"> the</w:t>
      </w:r>
      <w:r w:rsidR="004B3ACE" w:rsidRPr="00DB451B">
        <w:rPr>
          <w:rFonts w:ascii="Verdana" w:hAnsi="Verdana"/>
          <w:color w:val="auto"/>
          <w:sz w:val="20"/>
          <w:szCs w:val="20"/>
        </w:rPr>
        <w:t xml:space="preserve"> </w:t>
      </w:r>
      <w:r w:rsidR="00417A8B" w:rsidRPr="00DB451B">
        <w:rPr>
          <w:rFonts w:ascii="Verdana" w:hAnsi="Verdana"/>
          <w:color w:val="auto"/>
          <w:sz w:val="20"/>
          <w:szCs w:val="20"/>
        </w:rPr>
        <w:t>owner/management agent must research and resolve the issue.</w:t>
      </w:r>
      <w:r w:rsidR="005E20B5" w:rsidRPr="00DB451B">
        <w:rPr>
          <w:rFonts w:ascii="Verdana" w:hAnsi="Verdana"/>
          <w:color w:val="auto"/>
          <w:sz w:val="20"/>
          <w:szCs w:val="20"/>
        </w:rPr>
        <w:t xml:space="preserve">  Use of the UIV information also reduces the potential for errors in determining</w:t>
      </w:r>
      <w:r w:rsidR="00E123EA" w:rsidRPr="00DB451B">
        <w:rPr>
          <w:rFonts w:ascii="Verdana" w:hAnsi="Verdana"/>
          <w:color w:val="auto"/>
          <w:sz w:val="20"/>
          <w:szCs w:val="20"/>
        </w:rPr>
        <w:t xml:space="preserve"> </w:t>
      </w:r>
      <w:r w:rsidR="005E20B5" w:rsidRPr="00DB451B">
        <w:rPr>
          <w:rFonts w:ascii="Verdana" w:hAnsi="Verdana"/>
          <w:color w:val="auto"/>
          <w:sz w:val="20"/>
          <w:szCs w:val="20"/>
        </w:rPr>
        <w:t>the income eligibility of applicants/tenants and in rent calculations, thus helping HUD reduce the errors in their rental assistance programs.</w:t>
      </w:r>
      <w:r w:rsidR="00417A8B" w:rsidRPr="00DB451B">
        <w:rPr>
          <w:rFonts w:ascii="Verdana" w:hAnsi="Verdana"/>
          <w:color w:val="auto"/>
          <w:sz w:val="20"/>
          <w:szCs w:val="20"/>
        </w:rPr>
        <w:t xml:space="preserve"> </w:t>
      </w:r>
      <w:r w:rsidR="00B21BC1" w:rsidRPr="00DB451B">
        <w:rPr>
          <w:rFonts w:ascii="Verdana" w:hAnsi="Verdana"/>
          <w:color w:val="auto"/>
          <w:sz w:val="20"/>
          <w:szCs w:val="20"/>
        </w:rPr>
        <w:t xml:space="preserve"> HUD wil</w:t>
      </w:r>
      <w:r w:rsidR="007472A1" w:rsidRPr="00DB451B">
        <w:rPr>
          <w:rFonts w:ascii="Verdana" w:hAnsi="Verdana"/>
          <w:color w:val="auto"/>
          <w:sz w:val="20"/>
          <w:szCs w:val="20"/>
        </w:rPr>
        <w:t xml:space="preserve">l </w:t>
      </w:r>
      <w:r w:rsidR="00B21BC1" w:rsidRPr="00DB451B">
        <w:rPr>
          <w:rFonts w:ascii="Verdana" w:hAnsi="Verdana"/>
          <w:color w:val="auto"/>
          <w:sz w:val="20"/>
          <w:szCs w:val="20"/>
        </w:rPr>
        <w:t xml:space="preserve">continue to pursue computer matching with other Federal agencies providing benefits to program participants for use in </w:t>
      </w:r>
      <w:r w:rsidR="00D03656" w:rsidRPr="00DB451B">
        <w:rPr>
          <w:rFonts w:ascii="Verdana" w:hAnsi="Verdana"/>
          <w:color w:val="auto"/>
          <w:sz w:val="20"/>
          <w:szCs w:val="20"/>
        </w:rPr>
        <w:t>E</w:t>
      </w:r>
      <w:r w:rsidR="00B21BC1" w:rsidRPr="00DB451B">
        <w:rPr>
          <w:rFonts w:ascii="Verdana" w:hAnsi="Verdana"/>
          <w:color w:val="auto"/>
          <w:sz w:val="20"/>
          <w:szCs w:val="20"/>
        </w:rPr>
        <w:t>IV and for further reduction in</w:t>
      </w:r>
      <w:r w:rsidR="00E123EA" w:rsidRPr="00DB451B">
        <w:rPr>
          <w:rFonts w:ascii="Verdana" w:hAnsi="Verdana"/>
          <w:color w:val="auto"/>
          <w:sz w:val="20"/>
          <w:szCs w:val="20"/>
        </w:rPr>
        <w:t xml:space="preserve"> </w:t>
      </w:r>
      <w:r w:rsidR="00B21BC1" w:rsidRPr="00DB451B">
        <w:rPr>
          <w:rFonts w:ascii="Verdana" w:hAnsi="Verdana"/>
          <w:color w:val="auto"/>
          <w:sz w:val="20"/>
          <w:szCs w:val="20"/>
        </w:rPr>
        <w:t>improper payments in the rental assistance</w:t>
      </w:r>
      <w:r w:rsidR="007472A1" w:rsidRPr="00DB451B">
        <w:rPr>
          <w:rFonts w:ascii="Verdana" w:hAnsi="Verdana"/>
          <w:color w:val="auto"/>
          <w:sz w:val="20"/>
          <w:szCs w:val="20"/>
        </w:rPr>
        <w:t xml:space="preserve"> </w:t>
      </w:r>
      <w:r w:rsidR="00B21BC1" w:rsidRPr="00DB451B">
        <w:rPr>
          <w:rFonts w:ascii="Verdana" w:hAnsi="Verdana"/>
          <w:color w:val="auto"/>
          <w:sz w:val="20"/>
          <w:szCs w:val="20"/>
        </w:rPr>
        <w:t>programs.</w:t>
      </w:r>
    </w:p>
    <w:p w:rsidR="00CB5C4B" w:rsidRPr="00DB451B" w:rsidRDefault="00CB5C4B" w:rsidP="007472A1">
      <w:pPr>
        <w:pStyle w:val="Default"/>
        <w:ind w:left="360"/>
        <w:rPr>
          <w:rFonts w:ascii="Verdana" w:hAnsi="Verdana"/>
          <w:color w:val="auto"/>
          <w:sz w:val="20"/>
          <w:szCs w:val="20"/>
        </w:rPr>
      </w:pPr>
    </w:p>
    <w:p w:rsidR="00CB5C4B" w:rsidRPr="00DB451B" w:rsidRDefault="00CB5C4B" w:rsidP="00CB5C4B">
      <w:pPr>
        <w:autoSpaceDE w:val="0"/>
        <w:autoSpaceDN w:val="0"/>
        <w:adjustRightInd w:val="0"/>
        <w:ind w:left="360"/>
        <w:rPr>
          <w:rFonts w:ascii="Verdana" w:hAnsi="Verdana"/>
          <w:sz w:val="20"/>
          <w:szCs w:val="20"/>
        </w:rPr>
      </w:pPr>
      <w:r w:rsidRPr="00DB451B">
        <w:rPr>
          <w:rFonts w:ascii="Verdana" w:hAnsi="Verdana"/>
          <w:sz w:val="20"/>
          <w:szCs w:val="20"/>
        </w:rPr>
        <w:t xml:space="preserve">The </w:t>
      </w:r>
      <w:r w:rsidR="00511C46" w:rsidRPr="00DB451B">
        <w:rPr>
          <w:rFonts w:ascii="Verdana" w:hAnsi="Verdana"/>
          <w:sz w:val="20"/>
          <w:szCs w:val="20"/>
        </w:rPr>
        <w:t xml:space="preserve">EIV access application from the owner/management agent or CA </w:t>
      </w:r>
      <w:r w:rsidRPr="00DB451B">
        <w:rPr>
          <w:rFonts w:ascii="Verdana" w:hAnsi="Verdana"/>
          <w:sz w:val="20"/>
          <w:szCs w:val="20"/>
        </w:rPr>
        <w:t>will be collected electronically and manually via a PDF-fillable or Word-fillable document which can be emailed, faxed or mailed to HUD’s Multifamily Help Desk.</w:t>
      </w:r>
    </w:p>
    <w:p w:rsidR="00E123EA" w:rsidRPr="00DB451B" w:rsidRDefault="00E123EA" w:rsidP="004B3ACE">
      <w:pPr>
        <w:pStyle w:val="Default"/>
        <w:ind w:firstLine="360"/>
        <w:jc w:val="both"/>
        <w:rPr>
          <w:rFonts w:ascii="Verdana" w:hAnsi="Verdana"/>
          <w:color w:val="auto"/>
          <w:sz w:val="20"/>
          <w:szCs w:val="20"/>
        </w:rPr>
      </w:pPr>
    </w:p>
    <w:p w:rsidR="0084066E" w:rsidRPr="00DB451B" w:rsidRDefault="0084066E" w:rsidP="00AA5F5C">
      <w:pPr>
        <w:pStyle w:val="Default"/>
        <w:ind w:left="360"/>
        <w:rPr>
          <w:rFonts w:ascii="Verdana" w:hAnsi="Verdana"/>
          <w:color w:val="auto"/>
          <w:sz w:val="20"/>
          <w:szCs w:val="16"/>
        </w:rPr>
      </w:pPr>
      <w:r w:rsidRPr="00DB451B">
        <w:rPr>
          <w:rFonts w:ascii="Verdana" w:hAnsi="Verdana"/>
          <w:color w:val="auto"/>
          <w:sz w:val="20"/>
          <w:szCs w:val="16"/>
        </w:rPr>
        <w:t>Burden hours per respondent are the fewest possible to collect the information</w:t>
      </w:r>
      <w:r w:rsidR="00AA5F5C" w:rsidRPr="00DB451B">
        <w:rPr>
          <w:rFonts w:ascii="Verdana" w:hAnsi="Verdana"/>
          <w:color w:val="auto"/>
          <w:sz w:val="20"/>
          <w:szCs w:val="16"/>
        </w:rPr>
        <w:t>.</w:t>
      </w:r>
      <w:r w:rsidRPr="00DB451B">
        <w:rPr>
          <w:rFonts w:ascii="Verdana" w:hAnsi="Verdana"/>
          <w:color w:val="auto"/>
          <w:sz w:val="20"/>
          <w:szCs w:val="16"/>
        </w:rPr>
        <w:t xml:space="preserve">  Th</w:t>
      </w:r>
      <w:r w:rsidR="00AA5F5C" w:rsidRPr="00DB451B">
        <w:rPr>
          <w:rFonts w:ascii="Verdana" w:hAnsi="Verdana"/>
          <w:color w:val="auto"/>
          <w:sz w:val="20"/>
          <w:szCs w:val="16"/>
        </w:rPr>
        <w:t>e burden hours include</w:t>
      </w:r>
      <w:r w:rsidRPr="00DB451B">
        <w:rPr>
          <w:rFonts w:ascii="Verdana" w:hAnsi="Verdana"/>
          <w:color w:val="auto"/>
          <w:sz w:val="20"/>
          <w:szCs w:val="16"/>
        </w:rPr>
        <w:t xml:space="preserve"> the </w:t>
      </w:r>
      <w:r w:rsidR="00AA5F5C" w:rsidRPr="00DB451B">
        <w:rPr>
          <w:rFonts w:ascii="Verdana" w:hAnsi="Verdana"/>
          <w:color w:val="auto"/>
          <w:sz w:val="20"/>
          <w:szCs w:val="16"/>
        </w:rPr>
        <w:t xml:space="preserve">tenant household </w:t>
      </w:r>
      <w:r w:rsidRPr="00DB451B">
        <w:rPr>
          <w:rFonts w:ascii="Verdana" w:hAnsi="Verdana"/>
          <w:color w:val="auto"/>
          <w:sz w:val="20"/>
          <w:szCs w:val="16"/>
        </w:rPr>
        <w:t>interview, verification of information, calculations to determine tenant rent and HUD assistance, printing of facsimiles</w:t>
      </w:r>
      <w:r w:rsidR="00AA5F5C" w:rsidRPr="00DB451B">
        <w:rPr>
          <w:rFonts w:ascii="Verdana" w:hAnsi="Verdana"/>
          <w:color w:val="auto"/>
          <w:sz w:val="20"/>
          <w:szCs w:val="16"/>
        </w:rPr>
        <w:t xml:space="preserve"> of the HUD-50059</w:t>
      </w:r>
      <w:r w:rsidRPr="00DB451B">
        <w:rPr>
          <w:rFonts w:ascii="Verdana" w:hAnsi="Verdana"/>
          <w:color w:val="auto"/>
          <w:sz w:val="20"/>
          <w:szCs w:val="16"/>
        </w:rPr>
        <w:t xml:space="preserve"> </w:t>
      </w:r>
      <w:r w:rsidR="004D4F12" w:rsidRPr="00DB451B">
        <w:rPr>
          <w:rFonts w:ascii="Verdana" w:hAnsi="Verdana"/>
          <w:color w:val="auto"/>
          <w:sz w:val="20"/>
          <w:szCs w:val="16"/>
        </w:rPr>
        <w:t xml:space="preserve">or HUD-50059-A </w:t>
      </w:r>
      <w:r w:rsidRPr="00DB451B">
        <w:rPr>
          <w:rFonts w:ascii="Verdana" w:hAnsi="Verdana"/>
          <w:color w:val="auto"/>
          <w:sz w:val="20"/>
          <w:szCs w:val="16"/>
        </w:rPr>
        <w:t xml:space="preserve">for signatures and, finally, the transmission of </w:t>
      </w:r>
      <w:r w:rsidR="00AA5F5C" w:rsidRPr="00DB451B">
        <w:rPr>
          <w:rFonts w:ascii="Verdana" w:hAnsi="Verdana"/>
          <w:color w:val="auto"/>
          <w:sz w:val="20"/>
          <w:szCs w:val="16"/>
        </w:rPr>
        <w:t xml:space="preserve">the </w:t>
      </w:r>
      <w:r w:rsidRPr="00DB451B">
        <w:rPr>
          <w:rFonts w:ascii="Verdana" w:hAnsi="Verdana"/>
          <w:color w:val="auto"/>
          <w:sz w:val="20"/>
          <w:szCs w:val="16"/>
        </w:rPr>
        <w:t xml:space="preserve">data to TRACS. </w:t>
      </w:r>
    </w:p>
    <w:p w:rsidR="0084066E" w:rsidRPr="00DB451B" w:rsidRDefault="0084066E">
      <w:pPr>
        <w:pStyle w:val="Default"/>
        <w:ind w:firstLine="360"/>
        <w:jc w:val="both"/>
        <w:rPr>
          <w:rFonts w:ascii="Verdana" w:hAnsi="Verdana"/>
          <w:color w:val="auto"/>
          <w:sz w:val="20"/>
          <w:szCs w:val="16"/>
        </w:rPr>
      </w:pPr>
    </w:p>
    <w:p w:rsidR="0084066E" w:rsidRPr="00DB451B" w:rsidRDefault="0084066E">
      <w:pPr>
        <w:pStyle w:val="Default"/>
        <w:numPr>
          <w:ilvl w:val="0"/>
          <w:numId w:val="1"/>
        </w:numPr>
        <w:rPr>
          <w:rFonts w:ascii="Verdana" w:hAnsi="Verdana"/>
          <w:b/>
          <w:color w:val="auto"/>
          <w:sz w:val="20"/>
          <w:szCs w:val="16"/>
        </w:rPr>
      </w:pPr>
      <w:r w:rsidRPr="00DB451B">
        <w:rPr>
          <w:rFonts w:ascii="Verdana" w:hAnsi="Verdana"/>
          <w:b/>
          <w:color w:val="auto"/>
          <w:sz w:val="20"/>
          <w:szCs w:val="16"/>
        </w:rPr>
        <w:t xml:space="preserve">Describe efforts to identify duplication.  Show specifically why any similar information already available cannot be used or modified for use for the purposes described in Item 2 above. </w:t>
      </w:r>
    </w:p>
    <w:p w:rsidR="0084066E" w:rsidRPr="00DB451B" w:rsidRDefault="0084066E">
      <w:pPr>
        <w:pStyle w:val="Default"/>
        <w:rPr>
          <w:rFonts w:ascii="Verdana" w:hAnsi="Verdana"/>
          <w:b/>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 xml:space="preserve">No similar information </w:t>
      </w:r>
      <w:r w:rsidR="00A8042E" w:rsidRPr="00DB451B">
        <w:rPr>
          <w:rFonts w:ascii="Verdana" w:hAnsi="Verdana"/>
          <w:color w:val="auto"/>
          <w:sz w:val="20"/>
          <w:szCs w:val="16"/>
        </w:rPr>
        <w:t xml:space="preserve">is </w:t>
      </w:r>
      <w:r w:rsidRPr="00DB451B">
        <w:rPr>
          <w:rFonts w:ascii="Verdana" w:hAnsi="Verdana"/>
          <w:color w:val="auto"/>
          <w:sz w:val="20"/>
          <w:szCs w:val="16"/>
        </w:rPr>
        <w:t>available.</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numPr>
          <w:ilvl w:val="0"/>
          <w:numId w:val="1"/>
        </w:numPr>
        <w:rPr>
          <w:rFonts w:ascii="Verdana" w:hAnsi="Verdana"/>
          <w:b/>
          <w:color w:val="auto"/>
          <w:sz w:val="20"/>
          <w:szCs w:val="16"/>
        </w:rPr>
      </w:pPr>
      <w:r w:rsidRPr="00DB451B">
        <w:rPr>
          <w:rFonts w:ascii="Verdana" w:hAnsi="Verdana"/>
          <w:b/>
          <w:color w:val="auto"/>
          <w:sz w:val="20"/>
          <w:szCs w:val="16"/>
        </w:rPr>
        <w:t xml:space="preserve">If the collection of information impacts small businesses or other small entities (Item 5 of OMB Form 83-I), describe any methods used to minimize burden. </w:t>
      </w:r>
    </w:p>
    <w:p w:rsidR="0084066E" w:rsidRPr="00DB451B" w:rsidRDefault="0084066E">
      <w:pPr>
        <w:pStyle w:val="Default"/>
        <w:rPr>
          <w:rFonts w:ascii="Verdana" w:hAnsi="Verdana"/>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 xml:space="preserve">Some entities collecting information are small owner </w:t>
      </w:r>
      <w:r w:rsidR="00557D75" w:rsidRPr="00DB451B">
        <w:rPr>
          <w:rFonts w:ascii="Verdana" w:hAnsi="Verdana"/>
          <w:color w:val="auto"/>
          <w:sz w:val="20"/>
          <w:szCs w:val="16"/>
        </w:rPr>
        <w:t>entities;</w:t>
      </w:r>
      <w:r w:rsidRPr="00DB451B">
        <w:rPr>
          <w:rFonts w:ascii="Verdana" w:hAnsi="Verdana"/>
          <w:color w:val="auto"/>
          <w:sz w:val="20"/>
          <w:szCs w:val="16"/>
        </w:rPr>
        <w:t xml:space="preserve"> however, the</w:t>
      </w:r>
      <w:r w:rsidR="00557D75" w:rsidRPr="00DB451B">
        <w:rPr>
          <w:rFonts w:ascii="Verdana" w:hAnsi="Verdana"/>
          <w:color w:val="auto"/>
          <w:sz w:val="20"/>
          <w:szCs w:val="16"/>
        </w:rPr>
        <w:t>se</w:t>
      </w:r>
      <w:r w:rsidRPr="00DB451B">
        <w:rPr>
          <w:rFonts w:ascii="Verdana" w:hAnsi="Verdana"/>
          <w:color w:val="auto"/>
          <w:sz w:val="20"/>
          <w:szCs w:val="16"/>
        </w:rPr>
        <w:t xml:space="preserve"> collections are the minimum required by statute and/or regulations for determining eligibility, income, rent and amount of subsidy paid by HUD.</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numPr>
          <w:ilvl w:val="0"/>
          <w:numId w:val="1"/>
        </w:numPr>
        <w:rPr>
          <w:rFonts w:ascii="Verdana" w:hAnsi="Verdana"/>
          <w:b/>
          <w:color w:val="auto"/>
          <w:sz w:val="20"/>
          <w:szCs w:val="16"/>
        </w:rPr>
      </w:pPr>
      <w:r w:rsidRPr="00DB451B">
        <w:rPr>
          <w:rFonts w:ascii="Verdana" w:hAnsi="Verdana"/>
          <w:b/>
          <w:color w:val="auto"/>
          <w:sz w:val="20"/>
          <w:szCs w:val="16"/>
        </w:rPr>
        <w:t xml:space="preserve">Describe the consequence to Federal program or policy activities if the collection is not conducted or is conducted less frequently, as well as any technical or legal obstacles to reducing burden. </w:t>
      </w:r>
    </w:p>
    <w:p w:rsidR="0084066E" w:rsidRPr="00DB451B" w:rsidRDefault="0084066E">
      <w:pPr>
        <w:pStyle w:val="Default"/>
        <w:rPr>
          <w:rFonts w:ascii="Verdana" w:hAnsi="Verdana"/>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If these data elements are not collected and validated:</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numPr>
          <w:ilvl w:val="0"/>
          <w:numId w:val="18"/>
        </w:numPr>
        <w:rPr>
          <w:rFonts w:ascii="Verdana" w:hAnsi="Verdana"/>
          <w:color w:val="auto"/>
          <w:sz w:val="20"/>
          <w:szCs w:val="16"/>
        </w:rPr>
      </w:pPr>
      <w:r w:rsidRPr="00DB451B">
        <w:rPr>
          <w:rFonts w:ascii="Verdana" w:hAnsi="Verdana"/>
          <w:color w:val="auto"/>
          <w:sz w:val="20"/>
          <w:szCs w:val="16"/>
        </w:rPr>
        <w:t>Owners/management agents will be unable to determine eligibility and assistance payments.</w:t>
      </w:r>
    </w:p>
    <w:p w:rsidR="0084066E" w:rsidRPr="00DB451B" w:rsidRDefault="0084066E">
      <w:pPr>
        <w:pStyle w:val="Default"/>
        <w:numPr>
          <w:ilvl w:val="0"/>
          <w:numId w:val="18"/>
        </w:numPr>
        <w:rPr>
          <w:rFonts w:ascii="Verdana" w:hAnsi="Verdana"/>
          <w:color w:val="auto"/>
          <w:sz w:val="20"/>
          <w:szCs w:val="16"/>
        </w:rPr>
      </w:pPr>
      <w:r w:rsidRPr="00DB451B">
        <w:rPr>
          <w:rFonts w:ascii="Verdana" w:hAnsi="Verdana"/>
          <w:color w:val="auto"/>
          <w:sz w:val="20"/>
          <w:szCs w:val="16"/>
        </w:rPr>
        <w:t>HUD limited subsidy funds may be paid to households</w:t>
      </w:r>
      <w:r w:rsidR="00A8042E" w:rsidRPr="00DB451B">
        <w:rPr>
          <w:rFonts w:ascii="Verdana" w:hAnsi="Verdana"/>
          <w:color w:val="auto"/>
          <w:sz w:val="20"/>
          <w:szCs w:val="16"/>
        </w:rPr>
        <w:t xml:space="preserve"> that are</w:t>
      </w:r>
      <w:r w:rsidRPr="00DB451B">
        <w:rPr>
          <w:rFonts w:ascii="Verdana" w:hAnsi="Verdana"/>
          <w:color w:val="auto"/>
          <w:sz w:val="20"/>
          <w:szCs w:val="16"/>
        </w:rPr>
        <w:t xml:space="preserve"> not eligible.</w:t>
      </w:r>
    </w:p>
    <w:p w:rsidR="0084066E" w:rsidRPr="00DB451B" w:rsidRDefault="0084066E">
      <w:pPr>
        <w:pStyle w:val="Default"/>
        <w:numPr>
          <w:ilvl w:val="0"/>
          <w:numId w:val="18"/>
        </w:numPr>
        <w:rPr>
          <w:rFonts w:ascii="Verdana" w:hAnsi="Verdana"/>
          <w:color w:val="auto"/>
          <w:sz w:val="20"/>
          <w:szCs w:val="16"/>
        </w:rPr>
      </w:pPr>
      <w:r w:rsidRPr="00DB451B">
        <w:rPr>
          <w:rFonts w:ascii="Verdana" w:hAnsi="Verdana"/>
          <w:color w:val="auto"/>
          <w:sz w:val="20"/>
          <w:szCs w:val="16"/>
        </w:rPr>
        <w:t>HUD’s limited assistance will be paid in amounts greater than households are entitled to receive.</w:t>
      </w:r>
    </w:p>
    <w:p w:rsidR="0084066E" w:rsidRPr="00DB451B" w:rsidRDefault="0084066E">
      <w:pPr>
        <w:pStyle w:val="Default"/>
        <w:numPr>
          <w:ilvl w:val="0"/>
          <w:numId w:val="18"/>
        </w:numPr>
        <w:rPr>
          <w:rFonts w:ascii="Verdana" w:hAnsi="Verdana"/>
          <w:color w:val="auto"/>
          <w:sz w:val="20"/>
          <w:szCs w:val="16"/>
        </w:rPr>
      </w:pPr>
      <w:r w:rsidRPr="00DB451B">
        <w:rPr>
          <w:rFonts w:ascii="Verdana" w:hAnsi="Verdana"/>
          <w:color w:val="auto"/>
          <w:sz w:val="20"/>
          <w:szCs w:val="16"/>
        </w:rPr>
        <w:t>HUD would be unable to effectively ensure the legislation in these areas is being properly performed.</w:t>
      </w:r>
    </w:p>
    <w:p w:rsidR="0084066E" w:rsidRPr="00DB451B" w:rsidRDefault="0084066E">
      <w:pPr>
        <w:pStyle w:val="Default"/>
        <w:numPr>
          <w:ilvl w:val="0"/>
          <w:numId w:val="18"/>
        </w:numPr>
        <w:rPr>
          <w:rFonts w:ascii="Verdana" w:hAnsi="Verdana"/>
          <w:color w:val="auto"/>
          <w:sz w:val="20"/>
          <w:szCs w:val="16"/>
        </w:rPr>
      </w:pPr>
      <w:r w:rsidRPr="00DB451B">
        <w:rPr>
          <w:rFonts w:ascii="Verdana" w:hAnsi="Verdana"/>
          <w:color w:val="auto"/>
          <w:sz w:val="20"/>
          <w:szCs w:val="16"/>
        </w:rPr>
        <w:t>FH&amp;EO will be unable to monitor and enforce compliance with civil rights laws.</w:t>
      </w:r>
    </w:p>
    <w:p w:rsidR="0084066E" w:rsidRPr="00DB451B" w:rsidRDefault="0084066E">
      <w:pPr>
        <w:pStyle w:val="Default"/>
        <w:numPr>
          <w:ilvl w:val="0"/>
          <w:numId w:val="18"/>
        </w:numPr>
        <w:rPr>
          <w:rFonts w:ascii="Verdana" w:hAnsi="Verdana"/>
          <w:color w:val="auto"/>
          <w:sz w:val="20"/>
          <w:szCs w:val="16"/>
        </w:rPr>
      </w:pPr>
      <w:r w:rsidRPr="00DB451B">
        <w:rPr>
          <w:rFonts w:ascii="Verdana" w:hAnsi="Verdana"/>
          <w:color w:val="auto"/>
          <w:sz w:val="20"/>
          <w:szCs w:val="16"/>
        </w:rPr>
        <w:t>HUD’s policy development, budget, and income matching work will be seriously hampered.</w:t>
      </w:r>
    </w:p>
    <w:p w:rsidR="0084066E" w:rsidRPr="00DB451B" w:rsidRDefault="0084066E">
      <w:pPr>
        <w:pStyle w:val="Default"/>
        <w:numPr>
          <w:ilvl w:val="0"/>
          <w:numId w:val="18"/>
        </w:numPr>
        <w:rPr>
          <w:rFonts w:ascii="Verdana" w:hAnsi="Verdana"/>
          <w:color w:val="auto"/>
          <w:sz w:val="20"/>
          <w:szCs w:val="16"/>
        </w:rPr>
      </w:pPr>
      <w:r w:rsidRPr="00DB451B">
        <w:rPr>
          <w:rFonts w:ascii="Verdana" w:hAnsi="Verdana"/>
          <w:color w:val="auto"/>
          <w:sz w:val="20"/>
          <w:szCs w:val="16"/>
        </w:rPr>
        <w:t>Real Estate Assessment Center (REAC) computer matching income verification efforts would be impossible.</w:t>
      </w:r>
    </w:p>
    <w:p w:rsidR="00AA5F5C" w:rsidRPr="00DB451B" w:rsidRDefault="00AA5F5C">
      <w:pPr>
        <w:pStyle w:val="Default"/>
        <w:numPr>
          <w:ilvl w:val="0"/>
          <w:numId w:val="18"/>
        </w:numPr>
        <w:rPr>
          <w:rFonts w:ascii="Verdana" w:hAnsi="Verdana"/>
          <w:color w:val="auto"/>
          <w:sz w:val="20"/>
          <w:szCs w:val="16"/>
        </w:rPr>
      </w:pPr>
      <w:r w:rsidRPr="00DB451B">
        <w:rPr>
          <w:rFonts w:ascii="Verdana" w:hAnsi="Verdana"/>
          <w:color w:val="auto"/>
          <w:sz w:val="20"/>
          <w:szCs w:val="16"/>
        </w:rPr>
        <w:t>HUD will not reach its goals for reducing improper payments as required by the Improper Payments Information Act (IPIA)</w:t>
      </w:r>
      <w:r w:rsidR="007D4F83" w:rsidRPr="00DB451B">
        <w:rPr>
          <w:rFonts w:ascii="Verdana" w:hAnsi="Verdana"/>
          <w:color w:val="auto"/>
          <w:sz w:val="20"/>
          <w:szCs w:val="16"/>
        </w:rPr>
        <w:t xml:space="preserve"> and Executive Order 13520, Reducing Improper Payments</w:t>
      </w:r>
      <w:r w:rsidRPr="00DB451B">
        <w:rPr>
          <w:rFonts w:ascii="Verdana" w:hAnsi="Verdana"/>
          <w:color w:val="auto"/>
          <w:sz w:val="20"/>
          <w:szCs w:val="16"/>
        </w:rPr>
        <w:t>.</w:t>
      </w:r>
    </w:p>
    <w:p w:rsidR="003A1E1A" w:rsidRPr="00DB451B" w:rsidRDefault="003A1E1A">
      <w:pPr>
        <w:pStyle w:val="Default"/>
        <w:numPr>
          <w:ilvl w:val="0"/>
          <w:numId w:val="18"/>
        </w:numPr>
        <w:rPr>
          <w:rFonts w:ascii="Verdana" w:hAnsi="Verdana"/>
          <w:color w:val="auto"/>
          <w:sz w:val="20"/>
          <w:szCs w:val="16"/>
        </w:rPr>
      </w:pPr>
      <w:r w:rsidRPr="00DB451B">
        <w:rPr>
          <w:rFonts w:ascii="Verdana" w:hAnsi="Verdana"/>
          <w:color w:val="auto"/>
          <w:sz w:val="20"/>
          <w:szCs w:val="16"/>
        </w:rPr>
        <w:t xml:space="preserve">Owners/management agents and CAs are mandated by 24 CFR 5.233 to obtain access and use EIV in its entirety.  </w:t>
      </w:r>
    </w:p>
    <w:p w:rsidR="00A55E56" w:rsidRPr="00DB451B" w:rsidRDefault="005E7730">
      <w:pPr>
        <w:pStyle w:val="Default"/>
        <w:numPr>
          <w:ilvl w:val="0"/>
          <w:numId w:val="18"/>
        </w:numPr>
        <w:rPr>
          <w:rFonts w:ascii="Verdana" w:hAnsi="Verdana"/>
          <w:color w:val="auto"/>
          <w:sz w:val="20"/>
          <w:szCs w:val="16"/>
        </w:rPr>
      </w:pPr>
      <w:r w:rsidRPr="00DB451B">
        <w:rPr>
          <w:rFonts w:ascii="Verdana" w:hAnsi="Verdana"/>
          <w:color w:val="auto"/>
          <w:sz w:val="20"/>
          <w:szCs w:val="16"/>
        </w:rPr>
        <w:t xml:space="preserve">Owners/management agents will be unable to electronically submit </w:t>
      </w:r>
      <w:r w:rsidR="00A55E56" w:rsidRPr="00DB451B">
        <w:rPr>
          <w:rFonts w:ascii="Verdana" w:hAnsi="Verdana"/>
          <w:color w:val="auto"/>
          <w:sz w:val="20"/>
          <w:szCs w:val="16"/>
        </w:rPr>
        <w:t>Race and Ethnicity</w:t>
      </w:r>
      <w:r w:rsidRPr="00DB451B">
        <w:rPr>
          <w:rFonts w:ascii="Verdana" w:hAnsi="Verdana"/>
          <w:color w:val="auto"/>
          <w:sz w:val="20"/>
          <w:szCs w:val="16"/>
        </w:rPr>
        <w:t xml:space="preserve"> data</w:t>
      </w:r>
      <w:r w:rsidR="00A55E56" w:rsidRPr="00DB451B">
        <w:rPr>
          <w:rFonts w:ascii="Verdana" w:hAnsi="Verdana"/>
          <w:color w:val="auto"/>
          <w:sz w:val="20"/>
          <w:szCs w:val="16"/>
        </w:rPr>
        <w:t xml:space="preserve"> to</w:t>
      </w:r>
      <w:r w:rsidRPr="00DB451B">
        <w:rPr>
          <w:rFonts w:ascii="Verdana" w:hAnsi="Verdana"/>
          <w:color w:val="auto"/>
          <w:sz w:val="20"/>
          <w:szCs w:val="16"/>
        </w:rPr>
        <w:t xml:space="preserve"> </w:t>
      </w:r>
      <w:r w:rsidR="00BE091A" w:rsidRPr="00DB451B">
        <w:rPr>
          <w:rFonts w:ascii="Verdana" w:hAnsi="Verdana"/>
          <w:color w:val="auto"/>
          <w:sz w:val="20"/>
          <w:szCs w:val="16"/>
        </w:rPr>
        <w:t xml:space="preserve">TRACS in accordance with the revised </w:t>
      </w:r>
      <w:r w:rsidR="003A6A1A" w:rsidRPr="00DB451B">
        <w:rPr>
          <w:rFonts w:ascii="Verdana" w:hAnsi="Verdana"/>
          <w:color w:val="auto"/>
          <w:sz w:val="20"/>
          <w:szCs w:val="16"/>
        </w:rPr>
        <w:t xml:space="preserve">OMB </w:t>
      </w:r>
      <w:r w:rsidR="00BE091A" w:rsidRPr="00DB451B">
        <w:rPr>
          <w:rFonts w:ascii="Verdana" w:hAnsi="Verdana"/>
          <w:color w:val="auto"/>
          <w:sz w:val="20"/>
          <w:szCs w:val="16"/>
        </w:rPr>
        <w:t xml:space="preserve">standard classifications of Federal data on race and ethnicity.  </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numPr>
          <w:ilvl w:val="0"/>
          <w:numId w:val="1"/>
        </w:numPr>
        <w:rPr>
          <w:rFonts w:ascii="Verdana" w:hAnsi="Verdana"/>
          <w:b/>
          <w:color w:val="auto"/>
          <w:sz w:val="20"/>
          <w:szCs w:val="16"/>
        </w:rPr>
      </w:pPr>
      <w:r w:rsidRPr="00DB451B">
        <w:rPr>
          <w:rFonts w:ascii="Verdana" w:hAnsi="Verdana"/>
          <w:b/>
          <w:color w:val="auto"/>
          <w:sz w:val="20"/>
          <w:szCs w:val="16"/>
        </w:rPr>
        <w:t xml:space="preserve">Explain any special circumstances that would cause an information collection to be conducted in a manner: </w:t>
      </w:r>
    </w:p>
    <w:p w:rsidR="0084066E" w:rsidRPr="00DB451B" w:rsidRDefault="0084066E">
      <w:pPr>
        <w:pStyle w:val="Default"/>
        <w:numPr>
          <w:ilvl w:val="0"/>
          <w:numId w:val="19"/>
        </w:numPr>
        <w:rPr>
          <w:rFonts w:ascii="Verdana" w:hAnsi="Verdana"/>
          <w:b/>
          <w:color w:val="auto"/>
          <w:sz w:val="18"/>
          <w:szCs w:val="16"/>
        </w:rPr>
      </w:pPr>
      <w:r w:rsidRPr="00DB451B">
        <w:rPr>
          <w:rFonts w:ascii="Verdana" w:hAnsi="Verdana"/>
          <w:b/>
          <w:color w:val="auto"/>
          <w:sz w:val="18"/>
          <w:szCs w:val="16"/>
        </w:rPr>
        <w:t xml:space="preserve">requiring respondents to report information to the agency more often than quarterly; </w:t>
      </w:r>
    </w:p>
    <w:p w:rsidR="0084066E" w:rsidRPr="00DB451B" w:rsidRDefault="0084066E">
      <w:pPr>
        <w:pStyle w:val="Default"/>
        <w:numPr>
          <w:ilvl w:val="0"/>
          <w:numId w:val="19"/>
        </w:numPr>
        <w:rPr>
          <w:rFonts w:ascii="Verdana" w:hAnsi="Verdana"/>
          <w:b/>
          <w:color w:val="auto"/>
          <w:sz w:val="18"/>
          <w:szCs w:val="16"/>
        </w:rPr>
      </w:pPr>
      <w:r w:rsidRPr="00DB451B">
        <w:rPr>
          <w:rFonts w:ascii="Verdana" w:hAnsi="Verdana"/>
          <w:b/>
          <w:color w:val="auto"/>
          <w:sz w:val="18"/>
          <w:szCs w:val="16"/>
        </w:rPr>
        <w:t xml:space="preserve">requiring respondents to prepare a written response to a collection of information in fewer than 30 days after receipt of it; </w:t>
      </w:r>
    </w:p>
    <w:p w:rsidR="0084066E" w:rsidRPr="00DB451B" w:rsidRDefault="0084066E">
      <w:pPr>
        <w:pStyle w:val="Default"/>
        <w:numPr>
          <w:ilvl w:val="0"/>
          <w:numId w:val="19"/>
        </w:numPr>
        <w:rPr>
          <w:rFonts w:ascii="Verdana" w:hAnsi="Verdana"/>
          <w:b/>
          <w:color w:val="auto"/>
          <w:sz w:val="18"/>
          <w:szCs w:val="16"/>
        </w:rPr>
      </w:pPr>
      <w:r w:rsidRPr="00DB451B">
        <w:rPr>
          <w:rFonts w:ascii="Verdana" w:hAnsi="Verdana"/>
          <w:b/>
          <w:color w:val="auto"/>
          <w:sz w:val="18"/>
          <w:szCs w:val="16"/>
        </w:rPr>
        <w:t xml:space="preserve">requiring respondents to submit more than an original and two copies of any document; * requiring respondents to retain records, other than health, medical, government contract, grant-in-aid, or tax records, for more than three years; </w:t>
      </w:r>
    </w:p>
    <w:p w:rsidR="0084066E" w:rsidRPr="00DB451B" w:rsidRDefault="0084066E">
      <w:pPr>
        <w:pStyle w:val="Default"/>
        <w:numPr>
          <w:ilvl w:val="0"/>
          <w:numId w:val="19"/>
        </w:numPr>
        <w:rPr>
          <w:rFonts w:ascii="Verdana" w:hAnsi="Verdana"/>
          <w:b/>
          <w:color w:val="auto"/>
          <w:sz w:val="18"/>
          <w:szCs w:val="16"/>
        </w:rPr>
      </w:pPr>
      <w:r w:rsidRPr="00DB451B">
        <w:rPr>
          <w:rFonts w:ascii="Verdana" w:hAnsi="Verdana"/>
          <w:b/>
          <w:color w:val="auto"/>
          <w:sz w:val="18"/>
          <w:szCs w:val="16"/>
        </w:rPr>
        <w:t xml:space="preserve">in connection with a statistical survey, that is not designed to produce valid and reliable results that can be generalized to the universe of study; </w:t>
      </w:r>
    </w:p>
    <w:p w:rsidR="0084066E" w:rsidRPr="00DB451B" w:rsidRDefault="0084066E">
      <w:pPr>
        <w:pStyle w:val="Default"/>
        <w:numPr>
          <w:ilvl w:val="0"/>
          <w:numId w:val="19"/>
        </w:numPr>
        <w:rPr>
          <w:rFonts w:ascii="Verdana" w:hAnsi="Verdana"/>
          <w:b/>
          <w:color w:val="auto"/>
          <w:sz w:val="18"/>
          <w:szCs w:val="16"/>
        </w:rPr>
      </w:pPr>
      <w:r w:rsidRPr="00DB451B">
        <w:rPr>
          <w:rFonts w:ascii="Verdana" w:hAnsi="Verdana"/>
          <w:b/>
          <w:color w:val="auto"/>
          <w:sz w:val="18"/>
          <w:szCs w:val="16"/>
        </w:rPr>
        <w:t xml:space="preserve">requiring the use of a statistical data classification that has not been reviewed and approved by OMB; </w:t>
      </w:r>
    </w:p>
    <w:p w:rsidR="0084066E" w:rsidRPr="00DB451B" w:rsidRDefault="0084066E">
      <w:pPr>
        <w:pStyle w:val="Default"/>
        <w:numPr>
          <w:ilvl w:val="0"/>
          <w:numId w:val="19"/>
        </w:numPr>
        <w:rPr>
          <w:rFonts w:ascii="Verdana" w:hAnsi="Verdana"/>
          <w:b/>
          <w:color w:val="auto"/>
          <w:sz w:val="18"/>
          <w:szCs w:val="16"/>
        </w:rPr>
      </w:pPr>
      <w:r w:rsidRPr="00DB451B">
        <w:rPr>
          <w:rFonts w:ascii="Verdana" w:hAnsi="Verdana"/>
          <w:b/>
          <w:color w:val="auto"/>
          <w:sz w:val="18"/>
          <w:szCs w:val="16"/>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4066E" w:rsidRPr="00DB451B" w:rsidRDefault="0084066E">
      <w:pPr>
        <w:pStyle w:val="Default"/>
        <w:numPr>
          <w:ilvl w:val="0"/>
          <w:numId w:val="19"/>
        </w:numPr>
        <w:rPr>
          <w:rFonts w:ascii="Verdana" w:hAnsi="Verdana"/>
          <w:b/>
          <w:color w:val="auto"/>
          <w:sz w:val="20"/>
          <w:szCs w:val="16"/>
        </w:rPr>
      </w:pPr>
      <w:r w:rsidRPr="00DB451B">
        <w:rPr>
          <w:rFonts w:ascii="Verdana" w:hAnsi="Verdana"/>
          <w:b/>
          <w:color w:val="auto"/>
          <w:sz w:val="18"/>
          <w:szCs w:val="16"/>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46443A" w:rsidRPr="00DB451B" w:rsidRDefault="0046443A" w:rsidP="0046443A">
      <w:pPr>
        <w:pStyle w:val="Default"/>
        <w:ind w:left="720"/>
        <w:rPr>
          <w:rFonts w:ascii="Verdana" w:hAnsi="Verdana"/>
          <w:b/>
          <w:color w:val="auto"/>
          <w:sz w:val="20"/>
          <w:szCs w:val="16"/>
        </w:rPr>
      </w:pPr>
    </w:p>
    <w:p w:rsidR="00F3083F" w:rsidRPr="00DB451B" w:rsidRDefault="00CB5C4B" w:rsidP="00DB451B">
      <w:pPr>
        <w:autoSpaceDE w:val="0"/>
        <w:autoSpaceDN w:val="0"/>
        <w:adjustRightInd w:val="0"/>
        <w:ind w:left="720"/>
        <w:rPr>
          <w:rFonts w:ascii="Verdana" w:hAnsi="Verdana"/>
          <w:b/>
          <w:sz w:val="20"/>
          <w:szCs w:val="20"/>
        </w:rPr>
      </w:pPr>
      <w:r w:rsidRPr="00DB451B">
        <w:rPr>
          <w:rFonts w:ascii="Verdana" w:hAnsi="Verdana"/>
          <w:b/>
          <w:sz w:val="20"/>
          <w:szCs w:val="20"/>
        </w:rPr>
        <w:t>The respondent would have to provide updated information for Sections A, B, C, D or E of the form, if the agency decided to change the level of access the system user would require.</w:t>
      </w:r>
      <w:r w:rsidR="0046443A" w:rsidRPr="00DB451B">
        <w:rPr>
          <w:rFonts w:ascii="Verdana" w:hAnsi="Verdana"/>
          <w:b/>
          <w:sz w:val="20"/>
          <w:szCs w:val="20"/>
        </w:rPr>
        <w:t xml:space="preserve">  </w:t>
      </w:r>
      <w:r w:rsidRPr="00DB451B">
        <w:rPr>
          <w:rFonts w:ascii="Verdana" w:hAnsi="Verdana"/>
          <w:b/>
          <w:sz w:val="20"/>
          <w:szCs w:val="20"/>
        </w:rPr>
        <w:t>Initial Coordinator Access Authorization Forms which have been approved by an authorized official are required to be retained during the period in which the user has access to the EIV system to ensure authorization safeguards were used in the granting of EIV system access.</w:t>
      </w:r>
      <w:r w:rsidR="00DB451B" w:rsidRPr="00DB451B">
        <w:rPr>
          <w:rFonts w:ascii="Verdana" w:hAnsi="Verdana"/>
          <w:b/>
          <w:sz w:val="20"/>
          <w:szCs w:val="20"/>
        </w:rPr>
        <w:t xml:space="preserve">  </w:t>
      </w:r>
      <w:r w:rsidRPr="00DB451B">
        <w:rPr>
          <w:rFonts w:ascii="Verdana" w:hAnsi="Verdana"/>
          <w:b/>
          <w:sz w:val="20"/>
          <w:szCs w:val="20"/>
        </w:rPr>
        <w:t>This collection of information is not in connection with a statistical survey.</w:t>
      </w:r>
      <w:r w:rsidR="00DB451B" w:rsidRPr="00DB451B">
        <w:rPr>
          <w:rFonts w:ascii="Verdana" w:hAnsi="Verdana"/>
          <w:b/>
          <w:sz w:val="20"/>
          <w:szCs w:val="20"/>
        </w:rPr>
        <w:t xml:space="preserve">  </w:t>
      </w:r>
      <w:r w:rsidR="00F3083F" w:rsidRPr="00DB451B">
        <w:rPr>
          <w:rFonts w:ascii="Verdana" w:hAnsi="Verdana"/>
          <w:b/>
          <w:sz w:val="20"/>
          <w:szCs w:val="20"/>
        </w:rPr>
        <w:t>This collection of information does not require the use of a statistical data classification that has not been reviewed and approved by OMB.</w:t>
      </w:r>
      <w:r w:rsidR="00DB451B" w:rsidRPr="00DB451B">
        <w:rPr>
          <w:rFonts w:ascii="Verdana" w:hAnsi="Verdana"/>
          <w:b/>
          <w:sz w:val="20"/>
          <w:szCs w:val="20"/>
        </w:rPr>
        <w:t xml:space="preserve">  </w:t>
      </w:r>
      <w:r w:rsidR="00F3083F" w:rsidRPr="00DB451B">
        <w:rPr>
          <w:rFonts w:ascii="Verdana" w:hAnsi="Verdana"/>
          <w:b/>
          <w:sz w:val="20"/>
          <w:szCs w:val="20"/>
        </w:rPr>
        <w:t>O/As, CAs, and service bureaus are not required to submit proprietary trade secrets or other confidential information.</w:t>
      </w:r>
    </w:p>
    <w:p w:rsidR="00CB5C4B" w:rsidRPr="00DB451B" w:rsidRDefault="00CB5C4B" w:rsidP="00F3083F">
      <w:pPr>
        <w:autoSpaceDE w:val="0"/>
        <w:autoSpaceDN w:val="0"/>
        <w:adjustRightInd w:val="0"/>
        <w:ind w:left="720"/>
        <w:rPr>
          <w:rFonts w:ascii="Verdana" w:hAnsi="Verdana"/>
          <w:b/>
          <w:sz w:val="20"/>
          <w:szCs w:val="20"/>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 xml:space="preserve">Legislation requires that all tenants be recertified at least annually.  Tenants who are not recertified in that timetable will not be eligible to receive rental assistance.  At a future point, </w:t>
      </w:r>
      <w:r w:rsidR="00047E1F" w:rsidRPr="00DB451B">
        <w:rPr>
          <w:rFonts w:ascii="Verdana" w:hAnsi="Verdana"/>
          <w:color w:val="auto"/>
          <w:sz w:val="20"/>
          <w:szCs w:val="16"/>
        </w:rPr>
        <w:t>owners/management agents</w:t>
      </w:r>
      <w:r w:rsidRPr="00DB451B">
        <w:rPr>
          <w:rFonts w:ascii="Verdana" w:hAnsi="Verdana"/>
          <w:color w:val="auto"/>
          <w:sz w:val="20"/>
          <w:szCs w:val="16"/>
        </w:rPr>
        <w:t xml:space="preserve"> will only be paid under OMB-2502-0182 based on current recertifications and will not be paid on recertifications which are past due.</w:t>
      </w:r>
    </w:p>
    <w:p w:rsidR="0084066E" w:rsidRPr="00DB451B" w:rsidRDefault="0084066E">
      <w:pPr>
        <w:pStyle w:val="Default"/>
        <w:ind w:left="360"/>
        <w:rPr>
          <w:rFonts w:ascii="Verdana" w:hAnsi="Verdana"/>
          <w:b/>
          <w:color w:val="auto"/>
          <w:sz w:val="20"/>
          <w:szCs w:val="16"/>
        </w:rPr>
      </w:pPr>
    </w:p>
    <w:p w:rsidR="0084066E" w:rsidRPr="00DB451B" w:rsidRDefault="0084066E">
      <w:pPr>
        <w:pStyle w:val="Default"/>
        <w:numPr>
          <w:ilvl w:val="0"/>
          <w:numId w:val="1"/>
        </w:numPr>
        <w:rPr>
          <w:rFonts w:ascii="Verdana" w:hAnsi="Verdana"/>
          <w:b/>
          <w:color w:val="auto"/>
          <w:sz w:val="20"/>
          <w:szCs w:val="16"/>
        </w:rPr>
      </w:pPr>
      <w:r w:rsidRPr="00DB451B">
        <w:rPr>
          <w:rFonts w:ascii="Verdana" w:hAnsi="Verdana"/>
          <w:b/>
          <w:color w:val="auto"/>
          <w:sz w:val="20"/>
          <w:szCs w:val="16"/>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84066E" w:rsidRPr="00DB451B" w:rsidRDefault="0084066E">
      <w:pPr>
        <w:pStyle w:val="Default"/>
        <w:rPr>
          <w:rFonts w:ascii="Verdana" w:hAnsi="Verdana"/>
          <w:color w:val="auto"/>
          <w:sz w:val="20"/>
          <w:szCs w:val="16"/>
        </w:rPr>
      </w:pPr>
    </w:p>
    <w:p w:rsidR="003A6A1A" w:rsidRPr="00DB451B" w:rsidRDefault="003A6A1A">
      <w:pPr>
        <w:pStyle w:val="Default"/>
        <w:rPr>
          <w:rFonts w:ascii="Verdana" w:hAnsi="Verdana"/>
          <w:color w:val="auto"/>
          <w:sz w:val="20"/>
          <w:szCs w:val="16"/>
        </w:rPr>
      </w:pPr>
    </w:p>
    <w:p w:rsidR="00E07C3C" w:rsidRPr="00DB451B" w:rsidRDefault="00E07C3C" w:rsidP="00E07C3C">
      <w:pPr>
        <w:pStyle w:val="BodyTextIndent2"/>
        <w:spacing w:after="0" w:line="240" w:lineRule="auto"/>
        <w:rPr>
          <w:rFonts w:ascii="Verdana" w:hAnsi="Verdana"/>
          <w:sz w:val="20"/>
          <w:szCs w:val="20"/>
        </w:rPr>
      </w:pPr>
      <w:r w:rsidRPr="00DB451B">
        <w:rPr>
          <w:rFonts w:ascii="Verdana" w:hAnsi="Verdana"/>
          <w:sz w:val="20"/>
          <w:szCs w:val="20"/>
        </w:rPr>
        <w:t xml:space="preserve">In accordance with 5 CFR 1320.8(d), the agency’s notice soliciting public comments was announced in the </w:t>
      </w:r>
      <w:r w:rsidRPr="00DB451B">
        <w:rPr>
          <w:rFonts w:ascii="Verdana" w:hAnsi="Verdana"/>
          <w:i/>
          <w:iCs/>
          <w:sz w:val="20"/>
          <w:szCs w:val="20"/>
        </w:rPr>
        <w:t xml:space="preserve">Federal Register </w:t>
      </w:r>
      <w:r w:rsidRPr="00DB451B">
        <w:rPr>
          <w:rFonts w:ascii="Verdana" w:hAnsi="Verdana"/>
          <w:sz w:val="20"/>
          <w:szCs w:val="20"/>
        </w:rPr>
        <w:t xml:space="preserve">on </w:t>
      </w:r>
      <w:r w:rsidR="00505655">
        <w:rPr>
          <w:rFonts w:ascii="Verdana" w:hAnsi="Verdana"/>
          <w:sz w:val="20"/>
          <w:szCs w:val="20"/>
        </w:rPr>
        <w:t>September 13, 2010 (Vol. 75, No. 176, page 55596-55597</w:t>
      </w:r>
      <w:r w:rsidRPr="00DB451B">
        <w:rPr>
          <w:rFonts w:ascii="Verdana" w:hAnsi="Verdana"/>
          <w:sz w:val="20"/>
          <w:szCs w:val="20"/>
        </w:rPr>
        <w:t xml:space="preserve">).  </w:t>
      </w:r>
      <w:r w:rsidR="005D6F2B">
        <w:rPr>
          <w:rFonts w:ascii="Verdana" w:hAnsi="Verdana"/>
          <w:sz w:val="20"/>
          <w:szCs w:val="20"/>
        </w:rPr>
        <w:t>…</w:t>
      </w:r>
      <w:r w:rsidR="0099149C" w:rsidRPr="00DB451B">
        <w:rPr>
          <w:rFonts w:ascii="Verdana" w:hAnsi="Verdana"/>
          <w:sz w:val="20"/>
          <w:szCs w:val="20"/>
        </w:rPr>
        <w:t xml:space="preserve"> c</w:t>
      </w:r>
      <w:r w:rsidRPr="00DB451B">
        <w:rPr>
          <w:rFonts w:ascii="Verdana" w:hAnsi="Verdana"/>
          <w:sz w:val="20"/>
          <w:szCs w:val="20"/>
        </w:rPr>
        <w:t xml:space="preserve">omments were received.  </w:t>
      </w:r>
    </w:p>
    <w:p w:rsidR="0099149C" w:rsidRPr="00DB451B" w:rsidRDefault="0099149C" w:rsidP="003A6A1A">
      <w:pPr>
        <w:ind w:left="360"/>
        <w:rPr>
          <w:rFonts w:ascii="Verdana" w:hAnsi="Verdana" w:cs="Vrinda"/>
          <w:sz w:val="20"/>
          <w:szCs w:val="20"/>
        </w:rPr>
      </w:pPr>
    </w:p>
    <w:p w:rsidR="003A6A1A" w:rsidRPr="00DB451B" w:rsidRDefault="003A6A1A" w:rsidP="003A6A1A">
      <w:pPr>
        <w:ind w:left="360"/>
        <w:rPr>
          <w:rFonts w:ascii="Verdana" w:hAnsi="Verdana" w:cs="Vrinda"/>
          <w:sz w:val="18"/>
          <w:szCs w:val="18"/>
        </w:rPr>
      </w:pPr>
      <w:r w:rsidRPr="00DB451B">
        <w:rPr>
          <w:rFonts w:ascii="Verdana" w:hAnsi="Verdana" w:cs="Vrinda"/>
          <w:sz w:val="20"/>
          <w:szCs w:val="20"/>
        </w:rPr>
        <w:t>HUD established a working group in February 2007 to identify enhancements for TRACS Release 202C.  The working group consists of HUD Industry Partners (Contract Administrators, Trainers and Software Vendors) and HUD staff.  The working group conducted eight work sessions to determine the requirements for TRACS Release 202C.  During these sessions,</w:t>
      </w:r>
      <w:r w:rsidR="00F861A2" w:rsidRPr="00DB451B">
        <w:rPr>
          <w:rFonts w:ascii="Verdana" w:hAnsi="Verdana" w:cs="Vrinda"/>
          <w:sz w:val="20"/>
          <w:szCs w:val="20"/>
        </w:rPr>
        <w:t xml:space="preserve"> </w:t>
      </w:r>
      <w:r w:rsidRPr="00DB451B">
        <w:rPr>
          <w:rFonts w:ascii="Verdana" w:hAnsi="Verdana" w:cs="Vrinda"/>
          <w:sz w:val="20"/>
          <w:szCs w:val="20"/>
        </w:rPr>
        <w:t xml:space="preserve">forms HUD-50059/HUD-50059-A relative to </w:t>
      </w:r>
      <w:r w:rsidR="0001776D" w:rsidRPr="00DB451B">
        <w:rPr>
          <w:rFonts w:ascii="Verdana" w:hAnsi="Verdana" w:cs="Vrinda"/>
          <w:sz w:val="20"/>
          <w:szCs w:val="20"/>
        </w:rPr>
        <w:t>2502</w:t>
      </w:r>
      <w:r w:rsidRPr="00DB451B">
        <w:rPr>
          <w:rFonts w:ascii="Verdana" w:hAnsi="Verdana" w:cs="Vrinda"/>
          <w:sz w:val="20"/>
          <w:szCs w:val="20"/>
        </w:rPr>
        <w:t>-0204 were revised and designed.</w:t>
      </w:r>
      <w:r w:rsidR="00F861A2" w:rsidRPr="00DB451B">
        <w:rPr>
          <w:rFonts w:ascii="Verdana" w:hAnsi="Verdana" w:cs="Vrinda"/>
          <w:sz w:val="20"/>
          <w:szCs w:val="20"/>
        </w:rPr>
        <w:t xml:space="preserve">  </w:t>
      </w:r>
      <w:r w:rsidRPr="00DB451B">
        <w:rPr>
          <w:rFonts w:ascii="Verdana" w:hAnsi="Verdana" w:cs="Vrinda"/>
          <w:sz w:val="20"/>
          <w:szCs w:val="20"/>
        </w:rPr>
        <w:t xml:space="preserve">On March 13, 2008, HUD held the Quarterly TRACS Industry Meeting in Washington D.C. for approximately 130 Industry Partners (Contract Administrators, Owners/Agents, Service Bureaus, Trainers and Software Vendors).  During the Industry Meeting, a special session was conducted where each form relative to </w:t>
      </w:r>
      <w:r w:rsidR="0001776D" w:rsidRPr="00DB451B">
        <w:rPr>
          <w:rFonts w:ascii="Verdana" w:hAnsi="Verdana" w:cs="Vrinda"/>
          <w:sz w:val="20"/>
          <w:szCs w:val="20"/>
        </w:rPr>
        <w:t>2502</w:t>
      </w:r>
      <w:r w:rsidRPr="00DB451B">
        <w:rPr>
          <w:rFonts w:ascii="Verdana" w:hAnsi="Verdana" w:cs="Vrinda"/>
          <w:sz w:val="20"/>
          <w:szCs w:val="20"/>
        </w:rPr>
        <w:t>-0204 was presented to the attendees for open discussion.  After the Industry Meeting, the Form Presentation was posted to the HUD TRACS Announcement Web Page for review.  On April 9, 2008, HUD held a Virtual Meeting with 115 Contract Administrators and HUD staff where the forms and TRACS 202C enhancements were presented followed by a question and answer period</w:t>
      </w:r>
      <w:r w:rsidRPr="00DB451B">
        <w:rPr>
          <w:rFonts w:ascii="Verdana" w:hAnsi="Verdana" w:cs="Vrinda"/>
          <w:sz w:val="18"/>
          <w:szCs w:val="18"/>
        </w:rPr>
        <w:t xml:space="preserve">.  No comments from the Quarterly TRACS Industry Meeting, Postings or Virtual Meeting resulted in changes to the forms.  </w:t>
      </w:r>
    </w:p>
    <w:p w:rsidR="003A6A1A" w:rsidRPr="00DB451B" w:rsidRDefault="003A6A1A">
      <w:pPr>
        <w:pStyle w:val="Default"/>
        <w:rPr>
          <w:rFonts w:ascii="Verdana" w:hAnsi="Verdana"/>
          <w:color w:val="auto"/>
          <w:sz w:val="20"/>
          <w:szCs w:val="16"/>
        </w:rPr>
      </w:pPr>
    </w:p>
    <w:p w:rsidR="00092310" w:rsidRPr="00DB451B" w:rsidRDefault="00FF51FC">
      <w:pPr>
        <w:pStyle w:val="Default"/>
        <w:ind w:left="360"/>
        <w:rPr>
          <w:rFonts w:ascii="Verdana" w:hAnsi="Verdana"/>
          <w:bCs/>
          <w:color w:val="auto"/>
          <w:sz w:val="20"/>
          <w:szCs w:val="16"/>
        </w:rPr>
      </w:pPr>
      <w:r w:rsidRPr="00DB451B">
        <w:rPr>
          <w:rFonts w:ascii="Verdana" w:hAnsi="Verdana"/>
          <w:bCs/>
          <w:color w:val="auto"/>
          <w:sz w:val="20"/>
          <w:szCs w:val="16"/>
        </w:rPr>
        <w:t xml:space="preserve">HUD consulted with </w:t>
      </w:r>
      <w:r w:rsidR="00B20874" w:rsidRPr="00DB451B">
        <w:rPr>
          <w:rFonts w:ascii="Verdana" w:hAnsi="Verdana"/>
          <w:bCs/>
          <w:color w:val="auto"/>
          <w:sz w:val="20"/>
          <w:szCs w:val="16"/>
        </w:rPr>
        <w:t>the</w:t>
      </w:r>
      <w:r w:rsidRPr="00DB451B">
        <w:rPr>
          <w:rFonts w:ascii="Verdana" w:hAnsi="Verdana"/>
          <w:bCs/>
          <w:color w:val="auto"/>
          <w:sz w:val="20"/>
          <w:szCs w:val="16"/>
        </w:rPr>
        <w:t xml:space="preserve"> following industry partners to discuss ways in which the burden to owners/management agents and tenants can be reduced and the impact th</w:t>
      </w:r>
      <w:r w:rsidR="00557D75" w:rsidRPr="00DB451B">
        <w:rPr>
          <w:rFonts w:ascii="Verdana" w:hAnsi="Verdana"/>
          <w:bCs/>
          <w:color w:val="auto"/>
          <w:sz w:val="20"/>
          <w:szCs w:val="16"/>
        </w:rPr>
        <w:t>e</w:t>
      </w:r>
      <w:r w:rsidRPr="00DB451B">
        <w:rPr>
          <w:rFonts w:ascii="Verdana" w:hAnsi="Verdana"/>
          <w:bCs/>
          <w:color w:val="auto"/>
          <w:sz w:val="20"/>
          <w:szCs w:val="16"/>
        </w:rPr>
        <w:t>s</w:t>
      </w:r>
      <w:r w:rsidR="00557D75" w:rsidRPr="00DB451B">
        <w:rPr>
          <w:rFonts w:ascii="Verdana" w:hAnsi="Verdana"/>
          <w:bCs/>
          <w:color w:val="auto"/>
          <w:sz w:val="20"/>
          <w:szCs w:val="16"/>
        </w:rPr>
        <w:t>e</w:t>
      </w:r>
      <w:r w:rsidRPr="00DB451B">
        <w:rPr>
          <w:rFonts w:ascii="Verdana" w:hAnsi="Verdana"/>
          <w:bCs/>
          <w:color w:val="auto"/>
          <w:sz w:val="20"/>
          <w:szCs w:val="16"/>
        </w:rPr>
        <w:t xml:space="preserve"> revised collection</w:t>
      </w:r>
      <w:r w:rsidR="00557D75" w:rsidRPr="00DB451B">
        <w:rPr>
          <w:rFonts w:ascii="Verdana" w:hAnsi="Verdana"/>
          <w:bCs/>
          <w:color w:val="auto"/>
          <w:sz w:val="20"/>
          <w:szCs w:val="16"/>
        </w:rPr>
        <w:t>s</w:t>
      </w:r>
      <w:r w:rsidRPr="00DB451B">
        <w:rPr>
          <w:rFonts w:ascii="Verdana" w:hAnsi="Verdana"/>
          <w:bCs/>
          <w:color w:val="auto"/>
          <w:sz w:val="20"/>
          <w:szCs w:val="16"/>
        </w:rPr>
        <w:t xml:space="preserve"> will have on the recertification process.  After discussion, th</w:t>
      </w:r>
      <w:r w:rsidR="00B20874" w:rsidRPr="00DB451B">
        <w:rPr>
          <w:rFonts w:ascii="Verdana" w:hAnsi="Verdana"/>
          <w:bCs/>
          <w:color w:val="auto"/>
          <w:sz w:val="20"/>
          <w:szCs w:val="16"/>
        </w:rPr>
        <w:t>e conclusion was reached that th</w:t>
      </w:r>
      <w:r w:rsidR="00557D75" w:rsidRPr="00DB451B">
        <w:rPr>
          <w:rFonts w:ascii="Verdana" w:hAnsi="Verdana"/>
          <w:bCs/>
          <w:color w:val="auto"/>
          <w:sz w:val="20"/>
          <w:szCs w:val="16"/>
        </w:rPr>
        <w:t>ese</w:t>
      </w:r>
      <w:r w:rsidR="00B20874" w:rsidRPr="00DB451B">
        <w:rPr>
          <w:rFonts w:ascii="Verdana" w:hAnsi="Verdana"/>
          <w:bCs/>
          <w:color w:val="auto"/>
          <w:sz w:val="20"/>
          <w:szCs w:val="16"/>
        </w:rPr>
        <w:t xml:space="preserve"> collection</w:t>
      </w:r>
      <w:r w:rsidR="00557D75" w:rsidRPr="00DB451B">
        <w:rPr>
          <w:rFonts w:ascii="Verdana" w:hAnsi="Verdana"/>
          <w:bCs/>
          <w:color w:val="auto"/>
          <w:sz w:val="20"/>
          <w:szCs w:val="16"/>
        </w:rPr>
        <w:t>s</w:t>
      </w:r>
      <w:r w:rsidR="00B20874" w:rsidRPr="00DB451B">
        <w:rPr>
          <w:rFonts w:ascii="Verdana" w:hAnsi="Verdana"/>
          <w:bCs/>
          <w:color w:val="auto"/>
          <w:sz w:val="20"/>
          <w:szCs w:val="16"/>
        </w:rPr>
        <w:t xml:space="preserve"> would have very little impact due to the fact that the requirements are already in place and the provision of HUD forms, notices, leases, etc., in lieu of using documents they or their software contractor ha</w:t>
      </w:r>
      <w:r w:rsidR="008C4880" w:rsidRPr="00DB451B">
        <w:rPr>
          <w:rFonts w:ascii="Verdana" w:hAnsi="Verdana"/>
          <w:bCs/>
          <w:color w:val="auto"/>
          <w:sz w:val="20"/>
          <w:szCs w:val="16"/>
        </w:rPr>
        <w:t>ve</w:t>
      </w:r>
      <w:r w:rsidR="00B20874" w:rsidRPr="00DB451B">
        <w:rPr>
          <w:rFonts w:ascii="Verdana" w:hAnsi="Verdana"/>
          <w:bCs/>
          <w:color w:val="auto"/>
          <w:sz w:val="20"/>
          <w:szCs w:val="16"/>
        </w:rPr>
        <w:t xml:space="preserve"> developed, ensures their compliance with program requirements.  </w:t>
      </w:r>
      <w:r w:rsidR="003A6A1A" w:rsidRPr="00DB451B">
        <w:rPr>
          <w:rFonts w:ascii="Verdana" w:hAnsi="Verdana"/>
          <w:bCs/>
          <w:color w:val="auto"/>
          <w:sz w:val="20"/>
          <w:szCs w:val="16"/>
        </w:rPr>
        <w:t xml:space="preserve"> </w:t>
      </w:r>
    </w:p>
    <w:p w:rsidR="003A6A1A" w:rsidRPr="00DB451B" w:rsidRDefault="003A6A1A">
      <w:pPr>
        <w:pStyle w:val="Default"/>
        <w:ind w:left="360"/>
        <w:rPr>
          <w:rFonts w:ascii="Verdana" w:hAnsi="Verdana"/>
          <w:color w:val="auto"/>
          <w:sz w:val="20"/>
          <w:szCs w:val="16"/>
        </w:rPr>
      </w:pPr>
    </w:p>
    <w:p w:rsidR="00F3083F" w:rsidRPr="00DB451B" w:rsidRDefault="00F3083F" w:rsidP="00F3083F">
      <w:pPr>
        <w:autoSpaceDE w:val="0"/>
        <w:autoSpaceDN w:val="0"/>
        <w:adjustRightInd w:val="0"/>
        <w:ind w:left="360"/>
        <w:rPr>
          <w:rFonts w:ascii="Verdana" w:hAnsi="Verdana"/>
          <w:sz w:val="20"/>
          <w:szCs w:val="20"/>
        </w:rPr>
      </w:pPr>
      <w:r w:rsidRPr="00DB451B">
        <w:rPr>
          <w:rFonts w:ascii="Verdana" w:hAnsi="Verdana"/>
          <w:sz w:val="20"/>
          <w:szCs w:val="20"/>
        </w:rPr>
        <w:t>During the development period of the EIV system, HUD formed an Integrated Project Team (IPT), which consisted of HUD staff, Public Housing Agencies (PHAs) and Multifamily owners and management agents (O/As) to obtain feedback on every aspect of system development and information collection requirements to provide PHAs and O/As with this system, that they have requested HUD to provide for them.  HUD has discussed the requirements under the Federal Privacy Act related to information collection and safeguarding of personally identifying information that is maintained in EIV.  The stakeholders have provided feedback to HUD with respect to mechanisms that can be implemented to reduce the administrative burden of information collection and comply with the requirements under the Federal Privacy Act.  HUD has implemented the majority of the measures that the stakeholders have requested.  Based on the review of the HUD-crafted electronic collection and display of the information to be collected under this PRA request, HUD has received a positive response from the stakeholders.</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numPr>
          <w:ilvl w:val="0"/>
          <w:numId w:val="1"/>
        </w:numPr>
        <w:rPr>
          <w:rFonts w:ascii="Verdana" w:hAnsi="Verdana"/>
          <w:b/>
          <w:color w:val="auto"/>
          <w:sz w:val="20"/>
          <w:szCs w:val="16"/>
        </w:rPr>
      </w:pPr>
      <w:r w:rsidRPr="00DB451B">
        <w:rPr>
          <w:rFonts w:ascii="Verdana" w:hAnsi="Verdana"/>
          <w:b/>
          <w:color w:val="auto"/>
          <w:sz w:val="20"/>
          <w:szCs w:val="16"/>
        </w:rPr>
        <w:t xml:space="preserve">Explain any decision to provide any payment or gift to respondents, other than remuneration of contractors or grantees. </w:t>
      </w:r>
    </w:p>
    <w:p w:rsidR="0084066E" w:rsidRPr="00DB451B" w:rsidRDefault="0084066E">
      <w:pPr>
        <w:pStyle w:val="Default"/>
        <w:rPr>
          <w:rFonts w:ascii="Verdana" w:hAnsi="Verdana"/>
          <w:color w:val="auto"/>
          <w:sz w:val="20"/>
          <w:szCs w:val="16"/>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szCs w:val="16"/>
        </w:rPr>
        <w:t>There are no payments or gifts given to respondents.</w:t>
      </w:r>
    </w:p>
    <w:p w:rsidR="0084066E" w:rsidRPr="00DB451B" w:rsidRDefault="0084066E">
      <w:pPr>
        <w:pStyle w:val="Default"/>
        <w:ind w:left="360"/>
        <w:rPr>
          <w:rFonts w:ascii="Verdana" w:hAnsi="Verdana"/>
          <w:color w:val="auto"/>
          <w:sz w:val="20"/>
          <w:szCs w:val="16"/>
        </w:rPr>
      </w:pPr>
    </w:p>
    <w:p w:rsidR="0084066E" w:rsidRPr="00DB451B" w:rsidRDefault="0084066E">
      <w:pPr>
        <w:pStyle w:val="Default"/>
        <w:numPr>
          <w:ilvl w:val="0"/>
          <w:numId w:val="1"/>
        </w:numPr>
        <w:rPr>
          <w:rFonts w:ascii="Verdana" w:hAnsi="Verdana"/>
          <w:b/>
          <w:color w:val="auto"/>
          <w:sz w:val="20"/>
          <w:szCs w:val="16"/>
        </w:rPr>
      </w:pPr>
      <w:r w:rsidRPr="00DB451B">
        <w:rPr>
          <w:rFonts w:ascii="Verdana" w:hAnsi="Verdana"/>
          <w:b/>
          <w:color w:val="auto"/>
          <w:sz w:val="20"/>
          <w:szCs w:val="16"/>
        </w:rPr>
        <w:t xml:space="preserve">Describe any assurance of confidentiality provided to respondents and the basis for the assurance in statute, regulation, or agency policy. </w:t>
      </w:r>
    </w:p>
    <w:p w:rsidR="0084066E" w:rsidRPr="00DB451B" w:rsidRDefault="0084066E">
      <w:pPr>
        <w:pStyle w:val="Default"/>
        <w:rPr>
          <w:rFonts w:ascii="Verdana" w:hAnsi="Verdana"/>
          <w:color w:val="auto"/>
          <w:sz w:val="20"/>
          <w:szCs w:val="16"/>
        </w:rPr>
      </w:pPr>
    </w:p>
    <w:p w:rsidR="00BF5803" w:rsidRPr="00DB451B" w:rsidRDefault="00BF5803" w:rsidP="00BF5803">
      <w:pPr>
        <w:ind w:left="360"/>
      </w:pPr>
      <w:r w:rsidRPr="00DB451B">
        <w:rPr>
          <w:rFonts w:ascii="Verdana" w:hAnsi="Verdana"/>
          <w:sz w:val="20"/>
          <w:szCs w:val="20"/>
        </w:rPr>
        <w:t>HUD does not promise confidentiality.  However, pursuant to 42 U.S.C. 1437f(ee)(2)(A), for the HUD form 91066, Certification of Domestic Violence, Dating Violence, or Stalking, the information provided by the victim of domestic violence pursuant to the certification form will be retained in confidence and not entered into any shared database nor provided to any related entity except when the disclosure is:  consented to by the individual in writing, requiring for use in eviction proceedings, or otherwise required by law</w:t>
      </w:r>
      <w:r w:rsidRPr="00DB451B">
        <w:t>.</w:t>
      </w:r>
    </w:p>
    <w:p w:rsidR="00AD4690" w:rsidRPr="00DB451B" w:rsidRDefault="00AD4690" w:rsidP="00BF5803">
      <w:pPr>
        <w:ind w:left="360"/>
      </w:pPr>
    </w:p>
    <w:p w:rsidR="00AD4690" w:rsidRPr="00DB451B" w:rsidRDefault="00AD4690" w:rsidP="00AD469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Verdana" w:hAnsi="Verdana" w:cs="Times New Roman"/>
          <w:color w:val="auto"/>
        </w:rPr>
      </w:pPr>
      <w:r w:rsidRPr="00DB451B">
        <w:rPr>
          <w:rFonts w:ascii="Verdana" w:hAnsi="Verdana" w:cs="Times New Roman"/>
          <w:color w:val="auto"/>
        </w:rPr>
        <w:t xml:space="preserve">The integrity and availability of data in EIV is important. Much of the data needs to be protected from unanticipated or unintentional modification, as well as improper and </w:t>
      </w:r>
      <w:r w:rsidR="00511C46" w:rsidRPr="00DB451B">
        <w:rPr>
          <w:rFonts w:ascii="Verdana" w:hAnsi="Verdana" w:cs="Times New Roman"/>
          <w:color w:val="auto"/>
        </w:rPr>
        <w:t>un</w:t>
      </w:r>
      <w:r w:rsidRPr="00DB451B">
        <w:rPr>
          <w:rFonts w:ascii="Verdana" w:hAnsi="Verdana" w:cs="Times New Roman"/>
          <w:color w:val="auto"/>
        </w:rPr>
        <w:t xml:space="preserve">authorized use or disclosure.  HUD restricts the use of this information to HUD approved officials, CAs under contract with HUD and O/As; thus, the data is protected accordingly.  </w:t>
      </w:r>
    </w:p>
    <w:p w:rsidR="00AD4690" w:rsidRPr="00DB451B" w:rsidRDefault="00AD4690" w:rsidP="00AD469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Verdana" w:hAnsi="Verdana" w:cs="Times New Roman"/>
          <w:color w:val="auto"/>
        </w:rPr>
      </w:pPr>
      <w:r w:rsidRPr="00DB451B">
        <w:rPr>
          <w:rFonts w:ascii="Verdana" w:hAnsi="Verdana" w:cs="Times New Roman"/>
          <w:color w:val="auto"/>
        </w:rPr>
        <w:tab/>
      </w:r>
    </w:p>
    <w:p w:rsidR="00AD4690" w:rsidRPr="00DB451B" w:rsidRDefault="00AD4690" w:rsidP="00AD469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Verdana" w:hAnsi="Verdana" w:cs="Times New Roman"/>
          <w:color w:val="auto"/>
        </w:rPr>
      </w:pPr>
      <w:r w:rsidRPr="00DB451B">
        <w:rPr>
          <w:rFonts w:ascii="Verdana" w:hAnsi="Verdana" w:cs="Times New Roman"/>
          <w:color w:val="auto"/>
        </w:rPr>
        <w:t xml:space="preserve">Vulnerabilities and corresponding security measures include: (1) only persons with Web Access Subsystem (WASS) User IDs and passwords may access the EIV system; (2) access to the EIV system is controlled using EIV's security module, which controls a user's access to particular modules based on the user's role and security access level; (3) User IDs are used to identify access to sensitive data by users; (4) data corruption/destruction: MF users do not have write access to databases that contain income information obtained by HUD from third parties.  HUD users’ write access is limited to user administration by authorized personnel.  This will eliminate the risk of data destruction or corruption.  </w:t>
      </w:r>
    </w:p>
    <w:p w:rsidR="00AD4690" w:rsidRPr="00DB451B" w:rsidRDefault="00AD4690" w:rsidP="00BF5803">
      <w:pPr>
        <w:ind w:left="360"/>
      </w:pPr>
    </w:p>
    <w:p w:rsidR="00680E06" w:rsidRPr="00DB451B" w:rsidRDefault="00680E06" w:rsidP="00680E06">
      <w:pPr>
        <w:pStyle w:val="Default"/>
        <w:ind w:left="360"/>
        <w:rPr>
          <w:rFonts w:ascii="Verdana" w:hAnsi="Verdana"/>
          <w:color w:val="auto"/>
          <w:sz w:val="20"/>
          <w:szCs w:val="16"/>
        </w:rPr>
      </w:pPr>
      <w:r w:rsidRPr="00DB451B">
        <w:rPr>
          <w:rFonts w:ascii="Verdana" w:hAnsi="Verdana"/>
          <w:color w:val="auto"/>
          <w:sz w:val="20"/>
          <w:szCs w:val="16"/>
        </w:rPr>
        <w:t xml:space="preserve"> </w:t>
      </w:r>
    </w:p>
    <w:p w:rsidR="0084066E" w:rsidRPr="00DB451B" w:rsidRDefault="0084066E">
      <w:pPr>
        <w:pStyle w:val="Default"/>
        <w:numPr>
          <w:ilvl w:val="0"/>
          <w:numId w:val="1"/>
        </w:numPr>
        <w:rPr>
          <w:rFonts w:ascii="Verdana" w:hAnsi="Verdana"/>
          <w:b/>
          <w:color w:val="auto"/>
          <w:sz w:val="20"/>
          <w:szCs w:val="16"/>
        </w:rPr>
      </w:pPr>
      <w:r w:rsidRPr="00DB451B">
        <w:rPr>
          <w:rFonts w:ascii="Verdana" w:hAnsi="Verdana"/>
          <w:b/>
          <w:color w:val="auto"/>
          <w:sz w:val="20"/>
          <w:szCs w:val="16"/>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066E" w:rsidRPr="00DB451B" w:rsidRDefault="0084066E">
      <w:pPr>
        <w:pStyle w:val="Default"/>
        <w:rPr>
          <w:rFonts w:ascii="Verdana" w:hAnsi="Verdana"/>
          <w:color w:val="auto"/>
          <w:sz w:val="20"/>
          <w:szCs w:val="16"/>
        </w:rPr>
      </w:pPr>
    </w:p>
    <w:p w:rsidR="00BF5803" w:rsidRPr="00DB451B" w:rsidRDefault="00BF5803" w:rsidP="00BF5803">
      <w:pPr>
        <w:pStyle w:val="BodyTextIndent"/>
        <w:rPr>
          <w:rFonts w:ascii="Verdana" w:hAnsi="Verdana"/>
          <w:sz w:val="20"/>
          <w:szCs w:val="20"/>
        </w:rPr>
      </w:pPr>
      <w:r w:rsidRPr="00DB451B">
        <w:rPr>
          <w:rFonts w:ascii="Verdana" w:hAnsi="Verdana"/>
          <w:sz w:val="20"/>
          <w:szCs w:val="20"/>
        </w:rPr>
        <w:t>VAWA 2005 provides that, at the request of a</w:t>
      </w:r>
      <w:r w:rsidR="00422FED" w:rsidRPr="00DB451B">
        <w:rPr>
          <w:rFonts w:ascii="Verdana" w:hAnsi="Verdana"/>
          <w:sz w:val="20"/>
          <w:szCs w:val="20"/>
        </w:rPr>
        <w:t>n</w:t>
      </w:r>
      <w:r w:rsidRPr="00DB451B">
        <w:rPr>
          <w:rFonts w:ascii="Verdana" w:hAnsi="Verdana"/>
          <w:sz w:val="20"/>
          <w:szCs w:val="20"/>
        </w:rPr>
        <w:t xml:space="preserve"> owner or manager, that an individual may certify, via a HUD-approved certification form that the incident or incidences of abuse are bona fide.  VAWA 2005 requires that the form include the name of the perpetrator of the violence and that there is a 14-day deadline (plus any extensions granted by the owner or manager) from the date of the request for such certification, to return the form.  The Department therefore considers the form and its contents necessary in order for victims of abuse to receive the protections of VAWA recognizing that domestic violence is a sensitive topic and that victims of abuse may be reluctant to fill out the certification, the Department has tried to develop a form that clearly and concisely explains the purpose of the form and what information is required. To that end, the form itself has a section that explains its purpose and another section that explains how to use the form, the timeline for submitting the form to the owner and manager and that the protections of VAWA may not apply if the form is not submitted in a timely manner.  The form also informs the individual of alternate documentation that may satisfy the certification requirement.  </w:t>
      </w:r>
    </w:p>
    <w:p w:rsidR="00AD4690" w:rsidRPr="00DB451B" w:rsidRDefault="00AD4690" w:rsidP="00BF5803">
      <w:pPr>
        <w:pStyle w:val="BodyTextIndent"/>
        <w:rPr>
          <w:rFonts w:ascii="Verdana" w:hAnsi="Verdana"/>
          <w:sz w:val="20"/>
          <w:szCs w:val="20"/>
        </w:rPr>
      </w:pPr>
    </w:p>
    <w:p w:rsidR="00AD4690" w:rsidRPr="00DB451B" w:rsidRDefault="00AD4690" w:rsidP="00AD4690">
      <w:pPr>
        <w:autoSpaceDE w:val="0"/>
        <w:autoSpaceDN w:val="0"/>
        <w:adjustRightInd w:val="0"/>
        <w:ind w:firstLine="360"/>
        <w:rPr>
          <w:rFonts w:ascii="Verdana" w:hAnsi="Verdana"/>
          <w:sz w:val="20"/>
          <w:szCs w:val="20"/>
        </w:rPr>
      </w:pPr>
      <w:r w:rsidRPr="00DB451B">
        <w:rPr>
          <w:rFonts w:ascii="Verdana" w:hAnsi="Verdana"/>
          <w:sz w:val="20"/>
          <w:szCs w:val="20"/>
        </w:rPr>
        <w:t>HUD does not require the asking of private or sensitive questions of the respondents or third parties.</w:t>
      </w:r>
    </w:p>
    <w:p w:rsidR="00AD4690" w:rsidRPr="00DB451B" w:rsidRDefault="00AD4690" w:rsidP="00AD4690">
      <w:pPr>
        <w:pStyle w:val="BodyTextIndent"/>
        <w:ind w:firstLine="360"/>
        <w:rPr>
          <w:rFonts w:ascii="Verdana" w:hAnsi="Verdana"/>
          <w:sz w:val="20"/>
          <w:szCs w:val="20"/>
        </w:rPr>
      </w:pPr>
    </w:p>
    <w:p w:rsidR="0084066E" w:rsidRPr="00DB451B" w:rsidRDefault="0084066E">
      <w:pPr>
        <w:pStyle w:val="Default"/>
        <w:numPr>
          <w:ilvl w:val="0"/>
          <w:numId w:val="1"/>
        </w:numPr>
        <w:rPr>
          <w:rFonts w:ascii="Verdana" w:hAnsi="Verdana"/>
          <w:b/>
          <w:color w:val="auto"/>
          <w:sz w:val="20"/>
          <w:szCs w:val="16"/>
        </w:rPr>
      </w:pPr>
      <w:r w:rsidRPr="00DB451B">
        <w:rPr>
          <w:rFonts w:ascii="Verdana" w:hAnsi="Verdana"/>
          <w:b/>
          <w:color w:val="auto"/>
          <w:sz w:val="20"/>
          <w:szCs w:val="16"/>
        </w:rPr>
        <w:t xml:space="preserve">Provide estimates of the hour burden of the collection of information.  The statement should: </w:t>
      </w:r>
    </w:p>
    <w:p w:rsidR="0084066E" w:rsidRPr="00DB451B" w:rsidRDefault="0084066E">
      <w:pPr>
        <w:pStyle w:val="Default"/>
        <w:numPr>
          <w:ilvl w:val="0"/>
          <w:numId w:val="20"/>
        </w:numPr>
        <w:rPr>
          <w:rFonts w:ascii="Verdana" w:hAnsi="Verdana"/>
          <w:b/>
          <w:color w:val="auto"/>
          <w:sz w:val="18"/>
          <w:szCs w:val="16"/>
        </w:rPr>
      </w:pPr>
      <w:r w:rsidRPr="00DB451B">
        <w:rPr>
          <w:rFonts w:ascii="Verdana" w:hAnsi="Verdana"/>
          <w:b/>
          <w:color w:val="auto"/>
          <w:sz w:val="18"/>
          <w:szCs w:val="16"/>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4066E" w:rsidRPr="00DB451B" w:rsidRDefault="0084066E">
      <w:pPr>
        <w:pStyle w:val="Default"/>
        <w:numPr>
          <w:ilvl w:val="0"/>
          <w:numId w:val="20"/>
        </w:numPr>
        <w:rPr>
          <w:rFonts w:ascii="Verdana" w:hAnsi="Verdana"/>
          <w:b/>
          <w:color w:val="auto"/>
          <w:sz w:val="18"/>
          <w:szCs w:val="16"/>
        </w:rPr>
      </w:pPr>
      <w:r w:rsidRPr="00DB451B">
        <w:rPr>
          <w:rFonts w:ascii="Verdana" w:hAnsi="Verdana"/>
          <w:b/>
          <w:color w:val="auto"/>
          <w:sz w:val="18"/>
          <w:szCs w:val="16"/>
        </w:rPr>
        <w:t xml:space="preserve">If this request for approval covers more than one form, provide separate hour burden estimates for each form and aggregate the hour burdens in Item 13 of OMB Form 83-I. </w:t>
      </w:r>
    </w:p>
    <w:p w:rsidR="0084066E" w:rsidRPr="00DB451B" w:rsidRDefault="0084066E">
      <w:pPr>
        <w:pStyle w:val="Default"/>
        <w:numPr>
          <w:ilvl w:val="0"/>
          <w:numId w:val="20"/>
        </w:numPr>
        <w:rPr>
          <w:rFonts w:ascii="Verdana" w:hAnsi="Verdana"/>
          <w:b/>
          <w:color w:val="auto"/>
          <w:sz w:val="18"/>
          <w:szCs w:val="16"/>
        </w:rPr>
      </w:pPr>
      <w:r w:rsidRPr="00DB451B">
        <w:rPr>
          <w:rFonts w:ascii="Verdana" w:hAnsi="Verdana"/>
          <w:b/>
          <w:color w:val="auto"/>
          <w:sz w:val="18"/>
          <w:szCs w:val="16"/>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84066E" w:rsidRPr="00DB451B" w:rsidRDefault="0084066E">
      <w:pPr>
        <w:pStyle w:val="Default"/>
        <w:ind w:left="360"/>
        <w:rPr>
          <w:rFonts w:ascii="Verdana" w:hAnsi="Verdana"/>
          <w:color w:val="auto"/>
          <w:sz w:val="18"/>
          <w:szCs w:val="16"/>
        </w:rPr>
      </w:pPr>
    </w:p>
    <w:p w:rsidR="00D144D2" w:rsidRPr="00DB451B" w:rsidRDefault="00092310">
      <w:pPr>
        <w:pStyle w:val="Default"/>
        <w:ind w:left="360"/>
        <w:rPr>
          <w:rFonts w:ascii="Verdana" w:hAnsi="Verdana"/>
          <w:color w:val="auto"/>
          <w:sz w:val="20"/>
          <w:szCs w:val="20"/>
        </w:rPr>
      </w:pPr>
      <w:r w:rsidRPr="00DB451B">
        <w:rPr>
          <w:rFonts w:ascii="Verdana" w:hAnsi="Verdana"/>
          <w:color w:val="auto"/>
          <w:sz w:val="20"/>
          <w:szCs w:val="20"/>
        </w:rPr>
        <w:t>Project owners/management agents</w:t>
      </w:r>
      <w:r w:rsidR="00AD4690" w:rsidRPr="00DB451B">
        <w:rPr>
          <w:rFonts w:ascii="Verdana" w:hAnsi="Verdana"/>
          <w:color w:val="auto"/>
          <w:sz w:val="20"/>
          <w:szCs w:val="20"/>
        </w:rPr>
        <w:t xml:space="preserve"> </w:t>
      </w:r>
      <w:r w:rsidRPr="00DB451B">
        <w:rPr>
          <w:rFonts w:ascii="Verdana" w:hAnsi="Verdana"/>
          <w:color w:val="auto"/>
          <w:sz w:val="20"/>
          <w:szCs w:val="20"/>
        </w:rPr>
        <w:t xml:space="preserve">must perform an </w:t>
      </w:r>
      <w:r w:rsidR="005F7489" w:rsidRPr="00DB451B">
        <w:rPr>
          <w:rFonts w:ascii="Verdana" w:hAnsi="Verdana"/>
          <w:color w:val="auto"/>
          <w:sz w:val="20"/>
          <w:szCs w:val="20"/>
        </w:rPr>
        <w:t xml:space="preserve">initial certification and an </w:t>
      </w:r>
      <w:r w:rsidRPr="00DB451B">
        <w:rPr>
          <w:rFonts w:ascii="Verdana" w:hAnsi="Verdana"/>
          <w:color w:val="auto"/>
          <w:sz w:val="20"/>
          <w:szCs w:val="20"/>
        </w:rPr>
        <w:t>annual recertification and complete the data elements known as the HUD-50059 for each hou</w:t>
      </w:r>
      <w:r w:rsidR="004A2E9B" w:rsidRPr="00DB451B">
        <w:rPr>
          <w:rFonts w:ascii="Verdana" w:hAnsi="Verdana"/>
          <w:color w:val="auto"/>
          <w:sz w:val="20"/>
          <w:szCs w:val="20"/>
        </w:rPr>
        <w:t xml:space="preserve">sehold.  </w:t>
      </w:r>
      <w:r w:rsidR="006C1381" w:rsidRPr="00DB451B">
        <w:rPr>
          <w:rFonts w:ascii="Verdana" w:hAnsi="Verdana"/>
          <w:color w:val="auto"/>
          <w:sz w:val="20"/>
          <w:szCs w:val="20"/>
        </w:rPr>
        <w:t>The HUD-50059 is a compilation of the information</w:t>
      </w:r>
      <w:r w:rsidR="005F7489" w:rsidRPr="00DB451B">
        <w:rPr>
          <w:rFonts w:ascii="Verdana" w:hAnsi="Verdana"/>
          <w:color w:val="auto"/>
          <w:sz w:val="20"/>
          <w:szCs w:val="20"/>
        </w:rPr>
        <w:t xml:space="preserve"> </w:t>
      </w:r>
      <w:r w:rsidR="006C1381" w:rsidRPr="00DB451B">
        <w:rPr>
          <w:rFonts w:ascii="Verdana" w:hAnsi="Verdana"/>
          <w:color w:val="auto"/>
          <w:sz w:val="20"/>
          <w:szCs w:val="20"/>
        </w:rPr>
        <w:t>on</w:t>
      </w:r>
      <w:r w:rsidR="005F7489" w:rsidRPr="00DB451B">
        <w:rPr>
          <w:rFonts w:ascii="Verdana" w:hAnsi="Verdana"/>
          <w:color w:val="auto"/>
          <w:sz w:val="20"/>
          <w:szCs w:val="20"/>
        </w:rPr>
        <w:t xml:space="preserve"> each tenant within a household that is used for determining the household’s rent and the amount of subsidy HUD will pay on the household’s behalf.</w:t>
      </w:r>
      <w:r w:rsidR="006C1381" w:rsidRPr="00DB451B">
        <w:rPr>
          <w:rFonts w:ascii="Verdana" w:hAnsi="Verdana"/>
          <w:color w:val="auto"/>
          <w:sz w:val="20"/>
          <w:szCs w:val="20"/>
        </w:rPr>
        <w:t xml:space="preserve">  </w:t>
      </w:r>
      <w:r w:rsidR="007656D4" w:rsidRPr="00DB451B">
        <w:rPr>
          <w:rFonts w:ascii="Verdana" w:hAnsi="Verdana"/>
          <w:color w:val="auto"/>
          <w:sz w:val="20"/>
          <w:szCs w:val="20"/>
        </w:rPr>
        <w:t>There are</w:t>
      </w:r>
      <w:r w:rsidR="006C1381" w:rsidRPr="00DB451B">
        <w:rPr>
          <w:rFonts w:ascii="Verdana" w:hAnsi="Verdana"/>
          <w:color w:val="auto"/>
          <w:sz w:val="20"/>
          <w:szCs w:val="20"/>
        </w:rPr>
        <w:t xml:space="preserve"> </w:t>
      </w:r>
      <w:r w:rsidR="00B97E18" w:rsidRPr="00DB451B">
        <w:rPr>
          <w:rFonts w:ascii="Verdana" w:hAnsi="Verdana"/>
          <w:color w:val="auto"/>
          <w:sz w:val="20"/>
          <w:szCs w:val="20"/>
        </w:rPr>
        <w:t xml:space="preserve">1,302,939 </w:t>
      </w:r>
      <w:r w:rsidR="007656D4" w:rsidRPr="00DB451B">
        <w:rPr>
          <w:rFonts w:ascii="Verdana" w:hAnsi="Verdana"/>
          <w:color w:val="auto"/>
          <w:sz w:val="20"/>
          <w:szCs w:val="20"/>
        </w:rPr>
        <w:t xml:space="preserve">households consisting of </w:t>
      </w:r>
      <w:r w:rsidR="00B97E18" w:rsidRPr="00DB451B">
        <w:rPr>
          <w:rFonts w:ascii="Verdana" w:hAnsi="Verdana"/>
          <w:color w:val="auto"/>
          <w:sz w:val="20"/>
          <w:szCs w:val="20"/>
        </w:rPr>
        <w:t>2,160,726</w:t>
      </w:r>
      <w:r w:rsidR="007656D4" w:rsidRPr="00DB451B">
        <w:rPr>
          <w:rFonts w:ascii="Verdana" w:hAnsi="Verdana"/>
          <w:color w:val="auto"/>
          <w:sz w:val="20"/>
          <w:szCs w:val="20"/>
        </w:rPr>
        <w:t xml:space="preserve"> tenants.</w:t>
      </w:r>
      <w:r w:rsidR="00AD4690" w:rsidRPr="00DB451B">
        <w:rPr>
          <w:rFonts w:ascii="Verdana" w:hAnsi="Verdana"/>
          <w:color w:val="auto"/>
          <w:sz w:val="20"/>
          <w:szCs w:val="20"/>
        </w:rPr>
        <w:t xml:space="preserve">  Prior to completing the HUD-50059, </w:t>
      </w:r>
      <w:r w:rsidR="000A2D15" w:rsidRPr="00DB451B">
        <w:rPr>
          <w:rFonts w:ascii="Verdana" w:hAnsi="Verdana"/>
          <w:color w:val="auto"/>
          <w:sz w:val="20"/>
          <w:szCs w:val="20"/>
        </w:rPr>
        <w:t xml:space="preserve">owners/management agents </w:t>
      </w:r>
      <w:r w:rsidR="00AD4690" w:rsidRPr="00DB451B">
        <w:rPr>
          <w:rFonts w:ascii="Verdana" w:hAnsi="Verdana"/>
          <w:color w:val="auto"/>
          <w:sz w:val="20"/>
          <w:szCs w:val="20"/>
        </w:rPr>
        <w:t xml:space="preserve">are required to verify tenant’s income and employment information.  This is accomplished by the mandatory use of EIV.  Due to the sensitivity of the data contained in the EIV system, </w:t>
      </w:r>
      <w:r w:rsidR="000A2D15" w:rsidRPr="00DB451B">
        <w:rPr>
          <w:rFonts w:ascii="Verdana" w:hAnsi="Verdana"/>
          <w:color w:val="auto"/>
          <w:sz w:val="20"/>
          <w:szCs w:val="20"/>
        </w:rPr>
        <w:t xml:space="preserve">owners/management agents </w:t>
      </w:r>
      <w:r w:rsidR="00AD4690" w:rsidRPr="00DB451B">
        <w:rPr>
          <w:rFonts w:ascii="Verdana" w:hAnsi="Verdana"/>
          <w:color w:val="auto"/>
          <w:sz w:val="20"/>
          <w:szCs w:val="20"/>
        </w:rPr>
        <w:t>must be granted access to the system by an authorized</w:t>
      </w:r>
      <w:r w:rsidR="000A2D15" w:rsidRPr="00DB451B">
        <w:rPr>
          <w:rFonts w:ascii="Verdana" w:hAnsi="Verdana"/>
          <w:color w:val="auto"/>
          <w:sz w:val="20"/>
          <w:szCs w:val="20"/>
        </w:rPr>
        <w:t xml:space="preserve"> official. </w:t>
      </w:r>
      <w:r w:rsidR="004F397C" w:rsidRPr="00DB451B">
        <w:rPr>
          <w:rFonts w:ascii="Verdana" w:hAnsi="Verdana"/>
          <w:color w:val="auto"/>
          <w:sz w:val="20"/>
          <w:szCs w:val="20"/>
        </w:rPr>
        <w:t>Initial authorization is granted once for each owner/management agent. Anticipated owner/ management agent</w:t>
      </w:r>
      <w:r w:rsidR="000A2D15" w:rsidRPr="00DB451B">
        <w:rPr>
          <w:rFonts w:ascii="Verdana" w:hAnsi="Verdana"/>
          <w:color w:val="auto"/>
          <w:sz w:val="20"/>
          <w:szCs w:val="20"/>
        </w:rPr>
        <w:t xml:space="preserve"> requi</w:t>
      </w:r>
      <w:r w:rsidR="00307808">
        <w:rPr>
          <w:rFonts w:ascii="Verdana" w:hAnsi="Verdana"/>
          <w:color w:val="auto"/>
          <w:sz w:val="20"/>
          <w:szCs w:val="20"/>
        </w:rPr>
        <w:t>ring completion of the HUD-90011 and HUD-9001</w:t>
      </w:r>
      <w:r w:rsidR="000A2D15" w:rsidRPr="00DB451B">
        <w:rPr>
          <w:rFonts w:ascii="Verdana" w:hAnsi="Verdana"/>
          <w:color w:val="auto"/>
          <w:sz w:val="20"/>
          <w:szCs w:val="20"/>
        </w:rPr>
        <w:t>2 is 24,000.  This brings the total number of respondents to 2,184,726.</w:t>
      </w:r>
    </w:p>
    <w:p w:rsidR="00450660" w:rsidRPr="00DB451B" w:rsidRDefault="00450660">
      <w:pPr>
        <w:pStyle w:val="Default"/>
        <w:ind w:left="360"/>
        <w:rPr>
          <w:rFonts w:ascii="Verdana" w:hAnsi="Verdana"/>
          <w:color w:val="auto"/>
          <w:sz w:val="20"/>
          <w:szCs w:val="20"/>
        </w:rPr>
      </w:pPr>
    </w:p>
    <w:p w:rsidR="00450660" w:rsidRPr="00DB451B" w:rsidRDefault="00450660">
      <w:pPr>
        <w:pStyle w:val="Default"/>
        <w:ind w:left="360"/>
        <w:rPr>
          <w:rFonts w:ascii="Verdana" w:hAnsi="Verdana"/>
          <w:b/>
          <w:color w:val="auto"/>
          <w:sz w:val="20"/>
          <w:szCs w:val="20"/>
        </w:rPr>
      </w:pPr>
      <w:r w:rsidRPr="00DB451B">
        <w:rPr>
          <w:rFonts w:ascii="Verdana" w:hAnsi="Verdana"/>
          <w:color w:val="auto"/>
          <w:sz w:val="20"/>
          <w:szCs w:val="20"/>
        </w:rPr>
        <w:tab/>
      </w:r>
    </w:p>
    <w:p w:rsidR="004A2E9B" w:rsidRPr="00DB451B" w:rsidRDefault="004A2E9B">
      <w:pPr>
        <w:pStyle w:val="Default"/>
        <w:ind w:left="360"/>
        <w:rPr>
          <w:rFonts w:ascii="Verdana" w:hAnsi="Verdana"/>
          <w:color w:val="auto"/>
          <w:sz w:val="20"/>
          <w:szCs w:val="20"/>
        </w:rPr>
      </w:pPr>
    </w:p>
    <w:p w:rsidR="004A2E9B" w:rsidRPr="00DB451B" w:rsidRDefault="004A2E9B" w:rsidP="00BC5C4F">
      <w:pPr>
        <w:pStyle w:val="Default"/>
        <w:numPr>
          <w:ilvl w:val="2"/>
          <w:numId w:val="1"/>
        </w:numPr>
        <w:tabs>
          <w:tab w:val="clear" w:pos="1980"/>
          <w:tab w:val="num" w:pos="1122"/>
        </w:tabs>
        <w:ind w:left="1122" w:hanging="374"/>
        <w:rPr>
          <w:rFonts w:ascii="Verdana" w:hAnsi="Verdana"/>
          <w:color w:val="auto"/>
          <w:sz w:val="20"/>
          <w:szCs w:val="20"/>
        </w:rPr>
      </w:pPr>
      <w:r w:rsidRPr="00DB451B">
        <w:rPr>
          <w:rFonts w:ascii="Verdana" w:hAnsi="Verdana"/>
          <w:color w:val="auto"/>
          <w:sz w:val="20"/>
          <w:szCs w:val="20"/>
        </w:rPr>
        <w:t>Time needed to (1) interview the family to identify income, assets, allowances and household composition; (2) obtain and analyze verifications of the information supplied by the tenant; (3)</w:t>
      </w:r>
      <w:r w:rsidR="00AD1231" w:rsidRPr="00DB451B">
        <w:rPr>
          <w:rFonts w:ascii="Verdana" w:hAnsi="Verdana"/>
          <w:color w:val="auto"/>
          <w:sz w:val="20"/>
          <w:szCs w:val="20"/>
        </w:rPr>
        <w:t xml:space="preserve"> </w:t>
      </w:r>
      <w:r w:rsidR="00577B51" w:rsidRPr="00DB451B">
        <w:rPr>
          <w:rFonts w:ascii="Verdana" w:hAnsi="Verdana"/>
          <w:color w:val="auto"/>
          <w:sz w:val="20"/>
          <w:szCs w:val="20"/>
        </w:rPr>
        <w:t>prepare the HUD-50059</w:t>
      </w:r>
      <w:r w:rsidR="00AD1231" w:rsidRPr="00DB451B">
        <w:rPr>
          <w:rFonts w:ascii="Verdana" w:hAnsi="Verdana"/>
          <w:color w:val="auto"/>
          <w:sz w:val="20"/>
          <w:szCs w:val="20"/>
        </w:rPr>
        <w:t>; (4) obtain tenant consent for the release of information; and, (5) obtain race and ethnic data</w:t>
      </w:r>
      <w:r w:rsidRPr="00DB451B">
        <w:rPr>
          <w:rFonts w:ascii="Verdana" w:hAnsi="Verdana"/>
          <w:color w:val="auto"/>
          <w:sz w:val="20"/>
          <w:szCs w:val="20"/>
        </w:rPr>
        <w:t xml:space="preserve"> is 58 minutes.</w:t>
      </w:r>
      <w:r w:rsidR="009B677A" w:rsidRPr="00DB451B">
        <w:rPr>
          <w:rFonts w:ascii="Verdana" w:hAnsi="Verdana"/>
          <w:color w:val="auto"/>
          <w:sz w:val="20"/>
          <w:szCs w:val="20"/>
        </w:rPr>
        <w:t xml:space="preserve">  58 minutes x</w:t>
      </w:r>
      <w:r w:rsidR="008F63E6" w:rsidRPr="00DB451B">
        <w:rPr>
          <w:rFonts w:ascii="Verdana" w:hAnsi="Verdana"/>
          <w:color w:val="auto"/>
          <w:sz w:val="20"/>
          <w:szCs w:val="20"/>
        </w:rPr>
        <w:t xml:space="preserve"> 1,302,939 </w:t>
      </w:r>
      <w:r w:rsidR="00F32493" w:rsidRPr="00DB451B">
        <w:rPr>
          <w:rFonts w:ascii="Verdana" w:hAnsi="Verdana"/>
          <w:color w:val="auto"/>
          <w:sz w:val="20"/>
          <w:szCs w:val="20"/>
        </w:rPr>
        <w:t>households =</w:t>
      </w:r>
      <w:r w:rsidR="00BE4034" w:rsidRPr="00DB451B">
        <w:rPr>
          <w:rFonts w:ascii="Verdana" w:hAnsi="Verdana"/>
          <w:color w:val="auto"/>
          <w:sz w:val="20"/>
          <w:szCs w:val="20"/>
        </w:rPr>
        <w:t xml:space="preserve"> 1,</w:t>
      </w:r>
      <w:r w:rsidR="008F63E6" w:rsidRPr="00DB451B">
        <w:rPr>
          <w:rFonts w:ascii="Verdana" w:hAnsi="Verdana"/>
          <w:color w:val="auto"/>
          <w:sz w:val="20"/>
          <w:szCs w:val="20"/>
        </w:rPr>
        <w:t>259</w:t>
      </w:r>
      <w:r w:rsidR="00BE4034" w:rsidRPr="00DB451B">
        <w:rPr>
          <w:rFonts w:ascii="Verdana" w:hAnsi="Verdana"/>
          <w:color w:val="auto"/>
          <w:sz w:val="20"/>
          <w:szCs w:val="20"/>
        </w:rPr>
        <w:t>,</w:t>
      </w:r>
      <w:r w:rsidR="00321BF8" w:rsidRPr="00DB451B">
        <w:rPr>
          <w:rFonts w:ascii="Verdana" w:hAnsi="Verdana"/>
          <w:color w:val="auto"/>
          <w:sz w:val="20"/>
          <w:szCs w:val="20"/>
        </w:rPr>
        <w:t>5</w:t>
      </w:r>
      <w:r w:rsidR="008F63E6" w:rsidRPr="00DB451B">
        <w:rPr>
          <w:rFonts w:ascii="Verdana" w:hAnsi="Verdana"/>
          <w:color w:val="auto"/>
          <w:sz w:val="20"/>
          <w:szCs w:val="20"/>
        </w:rPr>
        <w:t>5</w:t>
      </w:r>
      <w:r w:rsidR="00321BF8" w:rsidRPr="00DB451B">
        <w:rPr>
          <w:rFonts w:ascii="Verdana" w:hAnsi="Verdana"/>
          <w:color w:val="auto"/>
          <w:sz w:val="20"/>
          <w:szCs w:val="20"/>
        </w:rPr>
        <w:t>1</w:t>
      </w:r>
      <w:r w:rsidR="00D309A3" w:rsidRPr="00DB451B">
        <w:rPr>
          <w:rFonts w:ascii="Verdana" w:hAnsi="Verdana"/>
          <w:color w:val="auto"/>
          <w:sz w:val="20"/>
          <w:szCs w:val="20"/>
        </w:rPr>
        <w:t xml:space="preserve"> hours</w:t>
      </w:r>
      <w:r w:rsidR="00BE4034" w:rsidRPr="00DB451B">
        <w:rPr>
          <w:rFonts w:ascii="Verdana" w:hAnsi="Verdana"/>
          <w:color w:val="auto"/>
          <w:sz w:val="20"/>
          <w:szCs w:val="20"/>
        </w:rPr>
        <w:t>.</w:t>
      </w:r>
      <w:r w:rsidR="00BE4034" w:rsidRPr="00DB451B">
        <w:rPr>
          <w:rFonts w:ascii="Verdana" w:hAnsi="Verdana"/>
          <w:color w:val="auto"/>
          <w:sz w:val="16"/>
          <w:szCs w:val="16"/>
        </w:rPr>
        <w:t xml:space="preserve"> </w:t>
      </w:r>
      <w:r w:rsidR="008F63E6" w:rsidRPr="00DB451B">
        <w:rPr>
          <w:rFonts w:ascii="Verdana" w:hAnsi="Verdana"/>
          <w:color w:val="auto"/>
          <w:sz w:val="16"/>
          <w:szCs w:val="16"/>
        </w:rPr>
        <w:t xml:space="preserve"> </w:t>
      </w:r>
    </w:p>
    <w:p w:rsidR="004E35B1" w:rsidRPr="00DB451B" w:rsidRDefault="004E35B1" w:rsidP="004E35B1">
      <w:pPr>
        <w:pStyle w:val="Default"/>
        <w:ind w:left="748"/>
        <w:rPr>
          <w:rFonts w:ascii="Verdana" w:hAnsi="Verdana"/>
          <w:color w:val="auto"/>
          <w:sz w:val="20"/>
          <w:szCs w:val="20"/>
        </w:rPr>
      </w:pPr>
    </w:p>
    <w:p w:rsidR="00BC5C4F" w:rsidRPr="00DB451B" w:rsidRDefault="00BC5C4F" w:rsidP="00BC5C4F">
      <w:pPr>
        <w:pStyle w:val="Default"/>
        <w:numPr>
          <w:ilvl w:val="2"/>
          <w:numId w:val="1"/>
        </w:numPr>
        <w:tabs>
          <w:tab w:val="clear" w:pos="1980"/>
          <w:tab w:val="num" w:pos="1122"/>
        </w:tabs>
        <w:ind w:left="1122" w:hanging="374"/>
        <w:rPr>
          <w:rFonts w:ascii="Verdana" w:hAnsi="Verdana"/>
          <w:color w:val="auto"/>
          <w:sz w:val="20"/>
          <w:szCs w:val="20"/>
        </w:rPr>
      </w:pPr>
      <w:r w:rsidRPr="00DB451B">
        <w:rPr>
          <w:rFonts w:ascii="Verdana" w:hAnsi="Verdana"/>
          <w:color w:val="auto"/>
          <w:sz w:val="20"/>
          <w:szCs w:val="20"/>
        </w:rPr>
        <w:t xml:space="preserve">Owners/management agents must provide the Annual Recertification Initial Notice annually to each household.  They must obtain the signature of the head of household and must sign as the signatory witness on the Annual Recertification Initial Notice that notifies each household when their next annual recertification will take place. Time to complete form and obtain the signatures. - 4 minutes.  4 minutes x </w:t>
      </w:r>
      <w:r w:rsidR="00B97E18" w:rsidRPr="00DB451B">
        <w:rPr>
          <w:rFonts w:ascii="Verdana" w:hAnsi="Verdana"/>
          <w:color w:val="auto"/>
          <w:sz w:val="20"/>
          <w:szCs w:val="20"/>
        </w:rPr>
        <w:t xml:space="preserve">1,302,939 </w:t>
      </w:r>
      <w:r w:rsidRPr="00DB451B">
        <w:rPr>
          <w:rFonts w:ascii="Verdana" w:hAnsi="Verdana"/>
          <w:color w:val="auto"/>
          <w:sz w:val="20"/>
          <w:szCs w:val="20"/>
        </w:rPr>
        <w:t xml:space="preserve">households = </w:t>
      </w:r>
      <w:r w:rsidR="00B97E18" w:rsidRPr="00DB451B">
        <w:rPr>
          <w:rFonts w:ascii="Verdana" w:hAnsi="Verdana"/>
          <w:color w:val="auto"/>
          <w:sz w:val="20"/>
          <w:szCs w:val="20"/>
        </w:rPr>
        <w:t>86,906</w:t>
      </w:r>
      <w:r w:rsidRPr="00DB451B">
        <w:rPr>
          <w:rFonts w:ascii="Verdana" w:hAnsi="Verdana"/>
          <w:color w:val="auto"/>
          <w:sz w:val="20"/>
          <w:szCs w:val="20"/>
        </w:rPr>
        <w:t xml:space="preserve"> hours.</w:t>
      </w:r>
      <w:r w:rsidR="00B97E18" w:rsidRPr="00DB451B">
        <w:rPr>
          <w:rFonts w:ascii="Verdana" w:hAnsi="Verdana"/>
          <w:color w:val="auto"/>
          <w:sz w:val="16"/>
          <w:szCs w:val="16"/>
        </w:rPr>
        <w:t xml:space="preserve">  </w:t>
      </w:r>
      <w:r w:rsidR="00BE4034" w:rsidRPr="00DB451B">
        <w:rPr>
          <w:rFonts w:ascii="Verdana" w:hAnsi="Verdana"/>
          <w:color w:val="auto"/>
          <w:sz w:val="16"/>
          <w:szCs w:val="16"/>
        </w:rPr>
        <w:t xml:space="preserve"> </w:t>
      </w:r>
    </w:p>
    <w:p w:rsidR="004E35B1" w:rsidRPr="00DB451B" w:rsidRDefault="004E35B1" w:rsidP="004E35B1">
      <w:pPr>
        <w:pStyle w:val="Default"/>
        <w:rPr>
          <w:rFonts w:ascii="Verdana" w:hAnsi="Verdana"/>
          <w:color w:val="auto"/>
          <w:sz w:val="20"/>
          <w:szCs w:val="20"/>
        </w:rPr>
      </w:pPr>
    </w:p>
    <w:p w:rsidR="00BC5C4F" w:rsidRPr="00DB451B" w:rsidRDefault="00BC5C4F" w:rsidP="00BC5C4F">
      <w:pPr>
        <w:pStyle w:val="Default"/>
        <w:numPr>
          <w:ilvl w:val="2"/>
          <w:numId w:val="1"/>
        </w:numPr>
        <w:tabs>
          <w:tab w:val="clear" w:pos="1980"/>
          <w:tab w:val="num" w:pos="1122"/>
        </w:tabs>
        <w:ind w:left="1122" w:hanging="374"/>
        <w:rPr>
          <w:rFonts w:ascii="Verdana" w:hAnsi="Verdana"/>
          <w:color w:val="auto"/>
          <w:sz w:val="20"/>
          <w:szCs w:val="20"/>
        </w:rPr>
      </w:pPr>
      <w:r w:rsidRPr="00DB451B">
        <w:rPr>
          <w:rFonts w:ascii="Verdana" w:hAnsi="Verdana"/>
          <w:color w:val="auto"/>
          <w:sz w:val="20"/>
          <w:szCs w:val="20"/>
        </w:rPr>
        <w:t>Tenant’s who have a long-term care insurance policy must provide certification annually to the owner/management agent that the policy meets the required provisions in order for the insurance premiums paid by the tenant to be included as an allowable medical expense deduction. Time for tenant to complete and sign the Sample Certification for Qualified Long- Term Care Insurance Expenses - 10 minutes.  10 minutes x certifications for 40 tenants = 7 hours.</w:t>
      </w:r>
    </w:p>
    <w:p w:rsidR="004E35B1" w:rsidRPr="00DB451B" w:rsidRDefault="004E35B1" w:rsidP="004E35B1">
      <w:pPr>
        <w:pStyle w:val="Default"/>
        <w:rPr>
          <w:rFonts w:ascii="Verdana" w:hAnsi="Verdana"/>
          <w:color w:val="auto"/>
          <w:sz w:val="20"/>
          <w:szCs w:val="20"/>
        </w:rPr>
      </w:pPr>
    </w:p>
    <w:p w:rsidR="00BC5C4F" w:rsidRPr="00DB451B" w:rsidRDefault="00BC5C4F" w:rsidP="00BC5C4F">
      <w:pPr>
        <w:pStyle w:val="Default"/>
        <w:numPr>
          <w:ilvl w:val="2"/>
          <w:numId w:val="1"/>
        </w:numPr>
        <w:tabs>
          <w:tab w:val="clear" w:pos="1980"/>
          <w:tab w:val="num" w:pos="1122"/>
        </w:tabs>
        <w:ind w:left="1122" w:hanging="374"/>
        <w:rPr>
          <w:rFonts w:ascii="Verdana" w:hAnsi="Verdana"/>
          <w:color w:val="auto"/>
          <w:sz w:val="20"/>
          <w:szCs w:val="20"/>
        </w:rPr>
      </w:pPr>
      <w:r w:rsidRPr="00DB451B">
        <w:rPr>
          <w:rFonts w:ascii="Verdana" w:hAnsi="Verdana"/>
          <w:color w:val="auto"/>
          <w:sz w:val="20"/>
          <w:szCs w:val="20"/>
        </w:rPr>
        <w:t>Owners/management agents must obtain information directly from third parties to determine a student’s independence from parents in order to determine if the student is eligible for assistance.  This student’s independence from parents is determined annually.  To obtain and analyze verifications received - 8 minutes.  8 minutes x 186 students – 25 hours.</w:t>
      </w:r>
    </w:p>
    <w:p w:rsidR="004E35B1" w:rsidRPr="00DB451B" w:rsidRDefault="004E35B1" w:rsidP="004E35B1">
      <w:pPr>
        <w:pStyle w:val="Default"/>
        <w:rPr>
          <w:rFonts w:ascii="Verdana" w:hAnsi="Verdana"/>
          <w:color w:val="auto"/>
          <w:sz w:val="20"/>
          <w:szCs w:val="20"/>
        </w:rPr>
      </w:pPr>
    </w:p>
    <w:p w:rsidR="00BC5C4F" w:rsidRPr="00DB451B" w:rsidRDefault="00BC5C4F" w:rsidP="00BC5C4F">
      <w:pPr>
        <w:pStyle w:val="Default"/>
        <w:numPr>
          <w:ilvl w:val="2"/>
          <w:numId w:val="1"/>
        </w:numPr>
        <w:tabs>
          <w:tab w:val="clear" w:pos="1980"/>
          <w:tab w:val="num" w:pos="1122"/>
        </w:tabs>
        <w:ind w:left="1122" w:hanging="374"/>
        <w:rPr>
          <w:rFonts w:ascii="Verdana" w:hAnsi="Verdana"/>
          <w:color w:val="auto"/>
          <w:sz w:val="20"/>
          <w:szCs w:val="20"/>
        </w:rPr>
      </w:pPr>
      <w:r w:rsidRPr="00DB451B">
        <w:rPr>
          <w:rFonts w:ascii="Verdana" w:hAnsi="Verdana"/>
          <w:color w:val="auto"/>
          <w:sz w:val="20"/>
          <w:szCs w:val="20"/>
        </w:rPr>
        <w:t>Owners/management agents must obtain third party verification relative to a person’s disability meeting the qualifications for the program covering the project where they are applying to live.  To obtain and analyze verifications received – 3 minutes.  3 minutes x 40,022 disabled persons = 2,001 hours.</w:t>
      </w:r>
    </w:p>
    <w:p w:rsidR="004E35B1" w:rsidRPr="00DB451B" w:rsidRDefault="004E35B1" w:rsidP="004E35B1">
      <w:pPr>
        <w:pStyle w:val="Default"/>
        <w:rPr>
          <w:rFonts w:ascii="Verdana" w:hAnsi="Verdana"/>
          <w:color w:val="auto"/>
          <w:sz w:val="20"/>
          <w:szCs w:val="20"/>
        </w:rPr>
      </w:pPr>
    </w:p>
    <w:p w:rsidR="00BC5C4F" w:rsidRPr="00DB451B" w:rsidRDefault="00BC5C4F" w:rsidP="00BC5C4F">
      <w:pPr>
        <w:pStyle w:val="Default"/>
        <w:numPr>
          <w:ilvl w:val="2"/>
          <w:numId w:val="1"/>
        </w:numPr>
        <w:tabs>
          <w:tab w:val="clear" w:pos="1980"/>
          <w:tab w:val="num" w:pos="1122"/>
        </w:tabs>
        <w:ind w:left="1122" w:hanging="374"/>
        <w:rPr>
          <w:rFonts w:ascii="Verdana" w:hAnsi="Verdana"/>
          <w:color w:val="auto"/>
          <w:sz w:val="20"/>
          <w:szCs w:val="20"/>
        </w:rPr>
      </w:pPr>
      <w:r w:rsidRPr="00DB451B">
        <w:rPr>
          <w:rFonts w:ascii="Verdana" w:hAnsi="Verdana"/>
          <w:color w:val="auto"/>
          <w:sz w:val="20"/>
          <w:szCs w:val="20"/>
        </w:rPr>
        <w:t>Owners/management agents must submit a request and supporting documentation to request a waiver of the regulations governing eligibility requirements and HUD or CA must review and approve the request - 10 minutes.  Submission varies based upon the vacancy rate at a project and the lack of qualified applicants.  10 minutes x 300 waiver requests = 50 hours.</w:t>
      </w:r>
    </w:p>
    <w:p w:rsidR="004E35B1" w:rsidRPr="00DB451B" w:rsidRDefault="004E35B1" w:rsidP="004E35B1">
      <w:pPr>
        <w:pStyle w:val="Default"/>
        <w:rPr>
          <w:rFonts w:ascii="Verdana" w:hAnsi="Verdana"/>
          <w:color w:val="auto"/>
          <w:sz w:val="20"/>
          <w:szCs w:val="20"/>
        </w:rPr>
      </w:pPr>
    </w:p>
    <w:p w:rsidR="00BC5C4F" w:rsidRPr="00DB451B" w:rsidRDefault="004E35B1" w:rsidP="00BC5C4F">
      <w:pPr>
        <w:pStyle w:val="Default"/>
        <w:numPr>
          <w:ilvl w:val="2"/>
          <w:numId w:val="1"/>
        </w:numPr>
        <w:tabs>
          <w:tab w:val="clear" w:pos="1980"/>
          <w:tab w:val="num" w:pos="1122"/>
        </w:tabs>
        <w:ind w:left="1122" w:hanging="374"/>
        <w:rPr>
          <w:rFonts w:ascii="Verdana" w:hAnsi="Verdana"/>
          <w:color w:val="auto"/>
          <w:sz w:val="20"/>
          <w:szCs w:val="20"/>
        </w:rPr>
      </w:pPr>
      <w:r w:rsidRPr="00DB451B">
        <w:rPr>
          <w:rFonts w:ascii="Verdana" w:hAnsi="Verdana"/>
          <w:color w:val="auto"/>
          <w:sz w:val="20"/>
          <w:szCs w:val="20"/>
        </w:rPr>
        <w:t>Tenants and the owner/management agent must sign lease agreements at the time of initial occupancy. There are no hours associated with the signing of a lease, as the lease is a standard business practice used by the rental housing industry.  The HUD model leases include terms normally covered by leases used in the housing rental industry plus terms required by HUD for the program under which the project was built and/or the program providing rental assistance to the tenants.</w:t>
      </w:r>
      <w:r w:rsidR="00036CCC" w:rsidRPr="00DB451B">
        <w:rPr>
          <w:rFonts w:ascii="Verdana" w:hAnsi="Verdana"/>
          <w:color w:val="auto"/>
          <w:sz w:val="20"/>
          <w:szCs w:val="20"/>
        </w:rPr>
        <w:t xml:space="preserve"> In addition, respondents who are current leaseholders and owners must sign the lease </w:t>
      </w:r>
      <w:r w:rsidR="00FA0D73" w:rsidRPr="00DB451B">
        <w:rPr>
          <w:rFonts w:ascii="Verdana" w:hAnsi="Verdana"/>
          <w:color w:val="auto"/>
          <w:sz w:val="20"/>
          <w:szCs w:val="20"/>
        </w:rPr>
        <w:t>addendum;</w:t>
      </w:r>
      <w:r w:rsidR="00036CCC" w:rsidRPr="00DB451B">
        <w:rPr>
          <w:rFonts w:ascii="Verdana" w:hAnsi="Verdana"/>
          <w:color w:val="auto"/>
          <w:sz w:val="20"/>
          <w:szCs w:val="20"/>
        </w:rPr>
        <w:t xml:space="preserve"> form HUD-9</w:t>
      </w:r>
      <w:r w:rsidR="00BE3F2A" w:rsidRPr="00DB451B">
        <w:rPr>
          <w:rFonts w:ascii="Verdana" w:hAnsi="Verdana"/>
          <w:color w:val="auto"/>
          <w:sz w:val="20"/>
          <w:szCs w:val="20"/>
        </w:rPr>
        <w:t>1</w:t>
      </w:r>
      <w:r w:rsidR="00036CCC" w:rsidRPr="00DB451B">
        <w:rPr>
          <w:rFonts w:ascii="Verdana" w:hAnsi="Verdana"/>
          <w:color w:val="auto"/>
          <w:sz w:val="20"/>
          <w:szCs w:val="20"/>
        </w:rPr>
        <w:t>067, affording the leaseholders the protections under the Violence Against Women Act (VAWA). There are no burden hours associated with the form HUD-9</w:t>
      </w:r>
      <w:r w:rsidR="00BE3F2A" w:rsidRPr="00DB451B">
        <w:rPr>
          <w:rFonts w:ascii="Verdana" w:hAnsi="Verdana"/>
          <w:color w:val="auto"/>
          <w:sz w:val="20"/>
          <w:szCs w:val="20"/>
        </w:rPr>
        <w:t>1</w:t>
      </w:r>
      <w:r w:rsidR="00036CCC" w:rsidRPr="00DB451B">
        <w:rPr>
          <w:rFonts w:ascii="Verdana" w:hAnsi="Verdana"/>
          <w:color w:val="auto"/>
          <w:sz w:val="20"/>
          <w:szCs w:val="20"/>
        </w:rPr>
        <w:t xml:space="preserve">067, Lease Addendum, as this form is an addendum to the leases signed by tenants and owners </w:t>
      </w:r>
    </w:p>
    <w:p w:rsidR="004E35B1" w:rsidRPr="00DB451B" w:rsidRDefault="004E35B1" w:rsidP="004E35B1">
      <w:pPr>
        <w:pStyle w:val="Default"/>
        <w:rPr>
          <w:rFonts w:ascii="Verdana" w:hAnsi="Verdana"/>
          <w:color w:val="auto"/>
          <w:sz w:val="20"/>
          <w:szCs w:val="20"/>
        </w:rPr>
      </w:pPr>
    </w:p>
    <w:p w:rsidR="00036CCC" w:rsidRPr="00DB451B" w:rsidRDefault="004E35B1" w:rsidP="00BC5C4F">
      <w:pPr>
        <w:pStyle w:val="Default"/>
        <w:numPr>
          <w:ilvl w:val="2"/>
          <w:numId w:val="1"/>
        </w:numPr>
        <w:tabs>
          <w:tab w:val="clear" w:pos="1980"/>
          <w:tab w:val="num" w:pos="1122"/>
        </w:tabs>
        <w:ind w:left="1122" w:hanging="374"/>
        <w:rPr>
          <w:rFonts w:ascii="Verdana" w:hAnsi="Verdana"/>
          <w:color w:val="auto"/>
          <w:sz w:val="20"/>
          <w:szCs w:val="20"/>
        </w:rPr>
      </w:pPr>
      <w:r w:rsidRPr="00DB451B">
        <w:rPr>
          <w:rFonts w:ascii="Verdana" w:hAnsi="Verdana"/>
          <w:color w:val="auto"/>
          <w:sz w:val="20"/>
          <w:szCs w:val="20"/>
        </w:rPr>
        <w:t>Tenants together with owners/management agents conduct move-in/move-out inspections recording the condition of the rental unit at move-in/move-out.  There are no hours associated with completing the move-in/move-out inspection report, as these types of inspections are standard business practice used by the rental housing industry</w:t>
      </w:r>
      <w:r w:rsidR="00036CCC" w:rsidRPr="00DB451B">
        <w:rPr>
          <w:rFonts w:ascii="Verdana" w:hAnsi="Verdana"/>
          <w:color w:val="auto"/>
          <w:sz w:val="20"/>
          <w:szCs w:val="20"/>
        </w:rPr>
        <w:t>.</w:t>
      </w:r>
    </w:p>
    <w:p w:rsidR="00036CCC" w:rsidRPr="00DB451B" w:rsidRDefault="00036CCC" w:rsidP="00036CCC">
      <w:pPr>
        <w:pStyle w:val="Default"/>
        <w:rPr>
          <w:rFonts w:ascii="Verdana" w:hAnsi="Verdana"/>
          <w:color w:val="auto"/>
          <w:sz w:val="20"/>
          <w:szCs w:val="20"/>
        </w:rPr>
      </w:pPr>
    </w:p>
    <w:p w:rsidR="00036CCC" w:rsidRPr="00DB451B" w:rsidRDefault="00036CCC" w:rsidP="00036CCC">
      <w:pPr>
        <w:pStyle w:val="Default"/>
        <w:numPr>
          <w:ilvl w:val="2"/>
          <w:numId w:val="1"/>
        </w:numPr>
        <w:tabs>
          <w:tab w:val="clear" w:pos="1980"/>
          <w:tab w:val="num" w:pos="1122"/>
        </w:tabs>
        <w:ind w:left="1122" w:hanging="374"/>
        <w:rPr>
          <w:rFonts w:ascii="Verdana" w:hAnsi="Verdana"/>
          <w:color w:val="auto"/>
          <w:sz w:val="20"/>
          <w:szCs w:val="20"/>
        </w:rPr>
      </w:pPr>
      <w:r w:rsidRPr="00DB451B">
        <w:rPr>
          <w:rFonts w:ascii="Verdana" w:hAnsi="Verdana"/>
          <w:color w:val="auto"/>
          <w:sz w:val="20"/>
          <w:szCs w:val="20"/>
        </w:rPr>
        <w:t>In order to continue to be eligible for receipt of rental assistance and prevent eviction from the rental unit, owners may request respondents who are a victim of domestic violence, dating violence or stalking to complete the certification, form HUD-9</w:t>
      </w:r>
      <w:r w:rsidR="00BE3F2A" w:rsidRPr="00DB451B">
        <w:rPr>
          <w:rFonts w:ascii="Verdana" w:hAnsi="Verdana"/>
          <w:color w:val="auto"/>
          <w:sz w:val="20"/>
          <w:szCs w:val="20"/>
        </w:rPr>
        <w:t>1</w:t>
      </w:r>
      <w:r w:rsidRPr="00DB451B">
        <w:rPr>
          <w:rFonts w:ascii="Verdana" w:hAnsi="Verdana"/>
          <w:color w:val="auto"/>
          <w:sz w:val="20"/>
          <w:szCs w:val="20"/>
        </w:rPr>
        <w:t xml:space="preserve">066.  A burden hour of 1 hour has been included for completion of the certification form by the affected respondents.  </w:t>
      </w:r>
    </w:p>
    <w:p w:rsidR="000A2D15" w:rsidRPr="00DB451B" w:rsidRDefault="000A2D15" w:rsidP="000A2D15">
      <w:pPr>
        <w:pStyle w:val="ListParagraph"/>
        <w:rPr>
          <w:rFonts w:ascii="Verdana" w:hAnsi="Verdana"/>
          <w:sz w:val="20"/>
          <w:szCs w:val="20"/>
        </w:rPr>
      </w:pPr>
    </w:p>
    <w:p w:rsidR="004E35B1" w:rsidRPr="00DB451B" w:rsidRDefault="004E35B1" w:rsidP="00BC5C4F">
      <w:pPr>
        <w:pStyle w:val="Default"/>
        <w:numPr>
          <w:ilvl w:val="2"/>
          <w:numId w:val="1"/>
        </w:numPr>
        <w:tabs>
          <w:tab w:val="clear" w:pos="1980"/>
          <w:tab w:val="num" w:pos="1122"/>
        </w:tabs>
        <w:ind w:left="1122" w:hanging="374"/>
        <w:rPr>
          <w:rFonts w:ascii="Verdana" w:hAnsi="Verdana"/>
          <w:color w:val="auto"/>
          <w:sz w:val="20"/>
          <w:szCs w:val="20"/>
        </w:rPr>
      </w:pPr>
      <w:r w:rsidRPr="00DB451B">
        <w:rPr>
          <w:rFonts w:ascii="Verdana" w:hAnsi="Verdana"/>
          <w:color w:val="auto"/>
          <w:sz w:val="20"/>
          <w:szCs w:val="20"/>
        </w:rPr>
        <w:t>Owners/management agents must obtain a certification of income annually from the parents of a college student unless the student has declared, and the owner/management agent can verify, independence from parents.  Owners/management agents use this certification to determine the student’s eligibility for the section 8 program.  Time for parents to complete a certification and for owners/management agents to determine the student’s eligibility for section 8 assistance – 5 minutes.  5 minutes x 1,670 students = 139 hours</w:t>
      </w:r>
      <w:r w:rsidR="000A2D15" w:rsidRPr="00DB451B">
        <w:rPr>
          <w:rFonts w:ascii="Verdana" w:hAnsi="Verdana"/>
          <w:color w:val="auto"/>
          <w:sz w:val="20"/>
          <w:szCs w:val="20"/>
        </w:rPr>
        <w:t>.</w:t>
      </w:r>
    </w:p>
    <w:p w:rsidR="00661966" w:rsidRPr="00DB451B" w:rsidRDefault="00661966" w:rsidP="00661966">
      <w:pPr>
        <w:pStyle w:val="ListParagraph"/>
        <w:rPr>
          <w:rFonts w:ascii="Verdana" w:hAnsi="Verdana"/>
          <w:sz w:val="20"/>
          <w:szCs w:val="20"/>
        </w:rPr>
      </w:pPr>
    </w:p>
    <w:p w:rsidR="00661966" w:rsidRPr="00DB451B" w:rsidRDefault="00661966" w:rsidP="00661966">
      <w:pPr>
        <w:pStyle w:val="Default"/>
        <w:numPr>
          <w:ilvl w:val="2"/>
          <w:numId w:val="1"/>
        </w:numPr>
        <w:tabs>
          <w:tab w:val="clear" w:pos="1980"/>
          <w:tab w:val="num" w:pos="1122"/>
        </w:tabs>
        <w:ind w:left="1122" w:hanging="374"/>
        <w:rPr>
          <w:rFonts w:ascii="Verdana" w:hAnsi="Verdana"/>
          <w:color w:val="auto"/>
          <w:sz w:val="20"/>
          <w:szCs w:val="20"/>
        </w:rPr>
      </w:pPr>
      <w:r w:rsidRPr="00DB451B">
        <w:rPr>
          <w:rFonts w:ascii="Verdana" w:hAnsi="Verdana"/>
          <w:color w:val="auto"/>
          <w:sz w:val="20"/>
          <w:szCs w:val="20"/>
        </w:rPr>
        <w:t>Owners/management agents requi</w:t>
      </w:r>
      <w:r w:rsidR="00307808">
        <w:rPr>
          <w:rFonts w:ascii="Verdana" w:hAnsi="Verdana"/>
          <w:color w:val="auto"/>
          <w:sz w:val="20"/>
          <w:szCs w:val="20"/>
        </w:rPr>
        <w:t>ring completion of the HUD-90011 and HUD-9001</w:t>
      </w:r>
      <w:r w:rsidRPr="00DB451B">
        <w:rPr>
          <w:rFonts w:ascii="Verdana" w:hAnsi="Verdana"/>
          <w:color w:val="auto"/>
          <w:sz w:val="20"/>
          <w:szCs w:val="20"/>
        </w:rPr>
        <w:t>2 totals 24,000.  15 minutes x 24,000 owner/management agents = 6,000 hours.</w:t>
      </w:r>
    </w:p>
    <w:p w:rsidR="000A2D15" w:rsidRPr="00DB451B" w:rsidRDefault="000A2D15" w:rsidP="000A2D15">
      <w:pPr>
        <w:pStyle w:val="Default"/>
        <w:rPr>
          <w:rFonts w:ascii="Verdana" w:hAnsi="Verdana"/>
          <w:color w:val="auto"/>
          <w:sz w:val="20"/>
          <w:szCs w:val="20"/>
        </w:rPr>
      </w:pPr>
    </w:p>
    <w:p w:rsidR="009B677A" w:rsidRPr="00DB451B" w:rsidRDefault="009B677A" w:rsidP="004E35B1">
      <w:pPr>
        <w:pStyle w:val="Default"/>
        <w:rPr>
          <w:rFonts w:ascii="Verdana" w:hAnsi="Verdana"/>
          <w:color w:val="auto"/>
          <w:sz w:val="20"/>
          <w:szCs w:val="20"/>
        </w:rPr>
      </w:pPr>
    </w:p>
    <w:p w:rsidR="0049772E" w:rsidRPr="00DB451B" w:rsidRDefault="0049772E" w:rsidP="0049772E">
      <w:pPr>
        <w:jc w:val="center"/>
        <w:rPr>
          <w:b/>
        </w:rPr>
      </w:pPr>
      <w:r w:rsidRPr="00DB451B">
        <w:rPr>
          <w:b/>
        </w:rPr>
        <w:t>Collection</w:t>
      </w:r>
      <w:r w:rsidR="00577B51" w:rsidRPr="00DB451B">
        <w:rPr>
          <w:b/>
        </w:rPr>
        <w:t xml:space="preserv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382"/>
        <w:gridCol w:w="2279"/>
        <w:gridCol w:w="1309"/>
        <w:gridCol w:w="1309"/>
        <w:gridCol w:w="1122"/>
        <w:gridCol w:w="1309"/>
        <w:gridCol w:w="880"/>
        <w:gridCol w:w="1382"/>
      </w:tblGrid>
      <w:tr w:rsidR="0049772E" w:rsidRPr="00DB451B" w:rsidTr="00A26834">
        <w:trPr>
          <w:tblHeader/>
        </w:trPr>
        <w:tc>
          <w:tcPr>
            <w:tcW w:w="1382" w:type="dxa"/>
            <w:vAlign w:val="bottom"/>
          </w:tcPr>
          <w:p w:rsidR="0049772E" w:rsidRPr="00DB451B" w:rsidRDefault="0049772E" w:rsidP="00300FAE">
            <w:pPr>
              <w:jc w:val="center"/>
              <w:rPr>
                <w:rFonts w:ascii="Verdana" w:hAnsi="Verdana"/>
                <w:b/>
                <w:sz w:val="16"/>
                <w:szCs w:val="16"/>
              </w:rPr>
            </w:pPr>
            <w:r w:rsidRPr="00DB451B">
              <w:rPr>
                <w:rFonts w:ascii="Verdana" w:hAnsi="Verdana"/>
                <w:b/>
                <w:sz w:val="16"/>
                <w:szCs w:val="16"/>
              </w:rPr>
              <w:t>Subsidy Type</w:t>
            </w:r>
          </w:p>
        </w:tc>
        <w:tc>
          <w:tcPr>
            <w:tcW w:w="2279" w:type="dxa"/>
            <w:vAlign w:val="bottom"/>
          </w:tcPr>
          <w:p w:rsidR="0049772E" w:rsidRPr="00DB451B" w:rsidRDefault="0049772E" w:rsidP="00300FAE">
            <w:pPr>
              <w:jc w:val="center"/>
              <w:rPr>
                <w:rFonts w:ascii="Verdana" w:hAnsi="Verdana"/>
                <w:b/>
                <w:sz w:val="16"/>
                <w:szCs w:val="16"/>
              </w:rPr>
            </w:pPr>
            <w:r w:rsidRPr="00DB451B">
              <w:rPr>
                <w:rFonts w:ascii="Verdana" w:hAnsi="Verdana"/>
                <w:b/>
                <w:sz w:val="16"/>
                <w:szCs w:val="16"/>
              </w:rPr>
              <w:t>Information Collection</w:t>
            </w:r>
          </w:p>
        </w:tc>
        <w:tc>
          <w:tcPr>
            <w:tcW w:w="1309" w:type="dxa"/>
            <w:vAlign w:val="bottom"/>
          </w:tcPr>
          <w:p w:rsidR="0049772E" w:rsidRPr="00DB451B" w:rsidRDefault="0049772E" w:rsidP="00300FAE">
            <w:pPr>
              <w:jc w:val="center"/>
              <w:rPr>
                <w:rFonts w:ascii="Verdana" w:hAnsi="Verdana"/>
                <w:b/>
                <w:sz w:val="16"/>
                <w:szCs w:val="16"/>
              </w:rPr>
            </w:pPr>
            <w:r w:rsidRPr="00DB451B">
              <w:rPr>
                <w:rFonts w:ascii="Verdana" w:hAnsi="Verdana"/>
                <w:b/>
                <w:sz w:val="16"/>
                <w:szCs w:val="16"/>
              </w:rPr>
              <w:t>Number of Responses</w:t>
            </w:r>
          </w:p>
        </w:tc>
        <w:tc>
          <w:tcPr>
            <w:tcW w:w="1309" w:type="dxa"/>
            <w:vAlign w:val="bottom"/>
          </w:tcPr>
          <w:p w:rsidR="0049772E" w:rsidRPr="00DB451B" w:rsidRDefault="00FC602C" w:rsidP="00300FAE">
            <w:pPr>
              <w:ind w:left="-295" w:firstLine="187"/>
              <w:jc w:val="center"/>
              <w:rPr>
                <w:rFonts w:ascii="Verdana" w:hAnsi="Verdana"/>
                <w:b/>
                <w:sz w:val="16"/>
                <w:szCs w:val="16"/>
              </w:rPr>
            </w:pPr>
            <w:r w:rsidRPr="00DB451B">
              <w:rPr>
                <w:rFonts w:ascii="Verdana" w:hAnsi="Verdana"/>
                <w:b/>
                <w:sz w:val="16"/>
                <w:szCs w:val="16"/>
              </w:rPr>
              <w:t>Frequency</w:t>
            </w:r>
            <w:r w:rsidR="0049772E" w:rsidRPr="00DB451B">
              <w:rPr>
                <w:rFonts w:ascii="Verdana" w:hAnsi="Verdana"/>
                <w:b/>
                <w:sz w:val="16"/>
                <w:szCs w:val="16"/>
              </w:rPr>
              <w:t xml:space="preserve"> of Response</w:t>
            </w:r>
          </w:p>
        </w:tc>
        <w:tc>
          <w:tcPr>
            <w:tcW w:w="1122" w:type="dxa"/>
            <w:vAlign w:val="bottom"/>
          </w:tcPr>
          <w:p w:rsidR="0049772E" w:rsidRPr="00DB451B" w:rsidRDefault="0049772E" w:rsidP="00300FAE">
            <w:pPr>
              <w:jc w:val="center"/>
              <w:rPr>
                <w:rFonts w:ascii="Verdana" w:hAnsi="Verdana"/>
                <w:b/>
                <w:sz w:val="16"/>
                <w:szCs w:val="16"/>
              </w:rPr>
            </w:pPr>
            <w:r w:rsidRPr="00DB451B">
              <w:rPr>
                <w:rFonts w:ascii="Verdana" w:hAnsi="Verdana"/>
                <w:b/>
                <w:sz w:val="16"/>
                <w:szCs w:val="16"/>
              </w:rPr>
              <w:t>Hours Per Response</w:t>
            </w:r>
          </w:p>
        </w:tc>
        <w:tc>
          <w:tcPr>
            <w:tcW w:w="1309" w:type="dxa"/>
            <w:vAlign w:val="bottom"/>
          </w:tcPr>
          <w:p w:rsidR="0049772E" w:rsidRPr="00DB451B" w:rsidRDefault="0049772E" w:rsidP="00300FAE">
            <w:pPr>
              <w:jc w:val="center"/>
              <w:rPr>
                <w:rFonts w:ascii="Verdana" w:hAnsi="Verdana"/>
                <w:b/>
                <w:sz w:val="16"/>
                <w:szCs w:val="16"/>
              </w:rPr>
            </w:pPr>
            <w:r w:rsidRPr="00DB451B">
              <w:rPr>
                <w:rFonts w:ascii="Verdana" w:hAnsi="Verdana"/>
                <w:b/>
                <w:sz w:val="16"/>
                <w:szCs w:val="16"/>
              </w:rPr>
              <w:t>Annual Burden</w:t>
            </w:r>
          </w:p>
        </w:tc>
        <w:tc>
          <w:tcPr>
            <w:tcW w:w="880" w:type="dxa"/>
            <w:vAlign w:val="bottom"/>
          </w:tcPr>
          <w:p w:rsidR="0049772E" w:rsidRPr="00DB451B" w:rsidRDefault="0049772E" w:rsidP="00300FAE">
            <w:pPr>
              <w:jc w:val="center"/>
              <w:rPr>
                <w:rFonts w:ascii="Verdana" w:hAnsi="Verdana"/>
                <w:b/>
                <w:sz w:val="16"/>
                <w:szCs w:val="16"/>
              </w:rPr>
            </w:pPr>
            <w:r w:rsidRPr="00DB451B">
              <w:rPr>
                <w:rFonts w:ascii="Verdana" w:hAnsi="Verdana"/>
                <w:b/>
                <w:sz w:val="16"/>
                <w:szCs w:val="16"/>
              </w:rPr>
              <w:t>Hourly Rate</w:t>
            </w:r>
          </w:p>
        </w:tc>
        <w:tc>
          <w:tcPr>
            <w:tcW w:w="1382" w:type="dxa"/>
            <w:vAlign w:val="bottom"/>
          </w:tcPr>
          <w:p w:rsidR="0049772E" w:rsidRPr="00DB451B" w:rsidRDefault="0049772E" w:rsidP="00300FAE">
            <w:pPr>
              <w:jc w:val="center"/>
              <w:rPr>
                <w:rFonts w:ascii="Verdana" w:hAnsi="Verdana"/>
                <w:b/>
                <w:sz w:val="16"/>
                <w:szCs w:val="16"/>
              </w:rPr>
            </w:pPr>
            <w:r w:rsidRPr="00DB451B">
              <w:rPr>
                <w:rFonts w:ascii="Verdana" w:hAnsi="Verdana"/>
                <w:b/>
                <w:sz w:val="16"/>
                <w:szCs w:val="16"/>
              </w:rPr>
              <w:t>Total Cost</w:t>
            </w:r>
          </w:p>
        </w:tc>
      </w:tr>
      <w:tr w:rsidR="0049772E" w:rsidRPr="00DB451B" w:rsidTr="00300FAE">
        <w:tc>
          <w:tcPr>
            <w:tcW w:w="1382" w:type="dxa"/>
            <w:vMerge w:val="restart"/>
          </w:tcPr>
          <w:p w:rsidR="0049772E" w:rsidRPr="00DB451B" w:rsidRDefault="0049772E" w:rsidP="00A470BC">
            <w:pPr>
              <w:rPr>
                <w:rFonts w:ascii="Verdana" w:hAnsi="Verdana"/>
                <w:sz w:val="16"/>
                <w:szCs w:val="16"/>
                <w:lang w:val="fr-FR"/>
              </w:rPr>
            </w:pPr>
            <w:r w:rsidRPr="00DB451B">
              <w:rPr>
                <w:rFonts w:ascii="Verdana" w:hAnsi="Verdana"/>
                <w:sz w:val="16"/>
                <w:szCs w:val="16"/>
                <w:lang w:val="fr-FR"/>
              </w:rPr>
              <w:t>Section 8</w:t>
            </w:r>
          </w:p>
          <w:p w:rsidR="0049772E" w:rsidRPr="00DB451B" w:rsidRDefault="0049772E" w:rsidP="00A470BC">
            <w:pPr>
              <w:rPr>
                <w:rFonts w:ascii="Verdana" w:hAnsi="Verdana"/>
                <w:sz w:val="16"/>
                <w:szCs w:val="16"/>
                <w:lang w:val="fr-FR"/>
              </w:rPr>
            </w:pPr>
            <w:r w:rsidRPr="00DB451B">
              <w:rPr>
                <w:rFonts w:ascii="Verdana" w:hAnsi="Verdana"/>
                <w:sz w:val="16"/>
                <w:szCs w:val="16"/>
                <w:lang w:val="fr-FR"/>
              </w:rPr>
              <w:t>Section 236</w:t>
            </w:r>
          </w:p>
          <w:p w:rsidR="0049772E" w:rsidRPr="00DB451B" w:rsidRDefault="0049772E" w:rsidP="00A470BC">
            <w:pPr>
              <w:rPr>
                <w:rFonts w:ascii="Verdana" w:hAnsi="Verdana"/>
                <w:sz w:val="16"/>
                <w:szCs w:val="16"/>
                <w:lang w:val="fr-FR"/>
              </w:rPr>
            </w:pPr>
            <w:r w:rsidRPr="00DB451B">
              <w:rPr>
                <w:rFonts w:ascii="Verdana" w:hAnsi="Verdana"/>
                <w:sz w:val="16"/>
                <w:szCs w:val="16"/>
                <w:lang w:val="fr-FR"/>
              </w:rPr>
              <w:t>RAP</w:t>
            </w:r>
          </w:p>
          <w:p w:rsidR="0049772E" w:rsidRPr="00DB451B" w:rsidRDefault="0049772E" w:rsidP="00A470BC">
            <w:pPr>
              <w:rPr>
                <w:rFonts w:ascii="Verdana" w:hAnsi="Verdana"/>
                <w:sz w:val="16"/>
                <w:szCs w:val="16"/>
                <w:lang w:val="fr-FR"/>
              </w:rPr>
            </w:pPr>
            <w:r w:rsidRPr="00DB451B">
              <w:rPr>
                <w:rFonts w:ascii="Verdana" w:hAnsi="Verdana"/>
                <w:sz w:val="16"/>
                <w:szCs w:val="16"/>
                <w:lang w:val="fr-FR"/>
              </w:rPr>
              <w:t>Rent Sup</w:t>
            </w:r>
          </w:p>
          <w:p w:rsidR="0049772E" w:rsidRPr="00DB451B" w:rsidRDefault="0049772E" w:rsidP="00A470BC">
            <w:pPr>
              <w:rPr>
                <w:rFonts w:ascii="Verdana" w:hAnsi="Verdana"/>
                <w:sz w:val="16"/>
                <w:szCs w:val="16"/>
                <w:lang w:val="fr-FR"/>
              </w:rPr>
            </w:pPr>
            <w:r w:rsidRPr="00DB451B">
              <w:rPr>
                <w:rFonts w:ascii="Verdana" w:hAnsi="Verdana"/>
                <w:sz w:val="16"/>
                <w:szCs w:val="16"/>
                <w:lang w:val="fr-FR"/>
              </w:rPr>
              <w:t>202 PRAC</w:t>
            </w:r>
          </w:p>
          <w:p w:rsidR="0049772E" w:rsidRPr="00DB451B" w:rsidRDefault="0049772E" w:rsidP="00A470BC">
            <w:pPr>
              <w:rPr>
                <w:rFonts w:ascii="Verdana" w:hAnsi="Verdana"/>
                <w:sz w:val="16"/>
                <w:szCs w:val="16"/>
              </w:rPr>
            </w:pPr>
            <w:r w:rsidRPr="00DB451B">
              <w:rPr>
                <w:rFonts w:ascii="Verdana" w:hAnsi="Verdana"/>
                <w:sz w:val="16"/>
                <w:szCs w:val="16"/>
              </w:rPr>
              <w:t>811 PRAC</w:t>
            </w:r>
          </w:p>
          <w:p w:rsidR="0049772E" w:rsidRPr="00DB451B" w:rsidRDefault="0049772E" w:rsidP="00A470BC">
            <w:pPr>
              <w:rPr>
                <w:rFonts w:ascii="Verdana" w:hAnsi="Verdana"/>
                <w:sz w:val="16"/>
                <w:szCs w:val="16"/>
              </w:rPr>
            </w:pPr>
            <w:r w:rsidRPr="00DB451B">
              <w:rPr>
                <w:rFonts w:ascii="Verdana" w:hAnsi="Verdana"/>
                <w:sz w:val="16"/>
                <w:szCs w:val="16"/>
              </w:rPr>
              <w:t>202/162 PAC</w:t>
            </w:r>
          </w:p>
          <w:p w:rsidR="0049772E" w:rsidRPr="00DB451B" w:rsidRDefault="0049772E" w:rsidP="00A470BC">
            <w:pPr>
              <w:rPr>
                <w:rFonts w:ascii="Verdana" w:hAnsi="Verdana"/>
                <w:sz w:val="16"/>
                <w:szCs w:val="16"/>
              </w:rPr>
            </w:pPr>
            <w:r w:rsidRPr="00DB451B">
              <w:rPr>
                <w:rFonts w:ascii="Verdana" w:hAnsi="Verdana"/>
                <w:sz w:val="16"/>
                <w:szCs w:val="16"/>
              </w:rPr>
              <w:t>Section 221(d)(3) BMIR</w:t>
            </w:r>
          </w:p>
        </w:tc>
        <w:tc>
          <w:tcPr>
            <w:tcW w:w="2279" w:type="dxa"/>
          </w:tcPr>
          <w:p w:rsidR="0049772E" w:rsidRPr="00DB451B" w:rsidRDefault="005D53E3" w:rsidP="00A470BC">
            <w:pPr>
              <w:rPr>
                <w:rFonts w:ascii="Verdana" w:hAnsi="Verdana"/>
                <w:sz w:val="16"/>
                <w:szCs w:val="16"/>
              </w:rPr>
            </w:pPr>
            <w:r w:rsidRPr="00DB451B">
              <w:rPr>
                <w:rFonts w:ascii="Verdana" w:hAnsi="Verdana"/>
                <w:sz w:val="16"/>
                <w:szCs w:val="16"/>
              </w:rPr>
              <w:t>a(1), a(2)</w:t>
            </w:r>
            <w:r w:rsidR="00FC602C" w:rsidRPr="00DB451B">
              <w:rPr>
                <w:rFonts w:ascii="Verdana" w:hAnsi="Verdana"/>
                <w:sz w:val="16"/>
                <w:szCs w:val="16"/>
              </w:rPr>
              <w:t>, a(3)</w:t>
            </w:r>
            <w:r w:rsidRPr="00DB451B">
              <w:rPr>
                <w:rFonts w:ascii="Verdana" w:hAnsi="Verdana"/>
                <w:sz w:val="16"/>
                <w:szCs w:val="16"/>
              </w:rPr>
              <w:t xml:space="preserve"> </w:t>
            </w:r>
            <w:r w:rsidR="00D82A4D" w:rsidRPr="00DB451B">
              <w:rPr>
                <w:rFonts w:ascii="Verdana" w:hAnsi="Verdana"/>
                <w:sz w:val="16"/>
                <w:szCs w:val="16"/>
              </w:rPr>
              <w:t>Certification</w:t>
            </w:r>
            <w:r w:rsidRPr="00DB451B">
              <w:rPr>
                <w:rFonts w:ascii="Verdana" w:hAnsi="Verdana"/>
                <w:sz w:val="16"/>
                <w:szCs w:val="16"/>
              </w:rPr>
              <w:t xml:space="preserve"> Compliance (HUD-50059/50059</w:t>
            </w:r>
            <w:r w:rsidR="00FC602C" w:rsidRPr="00DB451B">
              <w:rPr>
                <w:rFonts w:ascii="Verdana" w:hAnsi="Verdana"/>
                <w:sz w:val="16"/>
                <w:szCs w:val="16"/>
              </w:rPr>
              <w:t>-</w:t>
            </w:r>
            <w:r w:rsidRPr="00DB451B">
              <w:rPr>
                <w:rFonts w:ascii="Verdana" w:hAnsi="Verdana"/>
                <w:sz w:val="16"/>
                <w:szCs w:val="16"/>
              </w:rPr>
              <w:t>A)</w:t>
            </w:r>
            <w:r w:rsidR="00D82A4D" w:rsidRPr="00DB451B">
              <w:rPr>
                <w:rFonts w:ascii="Verdana" w:hAnsi="Verdana"/>
                <w:sz w:val="16"/>
                <w:szCs w:val="16"/>
              </w:rPr>
              <w:t xml:space="preserve"> </w:t>
            </w:r>
            <w:r w:rsidRPr="00DB451B">
              <w:rPr>
                <w:rFonts w:ascii="Verdana" w:hAnsi="Verdana"/>
                <w:sz w:val="16"/>
                <w:szCs w:val="16"/>
              </w:rPr>
              <w:t xml:space="preserve"> </w:t>
            </w:r>
          </w:p>
        </w:tc>
        <w:tc>
          <w:tcPr>
            <w:tcW w:w="1309" w:type="dxa"/>
            <w:vAlign w:val="bottom"/>
          </w:tcPr>
          <w:p w:rsidR="0049772E" w:rsidRPr="00DB451B" w:rsidRDefault="00D82A4D" w:rsidP="00300FAE">
            <w:pPr>
              <w:jc w:val="right"/>
              <w:rPr>
                <w:rFonts w:ascii="Verdana" w:hAnsi="Verdana"/>
                <w:sz w:val="16"/>
                <w:szCs w:val="16"/>
              </w:rPr>
            </w:pPr>
            <w:r w:rsidRPr="00DB451B">
              <w:rPr>
                <w:rFonts w:ascii="Verdana" w:hAnsi="Verdana"/>
                <w:sz w:val="16"/>
                <w:szCs w:val="16"/>
              </w:rPr>
              <w:t xml:space="preserve"> </w:t>
            </w:r>
          </w:p>
        </w:tc>
        <w:tc>
          <w:tcPr>
            <w:tcW w:w="1309" w:type="dxa"/>
            <w:vAlign w:val="bottom"/>
          </w:tcPr>
          <w:p w:rsidR="0049772E" w:rsidRPr="00DB451B" w:rsidRDefault="002F6216" w:rsidP="00300FAE">
            <w:pPr>
              <w:jc w:val="center"/>
              <w:rPr>
                <w:rFonts w:ascii="Verdana" w:hAnsi="Verdana"/>
                <w:sz w:val="16"/>
                <w:szCs w:val="16"/>
              </w:rPr>
            </w:pPr>
            <w:r w:rsidRPr="00DB451B">
              <w:rPr>
                <w:rFonts w:ascii="Verdana" w:hAnsi="Verdana"/>
                <w:sz w:val="16"/>
                <w:szCs w:val="16"/>
              </w:rPr>
              <w:t xml:space="preserve"> </w:t>
            </w:r>
          </w:p>
        </w:tc>
        <w:tc>
          <w:tcPr>
            <w:tcW w:w="1122" w:type="dxa"/>
            <w:vAlign w:val="bottom"/>
          </w:tcPr>
          <w:p w:rsidR="005D53E3" w:rsidRPr="00DB451B" w:rsidRDefault="0049772E" w:rsidP="00300FAE">
            <w:pPr>
              <w:jc w:val="center"/>
              <w:rPr>
                <w:rFonts w:ascii="Verdana" w:hAnsi="Verdana"/>
                <w:sz w:val="16"/>
                <w:szCs w:val="16"/>
              </w:rPr>
            </w:pPr>
            <w:r w:rsidRPr="00DB451B">
              <w:rPr>
                <w:rFonts w:ascii="Verdana" w:hAnsi="Verdana"/>
                <w:sz w:val="16"/>
                <w:szCs w:val="16"/>
              </w:rPr>
              <w:t>.6</w:t>
            </w:r>
            <w:r w:rsidR="00BE4034" w:rsidRPr="00DB451B">
              <w:rPr>
                <w:rFonts w:ascii="Verdana" w:hAnsi="Verdana"/>
                <w:sz w:val="16"/>
                <w:szCs w:val="16"/>
              </w:rPr>
              <w:t>333</w:t>
            </w:r>
          </w:p>
        </w:tc>
        <w:tc>
          <w:tcPr>
            <w:tcW w:w="1309" w:type="dxa"/>
            <w:vAlign w:val="bottom"/>
          </w:tcPr>
          <w:p w:rsidR="0049772E" w:rsidRPr="00DB451B" w:rsidRDefault="0049772E" w:rsidP="00300FAE">
            <w:pPr>
              <w:jc w:val="right"/>
              <w:rPr>
                <w:rFonts w:ascii="Verdana" w:hAnsi="Verdana"/>
                <w:sz w:val="16"/>
                <w:szCs w:val="16"/>
              </w:rPr>
            </w:pPr>
          </w:p>
          <w:p w:rsidR="0049772E" w:rsidRPr="00DB451B" w:rsidRDefault="002F6216" w:rsidP="00300FAE">
            <w:pPr>
              <w:jc w:val="right"/>
              <w:rPr>
                <w:rFonts w:ascii="Verdana" w:hAnsi="Verdana"/>
                <w:sz w:val="16"/>
                <w:szCs w:val="16"/>
              </w:rPr>
            </w:pPr>
            <w:r w:rsidRPr="00DB451B">
              <w:rPr>
                <w:rFonts w:ascii="Verdana" w:hAnsi="Verdana"/>
                <w:sz w:val="16"/>
                <w:szCs w:val="16"/>
              </w:rPr>
              <w:t xml:space="preserve"> </w:t>
            </w:r>
          </w:p>
        </w:tc>
        <w:tc>
          <w:tcPr>
            <w:tcW w:w="880" w:type="dxa"/>
            <w:vAlign w:val="bottom"/>
          </w:tcPr>
          <w:p w:rsidR="0049772E" w:rsidRPr="00DB451B" w:rsidRDefault="0049772E" w:rsidP="00300FAE">
            <w:pPr>
              <w:jc w:val="center"/>
              <w:rPr>
                <w:rFonts w:ascii="Verdana" w:hAnsi="Verdana"/>
                <w:sz w:val="16"/>
                <w:szCs w:val="16"/>
              </w:rPr>
            </w:pPr>
          </w:p>
        </w:tc>
        <w:tc>
          <w:tcPr>
            <w:tcW w:w="1382" w:type="dxa"/>
            <w:vAlign w:val="bottom"/>
          </w:tcPr>
          <w:p w:rsidR="0049772E" w:rsidRPr="00DB451B" w:rsidRDefault="00BC5C4F" w:rsidP="00300FAE">
            <w:pPr>
              <w:jc w:val="right"/>
              <w:rPr>
                <w:rFonts w:ascii="Verdana" w:hAnsi="Verdana"/>
                <w:sz w:val="16"/>
                <w:szCs w:val="16"/>
              </w:rPr>
            </w:pPr>
            <w:r w:rsidRPr="00DB451B">
              <w:rPr>
                <w:rFonts w:ascii="Verdana" w:hAnsi="Verdana"/>
                <w:sz w:val="16"/>
                <w:szCs w:val="16"/>
              </w:rPr>
              <w:t xml:space="preserve"> </w:t>
            </w:r>
          </w:p>
        </w:tc>
      </w:tr>
      <w:tr w:rsidR="006D47DF" w:rsidRPr="00DB451B" w:rsidTr="00300FAE">
        <w:tc>
          <w:tcPr>
            <w:tcW w:w="1382" w:type="dxa"/>
            <w:vMerge/>
          </w:tcPr>
          <w:p w:rsidR="006D47DF" w:rsidRPr="00DB451B" w:rsidRDefault="006D47DF" w:rsidP="00A470BC">
            <w:pPr>
              <w:rPr>
                <w:rFonts w:ascii="Verdana" w:hAnsi="Verdana"/>
                <w:sz w:val="16"/>
                <w:szCs w:val="16"/>
                <w:lang w:val="fr-FR"/>
              </w:rPr>
            </w:pPr>
          </w:p>
        </w:tc>
        <w:tc>
          <w:tcPr>
            <w:tcW w:w="2279" w:type="dxa"/>
          </w:tcPr>
          <w:p w:rsidR="00FC602C" w:rsidRPr="00DB451B" w:rsidRDefault="00BC5C4F" w:rsidP="00A470BC">
            <w:pPr>
              <w:rPr>
                <w:rFonts w:ascii="Verdana" w:hAnsi="Verdana"/>
                <w:sz w:val="16"/>
                <w:szCs w:val="16"/>
              </w:rPr>
            </w:pPr>
            <w:r w:rsidRPr="00DB451B">
              <w:rPr>
                <w:rFonts w:ascii="Verdana" w:hAnsi="Verdana"/>
                <w:sz w:val="16"/>
                <w:szCs w:val="16"/>
              </w:rPr>
              <w:t>a(</w:t>
            </w:r>
            <w:r w:rsidR="00FC602C" w:rsidRPr="00DB451B">
              <w:rPr>
                <w:rFonts w:ascii="Verdana" w:hAnsi="Verdana"/>
                <w:sz w:val="16"/>
                <w:szCs w:val="16"/>
              </w:rPr>
              <w:t>4</w:t>
            </w:r>
            <w:r w:rsidRPr="00DB451B">
              <w:rPr>
                <w:rFonts w:ascii="Verdana" w:hAnsi="Verdana"/>
                <w:sz w:val="16"/>
                <w:szCs w:val="16"/>
              </w:rPr>
              <w:t>)</w:t>
            </w:r>
          </w:p>
          <w:p w:rsidR="006D47DF" w:rsidRPr="00DB451B" w:rsidRDefault="00D82A4D" w:rsidP="00A470BC">
            <w:pPr>
              <w:rPr>
                <w:rFonts w:ascii="Verdana" w:hAnsi="Verdana"/>
                <w:sz w:val="16"/>
                <w:szCs w:val="16"/>
              </w:rPr>
            </w:pPr>
            <w:r w:rsidRPr="00DB451B">
              <w:rPr>
                <w:rFonts w:ascii="Verdana" w:hAnsi="Verdana"/>
                <w:sz w:val="16"/>
                <w:szCs w:val="16"/>
              </w:rPr>
              <w:t>Consent for Release</w:t>
            </w:r>
            <w:r w:rsidR="005D53E3" w:rsidRPr="00DB451B">
              <w:rPr>
                <w:rFonts w:ascii="Verdana" w:hAnsi="Verdana"/>
                <w:sz w:val="16"/>
                <w:szCs w:val="16"/>
              </w:rPr>
              <w:t xml:space="preserve"> (HUD-9887/9887A)</w:t>
            </w:r>
          </w:p>
        </w:tc>
        <w:tc>
          <w:tcPr>
            <w:tcW w:w="1309" w:type="dxa"/>
            <w:vAlign w:val="bottom"/>
          </w:tcPr>
          <w:p w:rsidR="006D47DF" w:rsidRPr="00DB451B" w:rsidRDefault="006D47DF" w:rsidP="00300FAE">
            <w:pPr>
              <w:jc w:val="right"/>
              <w:rPr>
                <w:rFonts w:ascii="Verdana" w:hAnsi="Verdana"/>
                <w:sz w:val="16"/>
                <w:szCs w:val="16"/>
              </w:rPr>
            </w:pPr>
          </w:p>
        </w:tc>
        <w:tc>
          <w:tcPr>
            <w:tcW w:w="1309" w:type="dxa"/>
            <w:vAlign w:val="bottom"/>
          </w:tcPr>
          <w:p w:rsidR="006D47DF" w:rsidRPr="00DB451B" w:rsidRDefault="006D47DF" w:rsidP="00300FAE">
            <w:pPr>
              <w:jc w:val="center"/>
              <w:rPr>
                <w:rFonts w:ascii="Verdana" w:hAnsi="Verdana"/>
                <w:sz w:val="16"/>
                <w:szCs w:val="16"/>
              </w:rPr>
            </w:pPr>
          </w:p>
        </w:tc>
        <w:tc>
          <w:tcPr>
            <w:tcW w:w="1122" w:type="dxa"/>
            <w:vAlign w:val="bottom"/>
          </w:tcPr>
          <w:p w:rsidR="006D47DF" w:rsidRPr="00DB451B" w:rsidRDefault="002F6216" w:rsidP="00300FAE">
            <w:pPr>
              <w:jc w:val="center"/>
              <w:rPr>
                <w:rFonts w:ascii="Verdana" w:hAnsi="Verdana"/>
                <w:sz w:val="16"/>
                <w:szCs w:val="16"/>
              </w:rPr>
            </w:pPr>
            <w:r w:rsidRPr="00DB451B">
              <w:rPr>
                <w:rFonts w:ascii="Verdana" w:hAnsi="Verdana"/>
                <w:sz w:val="16"/>
                <w:szCs w:val="16"/>
              </w:rPr>
              <w:t>.1667</w:t>
            </w:r>
          </w:p>
        </w:tc>
        <w:tc>
          <w:tcPr>
            <w:tcW w:w="1309" w:type="dxa"/>
            <w:vAlign w:val="bottom"/>
          </w:tcPr>
          <w:p w:rsidR="006D47DF" w:rsidRPr="00DB451B" w:rsidRDefault="006D47DF" w:rsidP="00300FAE">
            <w:pPr>
              <w:jc w:val="right"/>
              <w:rPr>
                <w:rFonts w:ascii="Verdana" w:hAnsi="Verdana"/>
                <w:sz w:val="16"/>
                <w:szCs w:val="16"/>
              </w:rPr>
            </w:pPr>
          </w:p>
        </w:tc>
        <w:tc>
          <w:tcPr>
            <w:tcW w:w="880" w:type="dxa"/>
            <w:vAlign w:val="bottom"/>
          </w:tcPr>
          <w:p w:rsidR="006D47DF" w:rsidRPr="00DB451B" w:rsidRDefault="006D47DF" w:rsidP="00300FAE">
            <w:pPr>
              <w:jc w:val="center"/>
              <w:rPr>
                <w:rFonts w:ascii="Verdana" w:hAnsi="Verdana"/>
                <w:sz w:val="16"/>
                <w:szCs w:val="16"/>
              </w:rPr>
            </w:pPr>
          </w:p>
        </w:tc>
        <w:tc>
          <w:tcPr>
            <w:tcW w:w="1382" w:type="dxa"/>
            <w:vAlign w:val="bottom"/>
          </w:tcPr>
          <w:p w:rsidR="006D47DF" w:rsidRPr="00DB451B" w:rsidRDefault="006D47DF" w:rsidP="00300FAE">
            <w:pPr>
              <w:jc w:val="right"/>
              <w:rPr>
                <w:rFonts w:ascii="Verdana" w:hAnsi="Verdana"/>
                <w:sz w:val="16"/>
                <w:szCs w:val="16"/>
              </w:rPr>
            </w:pPr>
          </w:p>
        </w:tc>
      </w:tr>
      <w:tr w:rsidR="006D47DF" w:rsidRPr="00DB451B" w:rsidTr="00300FAE">
        <w:tc>
          <w:tcPr>
            <w:tcW w:w="1382" w:type="dxa"/>
            <w:vMerge/>
          </w:tcPr>
          <w:p w:rsidR="006D47DF" w:rsidRPr="00DB451B" w:rsidRDefault="006D47DF" w:rsidP="00A470BC">
            <w:pPr>
              <w:rPr>
                <w:rFonts w:ascii="Verdana" w:hAnsi="Verdana"/>
                <w:sz w:val="16"/>
                <w:szCs w:val="16"/>
                <w:lang w:val="fr-FR"/>
              </w:rPr>
            </w:pPr>
          </w:p>
        </w:tc>
        <w:tc>
          <w:tcPr>
            <w:tcW w:w="2279" w:type="dxa"/>
          </w:tcPr>
          <w:p w:rsidR="00FC602C" w:rsidRPr="00DB451B" w:rsidRDefault="00BC5C4F" w:rsidP="00A470BC">
            <w:pPr>
              <w:rPr>
                <w:rFonts w:ascii="Verdana" w:hAnsi="Verdana"/>
                <w:sz w:val="16"/>
                <w:szCs w:val="16"/>
              </w:rPr>
            </w:pPr>
            <w:r w:rsidRPr="00DB451B">
              <w:rPr>
                <w:rFonts w:ascii="Verdana" w:hAnsi="Verdana"/>
                <w:sz w:val="16"/>
                <w:szCs w:val="16"/>
              </w:rPr>
              <w:t>a(</w:t>
            </w:r>
            <w:r w:rsidR="00FC602C" w:rsidRPr="00DB451B">
              <w:rPr>
                <w:rFonts w:ascii="Verdana" w:hAnsi="Verdana"/>
                <w:sz w:val="16"/>
                <w:szCs w:val="16"/>
              </w:rPr>
              <w:t>5</w:t>
            </w:r>
            <w:r w:rsidRPr="00DB451B">
              <w:rPr>
                <w:rFonts w:ascii="Verdana" w:hAnsi="Verdana"/>
                <w:sz w:val="16"/>
                <w:szCs w:val="16"/>
              </w:rPr>
              <w:t>)</w:t>
            </w:r>
          </w:p>
          <w:p w:rsidR="00FC602C" w:rsidRPr="00DB451B" w:rsidRDefault="00D82A4D" w:rsidP="00A470BC">
            <w:pPr>
              <w:rPr>
                <w:rFonts w:ascii="Verdana" w:hAnsi="Verdana"/>
                <w:sz w:val="16"/>
                <w:szCs w:val="16"/>
              </w:rPr>
            </w:pPr>
            <w:r w:rsidRPr="00DB451B">
              <w:rPr>
                <w:rFonts w:ascii="Verdana" w:hAnsi="Verdana"/>
                <w:sz w:val="16"/>
                <w:szCs w:val="16"/>
              </w:rPr>
              <w:t>Race and Ethnicity</w:t>
            </w:r>
            <w:r w:rsidR="005D53E3" w:rsidRPr="00DB451B">
              <w:rPr>
                <w:rFonts w:ascii="Verdana" w:hAnsi="Verdana"/>
                <w:sz w:val="16"/>
                <w:szCs w:val="16"/>
              </w:rPr>
              <w:t xml:space="preserve"> </w:t>
            </w:r>
          </w:p>
          <w:p w:rsidR="006D47DF" w:rsidRPr="00DB451B" w:rsidRDefault="005D53E3" w:rsidP="00A470BC">
            <w:pPr>
              <w:rPr>
                <w:rFonts w:ascii="Verdana" w:hAnsi="Verdana"/>
                <w:sz w:val="16"/>
                <w:szCs w:val="16"/>
              </w:rPr>
            </w:pPr>
            <w:r w:rsidRPr="00DB451B">
              <w:rPr>
                <w:rFonts w:ascii="Verdana" w:hAnsi="Verdana"/>
                <w:sz w:val="16"/>
                <w:szCs w:val="16"/>
              </w:rPr>
              <w:t>(HUD-27061-H)</w:t>
            </w:r>
          </w:p>
        </w:tc>
        <w:tc>
          <w:tcPr>
            <w:tcW w:w="1309" w:type="dxa"/>
            <w:vAlign w:val="bottom"/>
          </w:tcPr>
          <w:p w:rsidR="006D47DF" w:rsidRPr="00DB451B" w:rsidRDefault="006D47DF" w:rsidP="00300FAE">
            <w:pPr>
              <w:jc w:val="right"/>
              <w:rPr>
                <w:rFonts w:ascii="Verdana" w:hAnsi="Verdana"/>
                <w:sz w:val="16"/>
                <w:szCs w:val="16"/>
              </w:rPr>
            </w:pPr>
          </w:p>
        </w:tc>
        <w:tc>
          <w:tcPr>
            <w:tcW w:w="1309" w:type="dxa"/>
            <w:vAlign w:val="bottom"/>
          </w:tcPr>
          <w:p w:rsidR="006D47DF" w:rsidRPr="00DB451B" w:rsidRDefault="006D47DF" w:rsidP="00300FAE">
            <w:pPr>
              <w:jc w:val="center"/>
              <w:rPr>
                <w:rFonts w:ascii="Verdana" w:hAnsi="Verdana"/>
                <w:sz w:val="16"/>
                <w:szCs w:val="16"/>
              </w:rPr>
            </w:pPr>
          </w:p>
        </w:tc>
        <w:tc>
          <w:tcPr>
            <w:tcW w:w="1122" w:type="dxa"/>
            <w:vAlign w:val="bottom"/>
          </w:tcPr>
          <w:p w:rsidR="006D47DF" w:rsidRPr="00DB451B" w:rsidRDefault="002F6216" w:rsidP="00300FAE">
            <w:pPr>
              <w:jc w:val="center"/>
              <w:rPr>
                <w:rFonts w:ascii="Verdana" w:hAnsi="Verdana"/>
                <w:sz w:val="16"/>
                <w:szCs w:val="16"/>
              </w:rPr>
            </w:pPr>
            <w:r w:rsidRPr="00DB451B">
              <w:rPr>
                <w:rFonts w:ascii="Verdana" w:hAnsi="Verdana"/>
                <w:sz w:val="16"/>
                <w:szCs w:val="16"/>
              </w:rPr>
              <w:t>.1667</w:t>
            </w:r>
          </w:p>
        </w:tc>
        <w:tc>
          <w:tcPr>
            <w:tcW w:w="1309" w:type="dxa"/>
            <w:vAlign w:val="bottom"/>
          </w:tcPr>
          <w:p w:rsidR="006D47DF" w:rsidRPr="00DB451B" w:rsidRDefault="006D47DF" w:rsidP="00300FAE">
            <w:pPr>
              <w:jc w:val="right"/>
              <w:rPr>
                <w:rFonts w:ascii="Verdana" w:hAnsi="Verdana"/>
                <w:sz w:val="16"/>
                <w:szCs w:val="16"/>
              </w:rPr>
            </w:pPr>
          </w:p>
        </w:tc>
        <w:tc>
          <w:tcPr>
            <w:tcW w:w="880" w:type="dxa"/>
            <w:vAlign w:val="bottom"/>
          </w:tcPr>
          <w:p w:rsidR="006D47DF" w:rsidRPr="00DB451B" w:rsidRDefault="006D47DF" w:rsidP="00300FAE">
            <w:pPr>
              <w:jc w:val="center"/>
              <w:rPr>
                <w:rFonts w:ascii="Verdana" w:hAnsi="Verdana"/>
                <w:sz w:val="16"/>
                <w:szCs w:val="16"/>
              </w:rPr>
            </w:pPr>
          </w:p>
        </w:tc>
        <w:tc>
          <w:tcPr>
            <w:tcW w:w="1382" w:type="dxa"/>
            <w:vAlign w:val="bottom"/>
          </w:tcPr>
          <w:p w:rsidR="006D47DF" w:rsidRPr="00DB451B" w:rsidRDefault="006D47DF" w:rsidP="00300FAE">
            <w:pPr>
              <w:jc w:val="right"/>
              <w:rPr>
                <w:rFonts w:ascii="Verdana" w:hAnsi="Verdana"/>
                <w:sz w:val="16"/>
                <w:szCs w:val="16"/>
              </w:rPr>
            </w:pPr>
          </w:p>
        </w:tc>
      </w:tr>
      <w:tr w:rsidR="006D47DF" w:rsidRPr="00DB451B" w:rsidTr="00300FAE">
        <w:tc>
          <w:tcPr>
            <w:tcW w:w="1382" w:type="dxa"/>
            <w:vMerge/>
          </w:tcPr>
          <w:p w:rsidR="006D47DF" w:rsidRPr="00DB451B" w:rsidRDefault="006D47DF" w:rsidP="00A470BC">
            <w:pPr>
              <w:rPr>
                <w:rFonts w:ascii="Verdana" w:hAnsi="Verdana"/>
                <w:sz w:val="16"/>
                <w:szCs w:val="16"/>
                <w:lang w:val="fr-FR"/>
              </w:rPr>
            </w:pPr>
          </w:p>
        </w:tc>
        <w:tc>
          <w:tcPr>
            <w:tcW w:w="2279" w:type="dxa"/>
          </w:tcPr>
          <w:p w:rsidR="006D47DF" w:rsidRPr="00DB451B" w:rsidRDefault="00D82A4D" w:rsidP="00A470BC">
            <w:pPr>
              <w:rPr>
                <w:rFonts w:ascii="Verdana" w:hAnsi="Verdana"/>
                <w:sz w:val="16"/>
                <w:szCs w:val="16"/>
              </w:rPr>
            </w:pPr>
            <w:r w:rsidRPr="00DB451B">
              <w:rPr>
                <w:rFonts w:ascii="Verdana" w:hAnsi="Verdana"/>
                <w:b/>
                <w:sz w:val="16"/>
                <w:szCs w:val="16"/>
              </w:rPr>
              <w:t xml:space="preserve"> </w:t>
            </w:r>
            <w:r w:rsidR="00FC602C" w:rsidRPr="00DB451B">
              <w:rPr>
                <w:rFonts w:ascii="Verdana" w:hAnsi="Verdana"/>
                <w:sz w:val="16"/>
                <w:szCs w:val="16"/>
              </w:rPr>
              <w:t>Total</w:t>
            </w:r>
          </w:p>
        </w:tc>
        <w:tc>
          <w:tcPr>
            <w:tcW w:w="1309" w:type="dxa"/>
            <w:vAlign w:val="bottom"/>
          </w:tcPr>
          <w:p w:rsidR="006D47DF" w:rsidRPr="00DB451B" w:rsidRDefault="00D82A4D" w:rsidP="00300FAE">
            <w:pPr>
              <w:jc w:val="right"/>
              <w:rPr>
                <w:rFonts w:ascii="Verdana" w:hAnsi="Verdana"/>
                <w:sz w:val="16"/>
                <w:szCs w:val="16"/>
              </w:rPr>
            </w:pPr>
            <w:r w:rsidRPr="00DB451B">
              <w:rPr>
                <w:rFonts w:ascii="Verdana" w:hAnsi="Verdana"/>
                <w:sz w:val="16"/>
                <w:szCs w:val="16"/>
              </w:rPr>
              <w:t>1,</w:t>
            </w:r>
            <w:r w:rsidR="00CC044C" w:rsidRPr="00DB451B">
              <w:rPr>
                <w:rFonts w:ascii="Verdana" w:hAnsi="Verdana"/>
                <w:sz w:val="16"/>
                <w:szCs w:val="16"/>
              </w:rPr>
              <w:t>302</w:t>
            </w:r>
            <w:r w:rsidRPr="00DB451B">
              <w:rPr>
                <w:rFonts w:ascii="Verdana" w:hAnsi="Verdana"/>
                <w:sz w:val="16"/>
                <w:szCs w:val="16"/>
              </w:rPr>
              <w:t>,</w:t>
            </w:r>
            <w:r w:rsidR="00CC044C" w:rsidRPr="00DB451B">
              <w:rPr>
                <w:rFonts w:ascii="Verdana" w:hAnsi="Verdana"/>
                <w:sz w:val="16"/>
                <w:szCs w:val="16"/>
              </w:rPr>
              <w:t>939</w:t>
            </w:r>
          </w:p>
        </w:tc>
        <w:tc>
          <w:tcPr>
            <w:tcW w:w="1309" w:type="dxa"/>
            <w:vAlign w:val="bottom"/>
          </w:tcPr>
          <w:p w:rsidR="006D47DF" w:rsidRPr="00DB451B" w:rsidRDefault="002F6216" w:rsidP="00300FAE">
            <w:pPr>
              <w:jc w:val="center"/>
              <w:rPr>
                <w:rFonts w:ascii="Verdana" w:hAnsi="Verdana"/>
                <w:sz w:val="16"/>
                <w:szCs w:val="16"/>
              </w:rPr>
            </w:pPr>
            <w:r w:rsidRPr="00DB451B">
              <w:rPr>
                <w:rFonts w:ascii="Verdana" w:hAnsi="Verdana"/>
                <w:sz w:val="16"/>
                <w:szCs w:val="16"/>
              </w:rPr>
              <w:t>Annually</w:t>
            </w:r>
          </w:p>
        </w:tc>
        <w:tc>
          <w:tcPr>
            <w:tcW w:w="1122" w:type="dxa"/>
            <w:vAlign w:val="bottom"/>
          </w:tcPr>
          <w:p w:rsidR="006D47DF" w:rsidRPr="00DB451B" w:rsidRDefault="002F6216" w:rsidP="00300FAE">
            <w:pPr>
              <w:jc w:val="center"/>
              <w:rPr>
                <w:rFonts w:ascii="Verdana" w:hAnsi="Verdana"/>
                <w:sz w:val="16"/>
                <w:szCs w:val="16"/>
              </w:rPr>
            </w:pPr>
            <w:r w:rsidRPr="00DB451B">
              <w:rPr>
                <w:rFonts w:ascii="Verdana" w:hAnsi="Verdana"/>
                <w:sz w:val="16"/>
                <w:szCs w:val="16"/>
              </w:rPr>
              <w:t>.96</w:t>
            </w:r>
            <w:r w:rsidR="00BE4034" w:rsidRPr="00DB451B">
              <w:rPr>
                <w:rFonts w:ascii="Verdana" w:hAnsi="Verdana"/>
                <w:sz w:val="16"/>
                <w:szCs w:val="16"/>
              </w:rPr>
              <w:t>6</w:t>
            </w:r>
            <w:r w:rsidRPr="00DB451B">
              <w:rPr>
                <w:rFonts w:ascii="Verdana" w:hAnsi="Verdana"/>
                <w:sz w:val="16"/>
                <w:szCs w:val="16"/>
              </w:rPr>
              <w:t>7</w:t>
            </w:r>
          </w:p>
        </w:tc>
        <w:tc>
          <w:tcPr>
            <w:tcW w:w="1309" w:type="dxa"/>
            <w:vAlign w:val="bottom"/>
          </w:tcPr>
          <w:p w:rsidR="006D47DF" w:rsidRPr="00DB451B" w:rsidRDefault="002F6216" w:rsidP="00300FAE">
            <w:pPr>
              <w:jc w:val="right"/>
              <w:rPr>
                <w:rFonts w:ascii="Verdana" w:hAnsi="Verdana"/>
                <w:sz w:val="16"/>
                <w:szCs w:val="16"/>
              </w:rPr>
            </w:pPr>
            <w:r w:rsidRPr="00DB451B">
              <w:rPr>
                <w:rFonts w:ascii="Verdana" w:hAnsi="Verdana"/>
                <w:sz w:val="16"/>
                <w:szCs w:val="16"/>
              </w:rPr>
              <w:t>1,</w:t>
            </w:r>
            <w:r w:rsidR="00E15EDA" w:rsidRPr="00DB451B">
              <w:rPr>
                <w:rFonts w:ascii="Verdana" w:hAnsi="Verdana"/>
                <w:sz w:val="16"/>
                <w:szCs w:val="16"/>
              </w:rPr>
              <w:t>259</w:t>
            </w:r>
            <w:r w:rsidRPr="00DB451B">
              <w:rPr>
                <w:rFonts w:ascii="Verdana" w:hAnsi="Verdana"/>
                <w:sz w:val="16"/>
                <w:szCs w:val="16"/>
              </w:rPr>
              <w:t>,</w:t>
            </w:r>
            <w:r w:rsidR="00321BF8" w:rsidRPr="00DB451B">
              <w:rPr>
                <w:rFonts w:ascii="Verdana" w:hAnsi="Verdana"/>
                <w:sz w:val="16"/>
                <w:szCs w:val="16"/>
              </w:rPr>
              <w:t>5</w:t>
            </w:r>
            <w:r w:rsidR="00E15EDA" w:rsidRPr="00DB451B">
              <w:rPr>
                <w:rFonts w:ascii="Verdana" w:hAnsi="Verdana"/>
                <w:sz w:val="16"/>
                <w:szCs w:val="16"/>
              </w:rPr>
              <w:t>51</w:t>
            </w:r>
          </w:p>
        </w:tc>
        <w:tc>
          <w:tcPr>
            <w:tcW w:w="880" w:type="dxa"/>
            <w:vAlign w:val="bottom"/>
          </w:tcPr>
          <w:p w:rsidR="006D47DF" w:rsidRPr="00DB451B" w:rsidRDefault="002F6216" w:rsidP="00300FAE">
            <w:pPr>
              <w:jc w:val="center"/>
              <w:rPr>
                <w:rFonts w:ascii="Verdana" w:hAnsi="Verdana"/>
                <w:sz w:val="16"/>
                <w:szCs w:val="16"/>
              </w:rPr>
            </w:pPr>
            <w:r w:rsidRPr="00DB451B">
              <w:rPr>
                <w:rFonts w:ascii="Verdana" w:hAnsi="Verdana"/>
                <w:sz w:val="16"/>
                <w:szCs w:val="16"/>
              </w:rPr>
              <w:t>$25.00</w:t>
            </w:r>
          </w:p>
        </w:tc>
        <w:tc>
          <w:tcPr>
            <w:tcW w:w="1382" w:type="dxa"/>
            <w:vAlign w:val="bottom"/>
          </w:tcPr>
          <w:p w:rsidR="006D47DF" w:rsidRPr="00DB451B" w:rsidRDefault="002F6216" w:rsidP="00300FAE">
            <w:pPr>
              <w:jc w:val="right"/>
              <w:rPr>
                <w:rFonts w:ascii="Verdana" w:hAnsi="Verdana"/>
                <w:sz w:val="16"/>
                <w:szCs w:val="16"/>
              </w:rPr>
            </w:pPr>
            <w:r w:rsidRPr="00DB451B">
              <w:rPr>
                <w:rFonts w:ascii="Verdana" w:hAnsi="Verdana"/>
                <w:sz w:val="16"/>
                <w:szCs w:val="16"/>
              </w:rPr>
              <w:t>$3</w:t>
            </w:r>
            <w:r w:rsidR="00E15EDA" w:rsidRPr="00DB451B">
              <w:rPr>
                <w:rFonts w:ascii="Verdana" w:hAnsi="Verdana"/>
                <w:sz w:val="16"/>
                <w:szCs w:val="16"/>
              </w:rPr>
              <w:t>1</w:t>
            </w:r>
            <w:r w:rsidRPr="00DB451B">
              <w:rPr>
                <w:rFonts w:ascii="Verdana" w:hAnsi="Verdana"/>
                <w:sz w:val="16"/>
                <w:szCs w:val="16"/>
              </w:rPr>
              <w:t>,</w:t>
            </w:r>
            <w:r w:rsidR="008F63E6" w:rsidRPr="00DB451B">
              <w:rPr>
                <w:rFonts w:ascii="Verdana" w:hAnsi="Verdana"/>
                <w:sz w:val="16"/>
                <w:szCs w:val="16"/>
              </w:rPr>
              <w:t>488</w:t>
            </w:r>
            <w:r w:rsidRPr="00DB451B">
              <w:rPr>
                <w:rFonts w:ascii="Verdana" w:hAnsi="Verdana"/>
                <w:sz w:val="16"/>
                <w:szCs w:val="16"/>
              </w:rPr>
              <w:t>,</w:t>
            </w:r>
            <w:r w:rsidR="008F63E6" w:rsidRPr="00DB451B">
              <w:rPr>
                <w:rFonts w:ascii="Verdana" w:hAnsi="Verdana"/>
                <w:sz w:val="16"/>
                <w:szCs w:val="16"/>
              </w:rPr>
              <w:t>775</w:t>
            </w:r>
          </w:p>
        </w:tc>
      </w:tr>
      <w:tr w:rsidR="00F93AB4" w:rsidRPr="00DB451B" w:rsidTr="00300FAE">
        <w:tc>
          <w:tcPr>
            <w:tcW w:w="1382" w:type="dxa"/>
            <w:vMerge/>
          </w:tcPr>
          <w:p w:rsidR="00F93AB4" w:rsidRPr="00DB451B" w:rsidRDefault="00F93AB4" w:rsidP="00A470BC">
            <w:pPr>
              <w:rPr>
                <w:rFonts w:ascii="Verdana" w:hAnsi="Verdana"/>
                <w:sz w:val="16"/>
                <w:szCs w:val="16"/>
                <w:lang w:val="fr-FR"/>
              </w:rPr>
            </w:pPr>
          </w:p>
        </w:tc>
        <w:tc>
          <w:tcPr>
            <w:tcW w:w="2279" w:type="dxa"/>
          </w:tcPr>
          <w:p w:rsidR="00F93AB4" w:rsidRPr="00DB451B" w:rsidRDefault="00BC5C4F" w:rsidP="00A470BC">
            <w:pPr>
              <w:rPr>
                <w:rFonts w:ascii="Verdana" w:hAnsi="Verdana"/>
                <w:sz w:val="16"/>
                <w:szCs w:val="16"/>
              </w:rPr>
            </w:pPr>
            <w:r w:rsidRPr="00DB451B">
              <w:rPr>
                <w:rFonts w:ascii="Verdana" w:hAnsi="Verdana"/>
                <w:sz w:val="16"/>
                <w:szCs w:val="16"/>
              </w:rPr>
              <w:t>b</w:t>
            </w:r>
            <w:r w:rsidR="00F93AB4" w:rsidRPr="00DB451B">
              <w:rPr>
                <w:rFonts w:ascii="Verdana" w:hAnsi="Verdana"/>
                <w:sz w:val="16"/>
                <w:szCs w:val="16"/>
              </w:rPr>
              <w:t>. Recertification Notice (HUD-90100)</w:t>
            </w:r>
          </w:p>
        </w:tc>
        <w:tc>
          <w:tcPr>
            <w:tcW w:w="1309" w:type="dxa"/>
            <w:vAlign w:val="bottom"/>
          </w:tcPr>
          <w:p w:rsidR="00F93AB4" w:rsidRPr="00DB451B" w:rsidRDefault="00F93AB4" w:rsidP="00300FAE">
            <w:pPr>
              <w:jc w:val="right"/>
              <w:rPr>
                <w:rFonts w:ascii="Verdana" w:hAnsi="Verdana"/>
                <w:sz w:val="16"/>
                <w:szCs w:val="16"/>
              </w:rPr>
            </w:pPr>
            <w:r w:rsidRPr="00DB451B">
              <w:rPr>
                <w:rFonts w:ascii="Verdana" w:hAnsi="Verdana"/>
                <w:sz w:val="16"/>
                <w:szCs w:val="16"/>
              </w:rPr>
              <w:t>1,</w:t>
            </w:r>
            <w:r w:rsidR="00E15EDA" w:rsidRPr="00DB451B">
              <w:rPr>
                <w:rFonts w:ascii="Verdana" w:hAnsi="Verdana"/>
                <w:sz w:val="16"/>
                <w:szCs w:val="16"/>
              </w:rPr>
              <w:t>302</w:t>
            </w:r>
            <w:r w:rsidR="00F32493" w:rsidRPr="00DB451B">
              <w:rPr>
                <w:rFonts w:ascii="Verdana" w:hAnsi="Verdana"/>
                <w:sz w:val="16"/>
                <w:szCs w:val="16"/>
              </w:rPr>
              <w:t>,</w:t>
            </w:r>
            <w:r w:rsidR="00E15EDA" w:rsidRPr="00DB451B">
              <w:rPr>
                <w:rFonts w:ascii="Verdana" w:hAnsi="Verdana"/>
                <w:sz w:val="16"/>
                <w:szCs w:val="16"/>
              </w:rPr>
              <w:t>939</w:t>
            </w:r>
          </w:p>
        </w:tc>
        <w:tc>
          <w:tcPr>
            <w:tcW w:w="1309" w:type="dxa"/>
            <w:vAlign w:val="bottom"/>
          </w:tcPr>
          <w:p w:rsidR="00F93AB4" w:rsidRPr="00DB451B" w:rsidRDefault="00F93AB4" w:rsidP="00300FAE">
            <w:pPr>
              <w:jc w:val="center"/>
              <w:rPr>
                <w:rFonts w:ascii="Verdana" w:hAnsi="Verdana"/>
                <w:sz w:val="16"/>
                <w:szCs w:val="16"/>
              </w:rPr>
            </w:pPr>
            <w:r w:rsidRPr="00DB451B">
              <w:rPr>
                <w:rFonts w:ascii="Verdana" w:hAnsi="Verdana"/>
                <w:sz w:val="16"/>
                <w:szCs w:val="16"/>
              </w:rPr>
              <w:t>Annually</w:t>
            </w:r>
          </w:p>
        </w:tc>
        <w:tc>
          <w:tcPr>
            <w:tcW w:w="1122" w:type="dxa"/>
            <w:vAlign w:val="bottom"/>
          </w:tcPr>
          <w:p w:rsidR="00F93AB4" w:rsidRPr="00DB451B" w:rsidRDefault="00F93AB4" w:rsidP="00300FAE">
            <w:pPr>
              <w:jc w:val="center"/>
              <w:rPr>
                <w:rFonts w:ascii="Verdana" w:hAnsi="Verdana"/>
                <w:sz w:val="16"/>
                <w:szCs w:val="16"/>
              </w:rPr>
            </w:pPr>
            <w:r w:rsidRPr="00DB451B">
              <w:rPr>
                <w:rFonts w:ascii="Verdana" w:hAnsi="Verdana"/>
                <w:sz w:val="16"/>
                <w:szCs w:val="16"/>
              </w:rPr>
              <w:t>.0667</w:t>
            </w:r>
          </w:p>
        </w:tc>
        <w:tc>
          <w:tcPr>
            <w:tcW w:w="1309" w:type="dxa"/>
            <w:vAlign w:val="bottom"/>
          </w:tcPr>
          <w:p w:rsidR="00F93AB4" w:rsidRPr="00DB451B" w:rsidRDefault="008F63E6" w:rsidP="00300FAE">
            <w:pPr>
              <w:jc w:val="right"/>
              <w:rPr>
                <w:rFonts w:ascii="Verdana" w:hAnsi="Verdana"/>
                <w:sz w:val="16"/>
                <w:szCs w:val="16"/>
              </w:rPr>
            </w:pPr>
            <w:r w:rsidRPr="00DB451B">
              <w:rPr>
                <w:rFonts w:ascii="Verdana" w:hAnsi="Verdana"/>
                <w:sz w:val="16"/>
                <w:szCs w:val="16"/>
              </w:rPr>
              <w:t>86</w:t>
            </w:r>
            <w:r w:rsidR="00F93AB4" w:rsidRPr="00DB451B">
              <w:rPr>
                <w:rFonts w:ascii="Verdana" w:hAnsi="Verdana"/>
                <w:sz w:val="16"/>
                <w:szCs w:val="16"/>
              </w:rPr>
              <w:t>,</w:t>
            </w:r>
            <w:r w:rsidRPr="00DB451B">
              <w:rPr>
                <w:rFonts w:ascii="Verdana" w:hAnsi="Verdana"/>
                <w:sz w:val="16"/>
                <w:szCs w:val="16"/>
              </w:rPr>
              <w:t>906</w:t>
            </w:r>
          </w:p>
        </w:tc>
        <w:tc>
          <w:tcPr>
            <w:tcW w:w="880" w:type="dxa"/>
            <w:vAlign w:val="bottom"/>
          </w:tcPr>
          <w:p w:rsidR="00F93AB4" w:rsidRPr="00DB451B" w:rsidRDefault="00F93AB4" w:rsidP="00300FAE">
            <w:pPr>
              <w:jc w:val="center"/>
              <w:rPr>
                <w:rFonts w:ascii="Verdana" w:hAnsi="Verdana"/>
                <w:sz w:val="16"/>
                <w:szCs w:val="16"/>
              </w:rPr>
            </w:pPr>
            <w:r w:rsidRPr="00DB451B">
              <w:rPr>
                <w:rFonts w:ascii="Verdana" w:hAnsi="Verdana"/>
                <w:sz w:val="16"/>
                <w:szCs w:val="16"/>
              </w:rPr>
              <w:t>$25.00</w:t>
            </w:r>
          </w:p>
        </w:tc>
        <w:tc>
          <w:tcPr>
            <w:tcW w:w="1382" w:type="dxa"/>
            <w:vAlign w:val="bottom"/>
          </w:tcPr>
          <w:p w:rsidR="00F93AB4" w:rsidRPr="00DB451B" w:rsidRDefault="00F93AB4" w:rsidP="00300FAE">
            <w:pPr>
              <w:jc w:val="right"/>
              <w:rPr>
                <w:rFonts w:ascii="Verdana" w:hAnsi="Verdana"/>
                <w:sz w:val="16"/>
                <w:szCs w:val="16"/>
              </w:rPr>
            </w:pPr>
            <w:r w:rsidRPr="00DB451B">
              <w:rPr>
                <w:rFonts w:ascii="Verdana" w:hAnsi="Verdana"/>
                <w:sz w:val="16"/>
                <w:szCs w:val="16"/>
              </w:rPr>
              <w:t>$2,</w:t>
            </w:r>
            <w:r w:rsidR="008F63E6" w:rsidRPr="00DB451B">
              <w:rPr>
                <w:rFonts w:ascii="Verdana" w:hAnsi="Verdana"/>
                <w:sz w:val="16"/>
                <w:szCs w:val="16"/>
              </w:rPr>
              <w:t>172</w:t>
            </w:r>
            <w:r w:rsidR="00BE4034" w:rsidRPr="00DB451B">
              <w:rPr>
                <w:rFonts w:ascii="Verdana" w:hAnsi="Verdana"/>
                <w:sz w:val="16"/>
                <w:szCs w:val="16"/>
              </w:rPr>
              <w:t>,</w:t>
            </w:r>
            <w:r w:rsidR="008F63E6" w:rsidRPr="00DB451B">
              <w:rPr>
                <w:rFonts w:ascii="Verdana" w:hAnsi="Verdana"/>
                <w:sz w:val="16"/>
                <w:szCs w:val="16"/>
              </w:rPr>
              <w:t>6</w:t>
            </w:r>
            <w:r w:rsidR="00BE4034" w:rsidRPr="00DB451B">
              <w:rPr>
                <w:rFonts w:ascii="Verdana" w:hAnsi="Verdana"/>
                <w:sz w:val="16"/>
                <w:szCs w:val="16"/>
              </w:rPr>
              <w:t>50</w:t>
            </w:r>
          </w:p>
        </w:tc>
      </w:tr>
      <w:tr w:rsidR="0049772E" w:rsidRPr="00DB451B" w:rsidTr="00300FAE">
        <w:tc>
          <w:tcPr>
            <w:tcW w:w="1382" w:type="dxa"/>
            <w:vMerge/>
          </w:tcPr>
          <w:p w:rsidR="0049772E" w:rsidRPr="00DB451B" w:rsidRDefault="0049772E" w:rsidP="00A470BC">
            <w:pPr>
              <w:rPr>
                <w:rFonts w:ascii="Verdana" w:hAnsi="Verdana"/>
                <w:sz w:val="16"/>
                <w:szCs w:val="16"/>
              </w:rPr>
            </w:pPr>
          </w:p>
        </w:tc>
        <w:tc>
          <w:tcPr>
            <w:tcW w:w="2279" w:type="dxa"/>
          </w:tcPr>
          <w:p w:rsidR="0049772E" w:rsidRPr="00DB451B" w:rsidRDefault="00FC60C8" w:rsidP="00A470BC">
            <w:pPr>
              <w:rPr>
                <w:rFonts w:ascii="Verdana" w:hAnsi="Verdana"/>
                <w:sz w:val="16"/>
                <w:szCs w:val="16"/>
              </w:rPr>
            </w:pPr>
            <w:r w:rsidRPr="00DB451B">
              <w:rPr>
                <w:rFonts w:ascii="Verdana" w:hAnsi="Verdana"/>
                <w:sz w:val="16"/>
                <w:szCs w:val="16"/>
              </w:rPr>
              <w:t>c</w:t>
            </w:r>
            <w:r w:rsidR="0049772E" w:rsidRPr="00DB451B">
              <w:rPr>
                <w:rFonts w:ascii="Verdana" w:hAnsi="Verdana"/>
                <w:sz w:val="16"/>
                <w:szCs w:val="16"/>
              </w:rPr>
              <w:t>. Certification of Long Term Insurance</w:t>
            </w:r>
            <w:r w:rsidR="001357DE" w:rsidRPr="00DB451B">
              <w:rPr>
                <w:rFonts w:ascii="Verdana" w:hAnsi="Verdana"/>
                <w:sz w:val="16"/>
                <w:szCs w:val="16"/>
              </w:rPr>
              <w:t xml:space="preserve"> (HUD-90101)</w:t>
            </w:r>
          </w:p>
        </w:tc>
        <w:tc>
          <w:tcPr>
            <w:tcW w:w="1309" w:type="dxa"/>
            <w:vAlign w:val="bottom"/>
          </w:tcPr>
          <w:p w:rsidR="0049772E" w:rsidRPr="00DB451B" w:rsidRDefault="0049772E" w:rsidP="00300FAE">
            <w:pPr>
              <w:jc w:val="right"/>
              <w:rPr>
                <w:rFonts w:ascii="Verdana" w:hAnsi="Verdana"/>
                <w:sz w:val="16"/>
                <w:szCs w:val="16"/>
              </w:rPr>
            </w:pPr>
            <w:r w:rsidRPr="00DB451B">
              <w:rPr>
                <w:rFonts w:ascii="Verdana" w:hAnsi="Verdana"/>
                <w:sz w:val="16"/>
                <w:szCs w:val="16"/>
              </w:rPr>
              <w:t xml:space="preserve">40   </w:t>
            </w:r>
          </w:p>
        </w:tc>
        <w:tc>
          <w:tcPr>
            <w:tcW w:w="1309" w:type="dxa"/>
            <w:vAlign w:val="bottom"/>
          </w:tcPr>
          <w:p w:rsidR="0049772E" w:rsidRPr="00DB451B" w:rsidRDefault="0036148E" w:rsidP="00300FAE">
            <w:pPr>
              <w:jc w:val="center"/>
              <w:rPr>
                <w:rFonts w:ascii="Verdana" w:hAnsi="Verdana"/>
                <w:sz w:val="16"/>
                <w:szCs w:val="16"/>
              </w:rPr>
            </w:pPr>
            <w:r w:rsidRPr="00DB451B">
              <w:rPr>
                <w:rFonts w:ascii="Verdana" w:hAnsi="Verdana"/>
                <w:sz w:val="16"/>
                <w:szCs w:val="16"/>
              </w:rPr>
              <w:t>Annually</w:t>
            </w:r>
          </w:p>
        </w:tc>
        <w:tc>
          <w:tcPr>
            <w:tcW w:w="1122" w:type="dxa"/>
            <w:vAlign w:val="bottom"/>
          </w:tcPr>
          <w:p w:rsidR="0049772E" w:rsidRPr="00DB451B" w:rsidRDefault="0049772E" w:rsidP="00300FAE">
            <w:pPr>
              <w:jc w:val="center"/>
              <w:rPr>
                <w:rFonts w:ascii="Verdana" w:hAnsi="Verdana"/>
                <w:sz w:val="16"/>
                <w:szCs w:val="16"/>
              </w:rPr>
            </w:pPr>
            <w:r w:rsidRPr="00DB451B">
              <w:rPr>
                <w:rFonts w:ascii="Verdana" w:hAnsi="Verdana"/>
                <w:sz w:val="16"/>
                <w:szCs w:val="16"/>
              </w:rPr>
              <w:t>.1667</w:t>
            </w:r>
          </w:p>
        </w:tc>
        <w:tc>
          <w:tcPr>
            <w:tcW w:w="1309" w:type="dxa"/>
            <w:vAlign w:val="bottom"/>
          </w:tcPr>
          <w:p w:rsidR="0049772E" w:rsidRPr="00DB451B" w:rsidRDefault="0049772E" w:rsidP="00300FAE">
            <w:pPr>
              <w:jc w:val="right"/>
              <w:rPr>
                <w:rFonts w:ascii="Verdana" w:hAnsi="Verdana"/>
                <w:sz w:val="16"/>
                <w:szCs w:val="16"/>
              </w:rPr>
            </w:pPr>
            <w:r w:rsidRPr="00DB451B">
              <w:rPr>
                <w:rFonts w:ascii="Verdana" w:hAnsi="Verdana"/>
                <w:sz w:val="16"/>
                <w:szCs w:val="16"/>
              </w:rPr>
              <w:t>7</w:t>
            </w:r>
          </w:p>
        </w:tc>
        <w:tc>
          <w:tcPr>
            <w:tcW w:w="880" w:type="dxa"/>
            <w:vAlign w:val="bottom"/>
          </w:tcPr>
          <w:p w:rsidR="0049772E" w:rsidRPr="00DB451B" w:rsidRDefault="0049772E" w:rsidP="00300FAE">
            <w:pPr>
              <w:jc w:val="center"/>
              <w:rPr>
                <w:rFonts w:ascii="Verdana" w:hAnsi="Verdana"/>
                <w:sz w:val="16"/>
                <w:szCs w:val="16"/>
              </w:rPr>
            </w:pPr>
            <w:r w:rsidRPr="00DB451B">
              <w:rPr>
                <w:rFonts w:ascii="Verdana" w:hAnsi="Verdana"/>
                <w:sz w:val="16"/>
                <w:szCs w:val="16"/>
              </w:rPr>
              <w:t>$25.00</w:t>
            </w:r>
          </w:p>
        </w:tc>
        <w:tc>
          <w:tcPr>
            <w:tcW w:w="1382" w:type="dxa"/>
            <w:vAlign w:val="bottom"/>
          </w:tcPr>
          <w:p w:rsidR="0049772E" w:rsidRPr="00DB451B" w:rsidRDefault="0049772E" w:rsidP="00300FAE">
            <w:pPr>
              <w:jc w:val="right"/>
              <w:rPr>
                <w:rFonts w:ascii="Verdana" w:hAnsi="Verdana"/>
                <w:sz w:val="16"/>
                <w:szCs w:val="16"/>
              </w:rPr>
            </w:pPr>
            <w:r w:rsidRPr="00DB451B">
              <w:rPr>
                <w:rFonts w:ascii="Verdana" w:hAnsi="Verdana"/>
                <w:sz w:val="16"/>
                <w:szCs w:val="16"/>
              </w:rPr>
              <w:t>$175</w:t>
            </w:r>
          </w:p>
        </w:tc>
      </w:tr>
      <w:tr w:rsidR="0049772E" w:rsidRPr="00DB451B" w:rsidTr="00300FAE">
        <w:tc>
          <w:tcPr>
            <w:tcW w:w="1382" w:type="dxa"/>
            <w:vMerge/>
          </w:tcPr>
          <w:p w:rsidR="0049772E" w:rsidRPr="00DB451B" w:rsidRDefault="0049772E" w:rsidP="00A470BC">
            <w:pPr>
              <w:rPr>
                <w:rFonts w:ascii="Verdana" w:hAnsi="Verdana"/>
                <w:sz w:val="16"/>
                <w:szCs w:val="16"/>
              </w:rPr>
            </w:pPr>
          </w:p>
        </w:tc>
        <w:tc>
          <w:tcPr>
            <w:tcW w:w="2279" w:type="dxa"/>
          </w:tcPr>
          <w:p w:rsidR="0049772E" w:rsidRPr="00DB451B" w:rsidRDefault="00FC60C8" w:rsidP="00A470BC">
            <w:pPr>
              <w:rPr>
                <w:rFonts w:ascii="Verdana" w:hAnsi="Verdana"/>
                <w:sz w:val="16"/>
                <w:szCs w:val="16"/>
              </w:rPr>
            </w:pPr>
            <w:r w:rsidRPr="00DB451B">
              <w:rPr>
                <w:rFonts w:ascii="Verdana" w:hAnsi="Verdana"/>
                <w:sz w:val="16"/>
                <w:szCs w:val="16"/>
              </w:rPr>
              <w:t>d</w:t>
            </w:r>
            <w:r w:rsidR="0049772E" w:rsidRPr="00DB451B">
              <w:rPr>
                <w:rFonts w:ascii="Verdana" w:hAnsi="Verdana"/>
                <w:sz w:val="16"/>
                <w:szCs w:val="16"/>
              </w:rPr>
              <w:t>. Verification of college students independence from parents</w:t>
            </w:r>
            <w:r w:rsidR="001357DE" w:rsidRPr="00DB451B">
              <w:rPr>
                <w:rFonts w:ascii="Verdana" w:hAnsi="Verdana"/>
                <w:sz w:val="16"/>
                <w:szCs w:val="16"/>
              </w:rPr>
              <w:t xml:space="preserve"> </w:t>
            </w:r>
            <w:r w:rsidR="003B7297" w:rsidRPr="00DB451B">
              <w:rPr>
                <w:rFonts w:ascii="Verdana" w:hAnsi="Verdana"/>
                <w:sz w:val="16"/>
                <w:szCs w:val="16"/>
              </w:rPr>
              <w:t xml:space="preserve">  </w:t>
            </w:r>
          </w:p>
        </w:tc>
        <w:tc>
          <w:tcPr>
            <w:tcW w:w="1309" w:type="dxa"/>
            <w:vAlign w:val="bottom"/>
          </w:tcPr>
          <w:p w:rsidR="0049772E" w:rsidRPr="00DB451B" w:rsidRDefault="0049772E" w:rsidP="00300FAE">
            <w:pPr>
              <w:jc w:val="right"/>
              <w:rPr>
                <w:rFonts w:ascii="Verdana" w:hAnsi="Verdana"/>
                <w:sz w:val="16"/>
                <w:szCs w:val="16"/>
              </w:rPr>
            </w:pPr>
            <w:r w:rsidRPr="00DB451B">
              <w:rPr>
                <w:rFonts w:ascii="Verdana" w:hAnsi="Verdana"/>
                <w:sz w:val="16"/>
                <w:szCs w:val="16"/>
              </w:rPr>
              <w:t>186</w:t>
            </w:r>
          </w:p>
        </w:tc>
        <w:tc>
          <w:tcPr>
            <w:tcW w:w="1309" w:type="dxa"/>
            <w:vAlign w:val="bottom"/>
          </w:tcPr>
          <w:p w:rsidR="0049772E" w:rsidRPr="00DB451B" w:rsidRDefault="0036148E" w:rsidP="00300FAE">
            <w:pPr>
              <w:jc w:val="center"/>
              <w:rPr>
                <w:rFonts w:ascii="Verdana" w:hAnsi="Verdana"/>
                <w:sz w:val="16"/>
                <w:szCs w:val="16"/>
              </w:rPr>
            </w:pPr>
            <w:r w:rsidRPr="00DB451B">
              <w:rPr>
                <w:rFonts w:ascii="Verdana" w:hAnsi="Verdana"/>
                <w:sz w:val="16"/>
                <w:szCs w:val="16"/>
              </w:rPr>
              <w:t>Annually</w:t>
            </w:r>
          </w:p>
        </w:tc>
        <w:tc>
          <w:tcPr>
            <w:tcW w:w="1122" w:type="dxa"/>
            <w:vAlign w:val="bottom"/>
          </w:tcPr>
          <w:p w:rsidR="0049772E" w:rsidRPr="00DB451B" w:rsidRDefault="0049772E" w:rsidP="00300FAE">
            <w:pPr>
              <w:jc w:val="center"/>
              <w:rPr>
                <w:rFonts w:ascii="Verdana" w:hAnsi="Verdana"/>
                <w:sz w:val="16"/>
                <w:szCs w:val="16"/>
              </w:rPr>
            </w:pPr>
            <w:r w:rsidRPr="00DB451B">
              <w:rPr>
                <w:rFonts w:ascii="Verdana" w:hAnsi="Verdana"/>
                <w:sz w:val="16"/>
                <w:szCs w:val="16"/>
              </w:rPr>
              <w:t>.1333</w:t>
            </w:r>
          </w:p>
        </w:tc>
        <w:tc>
          <w:tcPr>
            <w:tcW w:w="1309" w:type="dxa"/>
            <w:vAlign w:val="bottom"/>
          </w:tcPr>
          <w:p w:rsidR="0049772E" w:rsidRPr="00DB451B" w:rsidRDefault="0049772E" w:rsidP="00300FAE">
            <w:pPr>
              <w:jc w:val="right"/>
              <w:rPr>
                <w:rFonts w:ascii="Verdana" w:hAnsi="Verdana"/>
                <w:sz w:val="16"/>
                <w:szCs w:val="16"/>
              </w:rPr>
            </w:pPr>
            <w:r w:rsidRPr="00DB451B">
              <w:rPr>
                <w:rFonts w:ascii="Verdana" w:hAnsi="Verdana"/>
                <w:sz w:val="16"/>
                <w:szCs w:val="16"/>
              </w:rPr>
              <w:t>25</w:t>
            </w:r>
          </w:p>
        </w:tc>
        <w:tc>
          <w:tcPr>
            <w:tcW w:w="880" w:type="dxa"/>
            <w:vAlign w:val="bottom"/>
          </w:tcPr>
          <w:p w:rsidR="0049772E" w:rsidRPr="00DB451B" w:rsidRDefault="0049772E" w:rsidP="00300FAE">
            <w:pPr>
              <w:jc w:val="center"/>
              <w:rPr>
                <w:rFonts w:ascii="Verdana" w:hAnsi="Verdana"/>
                <w:sz w:val="16"/>
                <w:szCs w:val="16"/>
              </w:rPr>
            </w:pPr>
            <w:r w:rsidRPr="00DB451B">
              <w:rPr>
                <w:rFonts w:ascii="Verdana" w:hAnsi="Verdana"/>
                <w:sz w:val="16"/>
                <w:szCs w:val="16"/>
              </w:rPr>
              <w:t>$25.00</w:t>
            </w:r>
          </w:p>
        </w:tc>
        <w:tc>
          <w:tcPr>
            <w:tcW w:w="1382" w:type="dxa"/>
            <w:vAlign w:val="bottom"/>
          </w:tcPr>
          <w:p w:rsidR="0049772E" w:rsidRPr="00DB451B" w:rsidRDefault="0049772E" w:rsidP="00300FAE">
            <w:pPr>
              <w:jc w:val="right"/>
              <w:rPr>
                <w:rFonts w:ascii="Verdana" w:hAnsi="Verdana"/>
                <w:sz w:val="16"/>
                <w:szCs w:val="16"/>
              </w:rPr>
            </w:pPr>
            <w:r w:rsidRPr="00DB451B">
              <w:rPr>
                <w:rFonts w:ascii="Verdana" w:hAnsi="Verdana"/>
                <w:sz w:val="16"/>
                <w:szCs w:val="16"/>
              </w:rPr>
              <w:t>$625</w:t>
            </w:r>
          </w:p>
        </w:tc>
      </w:tr>
      <w:tr w:rsidR="0049772E" w:rsidRPr="00DB451B" w:rsidTr="00300FAE">
        <w:tc>
          <w:tcPr>
            <w:tcW w:w="1382" w:type="dxa"/>
            <w:vMerge/>
          </w:tcPr>
          <w:p w:rsidR="0049772E" w:rsidRPr="00DB451B" w:rsidRDefault="0049772E" w:rsidP="00A470BC">
            <w:pPr>
              <w:rPr>
                <w:rFonts w:ascii="Verdana" w:hAnsi="Verdana"/>
                <w:sz w:val="16"/>
                <w:szCs w:val="16"/>
              </w:rPr>
            </w:pPr>
          </w:p>
        </w:tc>
        <w:tc>
          <w:tcPr>
            <w:tcW w:w="2279" w:type="dxa"/>
          </w:tcPr>
          <w:p w:rsidR="0049772E" w:rsidRPr="00DB451B" w:rsidRDefault="00FC60C8" w:rsidP="00A470BC">
            <w:pPr>
              <w:rPr>
                <w:rFonts w:ascii="Verdana" w:hAnsi="Verdana"/>
                <w:sz w:val="16"/>
                <w:szCs w:val="16"/>
              </w:rPr>
            </w:pPr>
            <w:r w:rsidRPr="00DB451B">
              <w:rPr>
                <w:rFonts w:ascii="Verdana" w:hAnsi="Verdana"/>
                <w:sz w:val="16"/>
                <w:szCs w:val="16"/>
              </w:rPr>
              <w:t>e</w:t>
            </w:r>
            <w:r w:rsidR="0049772E" w:rsidRPr="00DB451B">
              <w:rPr>
                <w:rFonts w:ascii="Verdana" w:hAnsi="Verdana"/>
                <w:sz w:val="16"/>
                <w:szCs w:val="16"/>
              </w:rPr>
              <w:t>. Verification of disability</w:t>
            </w:r>
            <w:r w:rsidR="001357DE" w:rsidRPr="00DB451B">
              <w:rPr>
                <w:rFonts w:ascii="Verdana" w:hAnsi="Verdana"/>
                <w:sz w:val="16"/>
                <w:szCs w:val="16"/>
              </w:rPr>
              <w:t xml:space="preserve"> (HUD-90102 &amp; </w:t>
            </w:r>
            <w:r w:rsidR="00531015" w:rsidRPr="00DB451B">
              <w:rPr>
                <w:rFonts w:ascii="Verdana" w:hAnsi="Verdana"/>
                <w:sz w:val="16"/>
                <w:szCs w:val="16"/>
              </w:rPr>
              <w:t>HUD-</w:t>
            </w:r>
            <w:r w:rsidR="001357DE" w:rsidRPr="00DB451B">
              <w:rPr>
                <w:rFonts w:ascii="Verdana" w:hAnsi="Verdana"/>
                <w:sz w:val="16"/>
                <w:szCs w:val="16"/>
              </w:rPr>
              <w:t>90103)</w:t>
            </w:r>
          </w:p>
        </w:tc>
        <w:tc>
          <w:tcPr>
            <w:tcW w:w="1309" w:type="dxa"/>
            <w:vAlign w:val="bottom"/>
          </w:tcPr>
          <w:p w:rsidR="0049772E" w:rsidRPr="00DB451B" w:rsidRDefault="0049772E" w:rsidP="00300FAE">
            <w:pPr>
              <w:jc w:val="right"/>
              <w:rPr>
                <w:rFonts w:ascii="Verdana" w:hAnsi="Verdana"/>
                <w:sz w:val="16"/>
                <w:szCs w:val="16"/>
              </w:rPr>
            </w:pPr>
            <w:r w:rsidRPr="00DB451B">
              <w:rPr>
                <w:rFonts w:ascii="Verdana" w:hAnsi="Verdana"/>
                <w:sz w:val="16"/>
                <w:szCs w:val="16"/>
              </w:rPr>
              <w:t>40,022</w:t>
            </w:r>
          </w:p>
        </w:tc>
        <w:tc>
          <w:tcPr>
            <w:tcW w:w="1309" w:type="dxa"/>
            <w:vAlign w:val="bottom"/>
          </w:tcPr>
          <w:p w:rsidR="0049772E" w:rsidRPr="00DB451B" w:rsidRDefault="0049772E" w:rsidP="00300FAE">
            <w:pPr>
              <w:jc w:val="center"/>
              <w:rPr>
                <w:rFonts w:ascii="Verdana" w:hAnsi="Verdana"/>
                <w:sz w:val="16"/>
                <w:szCs w:val="16"/>
              </w:rPr>
            </w:pPr>
            <w:r w:rsidRPr="00DB451B">
              <w:rPr>
                <w:rFonts w:ascii="Verdana" w:hAnsi="Verdana"/>
                <w:sz w:val="16"/>
                <w:szCs w:val="16"/>
              </w:rPr>
              <w:t>1</w:t>
            </w:r>
          </w:p>
        </w:tc>
        <w:tc>
          <w:tcPr>
            <w:tcW w:w="1122" w:type="dxa"/>
            <w:vAlign w:val="bottom"/>
          </w:tcPr>
          <w:p w:rsidR="0049772E" w:rsidRPr="00DB451B" w:rsidRDefault="0049772E" w:rsidP="00300FAE">
            <w:pPr>
              <w:jc w:val="center"/>
              <w:rPr>
                <w:rFonts w:ascii="Verdana" w:hAnsi="Verdana"/>
                <w:sz w:val="16"/>
                <w:szCs w:val="16"/>
              </w:rPr>
            </w:pPr>
            <w:r w:rsidRPr="00DB451B">
              <w:rPr>
                <w:rFonts w:ascii="Verdana" w:hAnsi="Verdana"/>
                <w:sz w:val="16"/>
                <w:szCs w:val="16"/>
              </w:rPr>
              <w:t>.05</w:t>
            </w:r>
          </w:p>
        </w:tc>
        <w:tc>
          <w:tcPr>
            <w:tcW w:w="1309" w:type="dxa"/>
            <w:vAlign w:val="bottom"/>
          </w:tcPr>
          <w:p w:rsidR="0049772E" w:rsidRPr="00DB451B" w:rsidRDefault="0049772E" w:rsidP="00300FAE">
            <w:pPr>
              <w:jc w:val="right"/>
              <w:rPr>
                <w:rFonts w:ascii="Verdana" w:hAnsi="Verdana"/>
                <w:sz w:val="16"/>
                <w:szCs w:val="16"/>
              </w:rPr>
            </w:pPr>
            <w:r w:rsidRPr="00DB451B">
              <w:rPr>
                <w:rFonts w:ascii="Verdana" w:hAnsi="Verdana"/>
                <w:sz w:val="16"/>
                <w:szCs w:val="16"/>
              </w:rPr>
              <w:t>2,001</w:t>
            </w:r>
          </w:p>
        </w:tc>
        <w:tc>
          <w:tcPr>
            <w:tcW w:w="880" w:type="dxa"/>
            <w:vAlign w:val="bottom"/>
          </w:tcPr>
          <w:p w:rsidR="0049772E" w:rsidRPr="00DB451B" w:rsidRDefault="0049772E" w:rsidP="00300FAE">
            <w:pPr>
              <w:jc w:val="center"/>
              <w:rPr>
                <w:rFonts w:ascii="Verdana" w:hAnsi="Verdana"/>
                <w:sz w:val="16"/>
                <w:szCs w:val="16"/>
              </w:rPr>
            </w:pPr>
            <w:r w:rsidRPr="00DB451B">
              <w:rPr>
                <w:rFonts w:ascii="Verdana" w:hAnsi="Verdana"/>
                <w:sz w:val="16"/>
                <w:szCs w:val="16"/>
              </w:rPr>
              <w:t>$25.00</w:t>
            </w:r>
          </w:p>
        </w:tc>
        <w:tc>
          <w:tcPr>
            <w:tcW w:w="1382" w:type="dxa"/>
            <w:vAlign w:val="bottom"/>
          </w:tcPr>
          <w:p w:rsidR="0049772E" w:rsidRPr="00DB451B" w:rsidRDefault="0049772E" w:rsidP="00300FAE">
            <w:pPr>
              <w:jc w:val="right"/>
              <w:rPr>
                <w:rFonts w:ascii="Verdana" w:hAnsi="Verdana"/>
                <w:sz w:val="16"/>
                <w:szCs w:val="16"/>
              </w:rPr>
            </w:pPr>
            <w:r w:rsidRPr="00DB451B">
              <w:rPr>
                <w:rFonts w:ascii="Verdana" w:hAnsi="Verdana"/>
                <w:sz w:val="16"/>
                <w:szCs w:val="16"/>
              </w:rPr>
              <w:t>$50,025</w:t>
            </w:r>
          </w:p>
        </w:tc>
      </w:tr>
      <w:tr w:rsidR="0049772E" w:rsidRPr="00DB451B" w:rsidTr="00300FAE">
        <w:tc>
          <w:tcPr>
            <w:tcW w:w="1382" w:type="dxa"/>
            <w:vMerge/>
          </w:tcPr>
          <w:p w:rsidR="0049772E" w:rsidRPr="00DB451B" w:rsidRDefault="0049772E" w:rsidP="00A470BC">
            <w:pPr>
              <w:rPr>
                <w:rFonts w:ascii="Verdana" w:hAnsi="Verdana"/>
                <w:sz w:val="16"/>
                <w:szCs w:val="16"/>
              </w:rPr>
            </w:pPr>
          </w:p>
        </w:tc>
        <w:tc>
          <w:tcPr>
            <w:tcW w:w="2279" w:type="dxa"/>
          </w:tcPr>
          <w:p w:rsidR="0049772E" w:rsidRPr="00DB451B" w:rsidRDefault="00FC60C8" w:rsidP="00A470BC">
            <w:pPr>
              <w:rPr>
                <w:rFonts w:ascii="Verdana" w:hAnsi="Verdana"/>
                <w:sz w:val="16"/>
                <w:szCs w:val="16"/>
              </w:rPr>
            </w:pPr>
            <w:r w:rsidRPr="00DB451B">
              <w:rPr>
                <w:rFonts w:ascii="Verdana" w:hAnsi="Verdana"/>
                <w:sz w:val="16"/>
                <w:szCs w:val="16"/>
              </w:rPr>
              <w:t>f</w:t>
            </w:r>
            <w:r w:rsidR="00430133" w:rsidRPr="00DB451B">
              <w:rPr>
                <w:rFonts w:ascii="Verdana" w:hAnsi="Verdana"/>
                <w:sz w:val="16"/>
                <w:szCs w:val="16"/>
              </w:rPr>
              <w:t>.</w:t>
            </w:r>
            <w:r w:rsidR="0049772E" w:rsidRPr="00DB451B">
              <w:rPr>
                <w:rFonts w:ascii="Verdana" w:hAnsi="Verdana"/>
                <w:sz w:val="16"/>
                <w:szCs w:val="16"/>
              </w:rPr>
              <w:t xml:space="preserve"> Eligibility waivers</w:t>
            </w:r>
            <w:r w:rsidR="001357DE" w:rsidRPr="00DB451B">
              <w:rPr>
                <w:rFonts w:ascii="Verdana" w:hAnsi="Verdana"/>
                <w:sz w:val="16"/>
                <w:szCs w:val="16"/>
              </w:rPr>
              <w:t xml:space="preserve"> (HUD-90104)</w:t>
            </w:r>
          </w:p>
        </w:tc>
        <w:tc>
          <w:tcPr>
            <w:tcW w:w="1309" w:type="dxa"/>
            <w:vAlign w:val="bottom"/>
          </w:tcPr>
          <w:p w:rsidR="0049772E" w:rsidRPr="00DB451B" w:rsidRDefault="0049772E" w:rsidP="00300FAE">
            <w:pPr>
              <w:jc w:val="right"/>
              <w:rPr>
                <w:rFonts w:ascii="Verdana" w:hAnsi="Verdana"/>
                <w:sz w:val="16"/>
                <w:szCs w:val="16"/>
              </w:rPr>
            </w:pPr>
            <w:r w:rsidRPr="00DB451B">
              <w:rPr>
                <w:rFonts w:ascii="Verdana" w:hAnsi="Verdana"/>
                <w:sz w:val="16"/>
                <w:szCs w:val="16"/>
              </w:rPr>
              <w:t>300</w:t>
            </w:r>
          </w:p>
        </w:tc>
        <w:tc>
          <w:tcPr>
            <w:tcW w:w="1309" w:type="dxa"/>
            <w:vAlign w:val="bottom"/>
          </w:tcPr>
          <w:p w:rsidR="0049772E" w:rsidRPr="00DB451B" w:rsidRDefault="0049772E" w:rsidP="00300FAE">
            <w:pPr>
              <w:jc w:val="center"/>
              <w:rPr>
                <w:rFonts w:ascii="Verdana" w:hAnsi="Verdana"/>
                <w:sz w:val="16"/>
                <w:szCs w:val="16"/>
              </w:rPr>
            </w:pPr>
            <w:r w:rsidRPr="00DB451B">
              <w:rPr>
                <w:rFonts w:ascii="Verdana" w:hAnsi="Verdana"/>
                <w:sz w:val="16"/>
                <w:szCs w:val="16"/>
              </w:rPr>
              <w:t>Varies</w:t>
            </w:r>
          </w:p>
        </w:tc>
        <w:tc>
          <w:tcPr>
            <w:tcW w:w="1122" w:type="dxa"/>
            <w:vAlign w:val="bottom"/>
          </w:tcPr>
          <w:p w:rsidR="0049772E" w:rsidRPr="00DB451B" w:rsidRDefault="0049772E" w:rsidP="00300FAE">
            <w:pPr>
              <w:jc w:val="center"/>
              <w:rPr>
                <w:rFonts w:ascii="Verdana" w:hAnsi="Verdana"/>
                <w:sz w:val="16"/>
                <w:szCs w:val="16"/>
              </w:rPr>
            </w:pPr>
            <w:r w:rsidRPr="00DB451B">
              <w:rPr>
                <w:rFonts w:ascii="Verdana" w:hAnsi="Verdana"/>
                <w:sz w:val="16"/>
                <w:szCs w:val="16"/>
              </w:rPr>
              <w:t>.1667</w:t>
            </w:r>
          </w:p>
        </w:tc>
        <w:tc>
          <w:tcPr>
            <w:tcW w:w="1309" w:type="dxa"/>
            <w:vAlign w:val="bottom"/>
          </w:tcPr>
          <w:p w:rsidR="0049772E" w:rsidRPr="00DB451B" w:rsidRDefault="0049772E" w:rsidP="00300FAE">
            <w:pPr>
              <w:jc w:val="right"/>
              <w:rPr>
                <w:rFonts w:ascii="Verdana" w:hAnsi="Verdana"/>
                <w:sz w:val="16"/>
                <w:szCs w:val="16"/>
              </w:rPr>
            </w:pPr>
            <w:r w:rsidRPr="00DB451B">
              <w:rPr>
                <w:rFonts w:ascii="Verdana" w:hAnsi="Verdana"/>
                <w:sz w:val="16"/>
                <w:szCs w:val="16"/>
              </w:rPr>
              <w:t>50</w:t>
            </w:r>
          </w:p>
        </w:tc>
        <w:tc>
          <w:tcPr>
            <w:tcW w:w="880" w:type="dxa"/>
            <w:vAlign w:val="bottom"/>
          </w:tcPr>
          <w:p w:rsidR="0049772E" w:rsidRPr="00DB451B" w:rsidRDefault="0049772E" w:rsidP="00300FAE">
            <w:pPr>
              <w:jc w:val="center"/>
              <w:rPr>
                <w:rFonts w:ascii="Verdana" w:hAnsi="Verdana"/>
                <w:sz w:val="16"/>
                <w:szCs w:val="16"/>
              </w:rPr>
            </w:pPr>
            <w:r w:rsidRPr="00DB451B">
              <w:rPr>
                <w:rFonts w:ascii="Verdana" w:hAnsi="Verdana"/>
                <w:sz w:val="16"/>
                <w:szCs w:val="16"/>
              </w:rPr>
              <w:t>$25.00</w:t>
            </w:r>
          </w:p>
        </w:tc>
        <w:tc>
          <w:tcPr>
            <w:tcW w:w="1382" w:type="dxa"/>
            <w:vAlign w:val="bottom"/>
          </w:tcPr>
          <w:p w:rsidR="0049772E" w:rsidRPr="00DB451B" w:rsidRDefault="0049772E" w:rsidP="00300FAE">
            <w:pPr>
              <w:jc w:val="right"/>
              <w:rPr>
                <w:rFonts w:ascii="Verdana" w:hAnsi="Verdana"/>
                <w:sz w:val="16"/>
                <w:szCs w:val="16"/>
              </w:rPr>
            </w:pPr>
            <w:r w:rsidRPr="00DB451B">
              <w:rPr>
                <w:rFonts w:ascii="Verdana" w:hAnsi="Verdana"/>
                <w:sz w:val="16"/>
                <w:szCs w:val="16"/>
              </w:rPr>
              <w:t>$1,250</w:t>
            </w:r>
          </w:p>
        </w:tc>
      </w:tr>
      <w:tr w:rsidR="0049772E" w:rsidRPr="00DB451B" w:rsidTr="00300FAE">
        <w:tc>
          <w:tcPr>
            <w:tcW w:w="1382" w:type="dxa"/>
            <w:vMerge/>
          </w:tcPr>
          <w:p w:rsidR="0049772E" w:rsidRPr="00DB451B" w:rsidRDefault="0049772E" w:rsidP="00A470BC">
            <w:pPr>
              <w:rPr>
                <w:rFonts w:ascii="Verdana" w:hAnsi="Verdana"/>
                <w:sz w:val="16"/>
                <w:szCs w:val="16"/>
              </w:rPr>
            </w:pPr>
          </w:p>
        </w:tc>
        <w:tc>
          <w:tcPr>
            <w:tcW w:w="2279" w:type="dxa"/>
          </w:tcPr>
          <w:p w:rsidR="0049772E" w:rsidRPr="00DB451B" w:rsidRDefault="00FC60C8" w:rsidP="00A470BC">
            <w:pPr>
              <w:rPr>
                <w:rFonts w:ascii="Verdana" w:hAnsi="Verdana"/>
                <w:sz w:val="16"/>
                <w:szCs w:val="16"/>
              </w:rPr>
            </w:pPr>
            <w:r w:rsidRPr="00DB451B">
              <w:rPr>
                <w:rFonts w:ascii="Verdana" w:hAnsi="Verdana"/>
                <w:sz w:val="16"/>
                <w:szCs w:val="16"/>
              </w:rPr>
              <w:t xml:space="preserve">g. </w:t>
            </w:r>
            <w:r w:rsidR="0049772E" w:rsidRPr="00DB451B">
              <w:rPr>
                <w:rFonts w:ascii="Verdana" w:hAnsi="Verdana"/>
                <w:sz w:val="16"/>
                <w:szCs w:val="16"/>
              </w:rPr>
              <w:t>Lease</w:t>
            </w:r>
            <w:r w:rsidR="001357DE" w:rsidRPr="00DB451B">
              <w:rPr>
                <w:rFonts w:ascii="Verdana" w:hAnsi="Verdana"/>
                <w:sz w:val="16"/>
                <w:szCs w:val="16"/>
              </w:rPr>
              <w:t xml:space="preserve"> (HUD-90105a, 90105b, 90105c, 90105d</w:t>
            </w:r>
            <w:r w:rsidR="00275065" w:rsidRPr="00DB451B">
              <w:rPr>
                <w:rFonts w:ascii="Verdana" w:hAnsi="Verdana"/>
                <w:sz w:val="16"/>
                <w:szCs w:val="16"/>
              </w:rPr>
              <w:t>, 9</w:t>
            </w:r>
            <w:r w:rsidR="00BE3F2A" w:rsidRPr="00DB451B">
              <w:rPr>
                <w:rFonts w:ascii="Verdana" w:hAnsi="Verdana"/>
                <w:sz w:val="16"/>
                <w:szCs w:val="16"/>
              </w:rPr>
              <w:t>1</w:t>
            </w:r>
            <w:r w:rsidR="00275065" w:rsidRPr="00DB451B">
              <w:rPr>
                <w:rFonts w:ascii="Verdana" w:hAnsi="Verdana"/>
                <w:sz w:val="16"/>
                <w:szCs w:val="16"/>
              </w:rPr>
              <w:t>067</w:t>
            </w:r>
            <w:r w:rsidR="001357DE" w:rsidRPr="00DB451B">
              <w:rPr>
                <w:rFonts w:ascii="Verdana" w:hAnsi="Verdana"/>
                <w:sz w:val="16"/>
                <w:szCs w:val="16"/>
              </w:rPr>
              <w:t>)</w:t>
            </w:r>
          </w:p>
        </w:tc>
        <w:tc>
          <w:tcPr>
            <w:tcW w:w="1309" w:type="dxa"/>
            <w:vAlign w:val="bottom"/>
          </w:tcPr>
          <w:p w:rsidR="0049772E" w:rsidRPr="00DB451B" w:rsidRDefault="00895B0C" w:rsidP="00300FAE">
            <w:pPr>
              <w:jc w:val="right"/>
              <w:rPr>
                <w:rFonts w:ascii="Verdana" w:hAnsi="Verdana"/>
                <w:sz w:val="16"/>
                <w:szCs w:val="16"/>
              </w:rPr>
            </w:pPr>
            <w:r w:rsidRPr="00DB451B">
              <w:rPr>
                <w:rFonts w:ascii="Verdana" w:hAnsi="Verdana"/>
                <w:sz w:val="16"/>
                <w:szCs w:val="16"/>
              </w:rPr>
              <w:t>324,597</w:t>
            </w:r>
          </w:p>
        </w:tc>
        <w:tc>
          <w:tcPr>
            <w:tcW w:w="1309" w:type="dxa"/>
            <w:vAlign w:val="bottom"/>
          </w:tcPr>
          <w:p w:rsidR="0049772E" w:rsidRPr="00DB451B" w:rsidRDefault="0036148E" w:rsidP="00300FAE">
            <w:pPr>
              <w:jc w:val="center"/>
              <w:rPr>
                <w:rFonts w:ascii="Verdana" w:hAnsi="Verdana"/>
                <w:sz w:val="16"/>
                <w:szCs w:val="16"/>
              </w:rPr>
            </w:pPr>
            <w:r w:rsidRPr="00DB451B">
              <w:rPr>
                <w:rFonts w:ascii="Verdana" w:hAnsi="Verdana"/>
                <w:sz w:val="16"/>
                <w:szCs w:val="16"/>
              </w:rPr>
              <w:t>1</w:t>
            </w:r>
          </w:p>
        </w:tc>
        <w:tc>
          <w:tcPr>
            <w:tcW w:w="1122" w:type="dxa"/>
            <w:vAlign w:val="bottom"/>
          </w:tcPr>
          <w:p w:rsidR="0049772E" w:rsidRPr="00DB451B" w:rsidRDefault="0049772E" w:rsidP="00300FAE">
            <w:pPr>
              <w:jc w:val="center"/>
              <w:rPr>
                <w:rFonts w:ascii="Verdana" w:hAnsi="Verdana"/>
                <w:sz w:val="16"/>
                <w:szCs w:val="16"/>
              </w:rPr>
            </w:pPr>
            <w:r w:rsidRPr="00DB451B">
              <w:rPr>
                <w:rFonts w:ascii="Verdana" w:hAnsi="Verdana"/>
                <w:sz w:val="16"/>
                <w:szCs w:val="16"/>
              </w:rPr>
              <w:t>0</w:t>
            </w:r>
          </w:p>
        </w:tc>
        <w:tc>
          <w:tcPr>
            <w:tcW w:w="1309" w:type="dxa"/>
            <w:vAlign w:val="bottom"/>
          </w:tcPr>
          <w:p w:rsidR="0049772E" w:rsidRPr="00DB451B" w:rsidRDefault="0049772E" w:rsidP="00300FAE">
            <w:pPr>
              <w:jc w:val="right"/>
              <w:rPr>
                <w:rFonts w:ascii="Verdana" w:hAnsi="Verdana"/>
                <w:sz w:val="16"/>
                <w:szCs w:val="16"/>
              </w:rPr>
            </w:pPr>
            <w:r w:rsidRPr="00DB451B">
              <w:rPr>
                <w:rFonts w:ascii="Verdana" w:hAnsi="Verdana"/>
                <w:sz w:val="16"/>
                <w:szCs w:val="16"/>
              </w:rPr>
              <w:t>0</w:t>
            </w:r>
          </w:p>
        </w:tc>
        <w:tc>
          <w:tcPr>
            <w:tcW w:w="880" w:type="dxa"/>
            <w:vAlign w:val="bottom"/>
          </w:tcPr>
          <w:p w:rsidR="0049772E" w:rsidRPr="00DB451B" w:rsidRDefault="0049772E" w:rsidP="00300FAE">
            <w:pPr>
              <w:jc w:val="center"/>
              <w:rPr>
                <w:rFonts w:ascii="Verdana" w:hAnsi="Verdana"/>
                <w:sz w:val="16"/>
                <w:szCs w:val="16"/>
              </w:rPr>
            </w:pPr>
          </w:p>
        </w:tc>
        <w:tc>
          <w:tcPr>
            <w:tcW w:w="1382" w:type="dxa"/>
            <w:vAlign w:val="bottom"/>
          </w:tcPr>
          <w:p w:rsidR="0049772E" w:rsidRPr="00DB451B" w:rsidRDefault="0049772E" w:rsidP="00300FAE">
            <w:pPr>
              <w:jc w:val="right"/>
              <w:rPr>
                <w:rFonts w:ascii="Verdana" w:hAnsi="Verdana"/>
                <w:sz w:val="16"/>
                <w:szCs w:val="16"/>
              </w:rPr>
            </w:pPr>
          </w:p>
        </w:tc>
      </w:tr>
      <w:tr w:rsidR="00174917" w:rsidRPr="00DB451B" w:rsidTr="00300FAE">
        <w:tc>
          <w:tcPr>
            <w:tcW w:w="1382" w:type="dxa"/>
            <w:vMerge/>
          </w:tcPr>
          <w:p w:rsidR="00174917" w:rsidRPr="00DB451B" w:rsidRDefault="00174917" w:rsidP="00A470BC">
            <w:pPr>
              <w:rPr>
                <w:rFonts w:ascii="Verdana" w:hAnsi="Verdana"/>
                <w:sz w:val="16"/>
                <w:szCs w:val="16"/>
              </w:rPr>
            </w:pPr>
          </w:p>
        </w:tc>
        <w:tc>
          <w:tcPr>
            <w:tcW w:w="2279" w:type="dxa"/>
          </w:tcPr>
          <w:p w:rsidR="00174917" w:rsidRPr="00DB451B" w:rsidRDefault="00174917" w:rsidP="00A470BC">
            <w:pPr>
              <w:rPr>
                <w:rFonts w:ascii="Verdana" w:hAnsi="Verdana"/>
                <w:sz w:val="16"/>
                <w:szCs w:val="16"/>
              </w:rPr>
            </w:pPr>
            <w:r w:rsidRPr="00DB451B">
              <w:rPr>
                <w:rFonts w:ascii="Verdana" w:hAnsi="Verdana"/>
                <w:sz w:val="16"/>
                <w:szCs w:val="16"/>
              </w:rPr>
              <w:t>h. Move-in/move-out inspection report (HUD-90106)</w:t>
            </w:r>
          </w:p>
        </w:tc>
        <w:tc>
          <w:tcPr>
            <w:tcW w:w="1309" w:type="dxa"/>
            <w:vAlign w:val="bottom"/>
          </w:tcPr>
          <w:p w:rsidR="00174917" w:rsidRPr="00DB451B" w:rsidRDefault="00174917" w:rsidP="00300FAE">
            <w:pPr>
              <w:jc w:val="right"/>
              <w:rPr>
                <w:rFonts w:ascii="Verdana" w:hAnsi="Verdana"/>
                <w:sz w:val="16"/>
                <w:szCs w:val="16"/>
              </w:rPr>
            </w:pPr>
            <w:r w:rsidRPr="00DB451B">
              <w:rPr>
                <w:rFonts w:ascii="Verdana" w:hAnsi="Verdana"/>
                <w:sz w:val="16"/>
                <w:szCs w:val="16"/>
              </w:rPr>
              <w:t>305,000</w:t>
            </w:r>
          </w:p>
        </w:tc>
        <w:tc>
          <w:tcPr>
            <w:tcW w:w="1309" w:type="dxa"/>
            <w:vAlign w:val="bottom"/>
          </w:tcPr>
          <w:p w:rsidR="00174917" w:rsidRPr="00DB451B" w:rsidRDefault="00174917" w:rsidP="00300FAE">
            <w:pPr>
              <w:jc w:val="center"/>
              <w:rPr>
                <w:rFonts w:ascii="Verdana" w:hAnsi="Verdana"/>
                <w:sz w:val="16"/>
                <w:szCs w:val="16"/>
              </w:rPr>
            </w:pPr>
            <w:r w:rsidRPr="00DB451B">
              <w:rPr>
                <w:rFonts w:ascii="Verdana" w:hAnsi="Verdana"/>
                <w:sz w:val="16"/>
                <w:szCs w:val="16"/>
              </w:rPr>
              <w:t>1</w:t>
            </w:r>
          </w:p>
        </w:tc>
        <w:tc>
          <w:tcPr>
            <w:tcW w:w="1122" w:type="dxa"/>
            <w:vAlign w:val="bottom"/>
          </w:tcPr>
          <w:p w:rsidR="00174917" w:rsidRPr="00DB451B" w:rsidRDefault="00174917" w:rsidP="00300FAE">
            <w:pPr>
              <w:jc w:val="center"/>
              <w:rPr>
                <w:rFonts w:ascii="Verdana" w:hAnsi="Verdana"/>
                <w:sz w:val="16"/>
                <w:szCs w:val="16"/>
              </w:rPr>
            </w:pPr>
            <w:r w:rsidRPr="00DB451B">
              <w:rPr>
                <w:rFonts w:ascii="Verdana" w:hAnsi="Verdana"/>
                <w:sz w:val="16"/>
                <w:szCs w:val="16"/>
              </w:rPr>
              <w:t>0</w:t>
            </w:r>
          </w:p>
        </w:tc>
        <w:tc>
          <w:tcPr>
            <w:tcW w:w="1309" w:type="dxa"/>
            <w:vAlign w:val="bottom"/>
          </w:tcPr>
          <w:p w:rsidR="00174917" w:rsidRPr="00DB451B" w:rsidRDefault="00174917" w:rsidP="00300FAE">
            <w:pPr>
              <w:jc w:val="right"/>
              <w:rPr>
                <w:rFonts w:ascii="Verdana" w:hAnsi="Verdana"/>
                <w:sz w:val="16"/>
                <w:szCs w:val="16"/>
              </w:rPr>
            </w:pPr>
            <w:r w:rsidRPr="00DB451B">
              <w:rPr>
                <w:rFonts w:ascii="Verdana" w:hAnsi="Verdana"/>
                <w:sz w:val="16"/>
                <w:szCs w:val="16"/>
              </w:rPr>
              <w:t>0</w:t>
            </w:r>
          </w:p>
        </w:tc>
        <w:tc>
          <w:tcPr>
            <w:tcW w:w="880" w:type="dxa"/>
            <w:vAlign w:val="bottom"/>
          </w:tcPr>
          <w:p w:rsidR="00174917" w:rsidRPr="00DB451B" w:rsidRDefault="00174917" w:rsidP="00300FAE">
            <w:pPr>
              <w:jc w:val="center"/>
              <w:rPr>
                <w:rFonts w:ascii="Verdana" w:hAnsi="Verdana"/>
                <w:sz w:val="16"/>
                <w:szCs w:val="16"/>
              </w:rPr>
            </w:pPr>
          </w:p>
        </w:tc>
        <w:tc>
          <w:tcPr>
            <w:tcW w:w="1382" w:type="dxa"/>
            <w:vAlign w:val="bottom"/>
          </w:tcPr>
          <w:p w:rsidR="00174917" w:rsidRPr="00DB451B" w:rsidRDefault="00174917" w:rsidP="00300FAE">
            <w:pPr>
              <w:jc w:val="right"/>
              <w:rPr>
                <w:rFonts w:ascii="Verdana" w:hAnsi="Verdana"/>
                <w:sz w:val="16"/>
                <w:szCs w:val="16"/>
              </w:rPr>
            </w:pPr>
          </w:p>
        </w:tc>
      </w:tr>
      <w:tr w:rsidR="0049772E" w:rsidRPr="00DB451B" w:rsidTr="00300FAE">
        <w:tc>
          <w:tcPr>
            <w:tcW w:w="1382" w:type="dxa"/>
            <w:vMerge/>
          </w:tcPr>
          <w:p w:rsidR="0049772E" w:rsidRPr="00DB451B" w:rsidRDefault="0049772E" w:rsidP="00A470BC">
            <w:pPr>
              <w:rPr>
                <w:rFonts w:ascii="Verdana" w:hAnsi="Verdana"/>
                <w:sz w:val="16"/>
                <w:szCs w:val="16"/>
              </w:rPr>
            </w:pPr>
          </w:p>
        </w:tc>
        <w:tc>
          <w:tcPr>
            <w:tcW w:w="2279" w:type="dxa"/>
          </w:tcPr>
          <w:p w:rsidR="0049772E" w:rsidRPr="00DB451B" w:rsidRDefault="00174917" w:rsidP="00A470BC">
            <w:pPr>
              <w:rPr>
                <w:rFonts w:ascii="Verdana" w:hAnsi="Verdana"/>
                <w:sz w:val="16"/>
                <w:szCs w:val="16"/>
              </w:rPr>
            </w:pPr>
            <w:r w:rsidRPr="00DB451B">
              <w:rPr>
                <w:rFonts w:ascii="Verdana" w:hAnsi="Verdana"/>
                <w:sz w:val="16"/>
                <w:szCs w:val="16"/>
              </w:rPr>
              <w:t>i. victim of domestic violence, dating violence or stalking to complete the certification, form HUD-9</w:t>
            </w:r>
            <w:r w:rsidR="00BE3F2A" w:rsidRPr="00DB451B">
              <w:rPr>
                <w:rFonts w:ascii="Verdana" w:hAnsi="Verdana"/>
                <w:sz w:val="16"/>
                <w:szCs w:val="16"/>
              </w:rPr>
              <w:t>1</w:t>
            </w:r>
            <w:r w:rsidRPr="00DB451B">
              <w:rPr>
                <w:rFonts w:ascii="Verdana" w:hAnsi="Verdana"/>
                <w:sz w:val="16"/>
                <w:szCs w:val="16"/>
              </w:rPr>
              <w:t>066</w:t>
            </w:r>
          </w:p>
        </w:tc>
        <w:tc>
          <w:tcPr>
            <w:tcW w:w="1309" w:type="dxa"/>
            <w:vAlign w:val="bottom"/>
          </w:tcPr>
          <w:p w:rsidR="0049772E" w:rsidRPr="00DB451B" w:rsidRDefault="00275065" w:rsidP="00300FAE">
            <w:pPr>
              <w:jc w:val="right"/>
              <w:rPr>
                <w:rFonts w:ascii="Verdana" w:hAnsi="Verdana"/>
                <w:sz w:val="16"/>
                <w:szCs w:val="16"/>
              </w:rPr>
            </w:pPr>
            <w:r w:rsidRPr="00DB451B">
              <w:rPr>
                <w:rFonts w:ascii="Verdana" w:hAnsi="Verdana"/>
                <w:sz w:val="16"/>
                <w:szCs w:val="16"/>
              </w:rPr>
              <w:t>300</w:t>
            </w:r>
          </w:p>
        </w:tc>
        <w:tc>
          <w:tcPr>
            <w:tcW w:w="1309" w:type="dxa"/>
            <w:vAlign w:val="bottom"/>
          </w:tcPr>
          <w:p w:rsidR="0049772E" w:rsidRPr="00DB451B" w:rsidRDefault="00275065" w:rsidP="00300FAE">
            <w:pPr>
              <w:jc w:val="center"/>
              <w:rPr>
                <w:rFonts w:ascii="Verdana" w:hAnsi="Verdana"/>
                <w:sz w:val="16"/>
                <w:szCs w:val="16"/>
              </w:rPr>
            </w:pPr>
            <w:r w:rsidRPr="00DB451B">
              <w:rPr>
                <w:rFonts w:ascii="Verdana" w:hAnsi="Verdana"/>
                <w:sz w:val="16"/>
                <w:szCs w:val="16"/>
              </w:rPr>
              <w:t>1</w:t>
            </w:r>
          </w:p>
        </w:tc>
        <w:tc>
          <w:tcPr>
            <w:tcW w:w="1122" w:type="dxa"/>
            <w:vAlign w:val="bottom"/>
          </w:tcPr>
          <w:p w:rsidR="0049772E" w:rsidRPr="00DB451B" w:rsidRDefault="00275065" w:rsidP="00300FAE">
            <w:pPr>
              <w:jc w:val="center"/>
              <w:rPr>
                <w:rFonts w:ascii="Verdana" w:hAnsi="Verdana"/>
                <w:sz w:val="16"/>
                <w:szCs w:val="16"/>
              </w:rPr>
            </w:pPr>
            <w:r w:rsidRPr="00DB451B">
              <w:rPr>
                <w:rFonts w:ascii="Verdana" w:hAnsi="Verdana"/>
                <w:sz w:val="16"/>
                <w:szCs w:val="16"/>
              </w:rPr>
              <w:t>1</w:t>
            </w:r>
          </w:p>
        </w:tc>
        <w:tc>
          <w:tcPr>
            <w:tcW w:w="1309" w:type="dxa"/>
            <w:vAlign w:val="bottom"/>
          </w:tcPr>
          <w:p w:rsidR="0049772E" w:rsidRPr="00DB451B" w:rsidRDefault="00275065" w:rsidP="00300FAE">
            <w:pPr>
              <w:jc w:val="right"/>
              <w:rPr>
                <w:rFonts w:ascii="Verdana" w:hAnsi="Verdana"/>
                <w:sz w:val="16"/>
                <w:szCs w:val="16"/>
              </w:rPr>
            </w:pPr>
            <w:r w:rsidRPr="00DB451B">
              <w:rPr>
                <w:rFonts w:ascii="Verdana" w:hAnsi="Verdana"/>
                <w:sz w:val="16"/>
                <w:szCs w:val="16"/>
              </w:rPr>
              <w:t>300</w:t>
            </w:r>
          </w:p>
        </w:tc>
        <w:tc>
          <w:tcPr>
            <w:tcW w:w="880" w:type="dxa"/>
            <w:vAlign w:val="bottom"/>
          </w:tcPr>
          <w:p w:rsidR="00275065" w:rsidRPr="00DB451B" w:rsidRDefault="00275065" w:rsidP="00300FAE">
            <w:pPr>
              <w:jc w:val="center"/>
              <w:rPr>
                <w:rFonts w:ascii="Verdana" w:hAnsi="Verdana"/>
                <w:sz w:val="16"/>
                <w:szCs w:val="16"/>
              </w:rPr>
            </w:pPr>
            <w:r w:rsidRPr="00DB451B">
              <w:rPr>
                <w:rFonts w:ascii="Verdana" w:hAnsi="Verdana"/>
                <w:sz w:val="16"/>
                <w:szCs w:val="16"/>
              </w:rPr>
              <w:t>$25.00</w:t>
            </w:r>
          </w:p>
        </w:tc>
        <w:tc>
          <w:tcPr>
            <w:tcW w:w="1382" w:type="dxa"/>
            <w:vAlign w:val="bottom"/>
          </w:tcPr>
          <w:p w:rsidR="0049772E" w:rsidRPr="00DB451B" w:rsidRDefault="00275065" w:rsidP="00300FAE">
            <w:pPr>
              <w:jc w:val="right"/>
              <w:rPr>
                <w:rFonts w:ascii="Verdana" w:hAnsi="Verdana"/>
                <w:sz w:val="16"/>
                <w:szCs w:val="16"/>
              </w:rPr>
            </w:pPr>
            <w:r w:rsidRPr="00DB451B">
              <w:rPr>
                <w:rFonts w:ascii="Verdana" w:hAnsi="Verdana"/>
                <w:sz w:val="16"/>
                <w:szCs w:val="16"/>
              </w:rPr>
              <w:t>$7,500</w:t>
            </w:r>
          </w:p>
        </w:tc>
      </w:tr>
      <w:tr w:rsidR="00430133" w:rsidRPr="00DB451B" w:rsidTr="00300FAE">
        <w:tc>
          <w:tcPr>
            <w:tcW w:w="1382" w:type="dxa"/>
          </w:tcPr>
          <w:p w:rsidR="00430133" w:rsidRPr="00DB451B" w:rsidRDefault="00430133" w:rsidP="00A470BC">
            <w:pPr>
              <w:rPr>
                <w:rFonts w:ascii="Verdana" w:hAnsi="Verdana"/>
                <w:sz w:val="16"/>
                <w:szCs w:val="16"/>
              </w:rPr>
            </w:pPr>
            <w:r w:rsidRPr="00DB451B">
              <w:rPr>
                <w:rFonts w:ascii="Verdana" w:hAnsi="Verdana"/>
                <w:sz w:val="16"/>
                <w:szCs w:val="16"/>
              </w:rPr>
              <w:t>Section 8</w:t>
            </w:r>
          </w:p>
        </w:tc>
        <w:tc>
          <w:tcPr>
            <w:tcW w:w="2279" w:type="dxa"/>
          </w:tcPr>
          <w:p w:rsidR="00430133" w:rsidRPr="00DB451B" w:rsidRDefault="00075D0A" w:rsidP="00075D0A">
            <w:pPr>
              <w:rPr>
                <w:rFonts w:ascii="Verdana" w:hAnsi="Verdana"/>
                <w:sz w:val="16"/>
                <w:szCs w:val="16"/>
              </w:rPr>
            </w:pPr>
            <w:r w:rsidRPr="00DB451B">
              <w:rPr>
                <w:rFonts w:ascii="Verdana" w:hAnsi="Verdana"/>
                <w:sz w:val="16"/>
                <w:szCs w:val="16"/>
              </w:rPr>
              <w:t>j</w:t>
            </w:r>
            <w:r w:rsidR="00430133" w:rsidRPr="00DB451B">
              <w:rPr>
                <w:rFonts w:ascii="Verdana" w:hAnsi="Verdana"/>
                <w:sz w:val="16"/>
                <w:szCs w:val="16"/>
              </w:rPr>
              <w:t>. Certification of college student’s parent(s) income</w:t>
            </w:r>
          </w:p>
        </w:tc>
        <w:tc>
          <w:tcPr>
            <w:tcW w:w="1309" w:type="dxa"/>
            <w:vAlign w:val="bottom"/>
          </w:tcPr>
          <w:p w:rsidR="00430133" w:rsidRPr="00DB451B" w:rsidRDefault="00430133" w:rsidP="00300FAE">
            <w:pPr>
              <w:jc w:val="right"/>
              <w:rPr>
                <w:rFonts w:ascii="Verdana" w:hAnsi="Verdana"/>
                <w:sz w:val="16"/>
                <w:szCs w:val="16"/>
              </w:rPr>
            </w:pPr>
            <w:r w:rsidRPr="00DB451B">
              <w:rPr>
                <w:rFonts w:ascii="Verdana" w:hAnsi="Verdana"/>
                <w:sz w:val="16"/>
                <w:szCs w:val="16"/>
              </w:rPr>
              <w:t>1,670</w:t>
            </w:r>
          </w:p>
        </w:tc>
        <w:tc>
          <w:tcPr>
            <w:tcW w:w="1309" w:type="dxa"/>
            <w:vAlign w:val="bottom"/>
          </w:tcPr>
          <w:p w:rsidR="00430133" w:rsidRPr="00DB451B" w:rsidRDefault="0036148E" w:rsidP="00300FAE">
            <w:pPr>
              <w:jc w:val="center"/>
              <w:rPr>
                <w:rFonts w:ascii="Verdana" w:hAnsi="Verdana"/>
                <w:sz w:val="16"/>
                <w:szCs w:val="16"/>
              </w:rPr>
            </w:pPr>
            <w:r w:rsidRPr="00DB451B">
              <w:rPr>
                <w:rFonts w:ascii="Verdana" w:hAnsi="Verdana"/>
                <w:sz w:val="16"/>
                <w:szCs w:val="16"/>
              </w:rPr>
              <w:t>Annually</w:t>
            </w:r>
          </w:p>
        </w:tc>
        <w:tc>
          <w:tcPr>
            <w:tcW w:w="1122" w:type="dxa"/>
            <w:vAlign w:val="bottom"/>
          </w:tcPr>
          <w:p w:rsidR="00430133" w:rsidRPr="00DB451B" w:rsidRDefault="00430133" w:rsidP="00300FAE">
            <w:pPr>
              <w:jc w:val="center"/>
              <w:rPr>
                <w:rFonts w:ascii="Verdana" w:hAnsi="Verdana"/>
                <w:sz w:val="16"/>
                <w:szCs w:val="16"/>
              </w:rPr>
            </w:pPr>
            <w:r w:rsidRPr="00DB451B">
              <w:rPr>
                <w:rFonts w:ascii="Verdana" w:hAnsi="Verdana"/>
                <w:sz w:val="16"/>
                <w:szCs w:val="16"/>
              </w:rPr>
              <w:t>.0833</w:t>
            </w:r>
          </w:p>
        </w:tc>
        <w:tc>
          <w:tcPr>
            <w:tcW w:w="1309" w:type="dxa"/>
            <w:vAlign w:val="bottom"/>
          </w:tcPr>
          <w:p w:rsidR="00430133" w:rsidRPr="00DB451B" w:rsidRDefault="00430133" w:rsidP="00300FAE">
            <w:pPr>
              <w:jc w:val="right"/>
              <w:rPr>
                <w:rFonts w:ascii="Verdana" w:hAnsi="Verdana"/>
                <w:sz w:val="16"/>
                <w:szCs w:val="16"/>
              </w:rPr>
            </w:pPr>
            <w:r w:rsidRPr="00DB451B">
              <w:rPr>
                <w:rFonts w:ascii="Verdana" w:hAnsi="Verdana"/>
                <w:sz w:val="16"/>
                <w:szCs w:val="16"/>
              </w:rPr>
              <w:t>139</w:t>
            </w:r>
          </w:p>
        </w:tc>
        <w:tc>
          <w:tcPr>
            <w:tcW w:w="880" w:type="dxa"/>
            <w:vAlign w:val="bottom"/>
          </w:tcPr>
          <w:p w:rsidR="00430133" w:rsidRPr="00DB451B" w:rsidRDefault="00430133" w:rsidP="00300FAE">
            <w:pPr>
              <w:jc w:val="center"/>
              <w:rPr>
                <w:rFonts w:ascii="Verdana" w:hAnsi="Verdana"/>
                <w:sz w:val="16"/>
                <w:szCs w:val="16"/>
              </w:rPr>
            </w:pPr>
            <w:r w:rsidRPr="00DB451B">
              <w:rPr>
                <w:rFonts w:ascii="Verdana" w:hAnsi="Verdana"/>
                <w:sz w:val="16"/>
                <w:szCs w:val="16"/>
              </w:rPr>
              <w:t>$25.00</w:t>
            </w:r>
          </w:p>
        </w:tc>
        <w:tc>
          <w:tcPr>
            <w:tcW w:w="1382" w:type="dxa"/>
            <w:vAlign w:val="bottom"/>
          </w:tcPr>
          <w:p w:rsidR="00430133" w:rsidRPr="00DB451B" w:rsidRDefault="00430133" w:rsidP="00300FAE">
            <w:pPr>
              <w:jc w:val="right"/>
              <w:rPr>
                <w:rFonts w:ascii="Verdana" w:hAnsi="Verdana"/>
                <w:sz w:val="16"/>
                <w:szCs w:val="16"/>
              </w:rPr>
            </w:pPr>
            <w:r w:rsidRPr="00DB451B">
              <w:rPr>
                <w:rFonts w:ascii="Verdana" w:hAnsi="Verdana"/>
                <w:sz w:val="16"/>
                <w:szCs w:val="16"/>
              </w:rPr>
              <w:t>$3,475</w:t>
            </w:r>
          </w:p>
        </w:tc>
      </w:tr>
      <w:tr w:rsidR="00661966" w:rsidRPr="00DB451B" w:rsidTr="00300FAE">
        <w:tc>
          <w:tcPr>
            <w:tcW w:w="1382" w:type="dxa"/>
          </w:tcPr>
          <w:p w:rsidR="00661966" w:rsidRPr="00DB451B" w:rsidRDefault="00661966" w:rsidP="00A470BC">
            <w:pPr>
              <w:rPr>
                <w:rFonts w:ascii="Verdana" w:hAnsi="Verdana"/>
                <w:sz w:val="16"/>
                <w:szCs w:val="16"/>
              </w:rPr>
            </w:pPr>
          </w:p>
        </w:tc>
        <w:tc>
          <w:tcPr>
            <w:tcW w:w="2279" w:type="dxa"/>
          </w:tcPr>
          <w:p w:rsidR="004F397C" w:rsidRPr="00DB451B" w:rsidRDefault="00307808" w:rsidP="00661966">
            <w:pPr>
              <w:rPr>
                <w:rFonts w:ascii="Verdana" w:hAnsi="Verdana"/>
                <w:sz w:val="16"/>
                <w:szCs w:val="16"/>
              </w:rPr>
            </w:pPr>
            <w:r>
              <w:rPr>
                <w:rFonts w:ascii="Verdana" w:hAnsi="Verdana"/>
                <w:sz w:val="16"/>
                <w:szCs w:val="16"/>
              </w:rPr>
              <w:t>k.EIV CAAF &amp; UAAF (HUD-9001</w:t>
            </w:r>
            <w:r w:rsidR="00661966" w:rsidRPr="00DB451B">
              <w:rPr>
                <w:rFonts w:ascii="Verdana" w:hAnsi="Verdana"/>
                <w:sz w:val="16"/>
                <w:szCs w:val="16"/>
              </w:rPr>
              <w:t xml:space="preserve">1 &amp; </w:t>
            </w:r>
          </w:p>
          <w:p w:rsidR="00661966" w:rsidRPr="00DB451B" w:rsidRDefault="00307808" w:rsidP="00661966">
            <w:pPr>
              <w:rPr>
                <w:rFonts w:ascii="Verdana" w:hAnsi="Verdana"/>
                <w:sz w:val="16"/>
                <w:szCs w:val="16"/>
              </w:rPr>
            </w:pPr>
            <w:r>
              <w:rPr>
                <w:rFonts w:ascii="Verdana" w:hAnsi="Verdana"/>
                <w:sz w:val="16"/>
                <w:szCs w:val="16"/>
              </w:rPr>
              <w:t>HUD-9001</w:t>
            </w:r>
            <w:r w:rsidR="00661966" w:rsidRPr="00DB451B">
              <w:rPr>
                <w:rFonts w:ascii="Verdana" w:hAnsi="Verdana"/>
                <w:sz w:val="16"/>
                <w:szCs w:val="16"/>
              </w:rPr>
              <w:t>2)</w:t>
            </w:r>
          </w:p>
        </w:tc>
        <w:tc>
          <w:tcPr>
            <w:tcW w:w="1309" w:type="dxa"/>
            <w:vAlign w:val="bottom"/>
          </w:tcPr>
          <w:p w:rsidR="00661966" w:rsidRPr="00DB451B" w:rsidRDefault="004F397C" w:rsidP="00300FAE">
            <w:pPr>
              <w:jc w:val="right"/>
              <w:rPr>
                <w:rFonts w:ascii="Verdana" w:hAnsi="Verdana"/>
                <w:sz w:val="16"/>
                <w:szCs w:val="16"/>
              </w:rPr>
            </w:pPr>
            <w:r w:rsidRPr="00DB451B">
              <w:rPr>
                <w:rFonts w:ascii="Verdana" w:hAnsi="Verdana"/>
                <w:sz w:val="16"/>
                <w:szCs w:val="16"/>
              </w:rPr>
              <w:t>12,000</w:t>
            </w:r>
          </w:p>
          <w:p w:rsidR="004F397C" w:rsidRPr="00DB451B" w:rsidRDefault="004F397C" w:rsidP="00300FAE">
            <w:pPr>
              <w:jc w:val="right"/>
              <w:rPr>
                <w:rFonts w:ascii="Verdana" w:hAnsi="Verdana"/>
                <w:sz w:val="16"/>
                <w:szCs w:val="16"/>
              </w:rPr>
            </w:pPr>
            <w:r w:rsidRPr="00DB451B">
              <w:rPr>
                <w:rFonts w:ascii="Verdana" w:hAnsi="Verdana"/>
                <w:sz w:val="16"/>
                <w:szCs w:val="16"/>
              </w:rPr>
              <w:t>12,000</w:t>
            </w:r>
          </w:p>
        </w:tc>
        <w:tc>
          <w:tcPr>
            <w:tcW w:w="1309" w:type="dxa"/>
            <w:vAlign w:val="bottom"/>
          </w:tcPr>
          <w:p w:rsidR="00661966" w:rsidRPr="00DB451B" w:rsidRDefault="004F397C" w:rsidP="00300FAE">
            <w:pPr>
              <w:jc w:val="center"/>
              <w:rPr>
                <w:rFonts w:ascii="Verdana" w:hAnsi="Verdana"/>
                <w:sz w:val="16"/>
                <w:szCs w:val="16"/>
              </w:rPr>
            </w:pPr>
            <w:r w:rsidRPr="00DB451B">
              <w:rPr>
                <w:rFonts w:ascii="Verdana" w:hAnsi="Verdana"/>
                <w:sz w:val="16"/>
                <w:szCs w:val="16"/>
              </w:rPr>
              <w:t>Annually</w:t>
            </w:r>
          </w:p>
          <w:p w:rsidR="004F397C" w:rsidRPr="00DB451B" w:rsidRDefault="004F397C" w:rsidP="00300FAE">
            <w:pPr>
              <w:jc w:val="center"/>
              <w:rPr>
                <w:rFonts w:ascii="Verdana" w:hAnsi="Verdana"/>
                <w:sz w:val="16"/>
                <w:szCs w:val="16"/>
              </w:rPr>
            </w:pPr>
            <w:r w:rsidRPr="00DB451B">
              <w:rPr>
                <w:rFonts w:ascii="Verdana" w:hAnsi="Verdana"/>
                <w:sz w:val="16"/>
                <w:szCs w:val="16"/>
              </w:rPr>
              <w:t>Semi-annually</w:t>
            </w:r>
          </w:p>
        </w:tc>
        <w:tc>
          <w:tcPr>
            <w:tcW w:w="1122" w:type="dxa"/>
            <w:vAlign w:val="bottom"/>
          </w:tcPr>
          <w:p w:rsidR="00661966" w:rsidRPr="00DB451B" w:rsidRDefault="004F397C" w:rsidP="00300FAE">
            <w:pPr>
              <w:jc w:val="center"/>
              <w:rPr>
                <w:rFonts w:ascii="Verdana" w:hAnsi="Verdana"/>
                <w:sz w:val="16"/>
                <w:szCs w:val="16"/>
              </w:rPr>
            </w:pPr>
            <w:r w:rsidRPr="00DB451B">
              <w:rPr>
                <w:rFonts w:ascii="Verdana" w:hAnsi="Verdana"/>
                <w:sz w:val="16"/>
                <w:szCs w:val="16"/>
              </w:rPr>
              <w:t>.25</w:t>
            </w:r>
          </w:p>
        </w:tc>
        <w:tc>
          <w:tcPr>
            <w:tcW w:w="1309" w:type="dxa"/>
            <w:vAlign w:val="bottom"/>
          </w:tcPr>
          <w:p w:rsidR="00661966" w:rsidRPr="00DB451B" w:rsidRDefault="004F397C" w:rsidP="00300FAE">
            <w:pPr>
              <w:jc w:val="right"/>
              <w:rPr>
                <w:rFonts w:ascii="Verdana" w:hAnsi="Verdana"/>
                <w:sz w:val="16"/>
                <w:szCs w:val="16"/>
              </w:rPr>
            </w:pPr>
            <w:r w:rsidRPr="00DB451B">
              <w:rPr>
                <w:rFonts w:ascii="Verdana" w:hAnsi="Verdana"/>
                <w:sz w:val="16"/>
                <w:szCs w:val="16"/>
              </w:rPr>
              <w:t>6,000</w:t>
            </w:r>
          </w:p>
        </w:tc>
        <w:tc>
          <w:tcPr>
            <w:tcW w:w="880" w:type="dxa"/>
            <w:vAlign w:val="bottom"/>
          </w:tcPr>
          <w:p w:rsidR="00661966" w:rsidRPr="00DB451B" w:rsidRDefault="004F397C" w:rsidP="00300FAE">
            <w:pPr>
              <w:jc w:val="center"/>
              <w:rPr>
                <w:rFonts w:ascii="Verdana" w:hAnsi="Verdana"/>
                <w:sz w:val="16"/>
                <w:szCs w:val="16"/>
              </w:rPr>
            </w:pPr>
            <w:r w:rsidRPr="00DB451B">
              <w:rPr>
                <w:rFonts w:ascii="Verdana" w:hAnsi="Verdana"/>
                <w:sz w:val="16"/>
                <w:szCs w:val="16"/>
              </w:rPr>
              <w:t>$25.00</w:t>
            </w:r>
          </w:p>
        </w:tc>
        <w:tc>
          <w:tcPr>
            <w:tcW w:w="1382" w:type="dxa"/>
            <w:vAlign w:val="bottom"/>
          </w:tcPr>
          <w:p w:rsidR="00661966" w:rsidRPr="00DB451B" w:rsidRDefault="004F397C" w:rsidP="00300FAE">
            <w:pPr>
              <w:jc w:val="right"/>
              <w:rPr>
                <w:rFonts w:ascii="Verdana" w:hAnsi="Verdana"/>
                <w:sz w:val="16"/>
                <w:szCs w:val="16"/>
              </w:rPr>
            </w:pPr>
            <w:r w:rsidRPr="00DB451B">
              <w:rPr>
                <w:rFonts w:ascii="Verdana" w:hAnsi="Verdana"/>
                <w:sz w:val="16"/>
                <w:szCs w:val="16"/>
              </w:rPr>
              <w:t>$150,000</w:t>
            </w:r>
          </w:p>
        </w:tc>
      </w:tr>
      <w:tr w:rsidR="00430133" w:rsidRPr="00DB451B" w:rsidTr="00300FAE">
        <w:tc>
          <w:tcPr>
            <w:tcW w:w="1382" w:type="dxa"/>
          </w:tcPr>
          <w:p w:rsidR="00430133" w:rsidRPr="00DB451B" w:rsidRDefault="00FC602C" w:rsidP="00A470BC">
            <w:pPr>
              <w:rPr>
                <w:rFonts w:ascii="Verdana" w:hAnsi="Verdana"/>
                <w:b/>
                <w:sz w:val="16"/>
                <w:szCs w:val="16"/>
              </w:rPr>
            </w:pPr>
            <w:r w:rsidRPr="00DB451B">
              <w:rPr>
                <w:rFonts w:ascii="Verdana" w:hAnsi="Verdana"/>
                <w:b/>
                <w:sz w:val="16"/>
                <w:szCs w:val="16"/>
              </w:rPr>
              <w:t xml:space="preserve"> </w:t>
            </w:r>
          </w:p>
        </w:tc>
        <w:tc>
          <w:tcPr>
            <w:tcW w:w="2279" w:type="dxa"/>
          </w:tcPr>
          <w:p w:rsidR="00430133" w:rsidRPr="00DB451B" w:rsidRDefault="00FC602C" w:rsidP="00A470BC">
            <w:pPr>
              <w:rPr>
                <w:rFonts w:ascii="Verdana" w:hAnsi="Verdana"/>
                <w:b/>
                <w:sz w:val="16"/>
                <w:szCs w:val="16"/>
              </w:rPr>
            </w:pPr>
            <w:r w:rsidRPr="00DB451B">
              <w:rPr>
                <w:rFonts w:ascii="Verdana" w:hAnsi="Verdana"/>
                <w:b/>
                <w:sz w:val="16"/>
                <w:szCs w:val="16"/>
              </w:rPr>
              <w:t>Grand Totals</w:t>
            </w:r>
          </w:p>
        </w:tc>
        <w:tc>
          <w:tcPr>
            <w:tcW w:w="1309" w:type="dxa"/>
            <w:vAlign w:val="bottom"/>
          </w:tcPr>
          <w:p w:rsidR="002B5BD3" w:rsidRPr="00DB451B" w:rsidRDefault="002B5BD3" w:rsidP="00300FAE">
            <w:pPr>
              <w:jc w:val="right"/>
              <w:rPr>
                <w:rFonts w:ascii="Verdana" w:hAnsi="Verdana"/>
                <w:b/>
                <w:sz w:val="16"/>
                <w:szCs w:val="16"/>
              </w:rPr>
            </w:pPr>
          </w:p>
          <w:p w:rsidR="00430133" w:rsidRPr="00DB451B" w:rsidRDefault="002B5BD3" w:rsidP="00300FAE">
            <w:pPr>
              <w:jc w:val="right"/>
              <w:rPr>
                <w:rFonts w:ascii="Verdana" w:hAnsi="Verdana"/>
                <w:b/>
                <w:sz w:val="16"/>
                <w:szCs w:val="16"/>
              </w:rPr>
            </w:pPr>
            <w:r w:rsidRPr="00DB451B">
              <w:rPr>
                <w:rFonts w:ascii="Verdana" w:hAnsi="Verdana"/>
                <w:b/>
                <w:sz w:val="16"/>
                <w:szCs w:val="16"/>
              </w:rPr>
              <w:t>3,301,693</w:t>
            </w:r>
          </w:p>
        </w:tc>
        <w:tc>
          <w:tcPr>
            <w:tcW w:w="1309" w:type="dxa"/>
            <w:vAlign w:val="bottom"/>
          </w:tcPr>
          <w:p w:rsidR="00430133" w:rsidRPr="00DB451B" w:rsidRDefault="00430133" w:rsidP="00300FAE">
            <w:pPr>
              <w:jc w:val="center"/>
              <w:rPr>
                <w:rFonts w:ascii="Verdana" w:hAnsi="Verdana"/>
                <w:b/>
                <w:sz w:val="16"/>
                <w:szCs w:val="16"/>
              </w:rPr>
            </w:pPr>
          </w:p>
        </w:tc>
        <w:tc>
          <w:tcPr>
            <w:tcW w:w="1122" w:type="dxa"/>
            <w:vAlign w:val="bottom"/>
          </w:tcPr>
          <w:p w:rsidR="00430133" w:rsidRPr="00DB451B" w:rsidRDefault="00430133" w:rsidP="00300FAE">
            <w:pPr>
              <w:jc w:val="center"/>
              <w:rPr>
                <w:rFonts w:ascii="Verdana" w:hAnsi="Verdana"/>
                <w:b/>
                <w:sz w:val="16"/>
                <w:szCs w:val="16"/>
              </w:rPr>
            </w:pPr>
          </w:p>
        </w:tc>
        <w:tc>
          <w:tcPr>
            <w:tcW w:w="1309" w:type="dxa"/>
            <w:vAlign w:val="bottom"/>
          </w:tcPr>
          <w:p w:rsidR="00430133" w:rsidRPr="00DB451B" w:rsidRDefault="00430133" w:rsidP="00300FAE">
            <w:pPr>
              <w:jc w:val="right"/>
              <w:rPr>
                <w:rFonts w:ascii="Verdana" w:hAnsi="Verdana"/>
                <w:b/>
                <w:sz w:val="16"/>
                <w:szCs w:val="16"/>
              </w:rPr>
            </w:pPr>
          </w:p>
          <w:p w:rsidR="002B5BD3" w:rsidRPr="00DB451B" w:rsidRDefault="002B5BD3" w:rsidP="00300FAE">
            <w:pPr>
              <w:jc w:val="right"/>
              <w:rPr>
                <w:rFonts w:ascii="Verdana" w:hAnsi="Verdana"/>
                <w:b/>
                <w:sz w:val="16"/>
                <w:szCs w:val="16"/>
              </w:rPr>
            </w:pPr>
            <w:r w:rsidRPr="00DB451B">
              <w:rPr>
                <w:rFonts w:ascii="Verdana" w:hAnsi="Verdana"/>
                <w:b/>
                <w:sz w:val="16"/>
                <w:szCs w:val="16"/>
              </w:rPr>
              <w:t>1,354,979</w:t>
            </w:r>
          </w:p>
        </w:tc>
        <w:tc>
          <w:tcPr>
            <w:tcW w:w="880" w:type="dxa"/>
            <w:vAlign w:val="bottom"/>
          </w:tcPr>
          <w:p w:rsidR="00430133" w:rsidRPr="00DB451B" w:rsidRDefault="00430133" w:rsidP="00300FAE">
            <w:pPr>
              <w:jc w:val="center"/>
              <w:rPr>
                <w:rFonts w:ascii="Verdana" w:hAnsi="Verdana"/>
                <w:b/>
                <w:sz w:val="16"/>
                <w:szCs w:val="16"/>
              </w:rPr>
            </w:pPr>
            <w:r w:rsidRPr="00DB451B">
              <w:rPr>
                <w:rFonts w:ascii="Verdana" w:hAnsi="Verdana"/>
                <w:b/>
                <w:sz w:val="16"/>
                <w:szCs w:val="16"/>
              </w:rPr>
              <w:t>$25.00</w:t>
            </w:r>
          </w:p>
        </w:tc>
        <w:tc>
          <w:tcPr>
            <w:tcW w:w="1382" w:type="dxa"/>
            <w:vAlign w:val="bottom"/>
          </w:tcPr>
          <w:p w:rsidR="00430133" w:rsidRPr="00DB451B" w:rsidRDefault="00430133" w:rsidP="00300FAE">
            <w:pPr>
              <w:jc w:val="right"/>
              <w:rPr>
                <w:rFonts w:ascii="Verdana" w:hAnsi="Verdana"/>
                <w:b/>
                <w:sz w:val="16"/>
                <w:szCs w:val="16"/>
              </w:rPr>
            </w:pPr>
          </w:p>
          <w:p w:rsidR="002B5BD3" w:rsidRPr="00DB451B" w:rsidRDefault="002B5BD3" w:rsidP="00300FAE">
            <w:pPr>
              <w:jc w:val="right"/>
              <w:rPr>
                <w:rFonts w:ascii="Verdana" w:hAnsi="Verdana"/>
                <w:b/>
                <w:sz w:val="16"/>
                <w:szCs w:val="16"/>
              </w:rPr>
            </w:pPr>
            <w:r w:rsidRPr="00DB451B">
              <w:rPr>
                <w:rFonts w:ascii="Verdana" w:hAnsi="Verdana"/>
                <w:b/>
                <w:sz w:val="16"/>
                <w:szCs w:val="16"/>
              </w:rPr>
              <w:t>$33,874,475</w:t>
            </w:r>
          </w:p>
        </w:tc>
      </w:tr>
    </w:tbl>
    <w:p w:rsidR="0049772E" w:rsidRPr="00DB451B" w:rsidRDefault="00BC5C4F" w:rsidP="0049772E">
      <w:pPr>
        <w:rPr>
          <w:rFonts w:ascii="Verdana" w:hAnsi="Verdana"/>
          <w:sz w:val="16"/>
          <w:szCs w:val="16"/>
        </w:rPr>
      </w:pPr>
      <w:r w:rsidRPr="00DB451B">
        <w:rPr>
          <w:rFonts w:ascii="Verdana" w:hAnsi="Verdana"/>
          <w:sz w:val="20"/>
          <w:szCs w:val="16"/>
        </w:rPr>
        <w:t>Respondent cost is based on an hourly pay scale of $25.00 for managers.  The amount includes labor and overhead</w:t>
      </w:r>
      <w:r w:rsidR="004C53AA" w:rsidRPr="00DB451B">
        <w:rPr>
          <w:rFonts w:ascii="Verdana" w:hAnsi="Verdana"/>
          <w:sz w:val="20"/>
          <w:szCs w:val="16"/>
        </w:rPr>
        <w:t>.</w:t>
      </w:r>
    </w:p>
    <w:p w:rsidR="00924118" w:rsidRPr="00DB451B" w:rsidRDefault="00924118" w:rsidP="00924118">
      <w:pPr>
        <w:pStyle w:val="Default"/>
        <w:ind w:left="1122" w:hanging="402"/>
        <w:rPr>
          <w:rFonts w:ascii="Verdana" w:hAnsi="Verdana"/>
          <w:color w:val="auto"/>
          <w:sz w:val="18"/>
          <w:szCs w:val="16"/>
        </w:rPr>
      </w:pPr>
    </w:p>
    <w:p w:rsidR="00D82A4D" w:rsidRPr="00DB451B" w:rsidRDefault="009B677A" w:rsidP="009B677A">
      <w:pPr>
        <w:pStyle w:val="Default"/>
        <w:ind w:left="1122" w:hanging="402"/>
        <w:rPr>
          <w:rFonts w:ascii="Verdana" w:hAnsi="Verdana"/>
          <w:color w:val="auto"/>
          <w:sz w:val="20"/>
          <w:szCs w:val="20"/>
        </w:rPr>
      </w:pPr>
      <w:r w:rsidRPr="00DB451B">
        <w:rPr>
          <w:rFonts w:ascii="Verdana" w:hAnsi="Verdana"/>
          <w:color w:val="auto"/>
          <w:sz w:val="18"/>
          <w:szCs w:val="16"/>
        </w:rPr>
        <w:t xml:space="preserve"> </w:t>
      </w:r>
      <w:r w:rsidR="00790F70" w:rsidRPr="00DB451B">
        <w:rPr>
          <w:rFonts w:ascii="Verdana" w:hAnsi="Verdana"/>
          <w:color w:val="auto"/>
          <w:sz w:val="20"/>
          <w:szCs w:val="20"/>
        </w:rPr>
        <w:t xml:space="preserve"> </w:t>
      </w:r>
    </w:p>
    <w:p w:rsidR="00924118" w:rsidRPr="00DB451B" w:rsidRDefault="00924118" w:rsidP="00924118">
      <w:pPr>
        <w:pStyle w:val="Default"/>
        <w:rPr>
          <w:rFonts w:ascii="Verdana" w:hAnsi="Verdana"/>
          <w:color w:val="auto"/>
          <w:sz w:val="18"/>
          <w:szCs w:val="16"/>
        </w:rPr>
      </w:pPr>
    </w:p>
    <w:p w:rsidR="0084066E" w:rsidRPr="00DB451B" w:rsidRDefault="0084066E">
      <w:pPr>
        <w:pStyle w:val="Default"/>
        <w:numPr>
          <w:ilvl w:val="0"/>
          <w:numId w:val="2"/>
        </w:numPr>
        <w:rPr>
          <w:rFonts w:ascii="Verdana" w:hAnsi="Verdana"/>
          <w:b/>
          <w:color w:val="auto"/>
          <w:sz w:val="20"/>
          <w:szCs w:val="16"/>
        </w:rPr>
      </w:pPr>
      <w:r w:rsidRPr="00DB451B">
        <w:rPr>
          <w:rFonts w:ascii="Verdana" w:hAnsi="Verdana"/>
          <w:b/>
          <w:color w:val="auto"/>
          <w:sz w:val="20"/>
          <w:szCs w:val="16"/>
        </w:rPr>
        <w:t xml:space="preserve">Provide an estimate for the total annual cost burden to respondents or record keepers resulting from the collection of information.  (Do not include the cost of any hour burden shown in Items 12 and 14). </w:t>
      </w:r>
    </w:p>
    <w:p w:rsidR="0084066E" w:rsidRPr="00DB451B" w:rsidRDefault="0084066E">
      <w:pPr>
        <w:pStyle w:val="Default"/>
        <w:numPr>
          <w:ilvl w:val="0"/>
          <w:numId w:val="3"/>
        </w:numPr>
        <w:rPr>
          <w:rFonts w:ascii="Verdana" w:hAnsi="Verdana"/>
          <w:b/>
          <w:color w:val="auto"/>
          <w:sz w:val="18"/>
          <w:szCs w:val="16"/>
        </w:rPr>
      </w:pPr>
      <w:r w:rsidRPr="00DB451B">
        <w:rPr>
          <w:rFonts w:ascii="Verdana" w:hAnsi="Verdana"/>
          <w:b/>
          <w:color w:val="auto"/>
          <w:sz w:val="18"/>
          <w:szCs w:val="16"/>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4066E" w:rsidRPr="00DB451B" w:rsidRDefault="0084066E">
      <w:pPr>
        <w:pStyle w:val="Default"/>
        <w:numPr>
          <w:ilvl w:val="0"/>
          <w:numId w:val="4"/>
        </w:numPr>
        <w:rPr>
          <w:rFonts w:ascii="Verdana" w:hAnsi="Verdana"/>
          <w:b/>
          <w:color w:val="auto"/>
          <w:sz w:val="18"/>
          <w:szCs w:val="16"/>
        </w:rPr>
      </w:pPr>
      <w:r w:rsidRPr="00DB451B">
        <w:rPr>
          <w:rFonts w:ascii="Verdana" w:hAnsi="Verdana"/>
          <w:b/>
          <w:color w:val="auto"/>
          <w:sz w:val="18"/>
          <w:szCs w:val="16"/>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w:t>
      </w:r>
      <w:r w:rsidRPr="00DB451B">
        <w:rPr>
          <w:rFonts w:ascii="Verdana" w:hAnsi="Verdana"/>
          <w:b/>
          <w:color w:val="auto"/>
          <w:sz w:val="18"/>
        </w:rPr>
        <w:t>existing economic or regulatory impact analysis associated with the rulemaking containing the information collection, as appropriate.</w:t>
      </w:r>
    </w:p>
    <w:p w:rsidR="0084066E" w:rsidRPr="00DB451B" w:rsidRDefault="0084066E">
      <w:pPr>
        <w:pStyle w:val="Default"/>
        <w:numPr>
          <w:ilvl w:val="0"/>
          <w:numId w:val="5"/>
        </w:numPr>
        <w:rPr>
          <w:rFonts w:ascii="Verdana" w:hAnsi="Verdana"/>
          <w:b/>
          <w:color w:val="auto"/>
          <w:sz w:val="18"/>
        </w:rPr>
      </w:pPr>
      <w:r w:rsidRPr="00DB451B">
        <w:rPr>
          <w:rFonts w:ascii="Verdana" w:hAnsi="Verdana"/>
          <w:b/>
          <w:color w:val="auto"/>
          <w:sz w:val="18"/>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84066E" w:rsidRPr="00DB451B" w:rsidRDefault="0084066E">
      <w:pPr>
        <w:pStyle w:val="Default"/>
        <w:ind w:left="360"/>
        <w:rPr>
          <w:rFonts w:ascii="Verdana" w:hAnsi="Verdana"/>
          <w:color w:val="auto"/>
          <w:sz w:val="18"/>
        </w:rPr>
      </w:pPr>
    </w:p>
    <w:p w:rsidR="00802B06" w:rsidRPr="00DB451B" w:rsidRDefault="00D300FE" w:rsidP="00D300FE">
      <w:pPr>
        <w:pStyle w:val="Default"/>
        <w:ind w:left="360"/>
        <w:rPr>
          <w:rFonts w:ascii="Verdana" w:hAnsi="Verdana"/>
          <w:color w:val="auto"/>
          <w:sz w:val="20"/>
          <w:szCs w:val="20"/>
        </w:rPr>
      </w:pPr>
      <w:r w:rsidRPr="00DB451B">
        <w:rPr>
          <w:rFonts w:ascii="Verdana" w:hAnsi="Verdana"/>
          <w:color w:val="auto"/>
          <w:sz w:val="20"/>
          <w:szCs w:val="20"/>
        </w:rPr>
        <w:t>Industry Software Vendors must enhance the</w:t>
      </w:r>
      <w:r w:rsidR="00B63AF5" w:rsidRPr="00DB451B">
        <w:rPr>
          <w:rFonts w:ascii="Verdana" w:hAnsi="Verdana"/>
          <w:color w:val="auto"/>
          <w:sz w:val="20"/>
          <w:szCs w:val="20"/>
        </w:rPr>
        <w:t xml:space="preserve">ir </w:t>
      </w:r>
      <w:r w:rsidRPr="00DB451B">
        <w:rPr>
          <w:rFonts w:ascii="Verdana" w:hAnsi="Verdana"/>
          <w:color w:val="auto"/>
          <w:sz w:val="20"/>
          <w:szCs w:val="20"/>
        </w:rPr>
        <w:t xml:space="preserve">applications used by </w:t>
      </w:r>
      <w:r w:rsidR="00B63AF5" w:rsidRPr="00DB451B">
        <w:rPr>
          <w:rFonts w:ascii="Verdana" w:hAnsi="Verdana"/>
          <w:color w:val="auto"/>
          <w:sz w:val="20"/>
          <w:szCs w:val="20"/>
        </w:rPr>
        <w:t>owners/management agents whenever</w:t>
      </w:r>
      <w:r w:rsidRPr="00DB451B">
        <w:rPr>
          <w:rFonts w:ascii="Verdana" w:hAnsi="Verdana"/>
          <w:color w:val="auto"/>
          <w:sz w:val="20"/>
          <w:szCs w:val="20"/>
        </w:rPr>
        <w:t xml:space="preserve"> information collections result in form changes.  </w:t>
      </w:r>
      <w:r w:rsidR="00B63AF5" w:rsidRPr="00DB451B">
        <w:rPr>
          <w:rFonts w:ascii="Verdana" w:hAnsi="Verdana"/>
          <w:color w:val="auto"/>
          <w:sz w:val="20"/>
          <w:szCs w:val="20"/>
        </w:rPr>
        <w:t xml:space="preserve">The applications are used by </w:t>
      </w:r>
      <w:r w:rsidR="007A7C65" w:rsidRPr="00DB451B">
        <w:rPr>
          <w:rFonts w:ascii="Verdana" w:hAnsi="Verdana"/>
          <w:color w:val="auto"/>
          <w:sz w:val="20"/>
          <w:szCs w:val="20"/>
        </w:rPr>
        <w:t xml:space="preserve">owners/management agents to </w:t>
      </w:r>
      <w:r w:rsidR="00B63AF5" w:rsidRPr="00DB451B">
        <w:rPr>
          <w:rFonts w:ascii="Verdana" w:hAnsi="Verdana"/>
          <w:color w:val="auto"/>
          <w:sz w:val="20"/>
          <w:szCs w:val="20"/>
        </w:rPr>
        <w:t xml:space="preserve">create automated forms (facsimiles) and transmit data to HUD TRACS. </w:t>
      </w:r>
    </w:p>
    <w:p w:rsidR="00802B06" w:rsidRPr="00DB451B" w:rsidRDefault="00802B06" w:rsidP="00D300FE">
      <w:pPr>
        <w:pStyle w:val="Default"/>
        <w:ind w:left="360"/>
        <w:rPr>
          <w:rFonts w:ascii="Verdana" w:hAnsi="Verdana"/>
          <w:color w:val="auto"/>
          <w:sz w:val="20"/>
          <w:szCs w:val="20"/>
        </w:rPr>
      </w:pPr>
    </w:p>
    <w:p w:rsidR="00B63AF5" w:rsidRPr="00DB451B" w:rsidRDefault="00802B06" w:rsidP="00D300FE">
      <w:pPr>
        <w:pStyle w:val="Default"/>
        <w:ind w:left="360"/>
        <w:rPr>
          <w:rFonts w:ascii="Verdana" w:hAnsi="Verdana"/>
          <w:color w:val="auto"/>
          <w:sz w:val="20"/>
          <w:szCs w:val="20"/>
        </w:rPr>
      </w:pPr>
      <w:r w:rsidRPr="00DB451B">
        <w:rPr>
          <w:rFonts w:ascii="Verdana" w:hAnsi="Verdana"/>
          <w:color w:val="auto"/>
          <w:sz w:val="20"/>
          <w:szCs w:val="20"/>
        </w:rPr>
        <w:t>HUD consulted t</w:t>
      </w:r>
      <w:r w:rsidR="00B63AF5" w:rsidRPr="00DB451B">
        <w:rPr>
          <w:rFonts w:ascii="Verdana" w:hAnsi="Verdana"/>
          <w:color w:val="auto"/>
          <w:sz w:val="20"/>
          <w:szCs w:val="20"/>
        </w:rPr>
        <w:t xml:space="preserve">hree Industry Software Vendors </w:t>
      </w:r>
      <w:r w:rsidRPr="00DB451B">
        <w:rPr>
          <w:rFonts w:ascii="Verdana" w:hAnsi="Verdana"/>
          <w:color w:val="auto"/>
          <w:sz w:val="20"/>
          <w:szCs w:val="20"/>
        </w:rPr>
        <w:t xml:space="preserve">to determine </w:t>
      </w:r>
      <w:r w:rsidR="00B63AF5" w:rsidRPr="00DB451B">
        <w:rPr>
          <w:rFonts w:ascii="Verdana" w:hAnsi="Verdana"/>
          <w:color w:val="auto"/>
          <w:sz w:val="20"/>
          <w:szCs w:val="20"/>
        </w:rPr>
        <w:t xml:space="preserve">cost </w:t>
      </w:r>
      <w:r w:rsidR="00D6517F" w:rsidRPr="00DB451B">
        <w:rPr>
          <w:rFonts w:ascii="Verdana" w:hAnsi="Verdana"/>
          <w:color w:val="auto"/>
          <w:sz w:val="20"/>
          <w:szCs w:val="20"/>
        </w:rPr>
        <w:t xml:space="preserve">burden </w:t>
      </w:r>
      <w:r w:rsidR="00B63AF5" w:rsidRPr="00DB451B">
        <w:rPr>
          <w:rFonts w:ascii="Verdana" w:hAnsi="Verdana"/>
          <w:color w:val="auto"/>
          <w:sz w:val="20"/>
          <w:szCs w:val="20"/>
        </w:rPr>
        <w:t>estimates</w:t>
      </w:r>
      <w:r w:rsidRPr="00DB451B">
        <w:rPr>
          <w:rFonts w:ascii="Verdana" w:hAnsi="Verdana"/>
          <w:color w:val="auto"/>
          <w:sz w:val="20"/>
          <w:szCs w:val="20"/>
        </w:rPr>
        <w:t xml:space="preserve"> relative to </w:t>
      </w:r>
      <w:r w:rsidR="00D6517F" w:rsidRPr="00DB451B">
        <w:rPr>
          <w:rFonts w:ascii="Verdana" w:hAnsi="Verdana"/>
          <w:color w:val="auto"/>
          <w:sz w:val="20"/>
          <w:szCs w:val="20"/>
        </w:rPr>
        <w:t xml:space="preserve">HUD </w:t>
      </w:r>
      <w:r w:rsidRPr="00DB451B">
        <w:rPr>
          <w:rFonts w:ascii="Verdana" w:hAnsi="Verdana"/>
          <w:color w:val="auto"/>
          <w:sz w:val="20"/>
          <w:szCs w:val="20"/>
        </w:rPr>
        <w:t>TRACS Release 202C.</w:t>
      </w:r>
    </w:p>
    <w:p w:rsidR="00D6517F" w:rsidRPr="00DB451B" w:rsidRDefault="00D6517F" w:rsidP="00D300FE">
      <w:pPr>
        <w:pStyle w:val="Default"/>
        <w:ind w:left="360"/>
        <w:rPr>
          <w:rFonts w:ascii="Verdana" w:hAnsi="Verdana"/>
          <w:color w:val="auto"/>
          <w:sz w:val="20"/>
          <w:szCs w:val="20"/>
        </w:rPr>
      </w:pPr>
    </w:p>
    <w:p w:rsidR="00B63AF5" w:rsidRPr="00DB451B" w:rsidRDefault="00D6517F" w:rsidP="00D6517F">
      <w:pPr>
        <w:pStyle w:val="Default"/>
        <w:ind w:left="360"/>
        <w:jc w:val="center"/>
        <w:rPr>
          <w:rFonts w:ascii="Verdana" w:hAnsi="Verdana"/>
          <w:b/>
          <w:color w:val="auto"/>
          <w:sz w:val="18"/>
          <w:szCs w:val="18"/>
        </w:rPr>
      </w:pPr>
      <w:r w:rsidRPr="00DB451B">
        <w:rPr>
          <w:rFonts w:ascii="Verdana" w:hAnsi="Verdana"/>
          <w:b/>
          <w:color w:val="auto"/>
          <w:sz w:val="18"/>
          <w:szCs w:val="18"/>
        </w:rPr>
        <w:t>Cost Burden Estimates</w:t>
      </w:r>
    </w:p>
    <w:tbl>
      <w:tblPr>
        <w:tblW w:w="0" w:type="auto"/>
        <w:tblInd w:w="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230"/>
        <w:gridCol w:w="1870"/>
        <w:gridCol w:w="1683"/>
        <w:gridCol w:w="1673"/>
        <w:gridCol w:w="1854"/>
      </w:tblGrid>
      <w:tr w:rsidR="007825D3" w:rsidRPr="00DB451B" w:rsidTr="00300FAE">
        <w:tc>
          <w:tcPr>
            <w:tcW w:w="1230" w:type="dxa"/>
          </w:tcPr>
          <w:p w:rsidR="007825D3" w:rsidRPr="00DB451B" w:rsidRDefault="007825D3" w:rsidP="00D300FE">
            <w:pPr>
              <w:pStyle w:val="Default"/>
              <w:rPr>
                <w:rFonts w:ascii="Verdana" w:hAnsi="Verdana"/>
                <w:b/>
                <w:color w:val="auto"/>
                <w:sz w:val="18"/>
                <w:szCs w:val="18"/>
              </w:rPr>
            </w:pPr>
            <w:r w:rsidRPr="00DB451B">
              <w:rPr>
                <w:rFonts w:ascii="Verdana" w:hAnsi="Verdana"/>
                <w:b/>
                <w:color w:val="auto"/>
                <w:sz w:val="18"/>
                <w:szCs w:val="18"/>
              </w:rPr>
              <w:t>Vendor</w:t>
            </w:r>
          </w:p>
        </w:tc>
        <w:tc>
          <w:tcPr>
            <w:tcW w:w="1870" w:type="dxa"/>
          </w:tcPr>
          <w:p w:rsidR="007825D3" w:rsidRPr="00DB451B" w:rsidRDefault="007825D3" w:rsidP="00300FAE">
            <w:pPr>
              <w:pStyle w:val="Default"/>
              <w:jc w:val="center"/>
              <w:rPr>
                <w:rFonts w:ascii="Verdana" w:hAnsi="Verdana"/>
                <w:b/>
                <w:color w:val="auto"/>
                <w:sz w:val="18"/>
                <w:szCs w:val="18"/>
              </w:rPr>
            </w:pPr>
            <w:r w:rsidRPr="00DB451B">
              <w:rPr>
                <w:rFonts w:ascii="Verdana" w:hAnsi="Verdana"/>
                <w:b/>
                <w:color w:val="auto"/>
                <w:sz w:val="18"/>
                <w:szCs w:val="18"/>
              </w:rPr>
              <w:t>Annualized</w:t>
            </w:r>
          </w:p>
          <w:p w:rsidR="007825D3" w:rsidRPr="00DB451B" w:rsidRDefault="007825D3" w:rsidP="00300FAE">
            <w:pPr>
              <w:pStyle w:val="Default"/>
              <w:jc w:val="center"/>
              <w:rPr>
                <w:rFonts w:ascii="Verdana" w:hAnsi="Verdana"/>
                <w:b/>
                <w:color w:val="auto"/>
                <w:sz w:val="18"/>
                <w:szCs w:val="18"/>
              </w:rPr>
            </w:pPr>
            <w:r w:rsidRPr="00DB451B">
              <w:rPr>
                <w:rFonts w:ascii="Verdana" w:hAnsi="Verdana"/>
                <w:b/>
                <w:color w:val="auto"/>
                <w:sz w:val="18"/>
                <w:szCs w:val="18"/>
              </w:rPr>
              <w:t>Capital/</w:t>
            </w:r>
          </w:p>
          <w:p w:rsidR="007825D3" w:rsidRPr="00DB451B" w:rsidRDefault="007825D3" w:rsidP="00300FAE">
            <w:pPr>
              <w:pStyle w:val="Default"/>
              <w:jc w:val="center"/>
              <w:rPr>
                <w:rFonts w:ascii="Verdana" w:hAnsi="Verdana"/>
                <w:b/>
                <w:color w:val="auto"/>
                <w:sz w:val="18"/>
                <w:szCs w:val="18"/>
              </w:rPr>
            </w:pPr>
            <w:r w:rsidRPr="00DB451B">
              <w:rPr>
                <w:rFonts w:ascii="Verdana" w:hAnsi="Verdana"/>
                <w:b/>
                <w:color w:val="auto"/>
                <w:sz w:val="18"/>
                <w:szCs w:val="18"/>
              </w:rPr>
              <w:t>Startup Cost</w:t>
            </w:r>
          </w:p>
        </w:tc>
        <w:tc>
          <w:tcPr>
            <w:tcW w:w="1683" w:type="dxa"/>
          </w:tcPr>
          <w:p w:rsidR="007825D3" w:rsidRPr="00DB451B" w:rsidRDefault="007825D3" w:rsidP="00300FAE">
            <w:pPr>
              <w:pStyle w:val="Default"/>
              <w:jc w:val="center"/>
              <w:rPr>
                <w:rFonts w:ascii="Verdana" w:hAnsi="Verdana"/>
                <w:b/>
                <w:color w:val="auto"/>
                <w:sz w:val="18"/>
                <w:szCs w:val="18"/>
              </w:rPr>
            </w:pPr>
            <w:r w:rsidRPr="00DB451B">
              <w:rPr>
                <w:rFonts w:ascii="Verdana" w:hAnsi="Verdana"/>
                <w:b/>
                <w:color w:val="auto"/>
                <w:sz w:val="18"/>
                <w:szCs w:val="18"/>
              </w:rPr>
              <w:t>Annual</w:t>
            </w:r>
          </w:p>
          <w:p w:rsidR="007825D3" w:rsidRPr="00DB451B" w:rsidRDefault="007825D3" w:rsidP="00D300FE">
            <w:pPr>
              <w:pStyle w:val="Default"/>
              <w:rPr>
                <w:rFonts w:ascii="Verdana" w:hAnsi="Verdana"/>
                <w:b/>
                <w:color w:val="auto"/>
                <w:sz w:val="18"/>
                <w:szCs w:val="18"/>
              </w:rPr>
            </w:pPr>
            <w:r w:rsidRPr="00DB451B">
              <w:rPr>
                <w:rFonts w:ascii="Verdana" w:hAnsi="Verdana"/>
                <w:b/>
                <w:color w:val="auto"/>
                <w:sz w:val="18"/>
                <w:szCs w:val="18"/>
              </w:rPr>
              <w:t>Operation &amp;</w:t>
            </w:r>
          </w:p>
          <w:p w:rsidR="007825D3" w:rsidRPr="00DB451B" w:rsidRDefault="007825D3" w:rsidP="00D300FE">
            <w:pPr>
              <w:pStyle w:val="Default"/>
              <w:rPr>
                <w:rFonts w:ascii="Verdana" w:hAnsi="Verdana"/>
                <w:b/>
                <w:color w:val="auto"/>
                <w:sz w:val="18"/>
                <w:szCs w:val="18"/>
              </w:rPr>
            </w:pPr>
            <w:r w:rsidRPr="00DB451B">
              <w:rPr>
                <w:rFonts w:ascii="Verdana" w:hAnsi="Verdana"/>
                <w:b/>
                <w:color w:val="auto"/>
                <w:sz w:val="18"/>
                <w:szCs w:val="18"/>
              </w:rPr>
              <w:t>Maintenance</w:t>
            </w:r>
          </w:p>
        </w:tc>
        <w:tc>
          <w:tcPr>
            <w:tcW w:w="1673" w:type="dxa"/>
          </w:tcPr>
          <w:p w:rsidR="007825D3" w:rsidRPr="00DB451B" w:rsidRDefault="007825D3" w:rsidP="00300FAE">
            <w:pPr>
              <w:pStyle w:val="Default"/>
              <w:jc w:val="center"/>
              <w:rPr>
                <w:rFonts w:ascii="Verdana" w:hAnsi="Verdana"/>
                <w:b/>
                <w:color w:val="auto"/>
                <w:sz w:val="18"/>
                <w:szCs w:val="18"/>
              </w:rPr>
            </w:pPr>
            <w:r w:rsidRPr="00DB451B">
              <w:rPr>
                <w:rFonts w:ascii="Verdana" w:hAnsi="Verdana"/>
                <w:b/>
                <w:color w:val="auto"/>
                <w:sz w:val="18"/>
                <w:szCs w:val="18"/>
              </w:rPr>
              <w:t>Annualized Cost</w:t>
            </w:r>
          </w:p>
          <w:p w:rsidR="007825D3" w:rsidRPr="00DB451B" w:rsidRDefault="007825D3" w:rsidP="00300FAE">
            <w:pPr>
              <w:pStyle w:val="Default"/>
              <w:jc w:val="center"/>
              <w:rPr>
                <w:rFonts w:ascii="Verdana" w:hAnsi="Verdana"/>
                <w:b/>
                <w:color w:val="auto"/>
                <w:sz w:val="18"/>
                <w:szCs w:val="18"/>
              </w:rPr>
            </w:pPr>
            <w:r w:rsidRPr="00DB451B">
              <w:rPr>
                <w:rFonts w:ascii="Verdana" w:hAnsi="Verdana"/>
                <w:b/>
                <w:color w:val="auto"/>
                <w:sz w:val="18"/>
                <w:szCs w:val="18"/>
              </w:rPr>
              <w:t>Requested</w:t>
            </w:r>
          </w:p>
        </w:tc>
        <w:tc>
          <w:tcPr>
            <w:tcW w:w="1854" w:type="dxa"/>
          </w:tcPr>
          <w:p w:rsidR="007825D3" w:rsidRPr="00DB451B" w:rsidRDefault="007825D3" w:rsidP="00300FAE">
            <w:pPr>
              <w:pStyle w:val="Default"/>
              <w:jc w:val="center"/>
              <w:rPr>
                <w:rFonts w:ascii="Verdana" w:hAnsi="Verdana"/>
                <w:b/>
                <w:color w:val="auto"/>
                <w:sz w:val="18"/>
                <w:szCs w:val="18"/>
              </w:rPr>
            </w:pPr>
            <w:r w:rsidRPr="00DB451B">
              <w:rPr>
                <w:rFonts w:ascii="Verdana" w:hAnsi="Verdana"/>
                <w:b/>
                <w:color w:val="auto"/>
                <w:sz w:val="18"/>
                <w:szCs w:val="18"/>
              </w:rPr>
              <w:t>Annual</w:t>
            </w:r>
          </w:p>
          <w:p w:rsidR="007825D3" w:rsidRPr="00DB451B" w:rsidRDefault="007825D3" w:rsidP="00300FAE">
            <w:pPr>
              <w:pStyle w:val="Default"/>
              <w:jc w:val="center"/>
              <w:rPr>
                <w:rFonts w:ascii="Verdana" w:hAnsi="Verdana"/>
                <w:b/>
                <w:color w:val="auto"/>
                <w:sz w:val="18"/>
                <w:szCs w:val="18"/>
              </w:rPr>
            </w:pPr>
            <w:r w:rsidRPr="00DB451B">
              <w:rPr>
                <w:rFonts w:ascii="Verdana" w:hAnsi="Verdana"/>
                <w:b/>
                <w:color w:val="auto"/>
                <w:sz w:val="18"/>
                <w:szCs w:val="18"/>
              </w:rPr>
              <w:t>Cost Requested</w:t>
            </w:r>
          </w:p>
        </w:tc>
      </w:tr>
      <w:tr w:rsidR="007825D3" w:rsidRPr="00DB451B" w:rsidTr="00300FAE">
        <w:tc>
          <w:tcPr>
            <w:tcW w:w="1230" w:type="dxa"/>
          </w:tcPr>
          <w:p w:rsidR="007825D3" w:rsidRPr="00DB451B" w:rsidRDefault="007825D3" w:rsidP="00D300FE">
            <w:pPr>
              <w:pStyle w:val="Default"/>
              <w:rPr>
                <w:rFonts w:ascii="Verdana" w:hAnsi="Verdana"/>
                <w:color w:val="auto"/>
                <w:sz w:val="18"/>
                <w:szCs w:val="18"/>
              </w:rPr>
            </w:pPr>
            <w:r w:rsidRPr="00DB451B">
              <w:rPr>
                <w:rFonts w:ascii="Verdana" w:hAnsi="Verdana"/>
                <w:color w:val="auto"/>
                <w:sz w:val="18"/>
                <w:szCs w:val="18"/>
              </w:rPr>
              <w:t>Vendor-</w:t>
            </w:r>
            <w:r w:rsidR="00255655" w:rsidRPr="00DB451B">
              <w:rPr>
                <w:rFonts w:ascii="Verdana" w:hAnsi="Verdana"/>
                <w:color w:val="auto"/>
                <w:sz w:val="18"/>
                <w:szCs w:val="18"/>
              </w:rPr>
              <w:t>A</w:t>
            </w:r>
          </w:p>
        </w:tc>
        <w:tc>
          <w:tcPr>
            <w:tcW w:w="1870" w:type="dxa"/>
          </w:tcPr>
          <w:p w:rsidR="007825D3" w:rsidRPr="00DB451B" w:rsidRDefault="00255655" w:rsidP="00300FAE">
            <w:pPr>
              <w:pStyle w:val="Default"/>
              <w:jc w:val="right"/>
              <w:rPr>
                <w:rFonts w:ascii="Verdana" w:hAnsi="Verdana"/>
                <w:color w:val="auto"/>
                <w:sz w:val="18"/>
                <w:szCs w:val="18"/>
              </w:rPr>
            </w:pPr>
            <w:r w:rsidRPr="00DB451B">
              <w:rPr>
                <w:rFonts w:ascii="Verdana" w:hAnsi="Verdana"/>
                <w:color w:val="auto"/>
                <w:sz w:val="18"/>
                <w:szCs w:val="18"/>
              </w:rPr>
              <w:t>$0</w:t>
            </w:r>
            <w:r w:rsidR="00152993" w:rsidRPr="00DB451B">
              <w:rPr>
                <w:rFonts w:ascii="Verdana" w:hAnsi="Verdana"/>
                <w:color w:val="auto"/>
                <w:sz w:val="18"/>
                <w:szCs w:val="18"/>
              </w:rPr>
              <w:t xml:space="preserve"> </w:t>
            </w:r>
          </w:p>
        </w:tc>
        <w:tc>
          <w:tcPr>
            <w:tcW w:w="1683" w:type="dxa"/>
          </w:tcPr>
          <w:p w:rsidR="007825D3" w:rsidRPr="00DB451B" w:rsidRDefault="00300A3E" w:rsidP="00300FAE">
            <w:pPr>
              <w:pStyle w:val="Default"/>
              <w:jc w:val="right"/>
              <w:rPr>
                <w:rFonts w:ascii="Verdana" w:hAnsi="Verdana"/>
                <w:color w:val="auto"/>
                <w:sz w:val="18"/>
                <w:szCs w:val="18"/>
              </w:rPr>
            </w:pPr>
            <w:r w:rsidRPr="00DB451B">
              <w:rPr>
                <w:rFonts w:ascii="Verdana" w:hAnsi="Verdana"/>
                <w:color w:val="auto"/>
                <w:sz w:val="18"/>
                <w:szCs w:val="18"/>
              </w:rPr>
              <w:t>$201,567</w:t>
            </w:r>
            <w:r w:rsidR="001D0321" w:rsidRPr="00DB451B">
              <w:rPr>
                <w:rFonts w:ascii="Verdana" w:hAnsi="Verdana"/>
                <w:color w:val="auto"/>
                <w:sz w:val="18"/>
                <w:szCs w:val="18"/>
              </w:rPr>
              <w:t xml:space="preserve"> </w:t>
            </w:r>
          </w:p>
        </w:tc>
        <w:tc>
          <w:tcPr>
            <w:tcW w:w="1673" w:type="dxa"/>
          </w:tcPr>
          <w:p w:rsidR="007825D3" w:rsidRPr="00DB451B" w:rsidRDefault="00300A3E" w:rsidP="00300FAE">
            <w:pPr>
              <w:pStyle w:val="Default"/>
              <w:jc w:val="right"/>
              <w:rPr>
                <w:rFonts w:ascii="Verdana" w:hAnsi="Verdana"/>
                <w:color w:val="auto"/>
                <w:sz w:val="18"/>
                <w:szCs w:val="18"/>
              </w:rPr>
            </w:pPr>
            <w:r w:rsidRPr="00DB451B">
              <w:rPr>
                <w:rFonts w:ascii="Verdana" w:hAnsi="Verdana"/>
                <w:color w:val="auto"/>
                <w:sz w:val="18"/>
                <w:szCs w:val="18"/>
              </w:rPr>
              <w:t>$201,567</w:t>
            </w:r>
            <w:r w:rsidR="001D0321" w:rsidRPr="00DB451B">
              <w:rPr>
                <w:rFonts w:ascii="Verdana" w:hAnsi="Verdana"/>
                <w:color w:val="auto"/>
                <w:sz w:val="18"/>
                <w:szCs w:val="18"/>
              </w:rPr>
              <w:t xml:space="preserve"> </w:t>
            </w:r>
          </w:p>
        </w:tc>
        <w:tc>
          <w:tcPr>
            <w:tcW w:w="1854" w:type="dxa"/>
          </w:tcPr>
          <w:p w:rsidR="007825D3" w:rsidRPr="00DB451B" w:rsidRDefault="00300A3E" w:rsidP="00300FAE">
            <w:pPr>
              <w:pStyle w:val="Default"/>
              <w:jc w:val="right"/>
              <w:rPr>
                <w:rFonts w:ascii="Verdana" w:hAnsi="Verdana"/>
                <w:color w:val="auto"/>
                <w:sz w:val="18"/>
                <w:szCs w:val="18"/>
              </w:rPr>
            </w:pPr>
            <w:r w:rsidRPr="00DB451B">
              <w:rPr>
                <w:rFonts w:ascii="Verdana" w:hAnsi="Verdana"/>
                <w:color w:val="auto"/>
                <w:sz w:val="18"/>
                <w:szCs w:val="18"/>
              </w:rPr>
              <w:t>$604,701</w:t>
            </w:r>
            <w:r w:rsidR="001D0321" w:rsidRPr="00DB451B">
              <w:rPr>
                <w:rFonts w:ascii="Verdana" w:hAnsi="Verdana"/>
                <w:color w:val="auto"/>
                <w:sz w:val="18"/>
                <w:szCs w:val="18"/>
              </w:rPr>
              <w:t xml:space="preserve"> </w:t>
            </w:r>
          </w:p>
        </w:tc>
      </w:tr>
      <w:tr w:rsidR="007825D3" w:rsidRPr="00DB451B" w:rsidTr="00300FAE">
        <w:tc>
          <w:tcPr>
            <w:tcW w:w="1230" w:type="dxa"/>
          </w:tcPr>
          <w:p w:rsidR="007825D3" w:rsidRPr="00DB451B" w:rsidRDefault="007825D3" w:rsidP="00D300FE">
            <w:pPr>
              <w:pStyle w:val="Default"/>
              <w:rPr>
                <w:rFonts w:ascii="Verdana" w:hAnsi="Verdana"/>
                <w:color w:val="auto"/>
                <w:sz w:val="18"/>
                <w:szCs w:val="18"/>
              </w:rPr>
            </w:pPr>
            <w:r w:rsidRPr="00DB451B">
              <w:rPr>
                <w:rFonts w:ascii="Verdana" w:hAnsi="Verdana"/>
                <w:color w:val="auto"/>
                <w:sz w:val="18"/>
                <w:szCs w:val="18"/>
              </w:rPr>
              <w:t>Vendor-</w:t>
            </w:r>
            <w:r w:rsidR="00255655" w:rsidRPr="00DB451B">
              <w:rPr>
                <w:rFonts w:ascii="Verdana" w:hAnsi="Verdana"/>
                <w:color w:val="auto"/>
                <w:sz w:val="18"/>
                <w:szCs w:val="18"/>
              </w:rPr>
              <w:t>B</w:t>
            </w:r>
          </w:p>
        </w:tc>
        <w:tc>
          <w:tcPr>
            <w:tcW w:w="1870" w:type="dxa"/>
          </w:tcPr>
          <w:p w:rsidR="007825D3" w:rsidRPr="00DB451B" w:rsidRDefault="00255655" w:rsidP="00300FAE">
            <w:pPr>
              <w:pStyle w:val="Default"/>
              <w:jc w:val="right"/>
              <w:rPr>
                <w:rFonts w:ascii="Verdana" w:hAnsi="Verdana"/>
                <w:color w:val="auto"/>
                <w:sz w:val="18"/>
                <w:szCs w:val="18"/>
              </w:rPr>
            </w:pPr>
            <w:r w:rsidRPr="00DB451B">
              <w:rPr>
                <w:rFonts w:ascii="Verdana" w:hAnsi="Verdana"/>
                <w:color w:val="auto"/>
                <w:sz w:val="18"/>
                <w:szCs w:val="18"/>
              </w:rPr>
              <w:t>$0</w:t>
            </w:r>
            <w:r w:rsidR="00152993" w:rsidRPr="00DB451B">
              <w:rPr>
                <w:rFonts w:ascii="Verdana" w:hAnsi="Verdana"/>
                <w:color w:val="auto"/>
                <w:sz w:val="18"/>
                <w:szCs w:val="18"/>
              </w:rPr>
              <w:t xml:space="preserve"> </w:t>
            </w:r>
          </w:p>
        </w:tc>
        <w:tc>
          <w:tcPr>
            <w:tcW w:w="1683" w:type="dxa"/>
          </w:tcPr>
          <w:p w:rsidR="007825D3" w:rsidRPr="00DB451B" w:rsidRDefault="00886468" w:rsidP="00300FAE">
            <w:pPr>
              <w:pStyle w:val="Default"/>
              <w:jc w:val="right"/>
              <w:rPr>
                <w:rFonts w:ascii="Verdana" w:hAnsi="Verdana"/>
                <w:color w:val="auto"/>
                <w:sz w:val="18"/>
                <w:szCs w:val="18"/>
              </w:rPr>
            </w:pPr>
            <w:r w:rsidRPr="00DB451B">
              <w:rPr>
                <w:rFonts w:ascii="Verdana" w:hAnsi="Verdana"/>
                <w:color w:val="auto"/>
                <w:sz w:val="18"/>
                <w:szCs w:val="18"/>
              </w:rPr>
              <w:t>$128,508</w:t>
            </w:r>
            <w:r w:rsidR="001D0321" w:rsidRPr="00DB451B">
              <w:rPr>
                <w:rFonts w:ascii="Verdana" w:hAnsi="Verdana"/>
                <w:color w:val="auto"/>
                <w:sz w:val="18"/>
                <w:szCs w:val="18"/>
              </w:rPr>
              <w:t xml:space="preserve"> </w:t>
            </w:r>
          </w:p>
        </w:tc>
        <w:tc>
          <w:tcPr>
            <w:tcW w:w="1673" w:type="dxa"/>
          </w:tcPr>
          <w:p w:rsidR="007825D3" w:rsidRPr="00DB451B" w:rsidRDefault="00886468" w:rsidP="00300FAE">
            <w:pPr>
              <w:pStyle w:val="Default"/>
              <w:jc w:val="right"/>
              <w:rPr>
                <w:rFonts w:ascii="Verdana" w:hAnsi="Verdana"/>
                <w:color w:val="auto"/>
                <w:sz w:val="18"/>
                <w:szCs w:val="18"/>
              </w:rPr>
            </w:pPr>
            <w:r w:rsidRPr="00DB451B">
              <w:rPr>
                <w:rFonts w:ascii="Verdana" w:hAnsi="Verdana"/>
                <w:color w:val="auto"/>
                <w:sz w:val="18"/>
                <w:szCs w:val="18"/>
              </w:rPr>
              <w:t>$128,508</w:t>
            </w:r>
            <w:r w:rsidR="001D0321" w:rsidRPr="00DB451B">
              <w:rPr>
                <w:rFonts w:ascii="Verdana" w:hAnsi="Verdana"/>
                <w:color w:val="auto"/>
                <w:sz w:val="18"/>
                <w:szCs w:val="18"/>
              </w:rPr>
              <w:t xml:space="preserve"> </w:t>
            </w:r>
          </w:p>
        </w:tc>
        <w:tc>
          <w:tcPr>
            <w:tcW w:w="1854" w:type="dxa"/>
          </w:tcPr>
          <w:p w:rsidR="007825D3" w:rsidRPr="00DB451B" w:rsidRDefault="00886468" w:rsidP="00300FAE">
            <w:pPr>
              <w:pStyle w:val="Default"/>
              <w:jc w:val="right"/>
              <w:rPr>
                <w:rFonts w:ascii="Verdana" w:hAnsi="Verdana"/>
                <w:color w:val="auto"/>
                <w:sz w:val="18"/>
                <w:szCs w:val="18"/>
              </w:rPr>
            </w:pPr>
            <w:r w:rsidRPr="00DB451B">
              <w:rPr>
                <w:rFonts w:ascii="Verdana" w:hAnsi="Verdana"/>
                <w:color w:val="auto"/>
                <w:sz w:val="18"/>
                <w:szCs w:val="18"/>
              </w:rPr>
              <w:t>$385,524</w:t>
            </w:r>
            <w:r w:rsidR="001D0321" w:rsidRPr="00DB451B">
              <w:rPr>
                <w:rFonts w:ascii="Verdana" w:hAnsi="Verdana"/>
                <w:color w:val="auto"/>
                <w:sz w:val="18"/>
                <w:szCs w:val="18"/>
              </w:rPr>
              <w:t xml:space="preserve"> </w:t>
            </w:r>
          </w:p>
        </w:tc>
      </w:tr>
      <w:tr w:rsidR="007825D3" w:rsidRPr="00DB451B" w:rsidTr="00300FAE">
        <w:tc>
          <w:tcPr>
            <w:tcW w:w="1230" w:type="dxa"/>
          </w:tcPr>
          <w:p w:rsidR="007825D3" w:rsidRPr="00DB451B" w:rsidRDefault="007825D3" w:rsidP="00D300FE">
            <w:pPr>
              <w:pStyle w:val="Default"/>
              <w:rPr>
                <w:rFonts w:ascii="Verdana" w:hAnsi="Verdana"/>
                <w:color w:val="auto"/>
                <w:sz w:val="18"/>
                <w:szCs w:val="18"/>
              </w:rPr>
            </w:pPr>
            <w:r w:rsidRPr="00DB451B">
              <w:rPr>
                <w:rFonts w:ascii="Verdana" w:hAnsi="Verdana"/>
                <w:color w:val="auto"/>
                <w:sz w:val="18"/>
                <w:szCs w:val="18"/>
              </w:rPr>
              <w:t>Vendor-</w:t>
            </w:r>
            <w:r w:rsidR="00255655" w:rsidRPr="00DB451B">
              <w:rPr>
                <w:rFonts w:ascii="Verdana" w:hAnsi="Verdana"/>
                <w:color w:val="auto"/>
                <w:sz w:val="18"/>
                <w:szCs w:val="18"/>
              </w:rPr>
              <w:t>C</w:t>
            </w:r>
          </w:p>
        </w:tc>
        <w:tc>
          <w:tcPr>
            <w:tcW w:w="1870" w:type="dxa"/>
          </w:tcPr>
          <w:p w:rsidR="007825D3" w:rsidRPr="00DB451B" w:rsidRDefault="00255655" w:rsidP="00300FAE">
            <w:pPr>
              <w:pStyle w:val="Default"/>
              <w:jc w:val="right"/>
              <w:rPr>
                <w:rFonts w:ascii="Verdana" w:hAnsi="Verdana"/>
                <w:color w:val="auto"/>
                <w:sz w:val="18"/>
                <w:szCs w:val="18"/>
              </w:rPr>
            </w:pPr>
            <w:r w:rsidRPr="00DB451B">
              <w:rPr>
                <w:rFonts w:ascii="Verdana" w:hAnsi="Verdana"/>
                <w:color w:val="auto"/>
                <w:sz w:val="18"/>
                <w:szCs w:val="18"/>
              </w:rPr>
              <w:t>$0</w:t>
            </w:r>
            <w:r w:rsidR="00152993" w:rsidRPr="00DB451B">
              <w:rPr>
                <w:rFonts w:ascii="Verdana" w:hAnsi="Verdana"/>
                <w:color w:val="auto"/>
                <w:sz w:val="18"/>
                <w:szCs w:val="18"/>
              </w:rPr>
              <w:t xml:space="preserve"> </w:t>
            </w:r>
          </w:p>
        </w:tc>
        <w:tc>
          <w:tcPr>
            <w:tcW w:w="1683" w:type="dxa"/>
          </w:tcPr>
          <w:p w:rsidR="007825D3" w:rsidRPr="00DB451B" w:rsidRDefault="007825D3" w:rsidP="00300FAE">
            <w:pPr>
              <w:pStyle w:val="Default"/>
              <w:jc w:val="right"/>
              <w:rPr>
                <w:rFonts w:ascii="Verdana" w:hAnsi="Verdana"/>
                <w:color w:val="auto"/>
                <w:sz w:val="18"/>
                <w:szCs w:val="18"/>
              </w:rPr>
            </w:pPr>
            <w:r w:rsidRPr="00DB451B">
              <w:rPr>
                <w:rFonts w:ascii="Verdana" w:hAnsi="Verdana"/>
                <w:color w:val="auto"/>
                <w:sz w:val="18"/>
                <w:szCs w:val="18"/>
              </w:rPr>
              <w:t>$287,567</w:t>
            </w:r>
            <w:r w:rsidR="001D0321" w:rsidRPr="00DB451B">
              <w:rPr>
                <w:rFonts w:ascii="Verdana" w:hAnsi="Verdana"/>
                <w:color w:val="auto"/>
                <w:sz w:val="18"/>
                <w:szCs w:val="18"/>
              </w:rPr>
              <w:t xml:space="preserve"> </w:t>
            </w:r>
          </w:p>
        </w:tc>
        <w:tc>
          <w:tcPr>
            <w:tcW w:w="1673" w:type="dxa"/>
          </w:tcPr>
          <w:p w:rsidR="007825D3" w:rsidRPr="00DB451B" w:rsidRDefault="007825D3" w:rsidP="00300FAE">
            <w:pPr>
              <w:pStyle w:val="Default"/>
              <w:jc w:val="right"/>
              <w:rPr>
                <w:rFonts w:ascii="Verdana" w:hAnsi="Verdana"/>
                <w:color w:val="auto"/>
                <w:sz w:val="18"/>
                <w:szCs w:val="18"/>
              </w:rPr>
            </w:pPr>
            <w:r w:rsidRPr="00DB451B">
              <w:rPr>
                <w:rFonts w:ascii="Verdana" w:hAnsi="Verdana"/>
                <w:color w:val="auto"/>
                <w:sz w:val="18"/>
                <w:szCs w:val="18"/>
              </w:rPr>
              <w:t>$287,567</w:t>
            </w:r>
            <w:r w:rsidR="001D0321" w:rsidRPr="00DB451B">
              <w:rPr>
                <w:rFonts w:ascii="Verdana" w:hAnsi="Verdana"/>
                <w:color w:val="auto"/>
                <w:sz w:val="18"/>
                <w:szCs w:val="18"/>
              </w:rPr>
              <w:t xml:space="preserve"> </w:t>
            </w:r>
          </w:p>
        </w:tc>
        <w:tc>
          <w:tcPr>
            <w:tcW w:w="1854" w:type="dxa"/>
          </w:tcPr>
          <w:p w:rsidR="007825D3" w:rsidRPr="00DB451B" w:rsidRDefault="007825D3" w:rsidP="00300FAE">
            <w:pPr>
              <w:pStyle w:val="Default"/>
              <w:jc w:val="right"/>
              <w:rPr>
                <w:rFonts w:ascii="Verdana" w:hAnsi="Verdana"/>
                <w:color w:val="auto"/>
                <w:sz w:val="18"/>
                <w:szCs w:val="18"/>
              </w:rPr>
            </w:pPr>
            <w:r w:rsidRPr="00DB451B">
              <w:rPr>
                <w:rFonts w:ascii="Verdana" w:hAnsi="Verdana"/>
                <w:color w:val="auto"/>
                <w:sz w:val="18"/>
                <w:szCs w:val="18"/>
              </w:rPr>
              <w:t>$862,701</w:t>
            </w:r>
            <w:r w:rsidR="001D0321" w:rsidRPr="00DB451B">
              <w:rPr>
                <w:rFonts w:ascii="Verdana" w:hAnsi="Verdana"/>
                <w:color w:val="auto"/>
                <w:sz w:val="18"/>
                <w:szCs w:val="18"/>
              </w:rPr>
              <w:t xml:space="preserve"> </w:t>
            </w:r>
          </w:p>
        </w:tc>
      </w:tr>
      <w:tr w:rsidR="007825D3" w:rsidRPr="00DB451B" w:rsidTr="00300FAE">
        <w:tc>
          <w:tcPr>
            <w:tcW w:w="1230" w:type="dxa"/>
          </w:tcPr>
          <w:p w:rsidR="007825D3" w:rsidRPr="00DB451B" w:rsidRDefault="007825D3" w:rsidP="00D300FE">
            <w:pPr>
              <w:pStyle w:val="Default"/>
              <w:rPr>
                <w:rFonts w:ascii="Verdana" w:hAnsi="Verdana"/>
                <w:b/>
                <w:color w:val="auto"/>
                <w:sz w:val="18"/>
                <w:szCs w:val="18"/>
              </w:rPr>
            </w:pPr>
            <w:r w:rsidRPr="00DB451B">
              <w:rPr>
                <w:rFonts w:ascii="Verdana" w:hAnsi="Verdana"/>
                <w:b/>
                <w:color w:val="auto"/>
                <w:sz w:val="18"/>
                <w:szCs w:val="18"/>
              </w:rPr>
              <w:t>Total</w:t>
            </w:r>
          </w:p>
        </w:tc>
        <w:tc>
          <w:tcPr>
            <w:tcW w:w="1870" w:type="dxa"/>
          </w:tcPr>
          <w:p w:rsidR="007825D3" w:rsidRPr="00DB451B" w:rsidRDefault="006B2FED" w:rsidP="00300FAE">
            <w:pPr>
              <w:pStyle w:val="Default"/>
              <w:jc w:val="right"/>
              <w:rPr>
                <w:rFonts w:ascii="Verdana" w:hAnsi="Verdana"/>
                <w:color w:val="auto"/>
                <w:sz w:val="18"/>
                <w:szCs w:val="18"/>
              </w:rPr>
            </w:pPr>
            <w:r w:rsidRPr="00DB451B">
              <w:rPr>
                <w:rFonts w:ascii="Verdana" w:hAnsi="Verdana"/>
                <w:color w:val="auto"/>
                <w:sz w:val="18"/>
                <w:szCs w:val="18"/>
              </w:rPr>
              <w:t xml:space="preserve"> </w:t>
            </w:r>
            <w:r w:rsidR="001D0321" w:rsidRPr="00DB451B">
              <w:rPr>
                <w:rFonts w:ascii="Verdana" w:hAnsi="Verdana"/>
                <w:color w:val="auto"/>
                <w:sz w:val="18"/>
                <w:szCs w:val="18"/>
              </w:rPr>
              <w:t>$0</w:t>
            </w:r>
            <w:r w:rsidR="00152993" w:rsidRPr="00DB451B">
              <w:rPr>
                <w:rFonts w:ascii="Verdana" w:hAnsi="Verdana"/>
                <w:color w:val="auto"/>
                <w:sz w:val="18"/>
                <w:szCs w:val="18"/>
              </w:rPr>
              <w:t xml:space="preserve"> </w:t>
            </w:r>
          </w:p>
        </w:tc>
        <w:tc>
          <w:tcPr>
            <w:tcW w:w="1683" w:type="dxa"/>
          </w:tcPr>
          <w:p w:rsidR="007825D3" w:rsidRPr="00DB451B" w:rsidRDefault="00886468" w:rsidP="00300FAE">
            <w:pPr>
              <w:pStyle w:val="Default"/>
              <w:jc w:val="right"/>
              <w:rPr>
                <w:rFonts w:ascii="Verdana" w:hAnsi="Verdana"/>
                <w:color w:val="auto"/>
                <w:sz w:val="18"/>
                <w:szCs w:val="18"/>
              </w:rPr>
            </w:pPr>
            <w:r w:rsidRPr="00DB451B">
              <w:rPr>
                <w:rFonts w:ascii="Verdana" w:hAnsi="Verdana"/>
                <w:color w:val="auto"/>
                <w:sz w:val="18"/>
                <w:szCs w:val="18"/>
              </w:rPr>
              <w:t>$617,642</w:t>
            </w:r>
            <w:r w:rsidR="001D0321" w:rsidRPr="00DB451B">
              <w:rPr>
                <w:rFonts w:ascii="Verdana" w:hAnsi="Verdana"/>
                <w:color w:val="auto"/>
                <w:sz w:val="18"/>
                <w:szCs w:val="18"/>
              </w:rPr>
              <w:t xml:space="preserve"> </w:t>
            </w:r>
          </w:p>
        </w:tc>
        <w:tc>
          <w:tcPr>
            <w:tcW w:w="1673" w:type="dxa"/>
          </w:tcPr>
          <w:p w:rsidR="007825D3" w:rsidRPr="00DB451B" w:rsidRDefault="00886468" w:rsidP="00300FAE">
            <w:pPr>
              <w:pStyle w:val="Default"/>
              <w:jc w:val="right"/>
              <w:rPr>
                <w:rFonts w:ascii="Verdana" w:hAnsi="Verdana"/>
                <w:color w:val="auto"/>
                <w:sz w:val="18"/>
                <w:szCs w:val="18"/>
              </w:rPr>
            </w:pPr>
            <w:r w:rsidRPr="00DB451B">
              <w:rPr>
                <w:rFonts w:ascii="Verdana" w:hAnsi="Verdana"/>
                <w:color w:val="auto"/>
                <w:sz w:val="18"/>
                <w:szCs w:val="18"/>
              </w:rPr>
              <w:t>$617,642</w:t>
            </w:r>
            <w:r w:rsidR="001D0321" w:rsidRPr="00DB451B">
              <w:rPr>
                <w:rFonts w:ascii="Verdana" w:hAnsi="Verdana"/>
                <w:color w:val="auto"/>
                <w:sz w:val="18"/>
                <w:szCs w:val="18"/>
              </w:rPr>
              <w:t xml:space="preserve"> </w:t>
            </w:r>
          </w:p>
        </w:tc>
        <w:tc>
          <w:tcPr>
            <w:tcW w:w="1854" w:type="dxa"/>
          </w:tcPr>
          <w:p w:rsidR="007825D3" w:rsidRPr="00DB451B" w:rsidRDefault="00886468" w:rsidP="00300FAE">
            <w:pPr>
              <w:pStyle w:val="Default"/>
              <w:jc w:val="right"/>
              <w:rPr>
                <w:rFonts w:ascii="Verdana" w:hAnsi="Verdana"/>
                <w:color w:val="auto"/>
                <w:sz w:val="18"/>
                <w:szCs w:val="18"/>
              </w:rPr>
            </w:pPr>
            <w:r w:rsidRPr="00DB451B">
              <w:rPr>
                <w:rFonts w:ascii="Verdana" w:hAnsi="Verdana"/>
                <w:color w:val="auto"/>
                <w:sz w:val="18"/>
                <w:szCs w:val="18"/>
              </w:rPr>
              <w:t>$1,852,926</w:t>
            </w:r>
            <w:r w:rsidR="001D0321" w:rsidRPr="00DB451B">
              <w:rPr>
                <w:rFonts w:ascii="Verdana" w:hAnsi="Verdana"/>
                <w:color w:val="auto"/>
                <w:sz w:val="18"/>
                <w:szCs w:val="18"/>
              </w:rPr>
              <w:t xml:space="preserve"> </w:t>
            </w:r>
          </w:p>
        </w:tc>
      </w:tr>
      <w:tr w:rsidR="007825D3" w:rsidRPr="00DB451B" w:rsidTr="00300FAE">
        <w:tc>
          <w:tcPr>
            <w:tcW w:w="1230" w:type="dxa"/>
          </w:tcPr>
          <w:p w:rsidR="007825D3" w:rsidRPr="00DB451B" w:rsidRDefault="0053097E" w:rsidP="00D300FE">
            <w:pPr>
              <w:pStyle w:val="Default"/>
              <w:rPr>
                <w:rFonts w:ascii="Verdana" w:hAnsi="Verdana"/>
                <w:b/>
                <w:color w:val="auto"/>
                <w:sz w:val="18"/>
                <w:szCs w:val="18"/>
              </w:rPr>
            </w:pPr>
            <w:r w:rsidRPr="00DB451B">
              <w:rPr>
                <w:rFonts w:ascii="Verdana" w:hAnsi="Verdana"/>
                <w:b/>
                <w:color w:val="auto"/>
                <w:sz w:val="18"/>
                <w:szCs w:val="18"/>
              </w:rPr>
              <w:t>Average</w:t>
            </w:r>
          </w:p>
        </w:tc>
        <w:tc>
          <w:tcPr>
            <w:tcW w:w="1870" w:type="dxa"/>
          </w:tcPr>
          <w:p w:rsidR="007825D3" w:rsidRPr="00DB451B" w:rsidRDefault="007825D3" w:rsidP="00D300FE">
            <w:pPr>
              <w:pStyle w:val="Default"/>
              <w:rPr>
                <w:rFonts w:ascii="Verdana" w:hAnsi="Verdana"/>
                <w:color w:val="auto"/>
                <w:sz w:val="18"/>
                <w:szCs w:val="18"/>
              </w:rPr>
            </w:pPr>
          </w:p>
        </w:tc>
        <w:tc>
          <w:tcPr>
            <w:tcW w:w="1683" w:type="dxa"/>
          </w:tcPr>
          <w:p w:rsidR="007825D3" w:rsidRPr="00DB451B" w:rsidRDefault="00886468" w:rsidP="00300FAE">
            <w:pPr>
              <w:pStyle w:val="Default"/>
              <w:jc w:val="right"/>
              <w:rPr>
                <w:rFonts w:ascii="Verdana" w:hAnsi="Verdana"/>
                <w:color w:val="auto"/>
                <w:sz w:val="18"/>
                <w:szCs w:val="18"/>
              </w:rPr>
            </w:pPr>
            <w:r w:rsidRPr="00DB451B">
              <w:rPr>
                <w:rFonts w:ascii="Verdana" w:hAnsi="Verdana"/>
                <w:color w:val="auto"/>
                <w:sz w:val="18"/>
                <w:szCs w:val="18"/>
              </w:rPr>
              <w:t>$205,881</w:t>
            </w:r>
            <w:r w:rsidR="001D0321" w:rsidRPr="00DB451B">
              <w:rPr>
                <w:rFonts w:ascii="Verdana" w:hAnsi="Verdana"/>
                <w:color w:val="auto"/>
                <w:sz w:val="18"/>
                <w:szCs w:val="18"/>
              </w:rPr>
              <w:t xml:space="preserve"> </w:t>
            </w:r>
          </w:p>
        </w:tc>
        <w:tc>
          <w:tcPr>
            <w:tcW w:w="1673" w:type="dxa"/>
          </w:tcPr>
          <w:p w:rsidR="007825D3" w:rsidRPr="00DB451B" w:rsidRDefault="00886468" w:rsidP="00300FAE">
            <w:pPr>
              <w:pStyle w:val="Default"/>
              <w:jc w:val="right"/>
              <w:rPr>
                <w:rFonts w:ascii="Verdana" w:hAnsi="Verdana"/>
                <w:color w:val="auto"/>
                <w:sz w:val="18"/>
                <w:szCs w:val="18"/>
              </w:rPr>
            </w:pPr>
            <w:r w:rsidRPr="00DB451B">
              <w:rPr>
                <w:rFonts w:ascii="Verdana" w:hAnsi="Verdana"/>
                <w:color w:val="auto"/>
                <w:sz w:val="18"/>
                <w:szCs w:val="18"/>
              </w:rPr>
              <w:t>$205,881</w:t>
            </w:r>
            <w:r w:rsidR="001D0321" w:rsidRPr="00DB451B">
              <w:rPr>
                <w:rFonts w:ascii="Verdana" w:hAnsi="Verdana"/>
                <w:color w:val="auto"/>
                <w:sz w:val="18"/>
                <w:szCs w:val="18"/>
              </w:rPr>
              <w:t xml:space="preserve"> </w:t>
            </w:r>
          </w:p>
        </w:tc>
        <w:tc>
          <w:tcPr>
            <w:tcW w:w="1854" w:type="dxa"/>
          </w:tcPr>
          <w:p w:rsidR="007825D3" w:rsidRPr="00DB451B" w:rsidRDefault="00886468" w:rsidP="00300FAE">
            <w:pPr>
              <w:pStyle w:val="Default"/>
              <w:jc w:val="right"/>
              <w:rPr>
                <w:rFonts w:ascii="Verdana" w:hAnsi="Verdana"/>
                <w:color w:val="auto"/>
                <w:sz w:val="18"/>
                <w:szCs w:val="18"/>
              </w:rPr>
            </w:pPr>
            <w:r w:rsidRPr="00DB451B">
              <w:rPr>
                <w:rFonts w:ascii="Verdana" w:hAnsi="Verdana"/>
                <w:color w:val="auto"/>
                <w:sz w:val="18"/>
                <w:szCs w:val="18"/>
              </w:rPr>
              <w:t>$617,642</w:t>
            </w:r>
            <w:r w:rsidR="001D0321" w:rsidRPr="00DB451B">
              <w:rPr>
                <w:rFonts w:ascii="Verdana" w:hAnsi="Verdana"/>
                <w:color w:val="auto"/>
                <w:sz w:val="18"/>
                <w:szCs w:val="18"/>
              </w:rPr>
              <w:t xml:space="preserve"> </w:t>
            </w:r>
          </w:p>
        </w:tc>
      </w:tr>
    </w:tbl>
    <w:p w:rsidR="00D300FE" w:rsidRPr="00DB451B" w:rsidRDefault="00B63AF5" w:rsidP="00D300FE">
      <w:pPr>
        <w:pStyle w:val="Default"/>
        <w:ind w:left="360"/>
        <w:rPr>
          <w:rFonts w:ascii="Verdana" w:hAnsi="Verdana"/>
          <w:color w:val="auto"/>
          <w:sz w:val="18"/>
          <w:szCs w:val="18"/>
        </w:rPr>
      </w:pPr>
      <w:r w:rsidRPr="00DB451B">
        <w:rPr>
          <w:rFonts w:ascii="Verdana" w:hAnsi="Verdana"/>
          <w:color w:val="auto"/>
          <w:sz w:val="18"/>
          <w:szCs w:val="18"/>
        </w:rPr>
        <w:t xml:space="preserve"> </w:t>
      </w:r>
    </w:p>
    <w:p w:rsidR="002E6EB5" w:rsidRPr="00DB451B" w:rsidRDefault="002E6EB5" w:rsidP="002E6EB5">
      <w:pPr>
        <w:autoSpaceDE w:val="0"/>
        <w:autoSpaceDN w:val="0"/>
        <w:adjustRightInd w:val="0"/>
        <w:ind w:left="360"/>
        <w:rPr>
          <w:rFonts w:ascii="Verdana" w:hAnsi="Verdana"/>
          <w:sz w:val="20"/>
          <w:szCs w:val="20"/>
        </w:rPr>
      </w:pPr>
      <w:r w:rsidRPr="00DB451B">
        <w:rPr>
          <w:rFonts w:ascii="Verdana" w:hAnsi="Verdana"/>
          <w:sz w:val="20"/>
          <w:szCs w:val="20"/>
        </w:rPr>
        <w:t xml:space="preserve">Notwithstanding HUD’s request to collect this information, CAs, and O/As already collect and maintain this information.  As such, there is no annual cost burden to respondents or recordkeepers resulting from this collection of information. </w:t>
      </w:r>
    </w:p>
    <w:p w:rsidR="0084066E" w:rsidRPr="00DB451B" w:rsidRDefault="0084066E">
      <w:pPr>
        <w:pStyle w:val="Default"/>
        <w:rPr>
          <w:rFonts w:ascii="Verdana" w:hAnsi="Verdana"/>
          <w:color w:val="auto"/>
          <w:sz w:val="16"/>
        </w:rPr>
      </w:pPr>
    </w:p>
    <w:p w:rsidR="0084066E" w:rsidRPr="00DB451B" w:rsidRDefault="0084066E">
      <w:pPr>
        <w:pStyle w:val="Default"/>
        <w:numPr>
          <w:ilvl w:val="0"/>
          <w:numId w:val="2"/>
        </w:numPr>
        <w:rPr>
          <w:rFonts w:ascii="Verdana" w:hAnsi="Verdana"/>
          <w:b/>
          <w:color w:val="auto"/>
          <w:sz w:val="20"/>
        </w:rPr>
      </w:pPr>
      <w:r w:rsidRPr="00DB451B">
        <w:rPr>
          <w:rFonts w:ascii="Verdana" w:hAnsi="Verdana"/>
          <w:b/>
          <w:color w:val="auto"/>
          <w:sz w:val="20"/>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4066E" w:rsidRPr="00DB451B" w:rsidRDefault="0084066E">
      <w:pPr>
        <w:pStyle w:val="Default"/>
        <w:ind w:left="360"/>
        <w:rPr>
          <w:rFonts w:ascii="Verdana" w:hAnsi="Verdana"/>
          <w:b/>
          <w:color w:val="auto"/>
          <w:sz w:val="20"/>
        </w:rPr>
      </w:pPr>
    </w:p>
    <w:p w:rsidR="0084066E" w:rsidRPr="00DB451B" w:rsidRDefault="0084066E">
      <w:pPr>
        <w:pStyle w:val="Default"/>
        <w:ind w:left="360"/>
        <w:rPr>
          <w:rFonts w:ascii="Verdana" w:hAnsi="Verdana"/>
          <w:color w:val="auto"/>
          <w:sz w:val="20"/>
        </w:rPr>
      </w:pPr>
      <w:r w:rsidRPr="00DB451B">
        <w:rPr>
          <w:rFonts w:ascii="Verdana" w:hAnsi="Verdana"/>
          <w:color w:val="auto"/>
          <w:sz w:val="20"/>
        </w:rPr>
        <w:t>There are two areas of annualized cost to the Federal government identified:  Data costs and data analyst/program management costs.</w:t>
      </w:r>
    </w:p>
    <w:p w:rsidR="0084066E" w:rsidRPr="00DB451B" w:rsidRDefault="0084066E">
      <w:pPr>
        <w:pStyle w:val="Default"/>
        <w:rPr>
          <w:rFonts w:ascii="Verdana" w:hAnsi="Verdana"/>
          <w:color w:val="auto"/>
          <w:sz w:val="20"/>
        </w:rPr>
      </w:pPr>
    </w:p>
    <w:p w:rsidR="0084066E" w:rsidRPr="00DB451B" w:rsidRDefault="0084066E">
      <w:pPr>
        <w:pStyle w:val="Default"/>
        <w:ind w:left="360"/>
        <w:rPr>
          <w:rFonts w:ascii="Verdana" w:hAnsi="Verdana"/>
          <w:color w:val="auto"/>
          <w:sz w:val="20"/>
        </w:rPr>
      </w:pPr>
      <w:r w:rsidRPr="00DB451B">
        <w:rPr>
          <w:rFonts w:ascii="Verdana" w:hAnsi="Verdana"/>
          <w:color w:val="auto"/>
          <w:sz w:val="20"/>
        </w:rPr>
        <w:t>a.  Data costs include HUD’s cost of data collection</w:t>
      </w:r>
      <w:r w:rsidR="00557D75" w:rsidRPr="00DB451B">
        <w:rPr>
          <w:rFonts w:ascii="Verdana" w:hAnsi="Verdana"/>
          <w:color w:val="auto"/>
          <w:sz w:val="20"/>
        </w:rPr>
        <w:t>s</w:t>
      </w:r>
      <w:r w:rsidRPr="00DB451B">
        <w:rPr>
          <w:rFonts w:ascii="Verdana" w:hAnsi="Verdana"/>
          <w:color w:val="auto"/>
          <w:sz w:val="20"/>
        </w:rPr>
        <w:t xml:space="preserve"> and electronic transmission into TRACS, </w:t>
      </w:r>
    </w:p>
    <w:p w:rsidR="0084066E" w:rsidRPr="00DB451B" w:rsidRDefault="0084066E">
      <w:pPr>
        <w:pStyle w:val="Default"/>
        <w:ind w:left="360"/>
        <w:rPr>
          <w:rFonts w:ascii="Verdana" w:hAnsi="Verdana"/>
          <w:color w:val="auto"/>
          <w:sz w:val="20"/>
        </w:rPr>
      </w:pPr>
      <w:r w:rsidRPr="00DB451B">
        <w:rPr>
          <w:rFonts w:ascii="Verdana" w:hAnsi="Verdana"/>
          <w:color w:val="auto"/>
          <w:sz w:val="20"/>
        </w:rPr>
        <w:t xml:space="preserve">     maintaining data files, recurring report production, and staff time related to these activities.</w:t>
      </w:r>
    </w:p>
    <w:p w:rsidR="0084066E" w:rsidRPr="00DB451B" w:rsidRDefault="0084066E">
      <w:pPr>
        <w:pStyle w:val="Default"/>
        <w:rPr>
          <w:rFonts w:ascii="Verdana" w:hAnsi="Verdana"/>
          <w:color w:val="auto"/>
          <w:sz w:val="20"/>
        </w:rPr>
      </w:pPr>
    </w:p>
    <w:p w:rsidR="0084066E" w:rsidRPr="00DB451B" w:rsidRDefault="0084066E">
      <w:pPr>
        <w:pStyle w:val="Default"/>
        <w:rPr>
          <w:rFonts w:ascii="Verdana" w:hAnsi="Verdana"/>
          <w:color w:val="auto"/>
          <w:sz w:val="20"/>
        </w:rPr>
      </w:pPr>
      <w:r w:rsidRPr="00DB451B">
        <w:rPr>
          <w:rFonts w:ascii="Verdana" w:hAnsi="Verdana"/>
          <w:color w:val="auto"/>
          <w:sz w:val="20"/>
        </w:rPr>
        <w:tab/>
        <w:t>1.  Data collection</w:t>
      </w:r>
      <w:r w:rsidR="00557D75" w:rsidRPr="00DB451B">
        <w:rPr>
          <w:rFonts w:ascii="Verdana" w:hAnsi="Verdana"/>
          <w:color w:val="auto"/>
          <w:sz w:val="20"/>
        </w:rPr>
        <w:t>s</w:t>
      </w:r>
      <w:r w:rsidRPr="00DB451B">
        <w:rPr>
          <w:rFonts w:ascii="Verdana" w:hAnsi="Verdana"/>
          <w:color w:val="auto"/>
          <w:sz w:val="20"/>
        </w:rPr>
        <w:t xml:space="preserve"> $1,475,000</w:t>
      </w:r>
    </w:p>
    <w:p w:rsidR="0084066E" w:rsidRPr="00DB451B" w:rsidRDefault="0084066E">
      <w:pPr>
        <w:pStyle w:val="Default"/>
        <w:rPr>
          <w:rFonts w:ascii="Verdana" w:hAnsi="Verdana"/>
          <w:color w:val="auto"/>
          <w:sz w:val="20"/>
        </w:rPr>
      </w:pPr>
      <w:r w:rsidRPr="00DB451B">
        <w:rPr>
          <w:rFonts w:ascii="Verdana" w:hAnsi="Verdana"/>
          <w:color w:val="auto"/>
          <w:sz w:val="20"/>
        </w:rPr>
        <w:tab/>
        <w:t>2.  Operating costs of computer processing, analyst or programmer support $250,000</w:t>
      </w:r>
    </w:p>
    <w:p w:rsidR="0084066E" w:rsidRPr="00DB451B" w:rsidRDefault="0084066E">
      <w:pPr>
        <w:pStyle w:val="Default"/>
        <w:rPr>
          <w:rFonts w:ascii="Verdana" w:hAnsi="Verdana"/>
          <w:color w:val="auto"/>
          <w:sz w:val="20"/>
        </w:rPr>
      </w:pPr>
      <w:r w:rsidRPr="00DB451B">
        <w:rPr>
          <w:rFonts w:ascii="Verdana" w:hAnsi="Verdana"/>
          <w:color w:val="auto"/>
          <w:sz w:val="20"/>
        </w:rPr>
        <w:t xml:space="preserve">       </w:t>
      </w:r>
    </w:p>
    <w:p w:rsidR="0084066E" w:rsidRPr="00DB451B" w:rsidRDefault="0084066E">
      <w:pPr>
        <w:pStyle w:val="Default"/>
        <w:ind w:left="360"/>
        <w:rPr>
          <w:rFonts w:ascii="Verdana" w:hAnsi="Verdana"/>
          <w:color w:val="auto"/>
          <w:sz w:val="20"/>
        </w:rPr>
      </w:pPr>
      <w:r w:rsidRPr="00DB451B">
        <w:rPr>
          <w:rFonts w:ascii="Verdana" w:hAnsi="Verdana"/>
          <w:color w:val="auto"/>
          <w:sz w:val="20"/>
        </w:rPr>
        <w:t>b.  Data analyst/program management costs include:</w:t>
      </w:r>
    </w:p>
    <w:p w:rsidR="0084066E" w:rsidRPr="00DB451B" w:rsidRDefault="0084066E">
      <w:pPr>
        <w:pStyle w:val="Default"/>
        <w:ind w:left="720"/>
        <w:rPr>
          <w:rFonts w:ascii="Verdana" w:hAnsi="Verdana"/>
          <w:color w:val="auto"/>
          <w:sz w:val="20"/>
        </w:rPr>
      </w:pPr>
      <w:r w:rsidRPr="00DB451B">
        <w:rPr>
          <w:rFonts w:ascii="Verdana" w:hAnsi="Verdana"/>
          <w:color w:val="auto"/>
          <w:sz w:val="20"/>
        </w:rPr>
        <w:t>Staff time to analyze reports produced from the tenant data.  These reports are used to track program usage; make budget projections; and suggest legislative changes.  Two person years of staff time is $88,704 (at GS-12, annual pay scale of $62,905).</w:t>
      </w:r>
    </w:p>
    <w:p w:rsidR="0084066E" w:rsidRPr="00DB451B" w:rsidRDefault="0084066E">
      <w:pPr>
        <w:pStyle w:val="Default"/>
        <w:ind w:left="360"/>
        <w:rPr>
          <w:rFonts w:ascii="Verdana" w:hAnsi="Verdana"/>
          <w:color w:val="auto"/>
          <w:sz w:val="20"/>
        </w:rPr>
      </w:pPr>
    </w:p>
    <w:p w:rsidR="0084066E" w:rsidRPr="00DB451B" w:rsidRDefault="0084066E">
      <w:pPr>
        <w:pStyle w:val="Default"/>
        <w:numPr>
          <w:ilvl w:val="0"/>
          <w:numId w:val="14"/>
        </w:numPr>
        <w:rPr>
          <w:rFonts w:ascii="Verdana" w:hAnsi="Verdana"/>
          <w:color w:val="auto"/>
          <w:sz w:val="20"/>
        </w:rPr>
      </w:pPr>
      <w:r w:rsidRPr="00DB451B">
        <w:rPr>
          <w:rFonts w:ascii="Verdana" w:hAnsi="Verdana"/>
          <w:color w:val="auto"/>
          <w:sz w:val="20"/>
        </w:rPr>
        <w:t>Total Federal government cost is $1,850,810 ($1,475,000 + $250,000 + $125,810).</w:t>
      </w:r>
    </w:p>
    <w:p w:rsidR="0084066E" w:rsidRPr="00DB451B" w:rsidRDefault="0084066E">
      <w:pPr>
        <w:pStyle w:val="Default"/>
        <w:ind w:left="360"/>
        <w:rPr>
          <w:rFonts w:ascii="Verdana" w:hAnsi="Verdana"/>
          <w:color w:val="auto"/>
          <w:sz w:val="20"/>
        </w:rPr>
      </w:pPr>
    </w:p>
    <w:p w:rsidR="0084066E" w:rsidRPr="00DB451B" w:rsidRDefault="0084066E">
      <w:pPr>
        <w:pStyle w:val="Default"/>
        <w:numPr>
          <w:ilvl w:val="0"/>
          <w:numId w:val="2"/>
        </w:numPr>
        <w:rPr>
          <w:rFonts w:ascii="Verdana" w:hAnsi="Verdana"/>
          <w:b/>
          <w:color w:val="auto"/>
          <w:sz w:val="20"/>
        </w:rPr>
      </w:pPr>
      <w:r w:rsidRPr="00DB451B">
        <w:rPr>
          <w:rFonts w:ascii="Verdana" w:hAnsi="Verdana"/>
          <w:b/>
          <w:color w:val="auto"/>
          <w:sz w:val="20"/>
        </w:rPr>
        <w:t>Explain the reasons for any program changes or adjustments reported in Items 13 or 14 of the OMB Form 83</w:t>
      </w:r>
      <w:r w:rsidRPr="00DB451B">
        <w:rPr>
          <w:rFonts w:ascii="Verdana" w:hAnsi="Verdana"/>
          <w:b/>
          <w:color w:val="auto"/>
          <w:sz w:val="20"/>
        </w:rPr>
        <w:noBreakHyphen/>
        <w:t>I.  A program change is something HUD did that resulted in an increase or decrease in the number of respondents, responses, or burden hours.  An adjustment is the result of other factors, including changing economic conditions or re-calculating burden hours.</w:t>
      </w:r>
    </w:p>
    <w:p w:rsidR="0084066E" w:rsidRPr="00DB451B" w:rsidRDefault="0084066E">
      <w:pPr>
        <w:pStyle w:val="Default"/>
        <w:rPr>
          <w:rFonts w:ascii="Verdana" w:hAnsi="Verdana"/>
          <w:b/>
          <w:color w:val="auto"/>
          <w:sz w:val="20"/>
        </w:rPr>
      </w:pPr>
    </w:p>
    <w:p w:rsidR="008D76F2" w:rsidRPr="008D76F2" w:rsidRDefault="002E6EB5" w:rsidP="008D76F2">
      <w:pPr>
        <w:pStyle w:val="Default"/>
        <w:ind w:left="360"/>
        <w:rPr>
          <w:rFonts w:ascii="Verdana" w:hAnsi="Verdana"/>
          <w:color w:val="auto"/>
          <w:sz w:val="20"/>
        </w:rPr>
      </w:pPr>
      <w:r w:rsidRPr="00DB451B">
        <w:rPr>
          <w:rFonts w:ascii="Verdana" w:hAnsi="Verdana"/>
          <w:color w:val="auto"/>
          <w:sz w:val="20"/>
          <w:szCs w:val="20"/>
        </w:rPr>
        <w:t xml:space="preserve">This is a </w:t>
      </w:r>
      <w:r w:rsidR="000D113B" w:rsidRPr="00DB451B">
        <w:rPr>
          <w:rFonts w:ascii="Verdana" w:hAnsi="Verdana"/>
          <w:color w:val="auto"/>
          <w:sz w:val="20"/>
          <w:szCs w:val="20"/>
        </w:rPr>
        <w:t xml:space="preserve">revision of the currently approved </w:t>
      </w:r>
      <w:r w:rsidRPr="00DB451B">
        <w:rPr>
          <w:rFonts w:ascii="Verdana" w:hAnsi="Verdana"/>
          <w:color w:val="auto"/>
          <w:sz w:val="20"/>
          <w:szCs w:val="20"/>
        </w:rPr>
        <w:t>collection.  This</w:t>
      </w:r>
      <w:r w:rsidR="000D113B" w:rsidRPr="00DB451B">
        <w:rPr>
          <w:rFonts w:ascii="Verdana" w:hAnsi="Verdana"/>
          <w:color w:val="auto"/>
          <w:sz w:val="20"/>
          <w:szCs w:val="20"/>
        </w:rPr>
        <w:t xml:space="preserve"> new</w:t>
      </w:r>
      <w:r w:rsidRPr="00DB451B">
        <w:rPr>
          <w:rFonts w:ascii="Verdana" w:hAnsi="Verdana"/>
          <w:color w:val="auto"/>
          <w:sz w:val="20"/>
          <w:szCs w:val="20"/>
        </w:rPr>
        <w:t xml:space="preserve"> information will be used by HUD to authorize and account for all CA and O/A staff that will have access to the EIV system.</w:t>
      </w:r>
      <w:r w:rsidR="00DB451B" w:rsidRPr="00DB451B">
        <w:rPr>
          <w:rFonts w:ascii="Verdana" w:hAnsi="Verdana"/>
          <w:color w:val="auto"/>
          <w:sz w:val="20"/>
        </w:rPr>
        <w:t xml:space="preserve"> </w:t>
      </w:r>
      <w:r w:rsidR="008D76F2" w:rsidRPr="008D76F2">
        <w:rPr>
          <w:rFonts w:ascii="Verdana" w:hAnsi="Verdana"/>
          <w:color w:val="auto"/>
          <w:sz w:val="20"/>
        </w:rPr>
        <w:t xml:space="preserve">24 CFR 5.233 mandates that owner/agents (O/As) use HUD’s Enterprise Income Verification (EIV) System in its entirety as third party verification of tenant’s employment and income information and to reduce administrative and subsidy errors.   </w:t>
      </w:r>
    </w:p>
    <w:p w:rsidR="008D76F2" w:rsidRDefault="008D76F2" w:rsidP="00074647">
      <w:pPr>
        <w:pStyle w:val="Default"/>
        <w:ind w:left="360"/>
        <w:rPr>
          <w:rFonts w:ascii="Verdana" w:hAnsi="Verdana"/>
          <w:sz w:val="20"/>
        </w:rPr>
      </w:pPr>
    </w:p>
    <w:p w:rsidR="00DB451B" w:rsidRPr="00DB451B" w:rsidRDefault="00074647" w:rsidP="00074647">
      <w:pPr>
        <w:pStyle w:val="Default"/>
        <w:ind w:left="360"/>
        <w:rPr>
          <w:rFonts w:ascii="Verdana" w:hAnsi="Verdana"/>
          <w:color w:val="auto"/>
          <w:sz w:val="20"/>
        </w:rPr>
      </w:pPr>
      <w:r w:rsidRPr="00074647">
        <w:rPr>
          <w:rFonts w:ascii="Verdana" w:hAnsi="Verdana"/>
          <w:sz w:val="20"/>
        </w:rPr>
        <w:t xml:space="preserve">Specifically, this </w:t>
      </w:r>
      <w:r w:rsidR="008D76F2">
        <w:rPr>
          <w:rFonts w:ascii="Verdana" w:hAnsi="Verdana"/>
          <w:sz w:val="20"/>
        </w:rPr>
        <w:t xml:space="preserve">new regulation </w:t>
      </w:r>
      <w:r w:rsidRPr="00074647">
        <w:rPr>
          <w:rFonts w:ascii="Verdana" w:hAnsi="Verdana"/>
          <w:sz w:val="20"/>
        </w:rPr>
        <w:t>clarifies that</w:t>
      </w:r>
      <w:r>
        <w:rPr>
          <w:rFonts w:ascii="Verdana" w:hAnsi="Verdana"/>
          <w:sz w:val="20"/>
        </w:rPr>
        <w:t xml:space="preserve"> </w:t>
      </w:r>
      <w:r w:rsidRPr="00074647">
        <w:rPr>
          <w:rFonts w:ascii="Verdana" w:hAnsi="Verdana"/>
          <w:sz w:val="20"/>
        </w:rPr>
        <w:t>new household members under the age</w:t>
      </w:r>
      <w:r>
        <w:rPr>
          <w:rFonts w:ascii="Verdana" w:hAnsi="Verdana"/>
          <w:sz w:val="20"/>
        </w:rPr>
        <w:t xml:space="preserve"> </w:t>
      </w:r>
      <w:r w:rsidRPr="00074647">
        <w:rPr>
          <w:rFonts w:ascii="Verdana" w:hAnsi="Verdana"/>
          <w:sz w:val="20"/>
        </w:rPr>
        <w:t>of 6 who already have a SSN are</w:t>
      </w:r>
      <w:r>
        <w:rPr>
          <w:rFonts w:ascii="Verdana" w:hAnsi="Verdana"/>
          <w:sz w:val="20"/>
        </w:rPr>
        <w:t xml:space="preserve"> </w:t>
      </w:r>
      <w:r w:rsidRPr="00074647">
        <w:rPr>
          <w:rFonts w:ascii="Verdana" w:hAnsi="Verdana"/>
          <w:sz w:val="20"/>
        </w:rPr>
        <w:t>subject</w:t>
      </w:r>
      <w:r>
        <w:rPr>
          <w:rFonts w:ascii="Verdana" w:hAnsi="Verdana"/>
          <w:sz w:val="20"/>
        </w:rPr>
        <w:t xml:space="preserve"> </w:t>
      </w:r>
      <w:r w:rsidRPr="00074647">
        <w:rPr>
          <w:rFonts w:ascii="Verdana" w:hAnsi="Verdana"/>
          <w:sz w:val="20"/>
        </w:rPr>
        <w:t>to the same disclosure and verification</w:t>
      </w:r>
      <w:r>
        <w:rPr>
          <w:rFonts w:ascii="Verdana" w:hAnsi="Verdana"/>
          <w:sz w:val="20"/>
        </w:rPr>
        <w:t xml:space="preserve"> </w:t>
      </w:r>
      <w:r w:rsidRPr="00074647">
        <w:rPr>
          <w:rFonts w:ascii="Verdana" w:hAnsi="Verdana"/>
          <w:sz w:val="20"/>
        </w:rPr>
        <w:t>requirements as new household</w:t>
      </w:r>
      <w:r>
        <w:rPr>
          <w:rFonts w:ascii="Verdana" w:hAnsi="Verdana"/>
          <w:sz w:val="20"/>
        </w:rPr>
        <w:t xml:space="preserve"> </w:t>
      </w:r>
      <w:r w:rsidRPr="00074647">
        <w:rPr>
          <w:rFonts w:ascii="Verdana" w:hAnsi="Verdana"/>
          <w:sz w:val="20"/>
        </w:rPr>
        <w:t>members who are at</w:t>
      </w:r>
      <w:r>
        <w:rPr>
          <w:rFonts w:ascii="Verdana" w:hAnsi="Verdana"/>
          <w:sz w:val="20"/>
        </w:rPr>
        <w:t xml:space="preserve"> </w:t>
      </w:r>
      <w:r w:rsidRPr="00074647">
        <w:rPr>
          <w:rFonts w:ascii="Verdana" w:hAnsi="Verdana"/>
          <w:sz w:val="20"/>
        </w:rPr>
        <w:t>least 6 years of age.</w:t>
      </w:r>
      <w:r>
        <w:rPr>
          <w:rFonts w:ascii="Verdana" w:hAnsi="Verdana"/>
          <w:sz w:val="20"/>
        </w:rPr>
        <w:t xml:space="preserve">  </w:t>
      </w:r>
      <w:r w:rsidR="008D76F2">
        <w:rPr>
          <w:rFonts w:ascii="Verdana" w:hAnsi="Verdana"/>
          <w:sz w:val="20"/>
        </w:rPr>
        <w:t>It</w:t>
      </w:r>
      <w:r w:rsidRPr="00074647">
        <w:rPr>
          <w:rFonts w:ascii="Verdana" w:hAnsi="Verdana"/>
          <w:sz w:val="20"/>
        </w:rPr>
        <w:t xml:space="preserve"> also clarifies that, subject</w:t>
      </w:r>
      <w:r>
        <w:rPr>
          <w:rFonts w:ascii="Verdana" w:hAnsi="Verdana"/>
          <w:sz w:val="20"/>
        </w:rPr>
        <w:t xml:space="preserve"> </w:t>
      </w:r>
      <w:r w:rsidRPr="00074647">
        <w:rPr>
          <w:rFonts w:ascii="Verdana" w:hAnsi="Verdana"/>
          <w:sz w:val="20"/>
        </w:rPr>
        <w:t>to the exemptions allowed, an entire</w:t>
      </w:r>
      <w:r w:rsidR="008D76F2">
        <w:rPr>
          <w:rFonts w:ascii="Verdana" w:hAnsi="Verdana"/>
          <w:sz w:val="20"/>
        </w:rPr>
        <w:t xml:space="preserve"> </w:t>
      </w:r>
      <w:r w:rsidRPr="00074647">
        <w:rPr>
          <w:rFonts w:ascii="Verdana" w:hAnsi="Verdana"/>
          <w:sz w:val="20"/>
        </w:rPr>
        <w:t>household may lose its tenancy if one</w:t>
      </w:r>
      <w:r w:rsidR="008D76F2">
        <w:rPr>
          <w:rFonts w:ascii="Verdana" w:hAnsi="Verdana"/>
          <w:sz w:val="20"/>
        </w:rPr>
        <w:t xml:space="preserve"> </w:t>
      </w:r>
      <w:r w:rsidRPr="00074647">
        <w:rPr>
          <w:rFonts w:ascii="Verdana" w:hAnsi="Verdana"/>
          <w:sz w:val="20"/>
        </w:rPr>
        <w:t>member of the household does not</w:t>
      </w:r>
      <w:r w:rsidR="008D76F2">
        <w:rPr>
          <w:rFonts w:ascii="Verdana" w:hAnsi="Verdana"/>
          <w:sz w:val="20"/>
        </w:rPr>
        <w:t xml:space="preserve"> </w:t>
      </w:r>
      <w:r w:rsidRPr="00074647">
        <w:rPr>
          <w:rFonts w:ascii="Verdana" w:hAnsi="Verdana"/>
          <w:sz w:val="20"/>
        </w:rPr>
        <w:t>comply with the SSN</w:t>
      </w:r>
      <w:r w:rsidR="008D76F2">
        <w:rPr>
          <w:rFonts w:ascii="Verdana" w:hAnsi="Verdana"/>
          <w:sz w:val="20"/>
        </w:rPr>
        <w:t xml:space="preserve"> </w:t>
      </w:r>
      <w:r w:rsidRPr="00074647">
        <w:rPr>
          <w:rFonts w:ascii="Verdana" w:hAnsi="Verdana"/>
          <w:sz w:val="20"/>
        </w:rPr>
        <w:t>disclosure</w:t>
      </w:r>
      <w:r w:rsidR="008D76F2">
        <w:rPr>
          <w:rFonts w:ascii="Verdana" w:hAnsi="Verdana"/>
          <w:sz w:val="20"/>
        </w:rPr>
        <w:t xml:space="preserve"> </w:t>
      </w:r>
      <w:r w:rsidRPr="00074647">
        <w:rPr>
          <w:rFonts w:ascii="Verdana" w:hAnsi="Verdana"/>
          <w:color w:val="auto"/>
          <w:sz w:val="20"/>
        </w:rPr>
        <w:t>requirements.</w:t>
      </w:r>
      <w:r w:rsidR="008D76F2">
        <w:rPr>
          <w:rFonts w:ascii="Verdana" w:hAnsi="Verdana"/>
          <w:color w:val="auto"/>
          <w:sz w:val="20"/>
        </w:rPr>
        <w:t xml:space="preserve"> </w:t>
      </w:r>
      <w:r w:rsidR="008D76F2" w:rsidRPr="008D76F2">
        <w:rPr>
          <w:rFonts w:ascii="Verdana" w:hAnsi="Verdana"/>
          <w:color w:val="auto"/>
          <w:sz w:val="20"/>
        </w:rPr>
        <w:t xml:space="preserve">As a result of this required change, there has been a slight increase in </w:t>
      </w:r>
      <w:r w:rsidR="008D76F2">
        <w:rPr>
          <w:rFonts w:ascii="Verdana" w:hAnsi="Verdana"/>
          <w:color w:val="auto"/>
          <w:sz w:val="20"/>
        </w:rPr>
        <w:t xml:space="preserve">the number of respondents, responses and </w:t>
      </w:r>
      <w:r w:rsidR="008D76F2" w:rsidRPr="008D76F2">
        <w:rPr>
          <w:rFonts w:ascii="Verdana" w:hAnsi="Verdana"/>
          <w:color w:val="auto"/>
          <w:sz w:val="20"/>
        </w:rPr>
        <w:t>burden hours.</w:t>
      </w:r>
    </w:p>
    <w:p w:rsidR="002E6EB5" w:rsidRPr="00DB451B" w:rsidRDefault="002E6EB5" w:rsidP="002E6EB5">
      <w:pPr>
        <w:autoSpaceDE w:val="0"/>
        <w:autoSpaceDN w:val="0"/>
        <w:adjustRightInd w:val="0"/>
        <w:ind w:left="360"/>
        <w:rPr>
          <w:rFonts w:ascii="Verdana" w:hAnsi="Verdana"/>
          <w:b/>
          <w:sz w:val="20"/>
          <w:szCs w:val="20"/>
        </w:rPr>
      </w:pPr>
    </w:p>
    <w:p w:rsidR="0084066E" w:rsidRPr="00DB451B" w:rsidRDefault="0084066E">
      <w:pPr>
        <w:pStyle w:val="Default"/>
        <w:numPr>
          <w:ilvl w:val="0"/>
          <w:numId w:val="2"/>
        </w:numPr>
        <w:rPr>
          <w:rFonts w:ascii="Verdana" w:hAnsi="Verdana"/>
          <w:b/>
          <w:color w:val="auto"/>
          <w:sz w:val="20"/>
        </w:rPr>
      </w:pPr>
      <w:r w:rsidRPr="00DB451B">
        <w:rPr>
          <w:rFonts w:ascii="Verdana" w:hAnsi="Verdana"/>
          <w:b/>
          <w:color w:val="auto"/>
          <w:sz w:val="20"/>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4066E" w:rsidRPr="00DB451B" w:rsidRDefault="0084066E">
      <w:pPr>
        <w:pStyle w:val="Default"/>
        <w:rPr>
          <w:rFonts w:ascii="Verdana" w:hAnsi="Verdana"/>
          <w:color w:val="auto"/>
          <w:sz w:val="20"/>
        </w:rPr>
      </w:pPr>
    </w:p>
    <w:p w:rsidR="0084066E" w:rsidRPr="00DB451B" w:rsidRDefault="0084066E">
      <w:pPr>
        <w:pStyle w:val="Default"/>
        <w:ind w:left="360"/>
        <w:rPr>
          <w:rFonts w:ascii="Verdana" w:hAnsi="Verdana"/>
          <w:color w:val="auto"/>
          <w:sz w:val="20"/>
        </w:rPr>
      </w:pPr>
      <w:r w:rsidRPr="00DB451B">
        <w:rPr>
          <w:rFonts w:ascii="Verdana" w:hAnsi="Verdana"/>
          <w:color w:val="auto"/>
          <w:sz w:val="20"/>
        </w:rPr>
        <w:t>The results from th</w:t>
      </w:r>
      <w:r w:rsidR="00557D75" w:rsidRPr="00DB451B">
        <w:rPr>
          <w:rFonts w:ascii="Verdana" w:hAnsi="Verdana"/>
          <w:color w:val="auto"/>
          <w:sz w:val="20"/>
        </w:rPr>
        <w:t>e</w:t>
      </w:r>
      <w:r w:rsidRPr="00DB451B">
        <w:rPr>
          <w:rFonts w:ascii="Verdana" w:hAnsi="Verdana"/>
          <w:color w:val="auto"/>
          <w:sz w:val="20"/>
        </w:rPr>
        <w:t>s</w:t>
      </w:r>
      <w:r w:rsidR="00557D75" w:rsidRPr="00DB451B">
        <w:rPr>
          <w:rFonts w:ascii="Verdana" w:hAnsi="Verdana"/>
          <w:color w:val="auto"/>
          <w:sz w:val="20"/>
        </w:rPr>
        <w:t>e</w:t>
      </w:r>
      <w:r w:rsidRPr="00DB451B">
        <w:rPr>
          <w:rFonts w:ascii="Verdana" w:hAnsi="Verdana"/>
          <w:color w:val="auto"/>
          <w:sz w:val="20"/>
        </w:rPr>
        <w:t xml:space="preserve"> collection</w:t>
      </w:r>
      <w:r w:rsidR="00557D75" w:rsidRPr="00DB451B">
        <w:rPr>
          <w:rFonts w:ascii="Verdana" w:hAnsi="Verdana"/>
          <w:color w:val="auto"/>
          <w:sz w:val="20"/>
        </w:rPr>
        <w:t>s</w:t>
      </w:r>
      <w:r w:rsidRPr="00DB451B">
        <w:rPr>
          <w:rFonts w:ascii="Verdana" w:hAnsi="Verdana"/>
          <w:color w:val="auto"/>
          <w:sz w:val="20"/>
        </w:rPr>
        <w:t xml:space="preserve"> will not be published.</w:t>
      </w:r>
    </w:p>
    <w:p w:rsidR="0084066E" w:rsidRPr="00DB451B" w:rsidRDefault="0084066E">
      <w:pPr>
        <w:pStyle w:val="Default"/>
        <w:ind w:left="360"/>
        <w:rPr>
          <w:rFonts w:ascii="Verdana" w:hAnsi="Verdana"/>
          <w:color w:val="auto"/>
          <w:sz w:val="20"/>
        </w:rPr>
      </w:pPr>
    </w:p>
    <w:p w:rsidR="0084066E" w:rsidRPr="00DB451B" w:rsidRDefault="0084066E">
      <w:pPr>
        <w:pStyle w:val="Default"/>
        <w:numPr>
          <w:ilvl w:val="0"/>
          <w:numId w:val="2"/>
        </w:numPr>
        <w:rPr>
          <w:rFonts w:ascii="Verdana" w:hAnsi="Verdana"/>
          <w:b/>
          <w:color w:val="auto"/>
          <w:sz w:val="20"/>
        </w:rPr>
      </w:pPr>
      <w:r w:rsidRPr="00DB451B">
        <w:rPr>
          <w:rFonts w:ascii="Verdana" w:hAnsi="Verdana"/>
          <w:b/>
          <w:color w:val="auto"/>
          <w:sz w:val="20"/>
        </w:rPr>
        <w:t xml:space="preserve">If seeking approval to not display the expiration date for OMB approval of the information collection, explain the reasons that display would be inappropriate. </w:t>
      </w:r>
    </w:p>
    <w:p w:rsidR="002A2361" w:rsidRPr="00DB451B" w:rsidRDefault="002A2361" w:rsidP="003C4731">
      <w:pPr>
        <w:pStyle w:val="Default"/>
        <w:ind w:left="360"/>
        <w:rPr>
          <w:rFonts w:ascii="Verdana" w:hAnsi="Verdana"/>
          <w:color w:val="auto"/>
          <w:sz w:val="20"/>
        </w:rPr>
      </w:pPr>
    </w:p>
    <w:p w:rsidR="00095976" w:rsidRPr="00DB451B" w:rsidRDefault="00DD5F00" w:rsidP="003C4731">
      <w:pPr>
        <w:pStyle w:val="Default"/>
        <w:ind w:left="360"/>
        <w:rPr>
          <w:rFonts w:ascii="Verdana" w:hAnsi="Verdana"/>
          <w:color w:val="auto"/>
          <w:sz w:val="20"/>
          <w:szCs w:val="20"/>
        </w:rPr>
      </w:pPr>
      <w:r w:rsidRPr="00DB451B">
        <w:rPr>
          <w:rFonts w:ascii="Verdana" w:hAnsi="Verdana"/>
          <w:color w:val="auto"/>
          <w:sz w:val="20"/>
          <w:szCs w:val="20"/>
        </w:rPr>
        <w:t>All forms will be posted on HUD’s Website (</w:t>
      </w:r>
      <w:hyperlink r:id="rId9" w:history="1">
        <w:r w:rsidRPr="00DB451B">
          <w:rPr>
            <w:rStyle w:val="Hyperlink"/>
            <w:rFonts w:ascii="Verdana" w:hAnsi="Verdana"/>
            <w:color w:val="auto"/>
            <w:sz w:val="20"/>
            <w:szCs w:val="20"/>
          </w:rPr>
          <w:t>www.hudclips.org</w:t>
        </w:r>
      </w:hyperlink>
      <w:r w:rsidRPr="00DB451B">
        <w:rPr>
          <w:rFonts w:ascii="Verdana" w:hAnsi="Verdana"/>
          <w:color w:val="auto"/>
          <w:sz w:val="20"/>
          <w:szCs w:val="20"/>
        </w:rPr>
        <w:t>) and will contain the OMB expiration date.  However, forms produced by automated systems will not display or print the OMB expiration date.</w:t>
      </w:r>
    </w:p>
    <w:p w:rsidR="00DD5F00" w:rsidRPr="00DB451B" w:rsidRDefault="00DD5F00" w:rsidP="003C4731">
      <w:pPr>
        <w:pStyle w:val="Default"/>
        <w:ind w:left="360"/>
        <w:rPr>
          <w:rFonts w:ascii="Verdana" w:hAnsi="Verdana"/>
          <w:color w:val="auto"/>
          <w:sz w:val="20"/>
        </w:rPr>
      </w:pPr>
    </w:p>
    <w:p w:rsidR="003C4731" w:rsidRPr="00DB451B" w:rsidRDefault="0084066E" w:rsidP="003C4731">
      <w:pPr>
        <w:pStyle w:val="Default"/>
        <w:ind w:left="360"/>
        <w:rPr>
          <w:rFonts w:ascii="Verdana" w:hAnsi="Verdana"/>
          <w:color w:val="auto"/>
          <w:sz w:val="20"/>
        </w:rPr>
      </w:pPr>
      <w:r w:rsidRPr="00DB451B">
        <w:rPr>
          <w:rFonts w:ascii="Verdana" w:hAnsi="Verdana"/>
          <w:color w:val="auto"/>
          <w:sz w:val="20"/>
        </w:rPr>
        <w:t xml:space="preserve">HUD is seeking </w:t>
      </w:r>
      <w:r w:rsidR="00FA0D73" w:rsidRPr="00DB451B">
        <w:rPr>
          <w:rFonts w:ascii="Verdana" w:hAnsi="Verdana"/>
          <w:color w:val="auto"/>
          <w:sz w:val="20"/>
        </w:rPr>
        <w:t xml:space="preserve">an extension </w:t>
      </w:r>
      <w:r w:rsidR="00550F06" w:rsidRPr="00DB451B">
        <w:rPr>
          <w:rFonts w:ascii="Verdana" w:hAnsi="Verdana"/>
          <w:color w:val="auto"/>
          <w:sz w:val="20"/>
        </w:rPr>
        <w:t xml:space="preserve">not </w:t>
      </w:r>
      <w:r w:rsidRPr="00DB451B">
        <w:rPr>
          <w:rFonts w:ascii="Verdana" w:hAnsi="Verdana"/>
          <w:color w:val="auto"/>
          <w:sz w:val="20"/>
        </w:rPr>
        <w:t>to display</w:t>
      </w:r>
      <w:r w:rsidR="00095976" w:rsidRPr="00DB451B">
        <w:rPr>
          <w:rFonts w:ascii="Verdana" w:hAnsi="Verdana"/>
          <w:color w:val="auto"/>
          <w:sz w:val="20"/>
        </w:rPr>
        <w:t>/print</w:t>
      </w:r>
      <w:r w:rsidRPr="00DB451B">
        <w:rPr>
          <w:rFonts w:ascii="Verdana" w:hAnsi="Verdana"/>
          <w:color w:val="auto"/>
          <w:sz w:val="20"/>
        </w:rPr>
        <w:t xml:space="preserve"> the expiration date</w:t>
      </w:r>
      <w:r w:rsidR="00D10972" w:rsidRPr="00DB451B">
        <w:rPr>
          <w:rFonts w:ascii="Verdana" w:hAnsi="Verdana"/>
          <w:color w:val="auto"/>
          <w:sz w:val="20"/>
        </w:rPr>
        <w:t xml:space="preserve"> on forms included in th</w:t>
      </w:r>
      <w:r w:rsidR="003C4731" w:rsidRPr="00DB451B">
        <w:rPr>
          <w:rFonts w:ascii="Verdana" w:hAnsi="Verdana"/>
          <w:color w:val="auto"/>
          <w:sz w:val="20"/>
        </w:rPr>
        <w:t>ese</w:t>
      </w:r>
      <w:r w:rsidR="00D10972" w:rsidRPr="00DB451B">
        <w:rPr>
          <w:rFonts w:ascii="Verdana" w:hAnsi="Verdana"/>
          <w:color w:val="auto"/>
          <w:sz w:val="20"/>
        </w:rPr>
        <w:t xml:space="preserve"> information</w:t>
      </w:r>
      <w:r w:rsidR="00816E5D" w:rsidRPr="00DB451B">
        <w:rPr>
          <w:rFonts w:ascii="Verdana" w:hAnsi="Verdana"/>
          <w:color w:val="auto"/>
          <w:sz w:val="20"/>
        </w:rPr>
        <w:t xml:space="preserve"> </w:t>
      </w:r>
      <w:r w:rsidR="00D10972" w:rsidRPr="00DB451B">
        <w:rPr>
          <w:rFonts w:ascii="Verdana" w:hAnsi="Verdana"/>
          <w:color w:val="auto"/>
          <w:sz w:val="20"/>
        </w:rPr>
        <w:t>collection</w:t>
      </w:r>
      <w:r w:rsidR="00816E5D" w:rsidRPr="00DB451B">
        <w:rPr>
          <w:rFonts w:ascii="Verdana" w:hAnsi="Verdana"/>
          <w:color w:val="auto"/>
          <w:sz w:val="20"/>
        </w:rPr>
        <w:t>s</w:t>
      </w:r>
      <w:r w:rsidRPr="00DB451B">
        <w:rPr>
          <w:rFonts w:ascii="Verdana" w:hAnsi="Verdana"/>
          <w:color w:val="auto"/>
          <w:sz w:val="20"/>
        </w:rPr>
        <w:t>.</w:t>
      </w:r>
      <w:r w:rsidR="00D10972" w:rsidRPr="00DB451B">
        <w:rPr>
          <w:rFonts w:ascii="Verdana" w:hAnsi="Verdana"/>
          <w:color w:val="auto"/>
          <w:sz w:val="20"/>
        </w:rPr>
        <w:t xml:space="preserve"> </w:t>
      </w:r>
      <w:r w:rsidR="003C4731" w:rsidRPr="00DB451B">
        <w:rPr>
          <w:rFonts w:ascii="Verdana" w:hAnsi="Verdana"/>
          <w:color w:val="auto"/>
          <w:sz w:val="20"/>
        </w:rPr>
        <w:t xml:space="preserve">To reduce this burden on Vendors, HUD is requesting </w:t>
      </w:r>
      <w:r w:rsidR="00FA0D73" w:rsidRPr="00DB451B">
        <w:rPr>
          <w:rFonts w:ascii="Verdana" w:hAnsi="Verdana"/>
          <w:color w:val="auto"/>
          <w:sz w:val="20"/>
        </w:rPr>
        <w:t xml:space="preserve">an extension </w:t>
      </w:r>
      <w:r w:rsidR="003C4731" w:rsidRPr="00DB451B">
        <w:rPr>
          <w:rFonts w:ascii="Verdana" w:hAnsi="Verdana"/>
          <w:color w:val="auto"/>
          <w:sz w:val="20"/>
        </w:rPr>
        <w:t>for Vendor software applications to reference/display the HUDCLIPS URL (</w:t>
      </w:r>
      <w:hyperlink r:id="rId10" w:history="1">
        <w:r w:rsidR="003C4731" w:rsidRPr="00DB451B">
          <w:rPr>
            <w:rStyle w:val="Hyperlink"/>
            <w:rFonts w:ascii="Verdana" w:hAnsi="Verdana"/>
            <w:color w:val="auto"/>
            <w:sz w:val="20"/>
            <w:szCs w:val="16"/>
          </w:rPr>
          <w:t>www.hudclips.org</w:t>
        </w:r>
      </w:hyperlink>
      <w:r w:rsidR="003C4731" w:rsidRPr="00DB451B">
        <w:rPr>
          <w:rFonts w:ascii="Verdana" w:hAnsi="Verdana"/>
          <w:color w:val="auto"/>
          <w:sz w:val="20"/>
          <w:szCs w:val="16"/>
        </w:rPr>
        <w:t>)</w:t>
      </w:r>
      <w:r w:rsidR="003C4731" w:rsidRPr="00DB451B">
        <w:rPr>
          <w:rFonts w:ascii="Verdana" w:hAnsi="Verdana"/>
          <w:color w:val="auto"/>
          <w:sz w:val="20"/>
        </w:rPr>
        <w:t xml:space="preserve">.  HUDCLIPS contains official HUD forms depicting the </w:t>
      </w:r>
      <w:r w:rsidR="001B793B" w:rsidRPr="00DB451B">
        <w:rPr>
          <w:rFonts w:ascii="Verdana" w:hAnsi="Verdana"/>
          <w:color w:val="auto"/>
          <w:sz w:val="20"/>
        </w:rPr>
        <w:t xml:space="preserve">OMB </w:t>
      </w:r>
      <w:r w:rsidR="003C4731" w:rsidRPr="00DB451B">
        <w:rPr>
          <w:rFonts w:ascii="Verdana" w:hAnsi="Verdana"/>
          <w:color w:val="auto"/>
          <w:sz w:val="20"/>
        </w:rPr>
        <w:t>expiration date and OMB control number. When OMB changes an expiration date on a form, HUD loads the form with the new expiration date onto HUDCIPS.  Allowing Vendor’s to use screens, facsimiles and reference HUDCLIPS eliminate</w:t>
      </w:r>
      <w:r w:rsidR="00095976" w:rsidRPr="00DB451B">
        <w:rPr>
          <w:rFonts w:ascii="Verdana" w:hAnsi="Verdana"/>
          <w:color w:val="auto"/>
          <w:sz w:val="20"/>
        </w:rPr>
        <w:t>s</w:t>
      </w:r>
      <w:r w:rsidR="003C4731" w:rsidRPr="00DB451B">
        <w:rPr>
          <w:rFonts w:ascii="Verdana" w:hAnsi="Verdana"/>
          <w:color w:val="auto"/>
          <w:sz w:val="20"/>
        </w:rPr>
        <w:t xml:space="preserve"> the need for software vendors to change their existing applications to </w:t>
      </w:r>
      <w:r w:rsidR="00095976" w:rsidRPr="00DB451B">
        <w:rPr>
          <w:rFonts w:ascii="Verdana" w:hAnsi="Verdana"/>
          <w:color w:val="auto"/>
          <w:sz w:val="20"/>
        </w:rPr>
        <w:t xml:space="preserve">accommodate </w:t>
      </w:r>
      <w:r w:rsidR="003C4731" w:rsidRPr="00DB451B">
        <w:rPr>
          <w:rFonts w:ascii="Verdana" w:hAnsi="Verdana"/>
          <w:color w:val="auto"/>
          <w:sz w:val="20"/>
        </w:rPr>
        <w:t xml:space="preserve">new OMB mandated expiration dates.  The </w:t>
      </w:r>
      <w:r w:rsidR="003C4731" w:rsidRPr="00DB451B">
        <w:rPr>
          <w:rFonts w:ascii="Verdana" w:hAnsi="Verdana"/>
          <w:color w:val="auto"/>
          <w:sz w:val="20"/>
          <w:szCs w:val="20"/>
        </w:rPr>
        <w:t>attachment titled “Vendor</w:t>
      </w:r>
      <w:r w:rsidR="006F5ADA" w:rsidRPr="00DB451B">
        <w:rPr>
          <w:rFonts w:ascii="Verdana" w:hAnsi="Verdana"/>
          <w:color w:val="auto"/>
          <w:sz w:val="20"/>
          <w:szCs w:val="20"/>
        </w:rPr>
        <w:t xml:space="preserve">A </w:t>
      </w:r>
      <w:r w:rsidR="003C4731" w:rsidRPr="00DB451B">
        <w:rPr>
          <w:rFonts w:ascii="Verdana" w:hAnsi="Verdana"/>
          <w:color w:val="auto"/>
          <w:sz w:val="20"/>
          <w:szCs w:val="20"/>
        </w:rPr>
        <w:t>50059 Steps.zip”</w:t>
      </w:r>
      <w:r w:rsidR="003C4731" w:rsidRPr="00DB451B">
        <w:rPr>
          <w:rFonts w:ascii="Times New Roman" w:hAnsi="Times New Roman"/>
          <w:color w:val="auto"/>
        </w:rPr>
        <w:t xml:space="preserve"> </w:t>
      </w:r>
      <w:r w:rsidR="003C4731" w:rsidRPr="00DB451B">
        <w:rPr>
          <w:rFonts w:ascii="Verdana" w:hAnsi="Verdana"/>
          <w:color w:val="auto"/>
          <w:sz w:val="20"/>
        </w:rPr>
        <w:t xml:space="preserve">contains Vendor screens shots used to create facsimiles of the HUD-50059. </w:t>
      </w:r>
    </w:p>
    <w:p w:rsidR="00C10180" w:rsidRPr="00DB451B" w:rsidRDefault="00C10180">
      <w:pPr>
        <w:pStyle w:val="Default"/>
        <w:ind w:left="360"/>
        <w:rPr>
          <w:rFonts w:ascii="Verdana" w:hAnsi="Verdana"/>
          <w:color w:val="auto"/>
          <w:sz w:val="20"/>
        </w:rPr>
      </w:pPr>
    </w:p>
    <w:p w:rsidR="002D493D" w:rsidRPr="00DB451B" w:rsidRDefault="002C5EE5">
      <w:pPr>
        <w:pStyle w:val="Default"/>
        <w:ind w:left="360"/>
        <w:rPr>
          <w:rFonts w:ascii="Verdana" w:hAnsi="Verdana"/>
          <w:color w:val="auto"/>
          <w:sz w:val="20"/>
        </w:rPr>
      </w:pPr>
      <w:r w:rsidRPr="00DB451B">
        <w:rPr>
          <w:rFonts w:ascii="Verdana" w:hAnsi="Verdana"/>
          <w:color w:val="auto"/>
          <w:sz w:val="20"/>
        </w:rPr>
        <w:t>W</w:t>
      </w:r>
      <w:r w:rsidR="00C10180" w:rsidRPr="00DB451B">
        <w:rPr>
          <w:rFonts w:ascii="Verdana" w:hAnsi="Verdana"/>
          <w:color w:val="auto"/>
          <w:sz w:val="20"/>
        </w:rPr>
        <w:t xml:space="preserve">henever </w:t>
      </w:r>
      <w:r w:rsidR="00305CF8" w:rsidRPr="00DB451B">
        <w:rPr>
          <w:rFonts w:ascii="Verdana" w:hAnsi="Verdana"/>
          <w:color w:val="auto"/>
          <w:sz w:val="20"/>
        </w:rPr>
        <w:t>a</w:t>
      </w:r>
      <w:r w:rsidR="00F332E9" w:rsidRPr="00DB451B">
        <w:rPr>
          <w:rFonts w:ascii="Verdana" w:hAnsi="Verdana"/>
          <w:color w:val="auto"/>
          <w:sz w:val="20"/>
        </w:rPr>
        <w:t xml:space="preserve"> </w:t>
      </w:r>
      <w:r w:rsidR="00C10180" w:rsidRPr="00DB451B">
        <w:rPr>
          <w:rFonts w:ascii="Verdana" w:hAnsi="Verdana"/>
          <w:color w:val="auto"/>
          <w:sz w:val="20"/>
        </w:rPr>
        <w:t xml:space="preserve">HUD </w:t>
      </w:r>
      <w:r w:rsidR="00305CF8" w:rsidRPr="00DB451B">
        <w:rPr>
          <w:rFonts w:ascii="Verdana" w:hAnsi="Verdana"/>
          <w:color w:val="auto"/>
          <w:sz w:val="20"/>
        </w:rPr>
        <w:t>f</w:t>
      </w:r>
      <w:r w:rsidR="00C10180" w:rsidRPr="00DB451B">
        <w:rPr>
          <w:rFonts w:ascii="Verdana" w:hAnsi="Verdana"/>
          <w:color w:val="auto"/>
          <w:sz w:val="20"/>
        </w:rPr>
        <w:t>orm</w:t>
      </w:r>
      <w:r w:rsidRPr="00DB451B">
        <w:rPr>
          <w:rFonts w:ascii="Verdana" w:hAnsi="Verdana"/>
          <w:color w:val="auto"/>
          <w:sz w:val="20"/>
        </w:rPr>
        <w:t xml:space="preserve"> </w:t>
      </w:r>
      <w:r w:rsidR="00305CF8" w:rsidRPr="00DB451B">
        <w:rPr>
          <w:rFonts w:ascii="Verdana" w:hAnsi="Verdana"/>
          <w:color w:val="auto"/>
          <w:sz w:val="20"/>
        </w:rPr>
        <w:t xml:space="preserve">changes </w:t>
      </w:r>
      <w:r w:rsidR="00F332E9" w:rsidRPr="00DB451B">
        <w:rPr>
          <w:rFonts w:ascii="Verdana" w:hAnsi="Verdana"/>
          <w:color w:val="auto"/>
          <w:sz w:val="20"/>
        </w:rPr>
        <w:t xml:space="preserve">or a new form is </w:t>
      </w:r>
      <w:r w:rsidR="00BD6DB6" w:rsidRPr="00DB451B">
        <w:rPr>
          <w:rFonts w:ascii="Verdana" w:hAnsi="Verdana"/>
          <w:color w:val="auto"/>
          <w:sz w:val="20"/>
        </w:rPr>
        <w:t>added</w:t>
      </w:r>
      <w:r w:rsidR="00F332E9" w:rsidRPr="00DB451B">
        <w:rPr>
          <w:rFonts w:ascii="Verdana" w:hAnsi="Verdana"/>
          <w:color w:val="auto"/>
          <w:sz w:val="20"/>
        </w:rPr>
        <w:t xml:space="preserve">, </w:t>
      </w:r>
      <w:r w:rsidRPr="00DB451B">
        <w:rPr>
          <w:rFonts w:ascii="Verdana" w:hAnsi="Verdana"/>
          <w:color w:val="auto"/>
          <w:sz w:val="20"/>
        </w:rPr>
        <w:t xml:space="preserve">Industry Vendors must perform </w:t>
      </w:r>
      <w:r w:rsidR="00F332E9" w:rsidRPr="00DB451B">
        <w:rPr>
          <w:rFonts w:ascii="Verdana" w:hAnsi="Verdana"/>
          <w:color w:val="auto"/>
          <w:sz w:val="20"/>
        </w:rPr>
        <w:t>the</w:t>
      </w:r>
      <w:r w:rsidRPr="00DB451B">
        <w:rPr>
          <w:rFonts w:ascii="Verdana" w:hAnsi="Verdana"/>
          <w:color w:val="auto"/>
          <w:sz w:val="20"/>
        </w:rPr>
        <w:t xml:space="preserve"> software development life cycle phases (Analysis, Design, Development, Testing and Implementation, etc.) to ensure the change get</w:t>
      </w:r>
      <w:r w:rsidR="00BD6DB6" w:rsidRPr="00DB451B">
        <w:rPr>
          <w:rFonts w:ascii="Verdana" w:hAnsi="Verdana"/>
          <w:color w:val="auto"/>
          <w:sz w:val="20"/>
        </w:rPr>
        <w:t>s</w:t>
      </w:r>
      <w:r w:rsidRPr="00DB451B">
        <w:rPr>
          <w:rFonts w:ascii="Verdana" w:hAnsi="Verdana"/>
          <w:color w:val="auto"/>
          <w:sz w:val="20"/>
        </w:rPr>
        <w:t xml:space="preserve"> implemented at </w:t>
      </w:r>
      <w:r w:rsidR="00164541" w:rsidRPr="00DB451B">
        <w:rPr>
          <w:rFonts w:ascii="Verdana" w:hAnsi="Verdana"/>
          <w:color w:val="auto"/>
          <w:sz w:val="20"/>
        </w:rPr>
        <w:t xml:space="preserve">roughly </w:t>
      </w:r>
      <w:r w:rsidR="000823DC" w:rsidRPr="00DB451B">
        <w:rPr>
          <w:rFonts w:ascii="Verdana" w:hAnsi="Verdana"/>
          <w:color w:val="auto"/>
          <w:sz w:val="20"/>
        </w:rPr>
        <w:t>21,</w:t>
      </w:r>
      <w:r w:rsidR="005B76DC" w:rsidRPr="00DB451B">
        <w:rPr>
          <w:rFonts w:ascii="Verdana" w:hAnsi="Verdana"/>
          <w:color w:val="auto"/>
          <w:sz w:val="20"/>
        </w:rPr>
        <w:t>800</w:t>
      </w:r>
      <w:r w:rsidR="000823DC" w:rsidRPr="00DB451B">
        <w:rPr>
          <w:rFonts w:ascii="Verdana" w:hAnsi="Verdana"/>
          <w:color w:val="auto"/>
          <w:sz w:val="20"/>
        </w:rPr>
        <w:t xml:space="preserve"> </w:t>
      </w:r>
      <w:r w:rsidRPr="00DB451B">
        <w:rPr>
          <w:rFonts w:ascii="Verdana" w:hAnsi="Verdana"/>
          <w:color w:val="auto"/>
          <w:sz w:val="20"/>
        </w:rPr>
        <w:t xml:space="preserve">HUD Business </w:t>
      </w:r>
      <w:r w:rsidR="00F332E9" w:rsidRPr="00DB451B">
        <w:rPr>
          <w:rFonts w:ascii="Verdana" w:hAnsi="Verdana"/>
          <w:color w:val="auto"/>
          <w:sz w:val="20"/>
        </w:rPr>
        <w:t>P</w:t>
      </w:r>
      <w:r w:rsidRPr="00DB451B">
        <w:rPr>
          <w:rFonts w:ascii="Verdana" w:hAnsi="Verdana"/>
          <w:color w:val="auto"/>
          <w:sz w:val="20"/>
        </w:rPr>
        <w:t>artner site</w:t>
      </w:r>
      <w:r w:rsidR="00F332E9" w:rsidRPr="00DB451B">
        <w:rPr>
          <w:rFonts w:ascii="Verdana" w:hAnsi="Verdana"/>
          <w:color w:val="auto"/>
          <w:sz w:val="20"/>
        </w:rPr>
        <w:t>s</w:t>
      </w:r>
      <w:r w:rsidR="000823DC" w:rsidRPr="00DB451B">
        <w:rPr>
          <w:rFonts w:ascii="Verdana" w:hAnsi="Verdana"/>
          <w:color w:val="auto"/>
          <w:sz w:val="20"/>
        </w:rPr>
        <w:t xml:space="preserve">. </w:t>
      </w:r>
      <w:r w:rsidR="00BD6DB6" w:rsidRPr="00DB451B">
        <w:rPr>
          <w:rFonts w:ascii="Verdana" w:hAnsi="Verdana"/>
          <w:color w:val="auto"/>
          <w:sz w:val="20"/>
        </w:rPr>
        <w:t>With a</w:t>
      </w:r>
      <w:r w:rsidR="00F332E9" w:rsidRPr="00DB451B">
        <w:rPr>
          <w:rFonts w:ascii="Verdana" w:hAnsi="Verdana"/>
          <w:color w:val="auto"/>
          <w:sz w:val="20"/>
        </w:rPr>
        <w:t xml:space="preserve"> number of HUD forms being relatively static, only the </w:t>
      </w:r>
      <w:r w:rsidR="000823DC" w:rsidRPr="00DB451B">
        <w:rPr>
          <w:rFonts w:ascii="Verdana" w:hAnsi="Verdana"/>
          <w:color w:val="auto"/>
          <w:sz w:val="20"/>
        </w:rPr>
        <w:t xml:space="preserve">form </w:t>
      </w:r>
      <w:r w:rsidR="00F332E9" w:rsidRPr="00DB451B">
        <w:rPr>
          <w:rFonts w:ascii="Verdana" w:hAnsi="Verdana"/>
          <w:color w:val="auto"/>
          <w:sz w:val="20"/>
        </w:rPr>
        <w:t>expiration date changes</w:t>
      </w:r>
      <w:r w:rsidR="00BD6DB6" w:rsidRPr="00DB451B">
        <w:rPr>
          <w:rFonts w:ascii="Verdana" w:hAnsi="Verdana"/>
          <w:color w:val="auto"/>
          <w:sz w:val="20"/>
        </w:rPr>
        <w:t xml:space="preserve"> over time</w:t>
      </w:r>
      <w:r w:rsidR="00F332E9" w:rsidRPr="00DB451B">
        <w:rPr>
          <w:rFonts w:ascii="Verdana" w:hAnsi="Verdana"/>
          <w:color w:val="auto"/>
          <w:sz w:val="20"/>
        </w:rPr>
        <w:t xml:space="preserve">.   Vendors incur unnecessary cost </w:t>
      </w:r>
      <w:r w:rsidR="00652A40" w:rsidRPr="00DB451B">
        <w:rPr>
          <w:rFonts w:ascii="Verdana" w:hAnsi="Verdana"/>
          <w:color w:val="auto"/>
          <w:sz w:val="20"/>
        </w:rPr>
        <w:t>when</w:t>
      </w:r>
      <w:r w:rsidR="00550F06" w:rsidRPr="00DB451B">
        <w:rPr>
          <w:rFonts w:ascii="Verdana" w:hAnsi="Verdana"/>
          <w:color w:val="auto"/>
          <w:sz w:val="20"/>
        </w:rPr>
        <w:t xml:space="preserve"> modif</w:t>
      </w:r>
      <w:r w:rsidR="00BD6DB6" w:rsidRPr="00DB451B">
        <w:rPr>
          <w:rFonts w:ascii="Verdana" w:hAnsi="Verdana"/>
          <w:color w:val="auto"/>
          <w:sz w:val="20"/>
        </w:rPr>
        <w:t>ying</w:t>
      </w:r>
      <w:r w:rsidR="00550F06" w:rsidRPr="00DB451B">
        <w:rPr>
          <w:rFonts w:ascii="Verdana" w:hAnsi="Verdana"/>
          <w:color w:val="auto"/>
          <w:sz w:val="20"/>
        </w:rPr>
        <w:t xml:space="preserve"> their </w:t>
      </w:r>
      <w:r w:rsidR="00F332E9" w:rsidRPr="00DB451B">
        <w:rPr>
          <w:rFonts w:ascii="Verdana" w:hAnsi="Verdana"/>
          <w:color w:val="auto"/>
          <w:sz w:val="20"/>
        </w:rPr>
        <w:t xml:space="preserve">software </w:t>
      </w:r>
      <w:r w:rsidR="00550F06" w:rsidRPr="00DB451B">
        <w:rPr>
          <w:rFonts w:ascii="Verdana" w:hAnsi="Verdana"/>
          <w:color w:val="auto"/>
          <w:sz w:val="20"/>
        </w:rPr>
        <w:t xml:space="preserve">applications </w:t>
      </w:r>
      <w:r w:rsidR="00F332E9" w:rsidRPr="00DB451B">
        <w:rPr>
          <w:rFonts w:ascii="Verdana" w:hAnsi="Verdana"/>
          <w:color w:val="auto"/>
          <w:sz w:val="20"/>
        </w:rPr>
        <w:t>to accommodate chang</w:t>
      </w:r>
      <w:r w:rsidR="00BD6DB6" w:rsidRPr="00DB451B">
        <w:rPr>
          <w:rFonts w:ascii="Verdana" w:hAnsi="Verdana"/>
          <w:color w:val="auto"/>
          <w:sz w:val="20"/>
        </w:rPr>
        <w:t>ing</w:t>
      </w:r>
      <w:r w:rsidR="00F332E9" w:rsidRPr="00DB451B">
        <w:rPr>
          <w:rFonts w:ascii="Verdana" w:hAnsi="Verdana"/>
          <w:color w:val="auto"/>
          <w:sz w:val="20"/>
        </w:rPr>
        <w:t xml:space="preserve"> expiration date</w:t>
      </w:r>
      <w:r w:rsidR="00BD6DB6" w:rsidRPr="00DB451B">
        <w:rPr>
          <w:rFonts w:ascii="Verdana" w:hAnsi="Verdana"/>
          <w:color w:val="auto"/>
          <w:sz w:val="20"/>
        </w:rPr>
        <w:t>s</w:t>
      </w:r>
      <w:r w:rsidR="002D493D" w:rsidRPr="00DB451B">
        <w:rPr>
          <w:rFonts w:ascii="Verdana" w:hAnsi="Verdana"/>
          <w:color w:val="auto"/>
          <w:sz w:val="20"/>
        </w:rPr>
        <w:t xml:space="preserve">.  An expiration date change in vendor software adds no value. </w:t>
      </w:r>
    </w:p>
    <w:p w:rsidR="00E34C30" w:rsidRPr="00DB451B" w:rsidRDefault="00E34C30">
      <w:pPr>
        <w:pStyle w:val="Default"/>
        <w:ind w:left="360"/>
        <w:rPr>
          <w:rFonts w:ascii="Verdana" w:hAnsi="Verdana"/>
          <w:color w:val="auto"/>
          <w:sz w:val="20"/>
        </w:rPr>
      </w:pPr>
    </w:p>
    <w:p w:rsidR="0084066E" w:rsidRPr="00DB451B" w:rsidRDefault="0084066E">
      <w:pPr>
        <w:pStyle w:val="Default"/>
        <w:numPr>
          <w:ilvl w:val="0"/>
          <w:numId w:val="2"/>
        </w:numPr>
        <w:rPr>
          <w:rFonts w:ascii="Verdana" w:hAnsi="Verdana"/>
          <w:b/>
          <w:color w:val="auto"/>
          <w:sz w:val="20"/>
          <w:szCs w:val="16"/>
        </w:rPr>
      </w:pPr>
      <w:r w:rsidRPr="00DB451B">
        <w:rPr>
          <w:rFonts w:ascii="Verdana" w:hAnsi="Verdana"/>
          <w:b/>
          <w:color w:val="auto"/>
          <w:sz w:val="20"/>
        </w:rPr>
        <w:t>Explain each exception to the certification statement identified in Item 19, "Certification for Paperwork Reduction Act Submissions," of OMB Form 83-I.</w:t>
      </w:r>
    </w:p>
    <w:p w:rsidR="0084066E" w:rsidRPr="00DB451B" w:rsidRDefault="0084066E">
      <w:pPr>
        <w:pStyle w:val="Default"/>
        <w:rPr>
          <w:rFonts w:ascii="Verdana" w:hAnsi="Verdana"/>
          <w:color w:val="auto"/>
          <w:sz w:val="20"/>
        </w:rPr>
      </w:pPr>
    </w:p>
    <w:p w:rsidR="0084066E" w:rsidRPr="00DB451B" w:rsidRDefault="0084066E">
      <w:pPr>
        <w:pStyle w:val="Default"/>
        <w:ind w:left="360"/>
        <w:rPr>
          <w:rFonts w:ascii="Verdana" w:hAnsi="Verdana"/>
          <w:color w:val="auto"/>
          <w:sz w:val="20"/>
          <w:szCs w:val="16"/>
        </w:rPr>
      </w:pPr>
      <w:r w:rsidRPr="00DB451B">
        <w:rPr>
          <w:rFonts w:ascii="Verdana" w:hAnsi="Verdana"/>
          <w:color w:val="auto"/>
          <w:sz w:val="20"/>
        </w:rPr>
        <w:t>There are no exceptions to the certification statement identified in item 19.</w:t>
      </w:r>
    </w:p>
    <w:p w:rsidR="0084066E" w:rsidRPr="00DB451B" w:rsidRDefault="0084066E">
      <w:pPr>
        <w:pStyle w:val="Default"/>
        <w:spacing w:before="250" w:after="215" w:line="208" w:lineRule="atLeast"/>
        <w:ind w:left="193" w:right="903" w:hanging="192"/>
        <w:rPr>
          <w:rFonts w:ascii="Verdana" w:hAnsi="Verdana"/>
          <w:b/>
          <w:bCs/>
          <w:color w:val="auto"/>
          <w:sz w:val="20"/>
        </w:rPr>
      </w:pPr>
      <w:r w:rsidRPr="00DB451B">
        <w:rPr>
          <w:rFonts w:ascii="Verdana" w:hAnsi="Verdana"/>
          <w:b/>
          <w:bCs/>
          <w:color w:val="auto"/>
          <w:sz w:val="20"/>
        </w:rPr>
        <w:t xml:space="preserve">B. Collections of Information Employing Statistical Methods </w:t>
      </w:r>
    </w:p>
    <w:p w:rsidR="0084066E" w:rsidRPr="00DB451B" w:rsidRDefault="0084066E">
      <w:pPr>
        <w:pStyle w:val="CM2"/>
        <w:spacing w:line="240" w:lineRule="auto"/>
        <w:rPr>
          <w:rFonts w:ascii="Verdana" w:hAnsi="Verdana"/>
          <w:b/>
          <w:sz w:val="20"/>
        </w:rPr>
      </w:pPr>
      <w:r w:rsidRPr="00DB451B">
        <w:rPr>
          <w:rFonts w:ascii="Verdana" w:hAnsi="Verdana"/>
          <w:b/>
          <w:sz w:val="20"/>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rsidR="0084066E" w:rsidRPr="00DB451B" w:rsidRDefault="0084066E">
      <w:pPr>
        <w:pStyle w:val="Default"/>
        <w:rPr>
          <w:b/>
          <w:color w:val="auto"/>
        </w:rPr>
      </w:pPr>
    </w:p>
    <w:p w:rsidR="0084066E" w:rsidRPr="00DB451B" w:rsidRDefault="0084066E">
      <w:pPr>
        <w:pStyle w:val="Default"/>
        <w:rPr>
          <w:rFonts w:ascii="Verdana" w:hAnsi="Verdana"/>
          <w:b/>
          <w:color w:val="auto"/>
          <w:sz w:val="20"/>
        </w:rPr>
      </w:pPr>
      <w:r w:rsidRPr="00DB451B">
        <w:rPr>
          <w:rFonts w:ascii="Verdana" w:hAnsi="Verdana"/>
          <w:b/>
          <w:color w:val="auto"/>
          <w:sz w:val="20"/>
        </w:rPr>
        <w:t>There are no plans to use statistical methods for collecting this information.</w:t>
      </w:r>
    </w:p>
    <w:p w:rsidR="0084066E" w:rsidRPr="00DB451B" w:rsidRDefault="0084066E">
      <w:pPr>
        <w:pStyle w:val="Default"/>
        <w:rPr>
          <w:rFonts w:ascii="Verdana" w:hAnsi="Verdana"/>
          <w:color w:val="auto"/>
        </w:rPr>
      </w:pPr>
    </w:p>
    <w:sectPr w:rsidR="0084066E" w:rsidRPr="00DB451B" w:rsidSect="00A67BF3">
      <w:footerReference w:type="default" r:id="rId11"/>
      <w:pgSz w:w="12240" w:h="15840"/>
      <w:pgMar w:top="317" w:right="720" w:bottom="34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43A" w:rsidRDefault="0046443A">
      <w:r>
        <w:separator/>
      </w:r>
    </w:p>
  </w:endnote>
  <w:endnote w:type="continuationSeparator" w:id="0">
    <w:p w:rsidR="0046443A" w:rsidRDefault="00464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43A" w:rsidRDefault="00A2527A">
    <w:pPr>
      <w:pStyle w:val="Footer"/>
      <w:jc w:val="center"/>
    </w:pPr>
    <w:r>
      <w:rPr>
        <w:rStyle w:val="PageNumber"/>
      </w:rPr>
      <w:fldChar w:fldCharType="begin"/>
    </w:r>
    <w:r w:rsidR="0046443A">
      <w:rPr>
        <w:rStyle w:val="PageNumber"/>
      </w:rPr>
      <w:instrText xml:space="preserve"> PAGE </w:instrText>
    </w:r>
    <w:r>
      <w:rPr>
        <w:rStyle w:val="PageNumber"/>
      </w:rPr>
      <w:fldChar w:fldCharType="separate"/>
    </w:r>
    <w:r w:rsidR="00244E84">
      <w:rPr>
        <w:rStyle w:val="PageNumber"/>
        <w:noProof/>
      </w:rPr>
      <w:t>13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43A" w:rsidRDefault="0046443A">
      <w:r>
        <w:separator/>
      </w:r>
    </w:p>
  </w:footnote>
  <w:footnote w:type="continuationSeparator" w:id="0">
    <w:p w:rsidR="0046443A" w:rsidRDefault="00464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D1E95"/>
    <w:multiLevelType w:val="hybridMultilevel"/>
    <w:tmpl w:val="CC4618E2"/>
    <w:lvl w:ilvl="0" w:tplc="E8B86370">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DB058E3"/>
    <w:multiLevelType w:val="hybridMultilevel"/>
    <w:tmpl w:val="6C7C48A2"/>
    <w:lvl w:ilvl="0" w:tplc="10E6987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4437A13"/>
    <w:multiLevelType w:val="hybridMultilevel"/>
    <w:tmpl w:val="EE06F65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216889"/>
    <w:multiLevelType w:val="hybridMultilevel"/>
    <w:tmpl w:val="10167EFD"/>
    <w:lvl w:ilvl="0" w:tplc="42A6511C">
      <w:start w:val="1"/>
      <w:numFmt w:val="bullet"/>
      <w:lvlText w:val=""/>
      <w:lvlJc w:val="left"/>
      <w:pPr>
        <w:tabs>
          <w:tab w:val="num" w:pos="720"/>
        </w:tabs>
        <w:ind w:left="720" w:hanging="360"/>
      </w:pPr>
      <w:rPr>
        <w:rFonts w:ascii="Symbol" w:hAnsi="Symbol" w:hint="default"/>
        <w:b w:val="0"/>
        <w:i w:val="0"/>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E7B0A13"/>
    <w:multiLevelType w:val="hybridMultilevel"/>
    <w:tmpl w:val="58F065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166C75"/>
    <w:multiLevelType w:val="hybridMultilevel"/>
    <w:tmpl w:val="2CE56510"/>
    <w:lvl w:ilvl="0" w:tplc="42A6511C">
      <w:start w:val="1"/>
      <w:numFmt w:val="bullet"/>
      <w:lvlText w:val=""/>
      <w:lvlJc w:val="left"/>
      <w:pPr>
        <w:tabs>
          <w:tab w:val="num" w:pos="720"/>
        </w:tabs>
        <w:ind w:left="720" w:hanging="360"/>
      </w:pPr>
      <w:rPr>
        <w:rFonts w:ascii="Symbol" w:hAnsi="Symbol" w:hint="default"/>
        <w:b w:val="0"/>
        <w:i w:val="0"/>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5C36085"/>
    <w:multiLevelType w:val="hybridMultilevel"/>
    <w:tmpl w:val="445E54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9915B95"/>
    <w:multiLevelType w:val="hybridMultilevel"/>
    <w:tmpl w:val="26B20210"/>
    <w:lvl w:ilvl="0" w:tplc="0409000F">
      <w:start w:val="1"/>
      <w:numFmt w:val="decimal"/>
      <w:lvlText w:val="%1."/>
      <w:lvlJc w:val="left"/>
      <w:pPr>
        <w:tabs>
          <w:tab w:val="num" w:pos="360"/>
        </w:tabs>
        <w:ind w:left="360" w:hanging="360"/>
      </w:pPr>
    </w:lvl>
    <w:lvl w:ilvl="1" w:tplc="42A6511C">
      <w:start w:val="1"/>
      <w:numFmt w:val="bullet"/>
      <w:lvlText w:val=""/>
      <w:lvlJc w:val="left"/>
      <w:pPr>
        <w:tabs>
          <w:tab w:val="num" w:pos="1080"/>
        </w:tabs>
        <w:ind w:left="1080" w:hanging="360"/>
      </w:pPr>
      <w:rPr>
        <w:rFonts w:ascii="Symbol" w:hAnsi="Symbol" w:hint="default"/>
        <w:b w:val="0"/>
        <w:i w:val="0"/>
        <w:sz w:val="24"/>
      </w:rPr>
    </w:lvl>
    <w:lvl w:ilvl="2" w:tplc="7E5C2516">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E965A63"/>
    <w:multiLevelType w:val="hybridMultilevel"/>
    <w:tmpl w:val="8E6EAD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3943C7"/>
    <w:multiLevelType w:val="hybridMultilevel"/>
    <w:tmpl w:val="E86AE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D497172"/>
    <w:multiLevelType w:val="hybridMultilevel"/>
    <w:tmpl w:val="C278EAAE"/>
    <w:lvl w:ilvl="0" w:tplc="71986D7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6BA29D4"/>
    <w:multiLevelType w:val="hybridMultilevel"/>
    <w:tmpl w:val="BA68C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76501D30"/>
    <w:multiLevelType w:val="hybridMultilevel"/>
    <w:tmpl w:val="EA36D0F6"/>
    <w:lvl w:ilvl="0" w:tplc="00E6B6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81060B9"/>
    <w:multiLevelType w:val="hybridMultilevel"/>
    <w:tmpl w:val="AE4FAF1F"/>
    <w:lvl w:ilvl="0" w:tplc="42A6511C">
      <w:start w:val="1"/>
      <w:numFmt w:val="bullet"/>
      <w:lvlText w:val=""/>
      <w:lvlJc w:val="left"/>
      <w:pPr>
        <w:tabs>
          <w:tab w:val="num" w:pos="720"/>
        </w:tabs>
        <w:ind w:left="720" w:hanging="360"/>
      </w:pPr>
      <w:rPr>
        <w:rFonts w:ascii="Symbol" w:hAnsi="Symbol" w:hint="default"/>
        <w:b w:val="0"/>
        <w:i w:val="0"/>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nsid w:val="79E47067"/>
    <w:multiLevelType w:val="hybridMultilevel"/>
    <w:tmpl w:val="EC52C9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0">
    <w:nsid w:val="7DD77F70"/>
    <w:multiLevelType w:val="hybridMultilevel"/>
    <w:tmpl w:val="6F9E725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FAF4311"/>
    <w:multiLevelType w:val="hybridMultilevel"/>
    <w:tmpl w:val="10167EFD"/>
    <w:lvl w:ilvl="0" w:tplc="42A6511C">
      <w:start w:val="1"/>
      <w:numFmt w:val="bullet"/>
      <w:lvlText w:val=""/>
      <w:lvlJc w:val="left"/>
      <w:pPr>
        <w:tabs>
          <w:tab w:val="num" w:pos="720"/>
        </w:tabs>
        <w:ind w:left="720" w:hanging="360"/>
      </w:pPr>
      <w:rPr>
        <w:rFonts w:ascii="Symbol" w:hAnsi="Symbol" w:hint="default"/>
        <w:b w:val="0"/>
        <w:i w:val="0"/>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0"/>
  </w:num>
  <w:num w:numId="3">
    <w:abstractNumId w:val="21"/>
  </w:num>
  <w:num w:numId="4">
    <w:abstractNumId w:val="5"/>
  </w:num>
  <w:num w:numId="5">
    <w:abstractNumId w:val="7"/>
  </w:num>
  <w:num w:numId="6">
    <w:abstractNumId w:val="15"/>
  </w:num>
  <w:num w:numId="7">
    <w:abstractNumId w:val="16"/>
  </w:num>
  <w:num w:numId="8">
    <w:abstractNumId w:val="12"/>
  </w:num>
  <w:num w:numId="9">
    <w:abstractNumId w:val="3"/>
  </w:num>
  <w:num w:numId="10">
    <w:abstractNumId w:val="19"/>
  </w:num>
  <w:num w:numId="11">
    <w:abstractNumId w:val="1"/>
  </w:num>
  <w:num w:numId="12">
    <w:abstractNumId w:val="17"/>
  </w:num>
  <w:num w:numId="13">
    <w:abstractNumId w:val="14"/>
  </w:num>
  <w:num w:numId="14">
    <w:abstractNumId w:val="20"/>
  </w:num>
  <w:num w:numId="15">
    <w:abstractNumId w:val="8"/>
  </w:num>
  <w:num w:numId="16">
    <w:abstractNumId w:val="18"/>
  </w:num>
  <w:num w:numId="17">
    <w:abstractNumId w:val="11"/>
  </w:num>
  <w:num w:numId="18">
    <w:abstractNumId w:val="13"/>
  </w:num>
  <w:num w:numId="19">
    <w:abstractNumId w:val="6"/>
  </w:num>
  <w:num w:numId="20">
    <w:abstractNumId w:val="10"/>
  </w:num>
  <w:num w:numId="21">
    <w:abstractNumId w:val="4"/>
  </w:num>
  <w:num w:numId="22">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A20BC5"/>
    <w:rsid w:val="000019F6"/>
    <w:rsid w:val="00002BE4"/>
    <w:rsid w:val="0000798A"/>
    <w:rsid w:val="0001776D"/>
    <w:rsid w:val="00020EA5"/>
    <w:rsid w:val="000249F3"/>
    <w:rsid w:val="00027D69"/>
    <w:rsid w:val="00035572"/>
    <w:rsid w:val="00036CCC"/>
    <w:rsid w:val="00041316"/>
    <w:rsid w:val="00045602"/>
    <w:rsid w:val="00045A7A"/>
    <w:rsid w:val="00047E1F"/>
    <w:rsid w:val="000501E4"/>
    <w:rsid w:val="000630FC"/>
    <w:rsid w:val="00065987"/>
    <w:rsid w:val="00066908"/>
    <w:rsid w:val="0006711E"/>
    <w:rsid w:val="00074647"/>
    <w:rsid w:val="00075D0A"/>
    <w:rsid w:val="000823DC"/>
    <w:rsid w:val="00092310"/>
    <w:rsid w:val="0009502D"/>
    <w:rsid w:val="0009588C"/>
    <w:rsid w:val="00095976"/>
    <w:rsid w:val="000A2B8B"/>
    <w:rsid w:val="000A2D15"/>
    <w:rsid w:val="000B6586"/>
    <w:rsid w:val="000C12EF"/>
    <w:rsid w:val="000D113B"/>
    <w:rsid w:val="000E27F6"/>
    <w:rsid w:val="000E7013"/>
    <w:rsid w:val="00100650"/>
    <w:rsid w:val="00104AB6"/>
    <w:rsid w:val="00110616"/>
    <w:rsid w:val="00112E62"/>
    <w:rsid w:val="00131F48"/>
    <w:rsid w:val="001357DE"/>
    <w:rsid w:val="00146D61"/>
    <w:rsid w:val="00152993"/>
    <w:rsid w:val="00160E92"/>
    <w:rsid w:val="00164541"/>
    <w:rsid w:val="001666D1"/>
    <w:rsid w:val="00172905"/>
    <w:rsid w:val="001747B3"/>
    <w:rsid w:val="00174917"/>
    <w:rsid w:val="001B793B"/>
    <w:rsid w:val="001C36B0"/>
    <w:rsid w:val="001C645D"/>
    <w:rsid w:val="001D0321"/>
    <w:rsid w:val="001D3A20"/>
    <w:rsid w:val="001D7C91"/>
    <w:rsid w:val="001E33B3"/>
    <w:rsid w:val="001F0894"/>
    <w:rsid w:val="002004D8"/>
    <w:rsid w:val="00205704"/>
    <w:rsid w:val="00222DF8"/>
    <w:rsid w:val="002347C5"/>
    <w:rsid w:val="00237E01"/>
    <w:rsid w:val="00244E84"/>
    <w:rsid w:val="0024615D"/>
    <w:rsid w:val="0024683D"/>
    <w:rsid w:val="00254655"/>
    <w:rsid w:val="00254EF3"/>
    <w:rsid w:val="00255655"/>
    <w:rsid w:val="00275065"/>
    <w:rsid w:val="00276006"/>
    <w:rsid w:val="00283979"/>
    <w:rsid w:val="00285985"/>
    <w:rsid w:val="00290788"/>
    <w:rsid w:val="002945EC"/>
    <w:rsid w:val="002A0796"/>
    <w:rsid w:val="002A2361"/>
    <w:rsid w:val="002A4638"/>
    <w:rsid w:val="002B0A13"/>
    <w:rsid w:val="002B1802"/>
    <w:rsid w:val="002B5BD3"/>
    <w:rsid w:val="002B6EBD"/>
    <w:rsid w:val="002C329E"/>
    <w:rsid w:val="002C39F9"/>
    <w:rsid w:val="002C5EE5"/>
    <w:rsid w:val="002D493D"/>
    <w:rsid w:val="002E6EB5"/>
    <w:rsid w:val="002F10DF"/>
    <w:rsid w:val="002F55C5"/>
    <w:rsid w:val="002F6216"/>
    <w:rsid w:val="00300A3E"/>
    <w:rsid w:val="00300FAE"/>
    <w:rsid w:val="00303BD1"/>
    <w:rsid w:val="00305A8D"/>
    <w:rsid w:val="00305CF8"/>
    <w:rsid w:val="00307808"/>
    <w:rsid w:val="0031009C"/>
    <w:rsid w:val="00321BF8"/>
    <w:rsid w:val="0032382C"/>
    <w:rsid w:val="00324A08"/>
    <w:rsid w:val="00327339"/>
    <w:rsid w:val="003341A1"/>
    <w:rsid w:val="00336815"/>
    <w:rsid w:val="00351807"/>
    <w:rsid w:val="00356C48"/>
    <w:rsid w:val="003579DC"/>
    <w:rsid w:val="0036148E"/>
    <w:rsid w:val="00365ECE"/>
    <w:rsid w:val="00373F3E"/>
    <w:rsid w:val="0038006C"/>
    <w:rsid w:val="00392203"/>
    <w:rsid w:val="003A1E1A"/>
    <w:rsid w:val="003A6A1A"/>
    <w:rsid w:val="003B4536"/>
    <w:rsid w:val="003B47B9"/>
    <w:rsid w:val="003B5D71"/>
    <w:rsid w:val="003B7297"/>
    <w:rsid w:val="003C4731"/>
    <w:rsid w:val="003F4704"/>
    <w:rsid w:val="004112BD"/>
    <w:rsid w:val="00417A8B"/>
    <w:rsid w:val="00421246"/>
    <w:rsid w:val="0042156D"/>
    <w:rsid w:val="00422FED"/>
    <w:rsid w:val="00430133"/>
    <w:rsid w:val="004361E5"/>
    <w:rsid w:val="004415D1"/>
    <w:rsid w:val="00450660"/>
    <w:rsid w:val="00450F51"/>
    <w:rsid w:val="004603EB"/>
    <w:rsid w:val="0046443A"/>
    <w:rsid w:val="0047315E"/>
    <w:rsid w:val="00473891"/>
    <w:rsid w:val="004844D8"/>
    <w:rsid w:val="004910EB"/>
    <w:rsid w:val="00492057"/>
    <w:rsid w:val="0049627F"/>
    <w:rsid w:val="0049772E"/>
    <w:rsid w:val="004A2E9B"/>
    <w:rsid w:val="004A72EE"/>
    <w:rsid w:val="004B3ACE"/>
    <w:rsid w:val="004B48DA"/>
    <w:rsid w:val="004B564D"/>
    <w:rsid w:val="004C53AA"/>
    <w:rsid w:val="004D3CDF"/>
    <w:rsid w:val="004D4F12"/>
    <w:rsid w:val="004D6196"/>
    <w:rsid w:val="004D78C3"/>
    <w:rsid w:val="004E35B1"/>
    <w:rsid w:val="004F397C"/>
    <w:rsid w:val="00503E0C"/>
    <w:rsid w:val="00505655"/>
    <w:rsid w:val="00511C46"/>
    <w:rsid w:val="005129FD"/>
    <w:rsid w:val="0053097E"/>
    <w:rsid w:val="00531015"/>
    <w:rsid w:val="0054017F"/>
    <w:rsid w:val="00542797"/>
    <w:rsid w:val="00550F06"/>
    <w:rsid w:val="00557D75"/>
    <w:rsid w:val="0056045E"/>
    <w:rsid w:val="00577B51"/>
    <w:rsid w:val="00580F39"/>
    <w:rsid w:val="00586529"/>
    <w:rsid w:val="005873FF"/>
    <w:rsid w:val="00590B08"/>
    <w:rsid w:val="00592DB0"/>
    <w:rsid w:val="005940E4"/>
    <w:rsid w:val="005A1E40"/>
    <w:rsid w:val="005A2A3A"/>
    <w:rsid w:val="005A3B88"/>
    <w:rsid w:val="005A4F82"/>
    <w:rsid w:val="005B31F7"/>
    <w:rsid w:val="005B76DC"/>
    <w:rsid w:val="005C228F"/>
    <w:rsid w:val="005D15BC"/>
    <w:rsid w:val="005D53E3"/>
    <w:rsid w:val="005D6F2B"/>
    <w:rsid w:val="005E1161"/>
    <w:rsid w:val="005E20B5"/>
    <w:rsid w:val="005E36BC"/>
    <w:rsid w:val="005E7730"/>
    <w:rsid w:val="005F7489"/>
    <w:rsid w:val="00626496"/>
    <w:rsid w:val="00641AAE"/>
    <w:rsid w:val="00644D0A"/>
    <w:rsid w:val="00650333"/>
    <w:rsid w:val="00652537"/>
    <w:rsid w:val="00652A40"/>
    <w:rsid w:val="00661966"/>
    <w:rsid w:val="0066646E"/>
    <w:rsid w:val="00674150"/>
    <w:rsid w:val="00674AAE"/>
    <w:rsid w:val="00674DF2"/>
    <w:rsid w:val="006753DC"/>
    <w:rsid w:val="006763BA"/>
    <w:rsid w:val="00680E06"/>
    <w:rsid w:val="00685266"/>
    <w:rsid w:val="006A053A"/>
    <w:rsid w:val="006B2FED"/>
    <w:rsid w:val="006C1381"/>
    <w:rsid w:val="006C5D15"/>
    <w:rsid w:val="006D25C1"/>
    <w:rsid w:val="006D47DF"/>
    <w:rsid w:val="006E56A9"/>
    <w:rsid w:val="006F5ADA"/>
    <w:rsid w:val="007070CF"/>
    <w:rsid w:val="0071454F"/>
    <w:rsid w:val="007322EA"/>
    <w:rsid w:val="007472A1"/>
    <w:rsid w:val="00757BC7"/>
    <w:rsid w:val="007656D4"/>
    <w:rsid w:val="00782367"/>
    <w:rsid w:val="007825D3"/>
    <w:rsid w:val="00790F70"/>
    <w:rsid w:val="00791E33"/>
    <w:rsid w:val="00795250"/>
    <w:rsid w:val="00796A8B"/>
    <w:rsid w:val="00796AEA"/>
    <w:rsid w:val="007A7C65"/>
    <w:rsid w:val="007C2174"/>
    <w:rsid w:val="007D4F83"/>
    <w:rsid w:val="007E3E7A"/>
    <w:rsid w:val="007E7072"/>
    <w:rsid w:val="007F5032"/>
    <w:rsid w:val="00802B06"/>
    <w:rsid w:val="0081175C"/>
    <w:rsid w:val="00816E5D"/>
    <w:rsid w:val="008378CC"/>
    <w:rsid w:val="0084066E"/>
    <w:rsid w:val="008419B4"/>
    <w:rsid w:val="00846DD6"/>
    <w:rsid w:val="008576D0"/>
    <w:rsid w:val="00861DD8"/>
    <w:rsid w:val="0086675F"/>
    <w:rsid w:val="00880931"/>
    <w:rsid w:val="00880D26"/>
    <w:rsid w:val="0088215C"/>
    <w:rsid w:val="00886468"/>
    <w:rsid w:val="0088711E"/>
    <w:rsid w:val="00895B0C"/>
    <w:rsid w:val="008A39E1"/>
    <w:rsid w:val="008B0DE7"/>
    <w:rsid w:val="008B7D31"/>
    <w:rsid w:val="008C2D18"/>
    <w:rsid w:val="008C4880"/>
    <w:rsid w:val="008D76F2"/>
    <w:rsid w:val="008E43BD"/>
    <w:rsid w:val="008E7CED"/>
    <w:rsid w:val="008F63E6"/>
    <w:rsid w:val="00900849"/>
    <w:rsid w:val="0090112F"/>
    <w:rsid w:val="009069A1"/>
    <w:rsid w:val="009126B5"/>
    <w:rsid w:val="00914EAA"/>
    <w:rsid w:val="009179E1"/>
    <w:rsid w:val="00921AD4"/>
    <w:rsid w:val="00923AF5"/>
    <w:rsid w:val="00924118"/>
    <w:rsid w:val="00956DEE"/>
    <w:rsid w:val="00966A18"/>
    <w:rsid w:val="009748DA"/>
    <w:rsid w:val="00981DDD"/>
    <w:rsid w:val="00987799"/>
    <w:rsid w:val="009908B0"/>
    <w:rsid w:val="0099149C"/>
    <w:rsid w:val="00994147"/>
    <w:rsid w:val="009B677A"/>
    <w:rsid w:val="009C007A"/>
    <w:rsid w:val="009C3C62"/>
    <w:rsid w:val="009E3B26"/>
    <w:rsid w:val="009E4B81"/>
    <w:rsid w:val="009E5591"/>
    <w:rsid w:val="009F001D"/>
    <w:rsid w:val="00A0060B"/>
    <w:rsid w:val="00A07CAD"/>
    <w:rsid w:val="00A12456"/>
    <w:rsid w:val="00A20BC5"/>
    <w:rsid w:val="00A2527A"/>
    <w:rsid w:val="00A264BD"/>
    <w:rsid w:val="00A26834"/>
    <w:rsid w:val="00A34874"/>
    <w:rsid w:val="00A42223"/>
    <w:rsid w:val="00A43801"/>
    <w:rsid w:val="00A470BC"/>
    <w:rsid w:val="00A479BD"/>
    <w:rsid w:val="00A500B2"/>
    <w:rsid w:val="00A55E56"/>
    <w:rsid w:val="00A60234"/>
    <w:rsid w:val="00A60629"/>
    <w:rsid w:val="00A62A8F"/>
    <w:rsid w:val="00A670D5"/>
    <w:rsid w:val="00A67BF3"/>
    <w:rsid w:val="00A777BA"/>
    <w:rsid w:val="00A8042E"/>
    <w:rsid w:val="00A82617"/>
    <w:rsid w:val="00A856CA"/>
    <w:rsid w:val="00A87C58"/>
    <w:rsid w:val="00A93F38"/>
    <w:rsid w:val="00A95048"/>
    <w:rsid w:val="00AA19C2"/>
    <w:rsid w:val="00AA5F5C"/>
    <w:rsid w:val="00AB2572"/>
    <w:rsid w:val="00AB4EC5"/>
    <w:rsid w:val="00AC6EFB"/>
    <w:rsid w:val="00AD090C"/>
    <w:rsid w:val="00AD1231"/>
    <w:rsid w:val="00AD4690"/>
    <w:rsid w:val="00AD6EC2"/>
    <w:rsid w:val="00AE5071"/>
    <w:rsid w:val="00AF2D93"/>
    <w:rsid w:val="00AF75DC"/>
    <w:rsid w:val="00B029B6"/>
    <w:rsid w:val="00B041C8"/>
    <w:rsid w:val="00B048B2"/>
    <w:rsid w:val="00B059AB"/>
    <w:rsid w:val="00B078B3"/>
    <w:rsid w:val="00B20874"/>
    <w:rsid w:val="00B21BC1"/>
    <w:rsid w:val="00B35F41"/>
    <w:rsid w:val="00B370DA"/>
    <w:rsid w:val="00B431D3"/>
    <w:rsid w:val="00B43B1A"/>
    <w:rsid w:val="00B44AD6"/>
    <w:rsid w:val="00B47798"/>
    <w:rsid w:val="00B53959"/>
    <w:rsid w:val="00B6002C"/>
    <w:rsid w:val="00B62883"/>
    <w:rsid w:val="00B63AF5"/>
    <w:rsid w:val="00B74B5D"/>
    <w:rsid w:val="00B762A1"/>
    <w:rsid w:val="00B778CA"/>
    <w:rsid w:val="00B97E18"/>
    <w:rsid w:val="00BC27E0"/>
    <w:rsid w:val="00BC5C4F"/>
    <w:rsid w:val="00BC64CA"/>
    <w:rsid w:val="00BD4DBC"/>
    <w:rsid w:val="00BD6882"/>
    <w:rsid w:val="00BD6DB6"/>
    <w:rsid w:val="00BE050D"/>
    <w:rsid w:val="00BE08BF"/>
    <w:rsid w:val="00BE091A"/>
    <w:rsid w:val="00BE3F2A"/>
    <w:rsid w:val="00BE4034"/>
    <w:rsid w:val="00BF5803"/>
    <w:rsid w:val="00C10180"/>
    <w:rsid w:val="00C11E99"/>
    <w:rsid w:val="00C218C0"/>
    <w:rsid w:val="00C23C17"/>
    <w:rsid w:val="00C26ED6"/>
    <w:rsid w:val="00C454A3"/>
    <w:rsid w:val="00C47A68"/>
    <w:rsid w:val="00C61B91"/>
    <w:rsid w:val="00C74214"/>
    <w:rsid w:val="00C7437C"/>
    <w:rsid w:val="00C76301"/>
    <w:rsid w:val="00CA25B9"/>
    <w:rsid w:val="00CB5C4B"/>
    <w:rsid w:val="00CB7D31"/>
    <w:rsid w:val="00CC044C"/>
    <w:rsid w:val="00CE4AE5"/>
    <w:rsid w:val="00CE7890"/>
    <w:rsid w:val="00CF484C"/>
    <w:rsid w:val="00D03656"/>
    <w:rsid w:val="00D10972"/>
    <w:rsid w:val="00D10DD1"/>
    <w:rsid w:val="00D144D2"/>
    <w:rsid w:val="00D20BD8"/>
    <w:rsid w:val="00D22E80"/>
    <w:rsid w:val="00D300FE"/>
    <w:rsid w:val="00D309A3"/>
    <w:rsid w:val="00D331D7"/>
    <w:rsid w:val="00D33436"/>
    <w:rsid w:val="00D373B0"/>
    <w:rsid w:val="00D42AF7"/>
    <w:rsid w:val="00D54AB4"/>
    <w:rsid w:val="00D63C5A"/>
    <w:rsid w:val="00D6517F"/>
    <w:rsid w:val="00D768D1"/>
    <w:rsid w:val="00D82A4D"/>
    <w:rsid w:val="00D87BA4"/>
    <w:rsid w:val="00D93803"/>
    <w:rsid w:val="00DA6624"/>
    <w:rsid w:val="00DA70D9"/>
    <w:rsid w:val="00DB451B"/>
    <w:rsid w:val="00DB45F4"/>
    <w:rsid w:val="00DB60AA"/>
    <w:rsid w:val="00DB691D"/>
    <w:rsid w:val="00DC2808"/>
    <w:rsid w:val="00DC7BA6"/>
    <w:rsid w:val="00DD5F00"/>
    <w:rsid w:val="00DE0FDB"/>
    <w:rsid w:val="00DE160D"/>
    <w:rsid w:val="00DF513C"/>
    <w:rsid w:val="00E07C3C"/>
    <w:rsid w:val="00E123EA"/>
    <w:rsid w:val="00E15EDA"/>
    <w:rsid w:val="00E21409"/>
    <w:rsid w:val="00E24CA5"/>
    <w:rsid w:val="00E33571"/>
    <w:rsid w:val="00E34C30"/>
    <w:rsid w:val="00E41142"/>
    <w:rsid w:val="00E419DF"/>
    <w:rsid w:val="00E6486B"/>
    <w:rsid w:val="00E65616"/>
    <w:rsid w:val="00E67213"/>
    <w:rsid w:val="00E74ABD"/>
    <w:rsid w:val="00E74B17"/>
    <w:rsid w:val="00E91923"/>
    <w:rsid w:val="00EB3C87"/>
    <w:rsid w:val="00EB5B18"/>
    <w:rsid w:val="00EC16BA"/>
    <w:rsid w:val="00EC756F"/>
    <w:rsid w:val="00ED02B2"/>
    <w:rsid w:val="00EE2A3D"/>
    <w:rsid w:val="00F2203E"/>
    <w:rsid w:val="00F22CC3"/>
    <w:rsid w:val="00F257CA"/>
    <w:rsid w:val="00F25A80"/>
    <w:rsid w:val="00F3083F"/>
    <w:rsid w:val="00F32493"/>
    <w:rsid w:val="00F330FB"/>
    <w:rsid w:val="00F332E9"/>
    <w:rsid w:val="00F456C6"/>
    <w:rsid w:val="00F461CC"/>
    <w:rsid w:val="00F51E24"/>
    <w:rsid w:val="00F52EA1"/>
    <w:rsid w:val="00F55A2E"/>
    <w:rsid w:val="00F623AC"/>
    <w:rsid w:val="00F7360A"/>
    <w:rsid w:val="00F8615F"/>
    <w:rsid w:val="00F861A2"/>
    <w:rsid w:val="00F93AB4"/>
    <w:rsid w:val="00F96865"/>
    <w:rsid w:val="00FA0D73"/>
    <w:rsid w:val="00FA50DA"/>
    <w:rsid w:val="00FA62FE"/>
    <w:rsid w:val="00FB2B20"/>
    <w:rsid w:val="00FB31E9"/>
    <w:rsid w:val="00FB4A69"/>
    <w:rsid w:val="00FB7FC0"/>
    <w:rsid w:val="00FC53B2"/>
    <w:rsid w:val="00FC602C"/>
    <w:rsid w:val="00FC60C8"/>
    <w:rsid w:val="00FD56FD"/>
    <w:rsid w:val="00FD5F2C"/>
    <w:rsid w:val="00FF2BF5"/>
    <w:rsid w:val="00FF51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BF3"/>
    <w:rPr>
      <w:sz w:val="24"/>
      <w:szCs w:val="24"/>
    </w:rPr>
  </w:style>
  <w:style w:type="paragraph" w:styleId="Heading1">
    <w:name w:val="heading 1"/>
    <w:basedOn w:val="Normal"/>
    <w:next w:val="Normal"/>
    <w:qFormat/>
    <w:rsid w:val="00A67BF3"/>
    <w:pPr>
      <w:keepNext/>
      <w:spacing w:after="40"/>
      <w:ind w:left="120" w:right="-120"/>
      <w:outlineLvl w:val="0"/>
    </w:pPr>
    <w:rPr>
      <w:rFonts w:ascii="Helvetica" w:hAnsi="Helvetica"/>
      <w:b/>
      <w:bCs/>
      <w:color w:val="000080"/>
      <w:sz w:val="18"/>
    </w:rPr>
  </w:style>
  <w:style w:type="paragraph" w:styleId="Heading2">
    <w:name w:val="heading 2"/>
    <w:basedOn w:val="Normal"/>
    <w:next w:val="Normal"/>
    <w:qFormat/>
    <w:rsid w:val="00A67BF3"/>
    <w:pPr>
      <w:keepNext/>
      <w:overflowPunct w:val="0"/>
      <w:autoSpaceDE w:val="0"/>
      <w:autoSpaceDN w:val="0"/>
      <w:adjustRightInd w:val="0"/>
      <w:textAlignment w:val="baseline"/>
      <w:outlineLvl w:val="1"/>
    </w:pPr>
    <w:rPr>
      <w:b/>
      <w:szCs w:val="20"/>
    </w:rPr>
  </w:style>
  <w:style w:type="paragraph" w:styleId="Heading5">
    <w:name w:val="heading 5"/>
    <w:basedOn w:val="Normal"/>
    <w:next w:val="Normal"/>
    <w:qFormat/>
    <w:rsid w:val="00A67BF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4"/>
    </w:pPr>
    <w:rPr>
      <w:rFonts w:ascii="Helvetica" w:hAnsi="Helvetica"/>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7BF3"/>
    <w:pPr>
      <w:autoSpaceDE w:val="0"/>
      <w:autoSpaceDN w:val="0"/>
      <w:adjustRightInd w:val="0"/>
    </w:pPr>
    <w:rPr>
      <w:rFonts w:ascii="Arial Narrow" w:hAnsi="Arial Narrow"/>
      <w:color w:val="000000"/>
      <w:sz w:val="24"/>
      <w:szCs w:val="24"/>
    </w:rPr>
  </w:style>
  <w:style w:type="paragraph" w:customStyle="1" w:styleId="CM1">
    <w:name w:val="CM1"/>
    <w:basedOn w:val="Default"/>
    <w:next w:val="Default"/>
    <w:rsid w:val="00A67BF3"/>
    <w:rPr>
      <w:color w:val="auto"/>
    </w:rPr>
  </w:style>
  <w:style w:type="paragraph" w:customStyle="1" w:styleId="CM2">
    <w:name w:val="CM2"/>
    <w:basedOn w:val="Default"/>
    <w:next w:val="Default"/>
    <w:rsid w:val="00A67BF3"/>
    <w:pPr>
      <w:spacing w:line="211" w:lineRule="atLeast"/>
    </w:pPr>
    <w:rPr>
      <w:color w:val="auto"/>
    </w:rPr>
  </w:style>
  <w:style w:type="paragraph" w:customStyle="1" w:styleId="CM21">
    <w:name w:val="CM21"/>
    <w:basedOn w:val="Default"/>
    <w:next w:val="Default"/>
    <w:rsid w:val="00A67BF3"/>
    <w:pPr>
      <w:spacing w:line="211" w:lineRule="atLeast"/>
    </w:pPr>
    <w:rPr>
      <w:color w:val="auto"/>
    </w:rPr>
  </w:style>
  <w:style w:type="paragraph" w:styleId="Header">
    <w:name w:val="header"/>
    <w:basedOn w:val="Normal"/>
    <w:rsid w:val="00A67BF3"/>
    <w:pPr>
      <w:tabs>
        <w:tab w:val="center" w:pos="4320"/>
        <w:tab w:val="right" w:pos="8640"/>
      </w:tabs>
    </w:pPr>
  </w:style>
  <w:style w:type="paragraph" w:styleId="Footer">
    <w:name w:val="footer"/>
    <w:basedOn w:val="Normal"/>
    <w:rsid w:val="00A67BF3"/>
    <w:pPr>
      <w:tabs>
        <w:tab w:val="center" w:pos="4320"/>
        <w:tab w:val="right" w:pos="8640"/>
      </w:tabs>
    </w:pPr>
  </w:style>
  <w:style w:type="paragraph" w:styleId="BodyTextIndent3">
    <w:name w:val="Body Text Indent 3"/>
    <w:basedOn w:val="Normal"/>
    <w:rsid w:val="00A67BF3"/>
    <w:pPr>
      <w:spacing w:after="120"/>
      <w:ind w:left="-120"/>
      <w:jc w:val="both"/>
    </w:pPr>
    <w:rPr>
      <w:sz w:val="18"/>
    </w:rPr>
  </w:style>
  <w:style w:type="character" w:styleId="PageNumber">
    <w:name w:val="page number"/>
    <w:basedOn w:val="DefaultParagraphFont"/>
    <w:rsid w:val="00A67BF3"/>
  </w:style>
  <w:style w:type="paragraph" w:styleId="BlockText">
    <w:name w:val="Block Text"/>
    <w:basedOn w:val="Normal"/>
    <w:rsid w:val="00A67BF3"/>
    <w:pPr>
      <w:tabs>
        <w:tab w:val="left" w:pos="240"/>
      </w:tabs>
      <w:spacing w:after="60"/>
      <w:ind w:left="120" w:right="-120"/>
    </w:pPr>
    <w:rPr>
      <w:rFonts w:ascii="Helvetica" w:hAnsi="Helvetica"/>
      <w:b/>
      <w:bCs/>
      <w:color w:val="000080"/>
      <w:sz w:val="18"/>
    </w:rPr>
  </w:style>
  <w:style w:type="character" w:styleId="Hyperlink">
    <w:name w:val="Hyperlink"/>
    <w:basedOn w:val="DefaultParagraphFont"/>
    <w:rsid w:val="00A67BF3"/>
    <w:rPr>
      <w:color w:val="0000FF"/>
      <w:u w:val="single"/>
    </w:rPr>
  </w:style>
  <w:style w:type="table" w:styleId="TableGrid">
    <w:name w:val="Table Grid"/>
    <w:basedOn w:val="TableNormal"/>
    <w:rsid w:val="00D144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50DA"/>
    <w:rPr>
      <w:rFonts w:ascii="Tahoma" w:hAnsi="Tahoma" w:cs="Tahoma"/>
      <w:sz w:val="16"/>
      <w:szCs w:val="16"/>
    </w:rPr>
  </w:style>
  <w:style w:type="paragraph" w:styleId="BodyTextIndent">
    <w:name w:val="Body Text Indent"/>
    <w:basedOn w:val="Normal"/>
    <w:rsid w:val="00626496"/>
    <w:pPr>
      <w:spacing w:after="120"/>
      <w:ind w:left="360"/>
    </w:pPr>
  </w:style>
  <w:style w:type="paragraph" w:styleId="BodyText">
    <w:name w:val="Body Text"/>
    <w:basedOn w:val="Normal"/>
    <w:rsid w:val="006E56A9"/>
    <w:pPr>
      <w:spacing w:after="120"/>
    </w:pPr>
  </w:style>
  <w:style w:type="paragraph" w:styleId="BodyTextIndent2">
    <w:name w:val="Body Text Indent 2"/>
    <w:basedOn w:val="Normal"/>
    <w:link w:val="BodyTextIndent2Char"/>
    <w:rsid w:val="00E07C3C"/>
    <w:pPr>
      <w:spacing w:after="120" w:line="480" w:lineRule="auto"/>
      <w:ind w:left="360"/>
    </w:pPr>
  </w:style>
  <w:style w:type="character" w:customStyle="1" w:styleId="BodyTextIndent2Char">
    <w:name w:val="Body Text Indent 2 Char"/>
    <w:basedOn w:val="DefaultParagraphFont"/>
    <w:link w:val="BodyTextIndent2"/>
    <w:rsid w:val="00E07C3C"/>
    <w:rPr>
      <w:sz w:val="24"/>
      <w:szCs w:val="24"/>
    </w:rPr>
  </w:style>
  <w:style w:type="paragraph" w:styleId="HTMLPreformatted">
    <w:name w:val="HTML Preformatted"/>
    <w:basedOn w:val="Normal"/>
    <w:link w:val="HTMLPreformattedChar"/>
    <w:uiPriority w:val="99"/>
    <w:unhideWhenUsed/>
    <w:rsid w:val="00AD4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AD4690"/>
    <w:rPr>
      <w:rFonts w:ascii="Courier New" w:hAnsi="Courier New" w:cs="Courier New"/>
      <w:color w:val="000000"/>
    </w:rPr>
  </w:style>
  <w:style w:type="paragraph" w:styleId="ListParagraph">
    <w:name w:val="List Paragraph"/>
    <w:basedOn w:val="Normal"/>
    <w:uiPriority w:val="34"/>
    <w:qFormat/>
    <w:rsid w:val="000A2D15"/>
    <w:pPr>
      <w:ind w:left="720"/>
    </w:pPr>
  </w:style>
  <w:style w:type="character" w:styleId="CommentReference">
    <w:name w:val="annotation reference"/>
    <w:basedOn w:val="DefaultParagraphFont"/>
    <w:rsid w:val="00D03656"/>
    <w:rPr>
      <w:sz w:val="16"/>
      <w:szCs w:val="16"/>
    </w:rPr>
  </w:style>
  <w:style w:type="paragraph" w:styleId="CommentText">
    <w:name w:val="annotation text"/>
    <w:basedOn w:val="Normal"/>
    <w:link w:val="CommentTextChar"/>
    <w:rsid w:val="00D03656"/>
    <w:rPr>
      <w:sz w:val="20"/>
      <w:szCs w:val="20"/>
    </w:rPr>
  </w:style>
  <w:style w:type="character" w:customStyle="1" w:styleId="CommentTextChar">
    <w:name w:val="Comment Text Char"/>
    <w:basedOn w:val="DefaultParagraphFont"/>
    <w:link w:val="CommentText"/>
    <w:rsid w:val="00D03656"/>
  </w:style>
  <w:style w:type="paragraph" w:styleId="CommentSubject">
    <w:name w:val="annotation subject"/>
    <w:basedOn w:val="CommentText"/>
    <w:next w:val="CommentText"/>
    <w:link w:val="CommentSubjectChar"/>
    <w:rsid w:val="00D03656"/>
    <w:rPr>
      <w:b/>
      <w:bCs/>
    </w:rPr>
  </w:style>
  <w:style w:type="character" w:customStyle="1" w:styleId="CommentSubjectChar">
    <w:name w:val="Comment Subject Char"/>
    <w:basedOn w:val="CommentTextChar"/>
    <w:link w:val="CommentSubject"/>
    <w:rsid w:val="00D03656"/>
    <w:rPr>
      <w:b/>
      <w:bCs/>
    </w:rPr>
  </w:style>
</w:styles>
</file>

<file path=word/webSettings.xml><?xml version="1.0" encoding="utf-8"?>
<w:webSettings xmlns:r="http://schemas.openxmlformats.org/officeDocument/2006/relationships" xmlns:w="http://schemas.openxmlformats.org/wordprocessingml/2006/main">
  <w:divs>
    <w:div w:id="211498668">
      <w:bodyDiv w:val="1"/>
      <w:marLeft w:val="0"/>
      <w:marRight w:val="0"/>
      <w:marTop w:val="0"/>
      <w:marBottom w:val="0"/>
      <w:divBdr>
        <w:top w:val="none" w:sz="0" w:space="0" w:color="auto"/>
        <w:left w:val="none" w:sz="0" w:space="0" w:color="auto"/>
        <w:bottom w:val="none" w:sz="0" w:space="0" w:color="auto"/>
        <w:right w:val="none" w:sz="0" w:space="0" w:color="auto"/>
      </w:divBdr>
    </w:div>
    <w:div w:id="164731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clip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ud.gov/offices/hsg/mfh/trx/trxmatg.cf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hudclips.org" TargetMode="External"/><Relationship Id="rId4" Type="http://schemas.openxmlformats.org/officeDocument/2006/relationships/webSettings" Target="webSettings.xml"/><Relationship Id="rId9" Type="http://schemas.openxmlformats.org/officeDocument/2006/relationships/hyperlink" Target="http://www.hudcli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8201</Words>
  <Characters>46584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lpstr>
    </vt:vector>
  </TitlesOfParts>
  <Company>U.S. Department of Housing and Urban Development</Company>
  <LinksUpToDate>false</LinksUpToDate>
  <CharactersWithSpaces>54676</CharactersWithSpaces>
  <SharedDoc>false</SharedDoc>
  <HLinks>
    <vt:vector size="24" baseType="variant">
      <vt:variant>
        <vt:i4>4718676</vt:i4>
      </vt:variant>
      <vt:variant>
        <vt:i4>120</vt:i4>
      </vt:variant>
      <vt:variant>
        <vt:i4>0</vt:i4>
      </vt:variant>
      <vt:variant>
        <vt:i4>5</vt:i4>
      </vt:variant>
      <vt:variant>
        <vt:lpwstr>http://www.hudclips.org/</vt:lpwstr>
      </vt:variant>
      <vt:variant>
        <vt:lpwstr/>
      </vt:variant>
      <vt:variant>
        <vt:i4>4718676</vt:i4>
      </vt:variant>
      <vt:variant>
        <vt:i4>117</vt:i4>
      </vt:variant>
      <vt:variant>
        <vt:i4>0</vt:i4>
      </vt:variant>
      <vt:variant>
        <vt:i4>5</vt:i4>
      </vt:variant>
      <vt:variant>
        <vt:lpwstr>http://www.hudclips.org/</vt:lpwstr>
      </vt:variant>
      <vt:variant>
        <vt:lpwstr/>
      </vt:variant>
      <vt:variant>
        <vt:i4>4718676</vt:i4>
      </vt:variant>
      <vt:variant>
        <vt:i4>114</vt:i4>
      </vt:variant>
      <vt:variant>
        <vt:i4>0</vt:i4>
      </vt:variant>
      <vt:variant>
        <vt:i4>5</vt:i4>
      </vt:variant>
      <vt:variant>
        <vt:lpwstr>http://www.hudclips.org/</vt:lpwstr>
      </vt:variant>
      <vt:variant>
        <vt:lpwstr/>
      </vt:variant>
      <vt:variant>
        <vt:i4>2949221</vt:i4>
      </vt:variant>
      <vt:variant>
        <vt:i4>111</vt:i4>
      </vt:variant>
      <vt:variant>
        <vt:i4>0</vt:i4>
      </vt:variant>
      <vt:variant>
        <vt:i4>5</vt:i4>
      </vt:variant>
      <vt:variant>
        <vt:lpwstr>http://www.hud.gov/offices/hsg/mfh/trx/trxmatg.cfm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HUD</dc:creator>
  <cp:keywords/>
  <dc:description/>
  <cp:lastModifiedBy>h18889</cp:lastModifiedBy>
  <cp:revision>2</cp:revision>
  <cp:lastPrinted>2010-08-09T14:56:00Z</cp:lastPrinted>
  <dcterms:created xsi:type="dcterms:W3CDTF">2011-03-09T16:06:00Z</dcterms:created>
  <dcterms:modified xsi:type="dcterms:W3CDTF">2011-03-09T16:06:00Z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-218765313</vt:i4>
  </property>
  <property fmtid="{D5CDD505-2E9C-101B-9397-08002B2CF9AE}" pid="3" name="_NewReviewCycle">
    <vt:lpwstr/>
  </property>
  <property fmtid="{D5CDD505-2E9C-101B-9397-08002B2CF9AE}" pid="4" name="_EmailSubject">
    <vt:lpwstr>OMB 83-I 2502-0204 - CAAF UAAF &amp; 50059</vt:lpwstr>
  </property>
  <property fmtid="{D5CDD505-2E9C-101B-9397-08002B2CF9AE}" pid="5" name="_AuthorEmail">
    <vt:lpwstr>Yvette.M.Viviani@hud.gov</vt:lpwstr>
  </property>
  <property fmtid="{D5CDD505-2E9C-101B-9397-08002B2CF9AE}" pid="6" name="_AuthorEmailDisplayName">
    <vt:lpwstr>Viviani, Yvette M</vt:lpwstr>
  </property>
  <property fmtid="{D5CDD505-2E9C-101B-9397-08002B2CF9AE}" pid="7" name="_PreviousAdHocReviewCycleID">
    <vt:i4>654343465</vt:i4>
  </property>
  <property fmtid="{D5CDD505-2E9C-101B-9397-08002B2CF9AE}" pid="8" name="_ReviewingToolsShownOnce">
    <vt:lpwstr/>
  </property>
</Properties>
</file>