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4FC" w:rsidRDefault="003544FC">
      <w:pPr>
        <w:tabs>
          <w:tab w:val="center" w:pos="4680"/>
        </w:tabs>
        <w:suppressAutoHyphens/>
        <w:rPr>
          <w:bCs/>
        </w:rPr>
      </w:pPr>
      <w:r>
        <w:rPr>
          <w:bCs/>
        </w:rPr>
        <w:t>SUPPORTING STATEMENT</w:t>
      </w:r>
      <w:r>
        <w:rPr>
          <w:bCs/>
        </w:rPr>
        <w:tab/>
      </w:r>
    </w:p>
    <w:p w:rsidR="003544FC" w:rsidRDefault="003544FC">
      <w:pPr>
        <w:tabs>
          <w:tab w:val="center" w:pos="4680"/>
        </w:tabs>
        <w:suppressAutoHyphens/>
        <w:rPr>
          <w:bCs/>
        </w:rPr>
      </w:pPr>
    </w:p>
    <w:p w:rsidR="003544FC" w:rsidRDefault="003544FC">
      <w:pPr>
        <w:tabs>
          <w:tab w:val="center" w:pos="4680"/>
        </w:tabs>
        <w:suppressAutoHyphens/>
        <w:rPr>
          <w:bCs/>
        </w:rPr>
      </w:pPr>
      <w:proofErr w:type="gramStart"/>
      <w:r>
        <w:rPr>
          <w:bCs/>
        </w:rPr>
        <w:t>Information Collections under the Regulations Governing Student Assistance General Provisions.</w:t>
      </w:r>
      <w:proofErr w:type="gramEnd"/>
    </w:p>
    <w:p w:rsidR="003544FC" w:rsidRDefault="003544FC">
      <w:pPr>
        <w:tabs>
          <w:tab w:val="center" w:pos="4680"/>
        </w:tabs>
        <w:suppressAutoHyphens/>
        <w:rPr>
          <w:bCs/>
        </w:rPr>
      </w:pPr>
    </w:p>
    <w:p w:rsidR="003544FC" w:rsidRDefault="003544FC">
      <w:pPr>
        <w:pStyle w:val="Heading1"/>
      </w:pPr>
      <w:r>
        <w:t>A.  JUSTIFICATION</w:t>
      </w:r>
    </w:p>
    <w:p w:rsidR="003544FC" w:rsidRPr="00815E9D" w:rsidRDefault="003544FC" w:rsidP="00815E9D"/>
    <w:p w:rsidR="003544FC" w:rsidRDefault="003544FC">
      <w:pPr>
        <w:tabs>
          <w:tab w:val="left" w:pos="-720"/>
        </w:tabs>
        <w:suppressAutoHyphens/>
        <w:rPr>
          <w:b/>
        </w:rPr>
      </w:pPr>
      <w:r w:rsidRPr="00815E9D">
        <w:rPr>
          <w:b/>
        </w:rPr>
        <w:t>RIN-1840-AD02</w:t>
      </w:r>
    </w:p>
    <w:p w:rsidR="003544FC" w:rsidRPr="00815E9D" w:rsidRDefault="003544FC">
      <w:pPr>
        <w:tabs>
          <w:tab w:val="left" w:pos="-720"/>
        </w:tabs>
        <w:suppressAutoHyphens/>
        <w:rPr>
          <w:b/>
        </w:rPr>
      </w:pPr>
    </w:p>
    <w:p w:rsidR="003544FC" w:rsidRPr="00A764AA" w:rsidRDefault="003544FC" w:rsidP="00A764AA">
      <w:pPr>
        <w:numPr>
          <w:ilvl w:val="0"/>
          <w:numId w:val="1"/>
        </w:numPr>
        <w:tabs>
          <w:tab w:val="clear" w:pos="600"/>
          <w:tab w:val="left" w:pos="0"/>
          <w:tab w:val="num" w:pos="720"/>
        </w:tabs>
        <w:suppressAutoHyphens/>
        <w:ind w:left="720"/>
        <w:rPr>
          <w:b/>
        </w:rPr>
      </w:pPr>
      <w:r w:rsidRPr="00A764AA">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544FC" w:rsidRDefault="003544FC" w:rsidP="00A764AA">
      <w:pPr>
        <w:tabs>
          <w:tab w:val="left" w:pos="-720"/>
          <w:tab w:val="left" w:pos="0"/>
        </w:tabs>
        <w:suppressAutoHyphens/>
        <w:rPr>
          <w:b/>
          <w:bCs/>
        </w:rPr>
      </w:pPr>
    </w:p>
    <w:p w:rsidR="003544FC" w:rsidRDefault="003544FC" w:rsidP="00BC02EE">
      <w:pPr>
        <w:tabs>
          <w:tab w:val="left" w:pos="-720"/>
          <w:tab w:val="left" w:pos="0"/>
        </w:tabs>
        <w:suppressAutoHyphens/>
        <w:ind w:left="720"/>
      </w:pPr>
      <w:r>
        <w:t xml:space="preserve">This request is for approval of the final requirements that are contained in the Student Assistance General Provisions regulations – Subpart K – Cash Management §668.164 – Disbursing funds.  Institutions that participate in the Federal Pell Grant program will be required to provide certain Federal Pell Grant eligible students to obtain or purchase their books and supplies when those students establish eligibility as provided in the final regulations. </w:t>
      </w:r>
    </w:p>
    <w:p w:rsidR="00B42153" w:rsidRDefault="00B42153" w:rsidP="00BC02EE">
      <w:pPr>
        <w:tabs>
          <w:tab w:val="left" w:pos="-720"/>
          <w:tab w:val="left" w:pos="0"/>
        </w:tabs>
        <w:suppressAutoHyphens/>
        <w:ind w:left="720"/>
      </w:pPr>
    </w:p>
    <w:p w:rsidR="00B42153" w:rsidRDefault="00B42153" w:rsidP="00BC02EE">
      <w:pPr>
        <w:tabs>
          <w:tab w:val="left" w:pos="-720"/>
          <w:tab w:val="left" w:pos="0"/>
        </w:tabs>
        <w:suppressAutoHyphens/>
        <w:ind w:left="720"/>
      </w:pPr>
      <w:r w:rsidRPr="00B42153">
        <w:t xml:space="preserve">The final regulations require institutions to provide a way for a Federal Pell Grant eligible student to obtain or purchase, by the seventh day of a payment period, the books and supplies required for the payment period when certain conditions are met.  If, 10 days before the beginning of the payment period the institution could disburse Title IV, Higher Education Act </w:t>
      </w:r>
      <w:r>
        <w:t xml:space="preserve">of 1965, as amended </w:t>
      </w:r>
      <w:r w:rsidRPr="00B42153">
        <w:t>(HEA) program funds for which the student was eligible, and if disbursed a credit balance would result, the institution is required to provide to the student the lesser of the presumed credit balance or the amount needed by the student for books and supplies, as determined by the institution.</w:t>
      </w:r>
    </w:p>
    <w:p w:rsidR="003544FC" w:rsidRDefault="003544FC" w:rsidP="00BC02EE">
      <w:pPr>
        <w:tabs>
          <w:tab w:val="left" w:pos="-720"/>
          <w:tab w:val="left" w:pos="0"/>
        </w:tabs>
        <w:suppressAutoHyphens/>
        <w:ind w:left="720"/>
      </w:pPr>
    </w:p>
    <w:p w:rsidR="003544FC" w:rsidRPr="008D6643" w:rsidRDefault="003544FC" w:rsidP="008D6643">
      <w:pPr>
        <w:pStyle w:val="ListParagraph"/>
        <w:numPr>
          <w:ilvl w:val="0"/>
          <w:numId w:val="1"/>
        </w:numPr>
        <w:tabs>
          <w:tab w:val="clear" w:pos="600"/>
          <w:tab w:val="left" w:pos="-720"/>
          <w:tab w:val="left" w:pos="0"/>
          <w:tab w:val="num" w:pos="720"/>
        </w:tabs>
        <w:suppressAutoHyphens/>
        <w:ind w:left="720" w:hanging="720"/>
        <w:rPr>
          <w:b/>
        </w:rPr>
      </w:pPr>
      <w:r w:rsidRPr="008D6643">
        <w:rPr>
          <w:b/>
        </w:rPr>
        <w:t>Indicate how, by whom, and for what purpose the information is to be used.  Except for a new collection, indicate the actual use the agency has made of the information received from the current collection.</w:t>
      </w:r>
    </w:p>
    <w:p w:rsidR="003544FC" w:rsidRDefault="003544FC" w:rsidP="00637A46">
      <w:pPr>
        <w:tabs>
          <w:tab w:val="left" w:pos="-720"/>
          <w:tab w:val="left" w:pos="0"/>
        </w:tabs>
        <w:suppressAutoHyphens/>
        <w:ind w:left="720" w:hanging="720"/>
      </w:pPr>
    </w:p>
    <w:p w:rsidR="003544FC" w:rsidRDefault="003544FC">
      <w:pPr>
        <w:tabs>
          <w:tab w:val="left" w:pos="-720"/>
          <w:tab w:val="left" w:pos="0"/>
        </w:tabs>
        <w:suppressAutoHyphens/>
        <w:ind w:left="720" w:hanging="720"/>
      </w:pPr>
    </w:p>
    <w:p w:rsidR="003544FC" w:rsidRDefault="003544FC">
      <w:pPr>
        <w:tabs>
          <w:tab w:val="left" w:pos="-720"/>
          <w:tab w:val="left" w:pos="0"/>
        </w:tabs>
        <w:suppressAutoHyphens/>
        <w:ind w:left="720" w:hanging="720"/>
      </w:pPr>
      <w:r>
        <w:tab/>
      </w:r>
      <w:r>
        <w:rPr>
          <w:b/>
        </w:rPr>
        <w:t xml:space="preserve">Subpart K – Cash Management </w:t>
      </w:r>
      <w:r>
        <w:t>(OMB control number: 1845-NEW3) (04429)</w:t>
      </w:r>
    </w:p>
    <w:p w:rsidR="003544FC" w:rsidRDefault="003544FC">
      <w:pPr>
        <w:tabs>
          <w:tab w:val="left" w:pos="-720"/>
          <w:tab w:val="left" w:pos="0"/>
        </w:tabs>
        <w:suppressAutoHyphens/>
        <w:ind w:left="720" w:hanging="720"/>
      </w:pPr>
    </w:p>
    <w:p w:rsidR="003544FC" w:rsidRPr="00DA6674" w:rsidRDefault="003544FC">
      <w:pPr>
        <w:tabs>
          <w:tab w:val="left" w:pos="-720"/>
          <w:tab w:val="left" w:pos="0"/>
        </w:tabs>
        <w:suppressAutoHyphens/>
        <w:ind w:left="720" w:hanging="720"/>
      </w:pPr>
      <w:r>
        <w:tab/>
        <w:t>Section 668.164(</w:t>
      </w:r>
      <w:proofErr w:type="spellStart"/>
      <w:r>
        <w:t>i</w:t>
      </w:r>
      <w:proofErr w:type="spellEnd"/>
      <w:r>
        <w:t>) contains information collection requirements to be approved by OMB.  Under the Paperwork Reduction Act of 1995 (44 U.S.C. 3507(d)), the Department of Education is submitting a copy of this section to the Office of Management and Budget (OMB) for its review.  We are adding the following new section:</w:t>
      </w:r>
    </w:p>
    <w:p w:rsidR="003544FC" w:rsidRDefault="003544FC">
      <w:pPr>
        <w:tabs>
          <w:tab w:val="left" w:pos="-720"/>
          <w:tab w:val="left" w:pos="0"/>
        </w:tabs>
        <w:suppressAutoHyphens/>
        <w:ind w:left="720" w:hanging="720"/>
      </w:pPr>
    </w:p>
    <w:p w:rsidR="003544FC" w:rsidRDefault="003544FC">
      <w:pPr>
        <w:tabs>
          <w:tab w:val="left" w:pos="-720"/>
          <w:tab w:val="left" w:pos="0"/>
        </w:tabs>
        <w:suppressAutoHyphens/>
        <w:ind w:left="720" w:hanging="720"/>
        <w:rPr>
          <w:b/>
        </w:rPr>
      </w:pPr>
      <w:r>
        <w:tab/>
      </w:r>
      <w:proofErr w:type="gramStart"/>
      <w:r>
        <w:rPr>
          <w:b/>
        </w:rPr>
        <w:t>Section 668.164 – Disbursing funds.</w:t>
      </w:r>
      <w:proofErr w:type="gramEnd"/>
    </w:p>
    <w:p w:rsidR="003544FC" w:rsidRDefault="003544FC" w:rsidP="00BC02EE">
      <w:pPr>
        <w:tabs>
          <w:tab w:val="left" w:pos="-720"/>
          <w:tab w:val="left" w:pos="0"/>
        </w:tabs>
        <w:suppressAutoHyphens/>
        <w:ind w:left="720" w:hanging="720"/>
      </w:pPr>
      <w:r>
        <w:rPr>
          <w:b/>
        </w:rPr>
        <w:lastRenderedPageBreak/>
        <w:tab/>
      </w:r>
      <w:r>
        <w:t>The final regulations require institutions to provide a way for a Federal Pell Grant eligible student to obtain or purchase, by the seventh day of a payment period, the books and supplies required for the payment period when certain conditions are met.  If, 10 days before the beginning of the payment period the institution could disburse Title IV, HEA program funds for which the student was eligible, and if disbursed, a credit balance would result, the institution is required to provide to the student the lesser of the presumed credit balance or the amount needed by the student for books and supplies, as determined by the institution.</w:t>
      </w:r>
    </w:p>
    <w:p w:rsidR="003544FC" w:rsidRDefault="003544FC" w:rsidP="00BC02EE">
      <w:pPr>
        <w:tabs>
          <w:tab w:val="left" w:pos="-720"/>
          <w:tab w:val="left" w:pos="0"/>
        </w:tabs>
        <w:suppressAutoHyphens/>
        <w:ind w:left="720" w:hanging="720"/>
      </w:pPr>
    </w:p>
    <w:p w:rsidR="003544FC" w:rsidRPr="008D6643" w:rsidRDefault="003544FC" w:rsidP="008D6643">
      <w:pPr>
        <w:pStyle w:val="ListParagraph"/>
        <w:numPr>
          <w:ilvl w:val="0"/>
          <w:numId w:val="1"/>
        </w:numPr>
        <w:tabs>
          <w:tab w:val="left" w:pos="-720"/>
        </w:tabs>
        <w:suppressAutoHyphens/>
        <w:rPr>
          <w:b/>
        </w:rPr>
      </w:pPr>
      <w:r w:rsidRPr="008D6643">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3544FC" w:rsidRDefault="003544FC" w:rsidP="001A7AA9">
      <w:pPr>
        <w:tabs>
          <w:tab w:val="left" w:pos="-720"/>
          <w:tab w:val="left" w:pos="0"/>
        </w:tabs>
        <w:suppressAutoHyphens/>
        <w:ind w:left="720" w:hanging="600"/>
      </w:pPr>
    </w:p>
    <w:p w:rsidR="003544FC" w:rsidRDefault="003544FC" w:rsidP="00B223EA">
      <w:pPr>
        <w:pStyle w:val="BodyTextIndent"/>
      </w:pPr>
      <w:r>
        <w:t>Although there are no legal or technical obstacles to the use of technology in this information collection activity, the process for institutions to maintain their information is generally not conducive to any more sophisticated use of technology.</w:t>
      </w:r>
    </w:p>
    <w:p w:rsidR="003544FC" w:rsidRDefault="003544FC" w:rsidP="00B223EA">
      <w:pPr>
        <w:pStyle w:val="BodyTextIndent"/>
      </w:pPr>
      <w:r>
        <w:t xml:space="preserve">  </w:t>
      </w:r>
    </w:p>
    <w:p w:rsidR="003544FC" w:rsidRPr="00A764AA" w:rsidRDefault="003544FC" w:rsidP="00A764AA">
      <w:pPr>
        <w:tabs>
          <w:tab w:val="left" w:pos="-720"/>
        </w:tabs>
        <w:suppressAutoHyphens/>
        <w:ind w:left="720" w:hanging="720"/>
        <w:rPr>
          <w:b/>
        </w:rPr>
      </w:pPr>
      <w:r w:rsidRPr="008406F4">
        <w:t xml:space="preserve">4.  </w:t>
      </w:r>
      <w:r>
        <w:tab/>
      </w:r>
      <w:r w:rsidRPr="00A764AA">
        <w:rPr>
          <w:b/>
        </w:rPr>
        <w:t>Describe efforts to identify duplication.  Show specifically why any similar information already available cannot be used or modified for use for the purposes described in Item 2 above.</w:t>
      </w:r>
    </w:p>
    <w:p w:rsidR="003544FC" w:rsidRDefault="003544FC" w:rsidP="00B223EA">
      <w:pPr>
        <w:pStyle w:val="BodyTextIndent"/>
      </w:pPr>
    </w:p>
    <w:p w:rsidR="003544FC" w:rsidRDefault="003544FC">
      <w:pPr>
        <w:tabs>
          <w:tab w:val="left" w:pos="-720"/>
          <w:tab w:val="left" w:pos="0"/>
        </w:tabs>
        <w:suppressAutoHyphens/>
        <w:ind w:left="720"/>
      </w:pPr>
      <w:r>
        <w:t>This information is not duplicated on any other information collection.</w:t>
      </w:r>
    </w:p>
    <w:p w:rsidR="003544FC" w:rsidRDefault="003544FC">
      <w:pPr>
        <w:tabs>
          <w:tab w:val="left" w:pos="-720"/>
        </w:tabs>
        <w:suppressAutoHyphens/>
      </w:pPr>
    </w:p>
    <w:p w:rsidR="003544FC" w:rsidRPr="008406F4" w:rsidRDefault="003544FC" w:rsidP="00A764AA">
      <w:pPr>
        <w:tabs>
          <w:tab w:val="left" w:pos="-720"/>
        </w:tabs>
        <w:suppressAutoHyphens/>
        <w:ind w:left="720" w:hanging="720"/>
      </w:pPr>
      <w:r w:rsidRPr="008406F4">
        <w:t xml:space="preserve">5.  </w:t>
      </w:r>
      <w:r>
        <w:tab/>
      </w:r>
      <w:r w:rsidRPr="00A764AA">
        <w:rPr>
          <w:b/>
        </w:rPr>
        <w:t xml:space="preserve">If the collection of information impacts small businesses or other small </w:t>
      </w:r>
      <w:proofErr w:type="gramStart"/>
      <w:r w:rsidRPr="00A764AA">
        <w:rPr>
          <w:b/>
        </w:rPr>
        <w:t>entities ,</w:t>
      </w:r>
      <w:proofErr w:type="gramEnd"/>
      <w:r w:rsidRPr="00A764AA">
        <w:rPr>
          <w:b/>
        </w:rPr>
        <w:t xml:space="preserve"> describe any methods used to minimize burden.</w:t>
      </w:r>
    </w:p>
    <w:p w:rsidR="003544FC" w:rsidRPr="008406F4" w:rsidRDefault="003544FC" w:rsidP="00A764AA">
      <w:pPr>
        <w:tabs>
          <w:tab w:val="left" w:pos="-720"/>
        </w:tabs>
        <w:suppressAutoHyphens/>
      </w:pPr>
    </w:p>
    <w:p w:rsidR="003544FC" w:rsidRDefault="003544FC" w:rsidP="00DC31FF">
      <w:pPr>
        <w:tabs>
          <w:tab w:val="left" w:pos="-720"/>
        </w:tabs>
        <w:suppressAutoHyphens/>
        <w:ind w:left="720"/>
      </w:pPr>
      <w:r>
        <w:t>No small businesses are affected by this information collection.</w:t>
      </w:r>
    </w:p>
    <w:p w:rsidR="003544FC" w:rsidRDefault="003544FC" w:rsidP="00A72B58">
      <w:pPr>
        <w:tabs>
          <w:tab w:val="left" w:pos="-720"/>
          <w:tab w:val="left" w:pos="0"/>
        </w:tabs>
        <w:suppressAutoHyphens/>
        <w:ind w:left="720"/>
      </w:pPr>
    </w:p>
    <w:p w:rsidR="003544FC" w:rsidRPr="00A764AA" w:rsidRDefault="003544FC" w:rsidP="00A764AA">
      <w:pPr>
        <w:tabs>
          <w:tab w:val="left" w:pos="-720"/>
          <w:tab w:val="left" w:pos="0"/>
        </w:tabs>
        <w:suppressAutoHyphens/>
        <w:ind w:left="720" w:hanging="720"/>
        <w:rPr>
          <w:b/>
          <w:bCs/>
        </w:rPr>
      </w:pPr>
      <w:r w:rsidRPr="008406F4">
        <w:t xml:space="preserve">6.  </w:t>
      </w:r>
      <w:r>
        <w:tab/>
      </w:r>
      <w:r w:rsidRPr="00A764AA">
        <w:rPr>
          <w:b/>
        </w:rPr>
        <w:t>Describe the consequences to Federal program or policy activities if the collection is not conducted or is conducted less frequently, as well as any technical or legal obstacles to reducing burden.</w:t>
      </w:r>
    </w:p>
    <w:p w:rsidR="003544FC" w:rsidRDefault="003544FC" w:rsidP="00A764AA">
      <w:pPr>
        <w:tabs>
          <w:tab w:val="left" w:pos="-720"/>
          <w:tab w:val="left" w:pos="0"/>
        </w:tabs>
        <w:suppressAutoHyphens/>
        <w:rPr>
          <w:b/>
          <w:bCs/>
        </w:rPr>
      </w:pPr>
    </w:p>
    <w:p w:rsidR="003544FC" w:rsidRDefault="003544FC" w:rsidP="00A764AA">
      <w:pPr>
        <w:tabs>
          <w:tab w:val="left" w:pos="-720"/>
          <w:tab w:val="left" w:pos="0"/>
        </w:tabs>
        <w:suppressAutoHyphens/>
        <w:rPr>
          <w:b/>
          <w:bCs/>
        </w:rPr>
      </w:pPr>
      <w:r>
        <w:rPr>
          <w:b/>
          <w:bCs/>
        </w:rPr>
        <w:tab/>
        <w:t>Consequences of Less Frequent Data Collection</w:t>
      </w:r>
    </w:p>
    <w:p w:rsidR="003544FC" w:rsidRDefault="003544FC" w:rsidP="00444FFE">
      <w:pPr>
        <w:tabs>
          <w:tab w:val="left" w:pos="-720"/>
          <w:tab w:val="left" w:pos="0"/>
        </w:tabs>
        <w:suppressAutoHyphens/>
        <w:ind w:left="720"/>
        <w:rPr>
          <w:bCs/>
        </w:rPr>
      </w:pPr>
      <w:r w:rsidRPr="001A7AA9">
        <w:rPr>
          <w:bCs/>
        </w:rPr>
        <w:t xml:space="preserve">The </w:t>
      </w:r>
      <w:r>
        <w:rPr>
          <w:bCs/>
        </w:rPr>
        <w:t>final</w:t>
      </w:r>
      <w:r w:rsidRPr="001A7AA9">
        <w:rPr>
          <w:bCs/>
        </w:rPr>
        <w:t xml:space="preserve"> </w:t>
      </w:r>
      <w:r>
        <w:rPr>
          <w:bCs/>
        </w:rPr>
        <w:t xml:space="preserve">regulation requires the institution to make a determination early in the student’s payment period about the amounts of presumed credit balances in order to provide a way for these students to obtain or purchase their books and supplies within 7 days of the start of the payment period. </w:t>
      </w:r>
    </w:p>
    <w:p w:rsidR="003544FC" w:rsidRDefault="003544FC" w:rsidP="00444FFE">
      <w:pPr>
        <w:tabs>
          <w:tab w:val="left" w:pos="-720"/>
          <w:tab w:val="left" w:pos="0"/>
        </w:tabs>
        <w:suppressAutoHyphens/>
        <w:ind w:left="720"/>
        <w:rPr>
          <w:bCs/>
        </w:rPr>
      </w:pPr>
    </w:p>
    <w:p w:rsidR="005621C5" w:rsidRDefault="005621C5" w:rsidP="00444FFE">
      <w:pPr>
        <w:tabs>
          <w:tab w:val="left" w:pos="-720"/>
          <w:tab w:val="left" w:pos="0"/>
        </w:tabs>
        <w:suppressAutoHyphens/>
        <w:ind w:left="720"/>
        <w:rPr>
          <w:bCs/>
        </w:rPr>
      </w:pPr>
      <w:r>
        <w:rPr>
          <w:bCs/>
        </w:rPr>
        <w:t>If a determination is not made, a student who would have received sufficient Title IV, HEA program funds in excess of tuition and fees that could be used for books and supplies</w:t>
      </w:r>
      <w:r w:rsidR="00315C9D">
        <w:rPr>
          <w:bCs/>
        </w:rPr>
        <w:t>,</w:t>
      </w:r>
      <w:r>
        <w:rPr>
          <w:bCs/>
        </w:rPr>
        <w:t xml:space="preserve"> may not receive those funds timely or be provided</w:t>
      </w:r>
      <w:r w:rsidR="00315C9D">
        <w:rPr>
          <w:bCs/>
        </w:rPr>
        <w:t xml:space="preserve"> a way for the Pell Grant </w:t>
      </w:r>
      <w:r w:rsidR="00315C9D">
        <w:rPr>
          <w:bCs/>
        </w:rPr>
        <w:lastRenderedPageBreak/>
        <w:t>eligible student to obtain or purchase the required books and supplies by the seventh day of the payment period.</w:t>
      </w:r>
    </w:p>
    <w:p w:rsidR="003544FC" w:rsidRPr="001A7AA9" w:rsidRDefault="003544FC" w:rsidP="00444FFE">
      <w:pPr>
        <w:tabs>
          <w:tab w:val="left" w:pos="-720"/>
          <w:tab w:val="left" w:pos="0"/>
        </w:tabs>
        <w:suppressAutoHyphens/>
        <w:ind w:left="720"/>
        <w:rPr>
          <w:bCs/>
        </w:rPr>
      </w:pPr>
    </w:p>
    <w:p w:rsidR="003544FC" w:rsidRPr="00A764AA" w:rsidRDefault="003544FC" w:rsidP="008B2762">
      <w:pPr>
        <w:tabs>
          <w:tab w:val="left" w:pos="-720"/>
        </w:tabs>
        <w:suppressAutoHyphens/>
        <w:ind w:left="720" w:hanging="720"/>
        <w:rPr>
          <w:b/>
        </w:rPr>
      </w:pPr>
      <w:r w:rsidRPr="008406F4">
        <w:t xml:space="preserve">7. </w:t>
      </w:r>
      <w:r w:rsidRPr="00A764AA">
        <w:rPr>
          <w:b/>
        </w:rPr>
        <w:tab/>
        <w:t>Explain any special circumstances that would cause an information collection to be conducted in a manner:</w:t>
      </w:r>
    </w:p>
    <w:p w:rsidR="003544FC" w:rsidRPr="00A764AA" w:rsidRDefault="003544FC" w:rsidP="008B2762">
      <w:pPr>
        <w:tabs>
          <w:tab w:val="left" w:pos="-720"/>
        </w:tabs>
        <w:suppressAutoHyphens/>
        <w:ind w:left="720" w:hanging="720"/>
        <w:rPr>
          <w:b/>
        </w:rPr>
      </w:pPr>
    </w:p>
    <w:p w:rsidR="003544FC" w:rsidRPr="00A764AA" w:rsidRDefault="003544FC" w:rsidP="00B42153">
      <w:pPr>
        <w:numPr>
          <w:ilvl w:val="0"/>
          <w:numId w:val="8"/>
        </w:numPr>
        <w:tabs>
          <w:tab w:val="left" w:pos="-720"/>
          <w:tab w:val="left" w:pos="1247"/>
        </w:tabs>
        <w:suppressAutoHyphens/>
        <w:rPr>
          <w:b/>
        </w:rPr>
      </w:pPr>
      <w:r w:rsidRPr="00A764AA">
        <w:rPr>
          <w:b/>
        </w:rPr>
        <w:t>requiring respondents to report information to the agency more often than quarterly;</w:t>
      </w:r>
    </w:p>
    <w:p w:rsidR="003544FC" w:rsidRPr="00A764AA" w:rsidRDefault="003544FC" w:rsidP="008B2762">
      <w:pPr>
        <w:numPr>
          <w:ilvl w:val="12"/>
          <w:numId w:val="0"/>
        </w:numPr>
        <w:tabs>
          <w:tab w:val="left" w:pos="-720"/>
        </w:tabs>
        <w:suppressAutoHyphens/>
        <w:ind w:left="720" w:hanging="720"/>
        <w:rPr>
          <w:b/>
        </w:rPr>
      </w:pPr>
    </w:p>
    <w:p w:rsidR="003544FC" w:rsidRPr="00A764AA" w:rsidRDefault="003544FC" w:rsidP="00A764AA">
      <w:pPr>
        <w:numPr>
          <w:ilvl w:val="0"/>
          <w:numId w:val="8"/>
        </w:numPr>
        <w:tabs>
          <w:tab w:val="left" w:pos="-720"/>
          <w:tab w:val="left" w:pos="1247"/>
        </w:tabs>
        <w:suppressAutoHyphens/>
        <w:rPr>
          <w:b/>
        </w:rPr>
      </w:pPr>
      <w:r w:rsidRPr="00A764AA">
        <w:rPr>
          <w:b/>
        </w:rPr>
        <w:t>requiring respondents to prepare a written response to a collection of information in fewer than 30 days after receipt of it;</w:t>
      </w:r>
    </w:p>
    <w:p w:rsidR="003544FC" w:rsidRPr="00A764AA" w:rsidRDefault="003544FC" w:rsidP="00A764AA">
      <w:pPr>
        <w:numPr>
          <w:ilvl w:val="12"/>
          <w:numId w:val="0"/>
        </w:numPr>
        <w:tabs>
          <w:tab w:val="left" w:pos="-720"/>
        </w:tabs>
        <w:suppressAutoHyphens/>
        <w:rPr>
          <w:b/>
        </w:rPr>
      </w:pPr>
    </w:p>
    <w:p w:rsidR="003544FC" w:rsidRPr="00A764AA" w:rsidRDefault="003544FC" w:rsidP="00A764AA">
      <w:pPr>
        <w:numPr>
          <w:ilvl w:val="0"/>
          <w:numId w:val="8"/>
        </w:numPr>
        <w:tabs>
          <w:tab w:val="left" w:pos="-720"/>
          <w:tab w:val="left" w:pos="1247"/>
        </w:tabs>
        <w:suppressAutoHyphens/>
        <w:rPr>
          <w:b/>
        </w:rPr>
      </w:pPr>
      <w:r w:rsidRPr="00A764AA">
        <w:rPr>
          <w:b/>
        </w:rPr>
        <w:t>requiring respondents to submit more than an original and two copies of any document;</w:t>
      </w:r>
    </w:p>
    <w:p w:rsidR="003544FC" w:rsidRPr="00A764AA" w:rsidRDefault="003544FC" w:rsidP="00A764AA">
      <w:pPr>
        <w:numPr>
          <w:ilvl w:val="12"/>
          <w:numId w:val="0"/>
        </w:numPr>
        <w:tabs>
          <w:tab w:val="left" w:pos="-720"/>
        </w:tabs>
        <w:suppressAutoHyphens/>
        <w:rPr>
          <w:b/>
        </w:rPr>
      </w:pPr>
    </w:p>
    <w:p w:rsidR="003544FC" w:rsidRPr="00A764AA" w:rsidRDefault="003544FC" w:rsidP="00A764AA">
      <w:pPr>
        <w:numPr>
          <w:ilvl w:val="0"/>
          <w:numId w:val="8"/>
        </w:numPr>
        <w:tabs>
          <w:tab w:val="left" w:pos="-720"/>
          <w:tab w:val="left" w:pos="1247"/>
        </w:tabs>
        <w:suppressAutoHyphens/>
        <w:rPr>
          <w:b/>
        </w:rPr>
      </w:pPr>
      <w:r w:rsidRPr="00A764AA">
        <w:rPr>
          <w:b/>
        </w:rPr>
        <w:t>requiring respondents to retain records, other than health, medical, government contract, grant-in-aid, or tax records for more than three years;</w:t>
      </w:r>
    </w:p>
    <w:p w:rsidR="003544FC" w:rsidRPr="00A764AA" w:rsidRDefault="003544FC" w:rsidP="00A764AA">
      <w:pPr>
        <w:numPr>
          <w:ilvl w:val="12"/>
          <w:numId w:val="0"/>
        </w:numPr>
        <w:tabs>
          <w:tab w:val="left" w:pos="-720"/>
        </w:tabs>
        <w:suppressAutoHyphens/>
        <w:rPr>
          <w:b/>
        </w:rPr>
      </w:pPr>
    </w:p>
    <w:p w:rsidR="003544FC" w:rsidRPr="00A764AA" w:rsidRDefault="003544FC" w:rsidP="00A764AA">
      <w:pPr>
        <w:numPr>
          <w:ilvl w:val="0"/>
          <w:numId w:val="8"/>
        </w:numPr>
        <w:tabs>
          <w:tab w:val="left" w:pos="-720"/>
          <w:tab w:val="left" w:pos="1247"/>
        </w:tabs>
        <w:suppressAutoHyphens/>
        <w:rPr>
          <w:b/>
        </w:rPr>
      </w:pPr>
      <w:r w:rsidRPr="00A764AA">
        <w:rPr>
          <w:b/>
        </w:rPr>
        <w:t>in connection with a statistical survey, that is not designed to produce valid and reliable results than can be generalized to the universe of study;</w:t>
      </w:r>
    </w:p>
    <w:p w:rsidR="003544FC" w:rsidRPr="00A764AA" w:rsidRDefault="003544FC" w:rsidP="00A764AA">
      <w:pPr>
        <w:numPr>
          <w:ilvl w:val="12"/>
          <w:numId w:val="0"/>
        </w:numPr>
        <w:tabs>
          <w:tab w:val="left" w:pos="-720"/>
        </w:tabs>
        <w:suppressAutoHyphens/>
        <w:rPr>
          <w:b/>
        </w:rPr>
      </w:pPr>
    </w:p>
    <w:p w:rsidR="003544FC" w:rsidRPr="00A764AA" w:rsidRDefault="003544FC" w:rsidP="00A764AA">
      <w:pPr>
        <w:numPr>
          <w:ilvl w:val="0"/>
          <w:numId w:val="8"/>
        </w:numPr>
        <w:tabs>
          <w:tab w:val="left" w:pos="-720"/>
          <w:tab w:val="left" w:pos="1247"/>
        </w:tabs>
        <w:suppressAutoHyphens/>
        <w:rPr>
          <w:b/>
        </w:rPr>
      </w:pPr>
      <w:r w:rsidRPr="00A764AA">
        <w:rPr>
          <w:b/>
        </w:rPr>
        <w:t>requiring the use of a statistical data classification that has not been reviewed and approved by OMB;</w:t>
      </w:r>
    </w:p>
    <w:p w:rsidR="003544FC" w:rsidRPr="00A764AA" w:rsidRDefault="003544FC" w:rsidP="00A764AA">
      <w:pPr>
        <w:numPr>
          <w:ilvl w:val="12"/>
          <w:numId w:val="0"/>
        </w:numPr>
        <w:tabs>
          <w:tab w:val="left" w:pos="-720"/>
        </w:tabs>
        <w:suppressAutoHyphens/>
        <w:rPr>
          <w:b/>
        </w:rPr>
      </w:pPr>
    </w:p>
    <w:p w:rsidR="003544FC" w:rsidRPr="00A764AA" w:rsidRDefault="003544FC" w:rsidP="00A764AA">
      <w:pPr>
        <w:numPr>
          <w:ilvl w:val="0"/>
          <w:numId w:val="8"/>
        </w:numPr>
        <w:tabs>
          <w:tab w:val="left" w:pos="-720"/>
          <w:tab w:val="left" w:pos="1247"/>
        </w:tabs>
        <w:suppressAutoHyphens/>
        <w:rPr>
          <w:b/>
        </w:rPr>
      </w:pPr>
      <w:r w:rsidRPr="00A764AA">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544FC" w:rsidRPr="00A764AA" w:rsidRDefault="003544FC" w:rsidP="00A764AA">
      <w:pPr>
        <w:numPr>
          <w:ilvl w:val="12"/>
          <w:numId w:val="0"/>
        </w:numPr>
        <w:tabs>
          <w:tab w:val="left" w:pos="-720"/>
        </w:tabs>
        <w:suppressAutoHyphens/>
        <w:rPr>
          <w:b/>
        </w:rPr>
      </w:pPr>
    </w:p>
    <w:p w:rsidR="003544FC" w:rsidRPr="008B2762" w:rsidRDefault="003544FC" w:rsidP="008B2762">
      <w:pPr>
        <w:pStyle w:val="ListParagraph"/>
        <w:numPr>
          <w:ilvl w:val="0"/>
          <w:numId w:val="8"/>
        </w:numPr>
        <w:tabs>
          <w:tab w:val="left" w:pos="-720"/>
          <w:tab w:val="left" w:pos="720"/>
        </w:tabs>
        <w:suppressAutoHyphens/>
        <w:rPr>
          <w:b/>
        </w:rPr>
      </w:pPr>
      <w:r w:rsidRPr="008B2762">
        <w:rPr>
          <w:b/>
        </w:rPr>
        <w:t>requiring respondents to submit proprietary trade secrets, or other confidential information unless the agency can demonstrate that it has instituted procedures to protect the information’s confidentiality to the extent permitted by law.</w:t>
      </w:r>
    </w:p>
    <w:p w:rsidR="003544FC" w:rsidRDefault="003544FC" w:rsidP="00A764AA">
      <w:pPr>
        <w:tabs>
          <w:tab w:val="left" w:pos="-720"/>
          <w:tab w:val="left" w:pos="720"/>
        </w:tabs>
        <w:suppressAutoHyphens/>
        <w:ind w:left="720"/>
        <w:rPr>
          <w:b/>
        </w:rPr>
      </w:pPr>
    </w:p>
    <w:p w:rsidR="003544FC" w:rsidRPr="00A764AA" w:rsidRDefault="003544FC" w:rsidP="00A764AA">
      <w:pPr>
        <w:tabs>
          <w:tab w:val="left" w:pos="-720"/>
          <w:tab w:val="left" w:pos="720"/>
        </w:tabs>
        <w:suppressAutoHyphens/>
        <w:ind w:left="720"/>
        <w:rPr>
          <w:b/>
          <w:bCs/>
        </w:rPr>
      </w:pPr>
    </w:p>
    <w:p w:rsidR="003544FC" w:rsidRDefault="003544FC">
      <w:pPr>
        <w:tabs>
          <w:tab w:val="left" w:pos="-720"/>
          <w:tab w:val="left" w:pos="0"/>
        </w:tabs>
        <w:suppressAutoHyphens/>
        <w:ind w:left="720" w:hanging="720"/>
      </w:pPr>
      <w:r>
        <w:tab/>
        <w:t>This application is consistent with all of the guidelines in 5 CFR 1320.5(d</w:t>
      </w:r>
      <w:proofErr w:type="gramStart"/>
      <w:r>
        <w:t>)(</w:t>
      </w:r>
      <w:proofErr w:type="gramEnd"/>
      <w:r>
        <w:t xml:space="preserve">2).  </w:t>
      </w:r>
    </w:p>
    <w:p w:rsidR="003544FC" w:rsidRDefault="003544FC">
      <w:pPr>
        <w:tabs>
          <w:tab w:val="left" w:pos="-720"/>
        </w:tabs>
        <w:suppressAutoHyphens/>
      </w:pPr>
    </w:p>
    <w:p w:rsidR="003544FC" w:rsidRPr="00A764AA" w:rsidRDefault="003544FC" w:rsidP="00A764AA">
      <w:pPr>
        <w:numPr>
          <w:ilvl w:val="0"/>
          <w:numId w:val="9"/>
        </w:numPr>
        <w:tabs>
          <w:tab w:val="left" w:pos="-720"/>
          <w:tab w:val="left" w:pos="90"/>
          <w:tab w:val="left" w:pos="270"/>
        </w:tabs>
        <w:suppressAutoHyphens/>
        <w:ind w:left="720" w:hanging="630"/>
        <w:rPr>
          <w:b/>
        </w:rPr>
      </w:pPr>
      <w:r w:rsidRPr="00A764AA">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544FC" w:rsidRPr="00A764AA" w:rsidRDefault="003544FC" w:rsidP="00A764AA">
      <w:pPr>
        <w:tabs>
          <w:tab w:val="left" w:pos="-720"/>
          <w:tab w:val="left" w:pos="270"/>
          <w:tab w:val="left" w:pos="720"/>
        </w:tabs>
        <w:suppressAutoHyphens/>
        <w:ind w:left="720"/>
        <w:rPr>
          <w:rStyle w:val="a"/>
          <w:b/>
        </w:rPr>
      </w:pPr>
    </w:p>
    <w:p w:rsidR="003544FC" w:rsidRPr="00A764AA" w:rsidRDefault="003544FC" w:rsidP="00A764AA">
      <w:pPr>
        <w:tabs>
          <w:tab w:val="left" w:pos="-720"/>
          <w:tab w:val="left" w:pos="270"/>
          <w:tab w:val="left" w:pos="720"/>
        </w:tabs>
        <w:suppressAutoHyphens/>
        <w:ind w:left="720"/>
        <w:rPr>
          <w:rStyle w:val="a"/>
          <w:b/>
        </w:rPr>
      </w:pPr>
      <w:r w:rsidRPr="00A764AA">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544FC" w:rsidRPr="00A764AA" w:rsidRDefault="003544FC" w:rsidP="00A764AA">
      <w:pPr>
        <w:tabs>
          <w:tab w:val="left" w:pos="-720"/>
          <w:tab w:val="left" w:pos="270"/>
          <w:tab w:val="left" w:pos="720"/>
        </w:tabs>
        <w:suppressAutoHyphens/>
        <w:ind w:left="720"/>
        <w:rPr>
          <w:rStyle w:val="a"/>
          <w:b/>
        </w:rPr>
      </w:pPr>
    </w:p>
    <w:p w:rsidR="003544FC" w:rsidRPr="00A764AA" w:rsidRDefault="003544FC" w:rsidP="00A764AA">
      <w:pPr>
        <w:tabs>
          <w:tab w:val="left" w:pos="-720"/>
          <w:tab w:val="left" w:pos="270"/>
          <w:tab w:val="left" w:pos="720"/>
        </w:tabs>
        <w:suppressAutoHyphens/>
        <w:ind w:left="720"/>
        <w:rPr>
          <w:b/>
        </w:rPr>
      </w:pPr>
      <w:r w:rsidRPr="00A764AA">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544FC" w:rsidRDefault="003544FC" w:rsidP="00A764AA">
      <w:pPr>
        <w:tabs>
          <w:tab w:val="left" w:pos="-720"/>
          <w:tab w:val="left" w:pos="0"/>
        </w:tabs>
        <w:suppressAutoHyphens/>
        <w:rPr>
          <w:b/>
          <w:bCs/>
        </w:rPr>
      </w:pPr>
    </w:p>
    <w:p w:rsidR="003544FC" w:rsidRDefault="003544FC" w:rsidP="00A764AA">
      <w:pPr>
        <w:tabs>
          <w:tab w:val="left" w:pos="-720"/>
          <w:tab w:val="left" w:pos="0"/>
        </w:tabs>
        <w:suppressAutoHyphens/>
        <w:rPr>
          <w:b/>
          <w:bCs/>
        </w:rPr>
      </w:pPr>
      <w:r>
        <w:rPr>
          <w:b/>
          <w:bCs/>
        </w:rPr>
        <w:tab/>
      </w:r>
    </w:p>
    <w:p w:rsidR="003544FC" w:rsidRDefault="003544FC" w:rsidP="00A764AA">
      <w:pPr>
        <w:tabs>
          <w:tab w:val="left" w:pos="-720"/>
          <w:tab w:val="left" w:pos="720"/>
        </w:tabs>
        <w:suppressAutoHyphens/>
        <w:ind w:left="720"/>
      </w:pPr>
      <w:r>
        <w:t xml:space="preserve">The Department of Education announced in a September 9, 2009 </w:t>
      </w:r>
      <w:r w:rsidRPr="00192E3B">
        <w:rPr>
          <w:u w:val="single"/>
        </w:rPr>
        <w:t>Federal</w:t>
      </w:r>
      <w:r>
        <w:t xml:space="preserve"> </w:t>
      </w:r>
      <w:r w:rsidRPr="00192E3B">
        <w:rPr>
          <w:u w:val="single"/>
        </w:rPr>
        <w:t>Register</w:t>
      </w:r>
      <w:r>
        <w:t xml:space="preserve"> notice (74 FR 46399), the Department’s intention to establish negotiated rulemaking committees to prepare final regulations under Title IV of the Higher Education Act of 1965, as amended (HEA).  These committees were formed as a result of a </w:t>
      </w:r>
      <w:r w:rsidRPr="00187724">
        <w:rPr>
          <w:u w:val="single"/>
        </w:rPr>
        <w:t>Federal</w:t>
      </w:r>
      <w:r>
        <w:t xml:space="preserve"> </w:t>
      </w:r>
      <w:r w:rsidRPr="00187724">
        <w:rPr>
          <w:u w:val="single"/>
        </w:rPr>
        <w:t>Register</w:t>
      </w:r>
      <w:r>
        <w:t xml:space="preserve"> notice published on May 26, 2009 (74 FR 24728) which announced a series of three regional hearings at which interested parties could comment on topics suggested by the Department and suggest additional topics for consideration.  The topic of ensuring that Federal Pell Grant recipients could obtain credit balances to obtain or purchase their books and supplies was among the additional topics considered and thereby included in the final list of topics for negotiated rulemaking.</w:t>
      </w:r>
    </w:p>
    <w:p w:rsidR="003544FC" w:rsidRDefault="003544FC" w:rsidP="00A764AA">
      <w:pPr>
        <w:tabs>
          <w:tab w:val="left" w:pos="-720"/>
          <w:tab w:val="left" w:pos="0"/>
        </w:tabs>
        <w:suppressAutoHyphens/>
        <w:ind w:left="720"/>
      </w:pPr>
    </w:p>
    <w:p w:rsidR="003544FC" w:rsidRDefault="003544FC" w:rsidP="00C42B92">
      <w:pPr>
        <w:tabs>
          <w:tab w:val="left" w:pos="-720"/>
          <w:tab w:val="left" w:pos="0"/>
        </w:tabs>
        <w:suppressAutoHyphens/>
        <w:ind w:left="720"/>
      </w:pPr>
      <w:r>
        <w:t xml:space="preserve">A Notice of Proposed Rulemaking as well as a 60 day and 30 day notice was published in the Federal Register seeking public comment. </w:t>
      </w:r>
      <w:r w:rsidR="00B42153">
        <w:t xml:space="preserve">No public comments were received under the Paperwork Reduction Act (PRA). </w:t>
      </w:r>
      <w:r>
        <w:t>Prior to the approval of these final regulations the Department negotiated with members of the community during three sessions in early 2010.</w:t>
      </w:r>
    </w:p>
    <w:p w:rsidR="003544FC" w:rsidRDefault="003544FC">
      <w:pPr>
        <w:tabs>
          <w:tab w:val="left" w:pos="-720"/>
          <w:tab w:val="left" w:pos="0"/>
        </w:tabs>
        <w:suppressAutoHyphens/>
        <w:ind w:left="720" w:hanging="720"/>
      </w:pPr>
    </w:p>
    <w:p w:rsidR="003544FC" w:rsidRPr="00FA2CF7" w:rsidRDefault="003544FC" w:rsidP="00FA2CF7">
      <w:pPr>
        <w:tabs>
          <w:tab w:val="left" w:pos="-720"/>
        </w:tabs>
        <w:suppressAutoHyphens/>
        <w:ind w:left="720" w:hanging="720"/>
        <w:rPr>
          <w:b/>
        </w:rPr>
      </w:pPr>
      <w:r w:rsidRPr="008406F4">
        <w:t xml:space="preserve">9. </w:t>
      </w:r>
      <w:r>
        <w:tab/>
      </w:r>
      <w:r w:rsidRPr="00FA2CF7">
        <w:rPr>
          <w:rStyle w:val="a"/>
          <w:b/>
        </w:rPr>
        <w:t>Explain any decision to provide any payment or gift to respondents, other than remuneration of contractors or grantees.</w:t>
      </w:r>
    </w:p>
    <w:p w:rsidR="003544FC" w:rsidRDefault="003544FC" w:rsidP="00FA2CF7">
      <w:pPr>
        <w:tabs>
          <w:tab w:val="left" w:pos="-720"/>
          <w:tab w:val="left" w:pos="0"/>
        </w:tabs>
        <w:suppressAutoHyphens/>
        <w:rPr>
          <w:b/>
          <w:bCs/>
        </w:rPr>
      </w:pPr>
    </w:p>
    <w:p w:rsidR="003544FC" w:rsidRDefault="003544FC">
      <w:pPr>
        <w:tabs>
          <w:tab w:val="left" w:pos="-720"/>
          <w:tab w:val="left" w:pos="0"/>
        </w:tabs>
        <w:suppressAutoHyphens/>
        <w:ind w:left="720" w:hanging="720"/>
      </w:pPr>
      <w:r>
        <w:tab/>
        <w:t>There are no payments or gifts to respondents.</w:t>
      </w:r>
    </w:p>
    <w:p w:rsidR="003544FC" w:rsidRDefault="003544FC">
      <w:pPr>
        <w:tabs>
          <w:tab w:val="left" w:pos="-720"/>
        </w:tabs>
        <w:suppressAutoHyphens/>
      </w:pPr>
    </w:p>
    <w:p w:rsidR="003544FC" w:rsidRPr="008406F4" w:rsidRDefault="003544FC" w:rsidP="00FA2CF7">
      <w:pPr>
        <w:tabs>
          <w:tab w:val="left" w:pos="-720"/>
        </w:tabs>
        <w:suppressAutoHyphens/>
        <w:ind w:left="720" w:hanging="720"/>
      </w:pPr>
      <w:r w:rsidRPr="008406F4">
        <w:t xml:space="preserve">10. </w:t>
      </w:r>
      <w:r>
        <w:tab/>
      </w:r>
      <w:r w:rsidRPr="00FA2CF7">
        <w:rPr>
          <w:b/>
        </w:rPr>
        <w:t>Describe any assurance of confidentiality provided to respondents and the basis for the assurance in statute, regulation, or agency policy.</w:t>
      </w:r>
    </w:p>
    <w:p w:rsidR="003544FC" w:rsidRDefault="003544FC" w:rsidP="00FA2CF7">
      <w:pPr>
        <w:tabs>
          <w:tab w:val="left" w:pos="-720"/>
          <w:tab w:val="left" w:pos="0"/>
        </w:tabs>
        <w:suppressAutoHyphens/>
        <w:rPr>
          <w:b/>
          <w:bCs/>
        </w:rPr>
      </w:pPr>
    </w:p>
    <w:p w:rsidR="003544FC" w:rsidRDefault="003544FC" w:rsidP="000F3B6C">
      <w:pPr>
        <w:tabs>
          <w:tab w:val="left" w:pos="-720"/>
          <w:tab w:val="left" w:pos="0"/>
        </w:tabs>
        <w:suppressAutoHyphens/>
        <w:ind w:left="720" w:hanging="720"/>
      </w:pPr>
      <w:r>
        <w:tab/>
        <w:t xml:space="preserve">There is no assurance of confidentiality provided to institutions for the submission of this information.  </w:t>
      </w:r>
    </w:p>
    <w:p w:rsidR="003544FC" w:rsidRDefault="003544FC" w:rsidP="00FA2CF7">
      <w:pPr>
        <w:tabs>
          <w:tab w:val="left" w:pos="-720"/>
          <w:tab w:val="left" w:pos="0"/>
        </w:tabs>
        <w:suppressAutoHyphens/>
        <w:ind w:left="720" w:hanging="720"/>
      </w:pPr>
    </w:p>
    <w:p w:rsidR="003544FC" w:rsidRDefault="003544FC" w:rsidP="00FA2CF7">
      <w:pPr>
        <w:tabs>
          <w:tab w:val="left" w:pos="-720"/>
          <w:tab w:val="left" w:pos="0"/>
        </w:tabs>
        <w:suppressAutoHyphens/>
        <w:ind w:left="720" w:hanging="720"/>
      </w:pPr>
      <w:r>
        <w:t xml:space="preserve">11.       </w:t>
      </w:r>
      <w:r w:rsidRPr="00FA2CF7">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544FC" w:rsidRDefault="003544FC" w:rsidP="00FA2CF7">
      <w:pPr>
        <w:tabs>
          <w:tab w:val="left" w:pos="-720"/>
          <w:tab w:val="left" w:pos="0"/>
        </w:tabs>
        <w:suppressAutoHyphens/>
        <w:ind w:left="720" w:hanging="720"/>
        <w:rPr>
          <w:b/>
          <w:bCs/>
        </w:rPr>
      </w:pPr>
    </w:p>
    <w:p w:rsidR="003544FC" w:rsidRDefault="003544FC" w:rsidP="009130D6">
      <w:pPr>
        <w:tabs>
          <w:tab w:val="left" w:pos="-720"/>
          <w:tab w:val="left" w:pos="0"/>
        </w:tabs>
        <w:suppressAutoHyphens/>
        <w:ind w:left="720" w:hanging="720"/>
      </w:pPr>
      <w:r>
        <w:tab/>
        <w:t>There are no questions of a sensitive nature in this application.</w:t>
      </w:r>
    </w:p>
    <w:p w:rsidR="003544FC" w:rsidRDefault="003544FC">
      <w:pPr>
        <w:tabs>
          <w:tab w:val="left" w:pos="-720"/>
        </w:tabs>
        <w:suppressAutoHyphens/>
      </w:pPr>
    </w:p>
    <w:p w:rsidR="003544FC" w:rsidRDefault="003544FC">
      <w:pPr>
        <w:tabs>
          <w:tab w:val="left" w:pos="-720"/>
        </w:tabs>
        <w:suppressAutoHyphens/>
      </w:pPr>
    </w:p>
    <w:p w:rsidR="003544FC" w:rsidRDefault="003544FC">
      <w:pPr>
        <w:tabs>
          <w:tab w:val="left" w:pos="-720"/>
        </w:tabs>
        <w:suppressAutoHyphens/>
      </w:pPr>
    </w:p>
    <w:p w:rsidR="003544FC" w:rsidRDefault="003544FC">
      <w:pPr>
        <w:tabs>
          <w:tab w:val="left" w:pos="-720"/>
        </w:tabs>
        <w:suppressAutoHyphens/>
      </w:pPr>
    </w:p>
    <w:p w:rsidR="003544FC" w:rsidRPr="00FA2CF7" w:rsidRDefault="003544FC" w:rsidP="00FA2CF7">
      <w:pPr>
        <w:tabs>
          <w:tab w:val="left" w:pos="-720"/>
        </w:tabs>
        <w:suppressAutoHyphens/>
        <w:ind w:left="700" w:hanging="700"/>
        <w:rPr>
          <w:rStyle w:val="a"/>
          <w:b/>
        </w:rPr>
      </w:pPr>
      <w:r w:rsidRPr="008406F4">
        <w:t xml:space="preserve">12. </w:t>
      </w:r>
      <w:r>
        <w:tab/>
      </w:r>
      <w:r w:rsidRPr="00FA2CF7">
        <w:rPr>
          <w:rStyle w:val="a"/>
          <w:b/>
        </w:rPr>
        <w:t>Provide estimates of the hour burden of the collection of information.  The statement should:</w:t>
      </w:r>
    </w:p>
    <w:p w:rsidR="003544FC" w:rsidRPr="00FA2CF7" w:rsidRDefault="003544FC" w:rsidP="00FA2CF7">
      <w:pPr>
        <w:tabs>
          <w:tab w:val="left" w:pos="-720"/>
        </w:tabs>
        <w:suppressAutoHyphens/>
        <w:rPr>
          <w:rStyle w:val="a"/>
          <w:b/>
        </w:rPr>
      </w:pPr>
    </w:p>
    <w:p w:rsidR="003544FC" w:rsidRPr="00FA2CF7" w:rsidRDefault="003544FC" w:rsidP="00FA2CF7">
      <w:pPr>
        <w:numPr>
          <w:ilvl w:val="0"/>
          <w:numId w:val="10"/>
        </w:numPr>
        <w:tabs>
          <w:tab w:val="left" w:pos="-720"/>
          <w:tab w:val="left" w:pos="1247"/>
        </w:tabs>
        <w:suppressAutoHyphens/>
        <w:rPr>
          <w:rStyle w:val="a"/>
          <w:b/>
        </w:rPr>
      </w:pPr>
      <w:r w:rsidRPr="00FA2CF7">
        <w:rPr>
          <w:rStyle w:val="a"/>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544FC" w:rsidRPr="00FA2CF7" w:rsidRDefault="003544FC" w:rsidP="00FA2CF7">
      <w:pPr>
        <w:tabs>
          <w:tab w:val="left" w:pos="-720"/>
          <w:tab w:val="left" w:pos="1247"/>
        </w:tabs>
        <w:suppressAutoHyphens/>
        <w:ind w:left="700"/>
        <w:rPr>
          <w:rStyle w:val="a"/>
          <w:b/>
        </w:rPr>
      </w:pPr>
    </w:p>
    <w:p w:rsidR="003544FC" w:rsidRPr="00FA2CF7" w:rsidRDefault="003544FC" w:rsidP="00FA2CF7">
      <w:pPr>
        <w:numPr>
          <w:ilvl w:val="0"/>
          <w:numId w:val="10"/>
        </w:numPr>
        <w:tabs>
          <w:tab w:val="left" w:pos="-720"/>
          <w:tab w:val="left" w:pos="1247"/>
        </w:tabs>
        <w:suppressAutoHyphens/>
        <w:rPr>
          <w:rStyle w:val="a"/>
          <w:b/>
        </w:rPr>
      </w:pPr>
      <w:r w:rsidRPr="00FA2CF7">
        <w:rPr>
          <w:rStyle w:val="a"/>
          <w:b/>
        </w:rPr>
        <w:t>If this request for approval covers more than one form, provide separate hour burden estimates for each form and aggregate the hour burdens in item 16 of IC Data Part 1.</w:t>
      </w:r>
    </w:p>
    <w:p w:rsidR="003544FC" w:rsidRPr="00FA2CF7" w:rsidRDefault="003544FC" w:rsidP="00FA2CF7">
      <w:pPr>
        <w:tabs>
          <w:tab w:val="left" w:pos="-720"/>
          <w:tab w:val="left" w:pos="1247"/>
        </w:tabs>
        <w:suppressAutoHyphens/>
        <w:rPr>
          <w:rStyle w:val="a"/>
          <w:b/>
        </w:rPr>
      </w:pPr>
    </w:p>
    <w:p w:rsidR="003544FC" w:rsidRPr="00FA2CF7" w:rsidRDefault="003544FC" w:rsidP="00FA2CF7">
      <w:pPr>
        <w:tabs>
          <w:tab w:val="left" w:pos="-720"/>
          <w:tab w:val="left" w:pos="1247"/>
        </w:tabs>
        <w:suppressAutoHyphens/>
        <w:ind w:left="700"/>
        <w:rPr>
          <w:rStyle w:val="a"/>
          <w:b/>
        </w:rPr>
      </w:pPr>
    </w:p>
    <w:p w:rsidR="00A73B4A" w:rsidRDefault="003544FC">
      <w:pPr>
        <w:numPr>
          <w:ilvl w:val="1"/>
          <w:numId w:val="10"/>
        </w:numPr>
        <w:tabs>
          <w:tab w:val="clear" w:pos="1780"/>
          <w:tab w:val="left" w:pos="-720"/>
        </w:tabs>
        <w:suppressAutoHyphens/>
        <w:ind w:left="1080"/>
        <w:rPr>
          <w:rStyle w:val="a"/>
          <w:b/>
        </w:rPr>
      </w:pPr>
      <w:r w:rsidRPr="00FA2CF7">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544FC" w:rsidRDefault="003544FC" w:rsidP="00FA2CF7">
      <w:pPr>
        <w:tabs>
          <w:tab w:val="left" w:pos="-720"/>
          <w:tab w:val="left" w:pos="720"/>
        </w:tabs>
        <w:suppressAutoHyphens/>
        <w:ind w:left="720"/>
        <w:rPr>
          <w:b/>
          <w:bCs/>
        </w:rPr>
      </w:pPr>
    </w:p>
    <w:p w:rsidR="003544FC" w:rsidRDefault="003544FC" w:rsidP="00A72B58">
      <w:pPr>
        <w:tabs>
          <w:tab w:val="left" w:pos="-720"/>
          <w:tab w:val="left" w:pos="0"/>
        </w:tabs>
        <w:suppressAutoHyphens/>
        <w:ind w:left="720" w:hanging="720"/>
        <w:rPr>
          <w:b/>
        </w:rPr>
      </w:pPr>
      <w:r>
        <w:rPr>
          <w:b/>
        </w:rPr>
        <w:tab/>
      </w:r>
      <w:proofErr w:type="gramStart"/>
      <w:r>
        <w:rPr>
          <w:b/>
        </w:rPr>
        <w:t>Section 668.164 – Disbursing funds.</w:t>
      </w:r>
      <w:proofErr w:type="gramEnd"/>
    </w:p>
    <w:p w:rsidR="003544FC" w:rsidRDefault="003544FC" w:rsidP="00023168">
      <w:pPr>
        <w:tabs>
          <w:tab w:val="left" w:pos="-720"/>
          <w:tab w:val="left" w:pos="0"/>
        </w:tabs>
        <w:suppressAutoHyphens/>
        <w:ind w:left="720"/>
      </w:pPr>
      <w:r>
        <w:rPr>
          <w:u w:val="single"/>
        </w:rPr>
        <w:t>Section 668.164(</w:t>
      </w:r>
      <w:proofErr w:type="spellStart"/>
      <w:r>
        <w:rPr>
          <w:u w:val="single"/>
        </w:rPr>
        <w:t>i</w:t>
      </w:r>
      <w:proofErr w:type="spellEnd"/>
      <w:r>
        <w:rPr>
          <w:u w:val="single"/>
        </w:rPr>
        <w:t>)</w:t>
      </w:r>
      <w:r w:rsidRPr="00A72B58">
        <w:t>:</w:t>
      </w:r>
      <w:r w:rsidRPr="00023168">
        <w:t xml:space="preserve">  </w:t>
      </w:r>
      <w:r>
        <w:t>Under the final regulations, if 10 days prior to the beginning of the payment period, the institution could disburse Title IV, HEA program funds for which a student is eligible and if the presumed disbursed amount of Title IV, HEA funds exceeds the cost of tuition and fees, thus producing a presumed credit balance, the institution must provide a way for the Federal Pell Grant eligible student to obtain or purchase his books and supplies for the payment period within 7 days of the beginning of the payment period.  The amount the institution must provide is the lesser of either the presumed credit balance or the amount needed by the student for books and supplies, as determined by the institution.</w:t>
      </w:r>
    </w:p>
    <w:p w:rsidR="003544FC" w:rsidRDefault="003544FC" w:rsidP="00023168">
      <w:pPr>
        <w:tabs>
          <w:tab w:val="left" w:pos="-720"/>
          <w:tab w:val="left" w:pos="0"/>
        </w:tabs>
        <w:suppressAutoHyphens/>
        <w:ind w:left="720"/>
      </w:pPr>
    </w:p>
    <w:p w:rsidR="003544FC" w:rsidRDefault="003544FC" w:rsidP="00023168">
      <w:pPr>
        <w:tabs>
          <w:tab w:val="left" w:pos="-720"/>
          <w:tab w:val="left" w:pos="0"/>
        </w:tabs>
        <w:suppressAutoHyphens/>
        <w:ind w:left="720"/>
      </w:pPr>
      <w:r>
        <w:t xml:space="preserve">We estimate that of the 6,321,678 Federal Pell Grant recipients in the 2008-2009 award </w:t>
      </w:r>
      <w:proofErr w:type="gramStart"/>
      <w:r>
        <w:t>year</w:t>
      </w:r>
      <w:proofErr w:type="gramEnd"/>
      <w:r>
        <w:t xml:space="preserve">, that approximately 30% or 1,896,503 would have or did have a Title IV, HEA credit balance.  Of that number, we estimate that 25% (1,896,503 X .25 = 474,126) of the Federal Pell Grant recipients will have a presumed credit balance 10 days before the beginning of the payment period.  Therefore, we estimate that institution will need to provide a way for 474,126 Federal Pell Grant recipients to obtain or purchase their books and supplies within 7 days of the beginning of the payment period.  </w:t>
      </w:r>
    </w:p>
    <w:p w:rsidR="003544FC" w:rsidRDefault="003544FC" w:rsidP="00023168">
      <w:pPr>
        <w:tabs>
          <w:tab w:val="left" w:pos="-720"/>
          <w:tab w:val="left" w:pos="0"/>
        </w:tabs>
        <w:suppressAutoHyphens/>
        <w:ind w:left="720"/>
      </w:pPr>
    </w:p>
    <w:p w:rsidR="003544FC" w:rsidRDefault="003544FC" w:rsidP="00023168">
      <w:pPr>
        <w:tabs>
          <w:tab w:val="left" w:pos="-720"/>
          <w:tab w:val="left" w:pos="0"/>
        </w:tabs>
        <w:suppressAutoHyphens/>
        <w:ind w:left="720"/>
      </w:pPr>
      <w:r>
        <w:t>We estimate that each institution will spend 3 hours analyzing and making programming changes to identify these Federal Pell Grant recipients with presumed credit balances.  Once those recipients are identified, we estimate an additional .08 hours of burden to contact the student and make them aware of the way the institution provides for them to obtain or purchase their books and supplies within the first 7 days of the payment period.</w:t>
      </w:r>
    </w:p>
    <w:p w:rsidR="003544FC" w:rsidRDefault="003544FC" w:rsidP="00023168">
      <w:pPr>
        <w:tabs>
          <w:tab w:val="left" w:pos="-720"/>
          <w:tab w:val="left" w:pos="0"/>
        </w:tabs>
        <w:suppressAutoHyphens/>
        <w:ind w:left="720"/>
      </w:pPr>
    </w:p>
    <w:p w:rsidR="003544FC" w:rsidRDefault="003544FC" w:rsidP="00FE5B69">
      <w:pPr>
        <w:tabs>
          <w:tab w:val="left" w:pos="-720"/>
          <w:tab w:val="left" w:pos="0"/>
        </w:tabs>
        <w:suppressAutoHyphens/>
        <w:ind w:left="720"/>
      </w:pPr>
      <w:r>
        <w:t>AFFECTED ENTITES and BURDEN:</w:t>
      </w:r>
    </w:p>
    <w:p w:rsidR="003544FC" w:rsidRDefault="003544FC" w:rsidP="00FE5B69">
      <w:pPr>
        <w:tabs>
          <w:tab w:val="left" w:pos="-720"/>
          <w:tab w:val="left" w:pos="0"/>
        </w:tabs>
        <w:suppressAutoHyphens/>
        <w:ind w:left="720"/>
      </w:pPr>
    </w:p>
    <w:p w:rsidR="003544FC" w:rsidRDefault="003544FC" w:rsidP="00FE5B69">
      <w:pPr>
        <w:tabs>
          <w:tab w:val="left" w:pos="-720"/>
          <w:tab w:val="left" w:pos="0"/>
        </w:tabs>
        <w:suppressAutoHyphens/>
        <w:ind w:left="720"/>
      </w:pPr>
      <w:r>
        <w:t>PROPRIETARY INSTITUTIONS:</w:t>
      </w:r>
    </w:p>
    <w:p w:rsidR="003544FC" w:rsidRDefault="003544FC" w:rsidP="00FE5B69">
      <w:pPr>
        <w:tabs>
          <w:tab w:val="left" w:pos="-720"/>
          <w:tab w:val="left" w:pos="0"/>
        </w:tabs>
        <w:suppressAutoHyphens/>
        <w:ind w:left="720"/>
      </w:pPr>
      <w:r>
        <w:t>We estimate that 2,063 proprietary institutions participating in the Federal Pell Grant program will, on average, spend 3 hours to analyze and make programming changes needed to identify Federal Pell Grant students with a presumed credit balance.  Therefore, the total burden will increase by 6,189 hours.</w:t>
      </w:r>
    </w:p>
    <w:p w:rsidR="003544FC" w:rsidRDefault="003544FC" w:rsidP="00FE5B69">
      <w:pPr>
        <w:tabs>
          <w:tab w:val="left" w:pos="-720"/>
          <w:tab w:val="left" w:pos="0"/>
        </w:tabs>
        <w:suppressAutoHyphens/>
        <w:ind w:left="720"/>
      </w:pPr>
    </w:p>
    <w:p w:rsidR="003544FC" w:rsidRDefault="003544FC" w:rsidP="00FE5B69">
      <w:pPr>
        <w:tabs>
          <w:tab w:val="left" w:pos="-720"/>
          <w:tab w:val="left" w:pos="0"/>
        </w:tabs>
        <w:suppressAutoHyphens/>
        <w:ind w:left="720"/>
      </w:pPr>
      <w:r>
        <w:t>Additionally, institutions will be required to identify and disburse 38% (2,063 proprietary institutions participating in the Federal Pell Grant program of the total 5,469 in the program) of the estimated 474,126 Federal Pell Grant eligible students with a presumed credit balance or 180,168 students at an average of .08 hours (5 minutes) or 14,413 hours of additional burden.</w:t>
      </w:r>
    </w:p>
    <w:p w:rsidR="003544FC" w:rsidRDefault="003544FC" w:rsidP="00FE5B69">
      <w:pPr>
        <w:tabs>
          <w:tab w:val="left" w:pos="-720"/>
          <w:tab w:val="left" w:pos="0"/>
        </w:tabs>
        <w:suppressAutoHyphens/>
        <w:ind w:left="720"/>
      </w:pPr>
    </w:p>
    <w:p w:rsidR="003544FC" w:rsidRDefault="003544FC" w:rsidP="00FE2A60">
      <w:pPr>
        <w:tabs>
          <w:tab w:val="left" w:pos="-720"/>
          <w:tab w:val="left" w:pos="0"/>
        </w:tabs>
        <w:suppressAutoHyphens/>
        <w:ind w:left="720"/>
      </w:pPr>
      <w:r>
        <w:t>PRIVATE NON-PROFIT INSTITUTIONS:</w:t>
      </w:r>
    </w:p>
    <w:p w:rsidR="003544FC" w:rsidRDefault="003544FC" w:rsidP="00215E70">
      <w:pPr>
        <w:tabs>
          <w:tab w:val="left" w:pos="-720"/>
          <w:tab w:val="left" w:pos="0"/>
        </w:tabs>
        <w:suppressAutoHyphens/>
        <w:ind w:left="720"/>
      </w:pPr>
      <w:r>
        <w:t>We estimate that 1,523 private non-profit institutions participating in the Federal Pell Grant program will, on average, spend 3 hours to analyze and make programming changes needed to identify Federal Pell Grant students with a presumed credit balance.  Therefore, the total burden will increase by 4,569 hours.</w:t>
      </w:r>
    </w:p>
    <w:p w:rsidR="003544FC" w:rsidRDefault="003544FC" w:rsidP="00202516">
      <w:pPr>
        <w:tabs>
          <w:tab w:val="left" w:pos="-720"/>
          <w:tab w:val="left" w:pos="0"/>
        </w:tabs>
        <w:suppressAutoHyphens/>
        <w:ind w:left="720"/>
      </w:pPr>
    </w:p>
    <w:p w:rsidR="003544FC" w:rsidRDefault="003544FC" w:rsidP="00202516">
      <w:pPr>
        <w:tabs>
          <w:tab w:val="left" w:pos="-720"/>
          <w:tab w:val="left" w:pos="0"/>
        </w:tabs>
        <w:suppressAutoHyphens/>
        <w:ind w:left="720"/>
      </w:pPr>
      <w:r>
        <w:t>Additionally, institutions will be required to identify and notify 28% (1,523 private non-profit institutions participating in the Federal Pell Grant program of the total 5,469 in the program) of the estimated 474,126 Federal Pell Grant eligible students with a presumed credit balance or 132,755 students at an average of .08 hours (5 minutes) or 10,620 hours of additional burden.</w:t>
      </w:r>
    </w:p>
    <w:p w:rsidR="003544FC" w:rsidRDefault="003544FC" w:rsidP="00202516">
      <w:pPr>
        <w:tabs>
          <w:tab w:val="left" w:pos="-720"/>
          <w:tab w:val="left" w:pos="0"/>
        </w:tabs>
        <w:suppressAutoHyphens/>
        <w:ind w:left="720"/>
      </w:pPr>
    </w:p>
    <w:p w:rsidR="003544FC" w:rsidRDefault="003544FC" w:rsidP="00FE2A60">
      <w:pPr>
        <w:tabs>
          <w:tab w:val="left" w:pos="-720"/>
          <w:tab w:val="left" w:pos="0"/>
        </w:tabs>
        <w:suppressAutoHyphens/>
        <w:ind w:left="720"/>
      </w:pPr>
      <w:r>
        <w:t>PUBLIC INSTITUTIONS:</w:t>
      </w:r>
    </w:p>
    <w:p w:rsidR="003544FC" w:rsidRDefault="003544FC" w:rsidP="00215E70">
      <w:pPr>
        <w:tabs>
          <w:tab w:val="left" w:pos="-720"/>
          <w:tab w:val="left" w:pos="0"/>
        </w:tabs>
        <w:suppressAutoHyphens/>
        <w:ind w:left="720"/>
      </w:pPr>
      <w:r>
        <w:t>We estimate that 1,883 public institutions participating in the Federal Pell Grant program will, on average, spend 3 hours to analyze and make programming changes needed to identify Federal Pell Grant students with a presumed credit balance.  Therefore, the total burden will increase by 5,649 hours.</w:t>
      </w:r>
    </w:p>
    <w:p w:rsidR="003544FC" w:rsidRDefault="003544FC" w:rsidP="00215E70">
      <w:pPr>
        <w:tabs>
          <w:tab w:val="left" w:pos="-720"/>
          <w:tab w:val="left" w:pos="0"/>
        </w:tabs>
        <w:suppressAutoHyphens/>
        <w:ind w:left="720"/>
      </w:pPr>
    </w:p>
    <w:p w:rsidR="003544FC" w:rsidRDefault="003544FC" w:rsidP="00202516">
      <w:pPr>
        <w:tabs>
          <w:tab w:val="left" w:pos="-720"/>
          <w:tab w:val="left" w:pos="0"/>
        </w:tabs>
        <w:suppressAutoHyphens/>
        <w:ind w:left="720"/>
      </w:pPr>
      <w:r>
        <w:t>Additionally, institutions will be required to identify and notify 34% (1,883 public institutions participating in the Federal Pell Grant program of the total 5,469 in the program) of the estimated 474,126 Federal Pell Grant eligible students with a presumed credit balance or 161,203 students at an average of .08 hours (5 minutes) or 12,896 hours of additional burden.</w:t>
      </w:r>
    </w:p>
    <w:p w:rsidR="003544FC" w:rsidRDefault="003544FC" w:rsidP="00202516">
      <w:pPr>
        <w:tabs>
          <w:tab w:val="left" w:pos="-720"/>
          <w:tab w:val="left" w:pos="0"/>
        </w:tabs>
        <w:suppressAutoHyphens/>
        <w:ind w:left="720"/>
      </w:pPr>
    </w:p>
    <w:p w:rsidR="003544FC" w:rsidRDefault="003544FC"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3544FC" w:rsidRDefault="003544FC" w:rsidP="00FE5B69">
      <w:pPr>
        <w:tabs>
          <w:tab w:val="left" w:pos="-720"/>
          <w:tab w:val="left" w:pos="0"/>
        </w:tabs>
        <w:suppressAutoHyphens/>
        <w:ind w:left="720" w:hanging="720"/>
      </w:pPr>
      <w:r>
        <w:tab/>
      </w:r>
    </w:p>
    <w:p w:rsidR="003544FC" w:rsidRDefault="003544FC" w:rsidP="00FE5B69">
      <w:pPr>
        <w:tabs>
          <w:tab w:val="left" w:pos="-720"/>
          <w:tab w:val="left" w:pos="0"/>
        </w:tabs>
        <w:suppressAutoHyphens/>
        <w:ind w:left="720" w:hanging="720"/>
      </w:pPr>
      <w:r>
        <w:tab/>
        <w:t>PROPRIETARY INSTITUTIONS:</w:t>
      </w:r>
    </w:p>
    <w:p w:rsidR="003544FC" w:rsidRDefault="003544FC" w:rsidP="00FE5B69">
      <w:pPr>
        <w:tabs>
          <w:tab w:val="left" w:pos="-720"/>
          <w:tab w:val="left" w:pos="0"/>
        </w:tabs>
        <w:suppressAutoHyphens/>
        <w:ind w:left="720" w:hanging="720"/>
      </w:pPr>
      <w:r>
        <w:tab/>
        <w:t>Analysis and programming -</w:t>
      </w:r>
    </w:p>
    <w:p w:rsidR="003544FC" w:rsidRDefault="003544FC" w:rsidP="00FE5B69">
      <w:pPr>
        <w:tabs>
          <w:tab w:val="left" w:pos="-720"/>
          <w:tab w:val="left" w:pos="0"/>
        </w:tabs>
        <w:suppressAutoHyphens/>
        <w:ind w:left="720" w:hanging="720"/>
      </w:pPr>
      <w:r>
        <w:tab/>
      </w:r>
      <w:r>
        <w:tab/>
      </w:r>
      <w:r>
        <w:tab/>
        <w:t>2,063</w:t>
      </w:r>
      <w:r>
        <w:tab/>
      </w:r>
      <w:r>
        <w:tab/>
      </w:r>
      <w:r>
        <w:tab/>
        <w:t>2,063</w:t>
      </w:r>
      <w:r>
        <w:tab/>
      </w:r>
      <w:r>
        <w:tab/>
      </w:r>
      <w:r>
        <w:tab/>
      </w:r>
      <w:r>
        <w:tab/>
      </w:r>
      <w:r>
        <w:tab/>
        <w:t>6,189</w:t>
      </w:r>
    </w:p>
    <w:p w:rsidR="003544FC" w:rsidRDefault="003544FC" w:rsidP="00FE5B69">
      <w:pPr>
        <w:tabs>
          <w:tab w:val="left" w:pos="-720"/>
          <w:tab w:val="left" w:pos="0"/>
        </w:tabs>
        <w:suppressAutoHyphens/>
        <w:ind w:left="720" w:hanging="720"/>
      </w:pPr>
      <w:r>
        <w:tab/>
        <w:t xml:space="preserve">Identifying and notification – </w:t>
      </w:r>
    </w:p>
    <w:p w:rsidR="003544FC" w:rsidRDefault="003544FC" w:rsidP="00FE5B69">
      <w:pPr>
        <w:tabs>
          <w:tab w:val="left" w:pos="-720"/>
          <w:tab w:val="left" w:pos="0"/>
        </w:tabs>
        <w:suppressAutoHyphens/>
        <w:ind w:left="720" w:hanging="720"/>
      </w:pPr>
      <w:r>
        <w:tab/>
      </w:r>
      <w:r>
        <w:tab/>
        <w:t xml:space="preserve">        180,168</w:t>
      </w:r>
      <w:r>
        <w:tab/>
      </w:r>
      <w:r>
        <w:tab/>
        <w:t xml:space="preserve">        180,168</w:t>
      </w:r>
      <w:r>
        <w:tab/>
      </w:r>
      <w:r>
        <w:tab/>
      </w:r>
      <w:r>
        <w:tab/>
      </w:r>
      <w:r>
        <w:tab/>
        <w:t xml:space="preserve">          14,413</w:t>
      </w:r>
    </w:p>
    <w:p w:rsidR="003544FC" w:rsidRDefault="003544FC" w:rsidP="00FE5B69">
      <w:pPr>
        <w:tabs>
          <w:tab w:val="left" w:pos="-720"/>
          <w:tab w:val="left" w:pos="0"/>
        </w:tabs>
        <w:suppressAutoHyphens/>
        <w:ind w:left="720" w:hanging="720"/>
      </w:pPr>
      <w:r>
        <w:tab/>
      </w:r>
      <w:r>
        <w:tab/>
      </w:r>
      <w:r>
        <w:tab/>
      </w:r>
    </w:p>
    <w:p w:rsidR="003544FC" w:rsidRDefault="003544FC" w:rsidP="00FE5B69">
      <w:pPr>
        <w:tabs>
          <w:tab w:val="left" w:pos="-720"/>
          <w:tab w:val="left" w:pos="0"/>
        </w:tabs>
        <w:suppressAutoHyphens/>
        <w:ind w:left="720" w:hanging="720"/>
      </w:pPr>
      <w:r>
        <w:tab/>
        <w:t>PRIVATE NON-PROFIT INSTITUTIONS:</w:t>
      </w:r>
    </w:p>
    <w:p w:rsidR="003544FC" w:rsidRDefault="003544FC" w:rsidP="00202516">
      <w:pPr>
        <w:tabs>
          <w:tab w:val="left" w:pos="-720"/>
          <w:tab w:val="left" w:pos="0"/>
        </w:tabs>
        <w:suppressAutoHyphens/>
        <w:ind w:left="720" w:hanging="720"/>
      </w:pPr>
      <w:r>
        <w:tab/>
        <w:t>Analysis and programming -</w:t>
      </w:r>
    </w:p>
    <w:p w:rsidR="003544FC" w:rsidRDefault="003544FC" w:rsidP="00202516">
      <w:pPr>
        <w:tabs>
          <w:tab w:val="left" w:pos="-720"/>
          <w:tab w:val="left" w:pos="0"/>
        </w:tabs>
        <w:suppressAutoHyphens/>
        <w:ind w:left="720" w:hanging="720"/>
      </w:pPr>
      <w:r>
        <w:tab/>
      </w:r>
      <w:r>
        <w:tab/>
      </w:r>
      <w:r>
        <w:tab/>
        <w:t>1,523</w:t>
      </w:r>
      <w:r>
        <w:tab/>
      </w:r>
      <w:r>
        <w:tab/>
      </w:r>
      <w:r>
        <w:tab/>
        <w:t>1,523</w:t>
      </w:r>
      <w:r>
        <w:tab/>
      </w:r>
      <w:r>
        <w:tab/>
      </w:r>
      <w:r>
        <w:tab/>
      </w:r>
      <w:r>
        <w:tab/>
      </w:r>
      <w:r>
        <w:tab/>
        <w:t>4,569</w:t>
      </w:r>
    </w:p>
    <w:p w:rsidR="003544FC" w:rsidRDefault="003544FC" w:rsidP="00202516">
      <w:pPr>
        <w:tabs>
          <w:tab w:val="left" w:pos="-720"/>
          <w:tab w:val="left" w:pos="0"/>
        </w:tabs>
        <w:suppressAutoHyphens/>
        <w:ind w:left="720" w:hanging="720"/>
      </w:pPr>
      <w:r>
        <w:tab/>
        <w:t xml:space="preserve">Identifying and notification – </w:t>
      </w:r>
    </w:p>
    <w:p w:rsidR="003544FC" w:rsidRDefault="003544FC" w:rsidP="00FE5B69">
      <w:pPr>
        <w:tabs>
          <w:tab w:val="left" w:pos="-720"/>
          <w:tab w:val="left" w:pos="0"/>
        </w:tabs>
        <w:suppressAutoHyphens/>
        <w:ind w:left="720" w:hanging="720"/>
      </w:pPr>
      <w:r>
        <w:tab/>
      </w:r>
      <w:r>
        <w:tab/>
        <w:t xml:space="preserve">        132,755</w:t>
      </w:r>
      <w:r>
        <w:tab/>
      </w:r>
      <w:r>
        <w:tab/>
        <w:t xml:space="preserve">        132,755</w:t>
      </w:r>
      <w:r>
        <w:tab/>
      </w:r>
      <w:r>
        <w:tab/>
      </w:r>
      <w:r>
        <w:tab/>
      </w:r>
      <w:r>
        <w:tab/>
        <w:t xml:space="preserve">           10,620</w:t>
      </w:r>
      <w:r>
        <w:tab/>
      </w:r>
    </w:p>
    <w:p w:rsidR="003544FC" w:rsidRDefault="003544FC" w:rsidP="00FE5B69">
      <w:pPr>
        <w:tabs>
          <w:tab w:val="left" w:pos="-720"/>
          <w:tab w:val="left" w:pos="0"/>
        </w:tabs>
        <w:suppressAutoHyphens/>
        <w:ind w:left="720" w:hanging="720"/>
      </w:pPr>
      <w:r>
        <w:tab/>
      </w:r>
      <w:r>
        <w:tab/>
      </w:r>
    </w:p>
    <w:p w:rsidR="003544FC" w:rsidRDefault="003544FC" w:rsidP="00FE5B69">
      <w:pPr>
        <w:tabs>
          <w:tab w:val="left" w:pos="-720"/>
          <w:tab w:val="left" w:pos="0"/>
        </w:tabs>
        <w:suppressAutoHyphens/>
        <w:ind w:left="720" w:hanging="720"/>
      </w:pPr>
      <w:r>
        <w:tab/>
        <w:t>PUBLIC INSTITUTIONS:</w:t>
      </w:r>
    </w:p>
    <w:p w:rsidR="003544FC" w:rsidRDefault="003544FC" w:rsidP="00202516">
      <w:pPr>
        <w:tabs>
          <w:tab w:val="left" w:pos="-720"/>
          <w:tab w:val="left" w:pos="0"/>
        </w:tabs>
        <w:suppressAutoHyphens/>
        <w:ind w:left="720" w:hanging="720"/>
      </w:pPr>
      <w:r>
        <w:tab/>
        <w:t>Analysis and programming -</w:t>
      </w:r>
    </w:p>
    <w:p w:rsidR="003544FC" w:rsidRDefault="003544FC" w:rsidP="00202516">
      <w:pPr>
        <w:tabs>
          <w:tab w:val="left" w:pos="-720"/>
          <w:tab w:val="left" w:pos="0"/>
        </w:tabs>
        <w:suppressAutoHyphens/>
        <w:ind w:left="720" w:hanging="720"/>
      </w:pPr>
      <w:r>
        <w:tab/>
      </w:r>
      <w:r>
        <w:tab/>
      </w:r>
      <w:r>
        <w:tab/>
        <w:t>1,883</w:t>
      </w:r>
      <w:r>
        <w:tab/>
      </w:r>
      <w:r>
        <w:tab/>
        <w:t xml:space="preserve">           1,883</w:t>
      </w:r>
      <w:r>
        <w:tab/>
      </w:r>
      <w:r>
        <w:tab/>
      </w:r>
      <w:r>
        <w:tab/>
        <w:t xml:space="preserve">                       5,649</w:t>
      </w:r>
    </w:p>
    <w:p w:rsidR="003544FC" w:rsidRDefault="003544FC" w:rsidP="00202516">
      <w:pPr>
        <w:tabs>
          <w:tab w:val="left" w:pos="-720"/>
          <w:tab w:val="left" w:pos="0"/>
        </w:tabs>
        <w:suppressAutoHyphens/>
        <w:ind w:left="720" w:hanging="720"/>
      </w:pPr>
      <w:r>
        <w:tab/>
        <w:t xml:space="preserve">Identifying and notification – </w:t>
      </w:r>
    </w:p>
    <w:p w:rsidR="003544FC" w:rsidRDefault="003544FC" w:rsidP="00FE5B69">
      <w:pPr>
        <w:tabs>
          <w:tab w:val="left" w:pos="-720"/>
          <w:tab w:val="left" w:pos="0"/>
        </w:tabs>
        <w:suppressAutoHyphens/>
        <w:ind w:left="720" w:hanging="720"/>
      </w:pPr>
      <w:r>
        <w:tab/>
      </w:r>
      <w:r>
        <w:tab/>
        <w:t xml:space="preserve">        161,203</w:t>
      </w:r>
      <w:r>
        <w:tab/>
      </w:r>
      <w:r>
        <w:tab/>
        <w:t xml:space="preserve">       161,203</w:t>
      </w:r>
      <w:r>
        <w:tab/>
      </w:r>
      <w:r>
        <w:tab/>
        <w:t xml:space="preserve">                                 12,896</w:t>
      </w:r>
    </w:p>
    <w:p w:rsidR="003544FC" w:rsidRDefault="003544FC" w:rsidP="00FE5B69">
      <w:pPr>
        <w:tabs>
          <w:tab w:val="left" w:pos="-720"/>
          <w:tab w:val="left" w:pos="0"/>
        </w:tabs>
        <w:suppressAutoHyphens/>
        <w:ind w:left="720" w:hanging="720"/>
      </w:pPr>
      <w:r>
        <w:tab/>
      </w:r>
    </w:p>
    <w:p w:rsidR="003544FC" w:rsidRDefault="003544FC" w:rsidP="00FE5B69">
      <w:pPr>
        <w:tabs>
          <w:tab w:val="left" w:pos="-720"/>
          <w:tab w:val="left" w:pos="0"/>
        </w:tabs>
        <w:suppressAutoHyphens/>
        <w:ind w:left="720" w:hanging="720"/>
      </w:pPr>
      <w:r>
        <w:tab/>
      </w:r>
    </w:p>
    <w:p w:rsidR="003544FC" w:rsidRDefault="003544FC" w:rsidP="00FE5B69">
      <w:pPr>
        <w:tabs>
          <w:tab w:val="left" w:pos="-720"/>
          <w:tab w:val="left" w:pos="0"/>
        </w:tabs>
        <w:suppressAutoHyphens/>
        <w:ind w:left="720" w:hanging="720"/>
      </w:pPr>
      <w:r>
        <w:tab/>
        <w:t>Total</w:t>
      </w:r>
      <w:r>
        <w:tab/>
      </w:r>
      <w:r>
        <w:tab/>
      </w:r>
      <w:r>
        <w:tab/>
      </w:r>
      <w:r>
        <w:tab/>
      </w:r>
    </w:p>
    <w:p w:rsidR="003544FC" w:rsidRDefault="003544FC" w:rsidP="00FE5B69">
      <w:pPr>
        <w:tabs>
          <w:tab w:val="left" w:pos="-720"/>
          <w:tab w:val="left" w:pos="0"/>
        </w:tabs>
        <w:suppressAutoHyphens/>
        <w:ind w:left="720" w:hanging="720"/>
      </w:pPr>
      <w:r>
        <w:tab/>
      </w:r>
      <w:r>
        <w:tab/>
        <w:t xml:space="preserve">        479,595</w:t>
      </w:r>
      <w:r>
        <w:tab/>
      </w:r>
      <w:r>
        <w:tab/>
        <w:t xml:space="preserve">     479,595</w:t>
      </w:r>
      <w:r>
        <w:tab/>
      </w:r>
      <w:r>
        <w:tab/>
      </w:r>
      <w:r>
        <w:tab/>
      </w:r>
      <w:r>
        <w:tab/>
        <w:t xml:space="preserve">         54,336</w:t>
      </w:r>
    </w:p>
    <w:p w:rsidR="003544FC" w:rsidRDefault="003544FC" w:rsidP="00FD6AE4">
      <w:pPr>
        <w:tabs>
          <w:tab w:val="left" w:pos="-720"/>
          <w:tab w:val="left" w:pos="0"/>
        </w:tabs>
        <w:suppressAutoHyphens/>
        <w:ind w:left="720" w:hanging="720"/>
      </w:pPr>
    </w:p>
    <w:p w:rsidR="003544FC" w:rsidRDefault="003544FC" w:rsidP="00C42B92">
      <w:pPr>
        <w:tabs>
          <w:tab w:val="left" w:pos="-720"/>
          <w:tab w:val="left" w:pos="0"/>
        </w:tabs>
        <w:suppressAutoHyphens/>
        <w:ind w:left="720"/>
      </w:pPr>
      <w:r>
        <w:t>For additional information, please see the supplementary document “Burden Analysis –   1845-NEW3 – 1840-AD02”.</w:t>
      </w:r>
    </w:p>
    <w:p w:rsidR="003544FC" w:rsidRDefault="003544FC" w:rsidP="00C42B92">
      <w:pPr>
        <w:tabs>
          <w:tab w:val="left" w:pos="-720"/>
          <w:tab w:val="left" w:pos="0"/>
        </w:tabs>
        <w:suppressAutoHyphens/>
        <w:ind w:left="540" w:firstLine="60"/>
      </w:pPr>
      <w:r>
        <w:tab/>
      </w:r>
    </w:p>
    <w:p w:rsidR="003544FC" w:rsidRPr="00FA2CF7" w:rsidRDefault="003544FC" w:rsidP="00FA2CF7">
      <w:pPr>
        <w:tabs>
          <w:tab w:val="left" w:pos="-720"/>
        </w:tabs>
        <w:suppressAutoHyphens/>
        <w:ind w:left="700" w:hanging="700"/>
        <w:rPr>
          <w:b/>
        </w:rPr>
      </w:pPr>
      <w:r w:rsidRPr="008406F4">
        <w:t xml:space="preserve">13.  </w:t>
      </w:r>
      <w:r>
        <w:tab/>
      </w:r>
      <w:r w:rsidRPr="00FA2CF7">
        <w:rPr>
          <w:rStyle w:val="a"/>
          <w:b/>
        </w:rPr>
        <w:t>Provide an estimate of the total annual cost burden to respondents or record keepers resulting from the collection of information.  (Do not include the cost of any hour burden shown in Items 12 and 14.)</w:t>
      </w:r>
    </w:p>
    <w:p w:rsidR="003544FC" w:rsidRPr="00FA2CF7" w:rsidRDefault="003544FC" w:rsidP="00FA2CF7">
      <w:pPr>
        <w:tabs>
          <w:tab w:val="left" w:pos="-720"/>
        </w:tabs>
        <w:suppressAutoHyphens/>
        <w:rPr>
          <w:b/>
        </w:rPr>
      </w:pPr>
    </w:p>
    <w:p w:rsidR="003544FC" w:rsidRPr="00FA2CF7" w:rsidRDefault="003544FC" w:rsidP="00FA2CF7">
      <w:pPr>
        <w:tabs>
          <w:tab w:val="left" w:pos="-720"/>
        </w:tabs>
        <w:suppressAutoHyphens/>
        <w:rPr>
          <w:b/>
        </w:rPr>
      </w:pPr>
    </w:p>
    <w:p w:rsidR="003544FC" w:rsidRPr="00FA2CF7" w:rsidRDefault="003544FC" w:rsidP="00B42153">
      <w:pPr>
        <w:numPr>
          <w:ilvl w:val="0"/>
          <w:numId w:val="11"/>
        </w:numPr>
        <w:tabs>
          <w:tab w:val="clear" w:pos="700"/>
          <w:tab w:val="left" w:pos="-720"/>
        </w:tabs>
        <w:suppressAutoHyphens/>
        <w:ind w:left="1080"/>
        <w:rPr>
          <w:b/>
        </w:rPr>
      </w:pPr>
      <w:r w:rsidRPr="00FA2CF7">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544FC" w:rsidRPr="00FA2CF7" w:rsidRDefault="003544FC" w:rsidP="00FA2CF7">
      <w:pPr>
        <w:numPr>
          <w:ilvl w:val="12"/>
          <w:numId w:val="0"/>
        </w:numPr>
        <w:tabs>
          <w:tab w:val="left" w:pos="-720"/>
        </w:tabs>
        <w:suppressAutoHyphens/>
        <w:ind w:left="340"/>
        <w:rPr>
          <w:b/>
        </w:rPr>
      </w:pPr>
    </w:p>
    <w:p w:rsidR="003544FC" w:rsidRPr="00FA2CF7" w:rsidRDefault="003544FC" w:rsidP="00B42153">
      <w:pPr>
        <w:numPr>
          <w:ilvl w:val="0"/>
          <w:numId w:val="11"/>
        </w:numPr>
        <w:tabs>
          <w:tab w:val="clear" w:pos="700"/>
          <w:tab w:val="left" w:pos="-720"/>
          <w:tab w:val="left" w:pos="1247"/>
        </w:tabs>
        <w:suppressAutoHyphens/>
        <w:ind w:left="1080"/>
        <w:rPr>
          <w:b/>
        </w:rPr>
      </w:pPr>
      <w:r w:rsidRPr="00FA2CF7">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544FC" w:rsidRPr="00FA2CF7" w:rsidRDefault="003544FC" w:rsidP="00FA2CF7">
      <w:pPr>
        <w:tabs>
          <w:tab w:val="left" w:pos="-720"/>
          <w:tab w:val="left" w:pos="1247"/>
        </w:tabs>
        <w:suppressAutoHyphens/>
        <w:rPr>
          <w:b/>
        </w:rPr>
      </w:pPr>
    </w:p>
    <w:p w:rsidR="003544FC" w:rsidRPr="00FA2CF7" w:rsidRDefault="003544FC" w:rsidP="00FA2CF7">
      <w:pPr>
        <w:tabs>
          <w:tab w:val="left" w:pos="-720"/>
          <w:tab w:val="left" w:pos="1247"/>
        </w:tabs>
        <w:suppressAutoHyphens/>
        <w:ind w:left="340"/>
        <w:rPr>
          <w:b/>
        </w:rPr>
      </w:pPr>
    </w:p>
    <w:p w:rsidR="003544FC" w:rsidRPr="00FA2CF7" w:rsidRDefault="003544FC" w:rsidP="00B42153">
      <w:pPr>
        <w:numPr>
          <w:ilvl w:val="0"/>
          <w:numId w:val="11"/>
        </w:numPr>
        <w:tabs>
          <w:tab w:val="clear" w:pos="700"/>
          <w:tab w:val="left" w:pos="-720"/>
        </w:tabs>
        <w:suppressAutoHyphens/>
        <w:ind w:left="1080"/>
        <w:rPr>
          <w:b/>
        </w:rPr>
      </w:pPr>
      <w:r w:rsidRPr="00FA2CF7">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544FC" w:rsidRPr="008406F4" w:rsidRDefault="003544FC" w:rsidP="00FA2CF7">
      <w:pPr>
        <w:tabs>
          <w:tab w:val="left" w:pos="-720"/>
        </w:tabs>
        <w:suppressAutoHyphens/>
      </w:pPr>
    </w:p>
    <w:p w:rsidR="003544FC" w:rsidRPr="008406F4" w:rsidRDefault="003544FC" w:rsidP="00FA2CF7">
      <w:pPr>
        <w:tabs>
          <w:tab w:val="left" w:pos="-720"/>
        </w:tabs>
        <w:suppressAutoHyphens/>
      </w:pPr>
      <w:r w:rsidRPr="008406F4">
        <w:tab/>
        <w:t>Total Annualized Capital/Startup Cost</w:t>
      </w:r>
      <w:r w:rsidRPr="008406F4">
        <w:tab/>
        <w:t xml:space="preserve">: </w:t>
      </w:r>
      <w:r>
        <w:t xml:space="preserve">   $0</w:t>
      </w:r>
    </w:p>
    <w:p w:rsidR="003544FC" w:rsidRPr="008406F4" w:rsidRDefault="003544FC" w:rsidP="00FA2CF7">
      <w:pPr>
        <w:tabs>
          <w:tab w:val="left" w:pos="-720"/>
        </w:tabs>
        <w:suppressAutoHyphens/>
      </w:pPr>
      <w:r w:rsidRPr="008406F4">
        <w:tab/>
        <w:t>Total Annual Costs (O&amp;M)</w:t>
      </w:r>
      <w:r w:rsidRPr="008406F4">
        <w:tab/>
      </w:r>
      <w:r w:rsidRPr="008406F4">
        <w:tab/>
      </w:r>
      <w:r>
        <w:tab/>
      </w:r>
      <w:r w:rsidRPr="008406F4">
        <w:t xml:space="preserve">: </w:t>
      </w:r>
      <w:bookmarkStart w:id="0" w:name="OM"/>
      <w:r w:rsidR="00A73B4A" w:rsidRPr="008406F4">
        <w:fldChar w:fldCharType="begin">
          <w:ffData>
            <w:name w:val="OM"/>
            <w:enabled/>
            <w:calcOnExit w:val="0"/>
            <w:helpText w:type="text" w:val="Enter total annualized Costs (O&amp;M)"/>
            <w:statusText w:type="text" w:val="Enter total annualized Costs (O&amp;M)"/>
            <w:textInput/>
          </w:ffData>
        </w:fldChar>
      </w:r>
      <w:r w:rsidRPr="008406F4">
        <w:instrText xml:space="preserve"> FORMTEXT </w:instrText>
      </w:r>
      <w:r w:rsidR="00A73B4A" w:rsidRPr="008406F4">
        <w:fldChar w:fldCharType="separate"/>
      </w:r>
      <w:r w:rsidRPr="008406F4">
        <w:rPr>
          <w:noProof/>
        </w:rPr>
        <w:t> </w:t>
      </w:r>
      <w:r w:rsidRPr="008406F4">
        <w:rPr>
          <w:noProof/>
        </w:rPr>
        <w:t> </w:t>
      </w:r>
      <w:r>
        <w:rPr>
          <w:noProof/>
        </w:rPr>
        <w:t>$0</w:t>
      </w:r>
      <w:r w:rsidRPr="008406F4">
        <w:rPr>
          <w:noProof/>
        </w:rPr>
        <w:t> </w:t>
      </w:r>
      <w:r w:rsidRPr="008406F4">
        <w:rPr>
          <w:noProof/>
        </w:rPr>
        <w:t> </w:t>
      </w:r>
      <w:r w:rsidRPr="008406F4">
        <w:rPr>
          <w:noProof/>
        </w:rPr>
        <w:t> </w:t>
      </w:r>
      <w:r w:rsidR="00A73B4A" w:rsidRPr="008406F4">
        <w:fldChar w:fldCharType="end"/>
      </w:r>
      <w:bookmarkEnd w:id="0"/>
    </w:p>
    <w:p w:rsidR="003544FC" w:rsidRPr="008406F4" w:rsidRDefault="003544FC" w:rsidP="00FA2CF7">
      <w:pPr>
        <w:tabs>
          <w:tab w:val="left" w:pos="-720"/>
        </w:tabs>
        <w:suppressAutoHyphens/>
      </w:pPr>
      <w:r w:rsidRPr="008406F4">
        <w:tab/>
      </w:r>
      <w:r w:rsidRPr="008406F4">
        <w:tab/>
      </w:r>
      <w:r w:rsidRPr="008406F4">
        <w:tab/>
      </w:r>
      <w:r w:rsidRPr="008406F4">
        <w:tab/>
      </w:r>
      <w:r w:rsidRPr="008406F4">
        <w:tab/>
      </w:r>
      <w:r w:rsidRPr="008406F4">
        <w:tab/>
        <w:t>____________________</w:t>
      </w:r>
    </w:p>
    <w:p w:rsidR="003544FC" w:rsidRPr="008406F4" w:rsidRDefault="003544FC" w:rsidP="00FA2CF7">
      <w:pPr>
        <w:tabs>
          <w:tab w:val="left" w:pos="-720"/>
        </w:tabs>
        <w:suppressAutoHyphens/>
      </w:pPr>
      <w:r w:rsidRPr="008406F4">
        <w:tab/>
        <w:t>Total Annualized Costs Requested</w:t>
      </w:r>
      <w:r w:rsidRPr="008406F4">
        <w:tab/>
      </w:r>
      <w:r>
        <w:tab/>
      </w:r>
      <w:r w:rsidRPr="008406F4">
        <w:t xml:space="preserve">: </w:t>
      </w:r>
      <w:bookmarkStart w:id="1" w:name="Total_Cost"/>
      <w:r w:rsidR="00A73B4A" w:rsidRPr="008406F4">
        <w:fldChar w:fldCharType="begin">
          <w:ffData>
            <w:name w:val="Total_Cost"/>
            <w:enabled/>
            <w:calcOnExit w:val="0"/>
            <w:helpText w:type="text" w:val="Enter total annualized costs requested"/>
            <w:statusText w:type="text" w:val="Enter total annualized costs requested"/>
            <w:textInput/>
          </w:ffData>
        </w:fldChar>
      </w:r>
      <w:r w:rsidRPr="008406F4">
        <w:instrText xml:space="preserve"> FORMTEXT </w:instrText>
      </w:r>
      <w:r w:rsidR="00A73B4A" w:rsidRPr="008406F4">
        <w:fldChar w:fldCharType="separate"/>
      </w:r>
      <w:r w:rsidRPr="008406F4">
        <w:rPr>
          <w:noProof/>
        </w:rPr>
        <w:t> </w:t>
      </w:r>
      <w:r w:rsidRPr="008406F4">
        <w:rPr>
          <w:noProof/>
        </w:rPr>
        <w:t> </w:t>
      </w:r>
      <w:r>
        <w:rPr>
          <w:noProof/>
        </w:rPr>
        <w:t>$0</w:t>
      </w:r>
      <w:r w:rsidRPr="008406F4">
        <w:rPr>
          <w:noProof/>
        </w:rPr>
        <w:t> </w:t>
      </w:r>
      <w:r w:rsidRPr="008406F4">
        <w:rPr>
          <w:noProof/>
        </w:rPr>
        <w:t> </w:t>
      </w:r>
      <w:r w:rsidRPr="008406F4">
        <w:rPr>
          <w:noProof/>
        </w:rPr>
        <w:t> </w:t>
      </w:r>
      <w:r w:rsidR="00A73B4A" w:rsidRPr="008406F4">
        <w:fldChar w:fldCharType="end"/>
      </w:r>
      <w:bookmarkEnd w:id="1"/>
    </w:p>
    <w:p w:rsidR="003544FC" w:rsidRPr="008406F4" w:rsidRDefault="003544FC" w:rsidP="00FA2CF7">
      <w:pPr>
        <w:tabs>
          <w:tab w:val="left" w:pos="-720"/>
        </w:tabs>
        <w:suppressAutoHyphens/>
      </w:pPr>
    </w:p>
    <w:p w:rsidR="003544FC" w:rsidRPr="00D12013" w:rsidRDefault="003544FC" w:rsidP="002B781E">
      <w:pPr>
        <w:tabs>
          <w:tab w:val="left" w:pos="-720"/>
          <w:tab w:val="left" w:pos="0"/>
        </w:tabs>
        <w:suppressAutoHyphens/>
        <w:ind w:left="720"/>
      </w:pPr>
      <w:r>
        <w:t>There are no startup costs.</w:t>
      </w:r>
    </w:p>
    <w:p w:rsidR="003544FC" w:rsidRDefault="003544FC">
      <w:pPr>
        <w:tabs>
          <w:tab w:val="left" w:pos="-720"/>
        </w:tabs>
        <w:suppressAutoHyphens/>
      </w:pPr>
    </w:p>
    <w:p w:rsidR="003544FC" w:rsidRPr="00FA2CF7" w:rsidRDefault="003544FC" w:rsidP="00FA2CF7">
      <w:pPr>
        <w:tabs>
          <w:tab w:val="left" w:pos="-720"/>
          <w:tab w:val="left" w:pos="0"/>
        </w:tabs>
        <w:suppressAutoHyphens/>
        <w:ind w:left="720" w:hanging="720"/>
        <w:rPr>
          <w:rStyle w:val="a"/>
          <w:b/>
        </w:rPr>
      </w:pPr>
      <w:r w:rsidRPr="008406F4">
        <w:t xml:space="preserve">14. </w:t>
      </w:r>
      <w:r>
        <w:tab/>
      </w:r>
      <w:r w:rsidRPr="00FA2CF7">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544FC" w:rsidRDefault="003544FC" w:rsidP="00FA2CF7">
      <w:pPr>
        <w:tabs>
          <w:tab w:val="left" w:pos="-720"/>
          <w:tab w:val="left" w:pos="0"/>
        </w:tabs>
        <w:suppressAutoHyphens/>
        <w:ind w:left="720" w:hanging="720"/>
        <w:rPr>
          <w:b/>
          <w:bCs/>
        </w:rPr>
      </w:pPr>
    </w:p>
    <w:p w:rsidR="003544FC" w:rsidRDefault="003544FC" w:rsidP="00FA2CF7">
      <w:pPr>
        <w:tabs>
          <w:tab w:val="left" w:pos="-720"/>
          <w:tab w:val="left" w:pos="0"/>
        </w:tabs>
        <w:suppressAutoHyphens/>
        <w:ind w:left="720"/>
      </w:pPr>
      <w:r>
        <w:t>There are no additional costs to the Federal government as a result of the final regulations.</w:t>
      </w:r>
    </w:p>
    <w:p w:rsidR="003544FC" w:rsidRDefault="003544FC">
      <w:pPr>
        <w:tabs>
          <w:tab w:val="left" w:pos="-720"/>
        </w:tabs>
        <w:suppressAutoHyphens/>
      </w:pPr>
      <w:r>
        <w:t xml:space="preserve">      </w:t>
      </w:r>
    </w:p>
    <w:p w:rsidR="003544FC" w:rsidRPr="00FA2CF7" w:rsidRDefault="003544FC" w:rsidP="00FA2CF7">
      <w:pPr>
        <w:tabs>
          <w:tab w:val="left" w:pos="-720"/>
        </w:tabs>
        <w:suppressAutoHyphens/>
        <w:ind w:left="720" w:hanging="720"/>
        <w:rPr>
          <w:b/>
        </w:rPr>
      </w:pPr>
      <w:r w:rsidRPr="008406F4">
        <w:t xml:space="preserve">15. </w:t>
      </w:r>
      <w:r>
        <w:tab/>
      </w:r>
      <w:r w:rsidRPr="00FA2CF7">
        <w:rPr>
          <w:b/>
        </w:rPr>
        <w:t xml:space="preserve">Explain the reasons for any program changes or </w:t>
      </w:r>
      <w:proofErr w:type="gramStart"/>
      <w:r w:rsidRPr="00FA2CF7">
        <w:rPr>
          <w:b/>
        </w:rPr>
        <w:t>adjustments .</w:t>
      </w:r>
      <w:proofErr w:type="gramEnd"/>
    </w:p>
    <w:p w:rsidR="003544FC" w:rsidRDefault="003544FC" w:rsidP="00FA2CF7">
      <w:pPr>
        <w:tabs>
          <w:tab w:val="left" w:pos="-720"/>
        </w:tabs>
        <w:suppressAutoHyphens/>
        <w:rPr>
          <w:b/>
          <w:bCs/>
        </w:rPr>
      </w:pPr>
    </w:p>
    <w:p w:rsidR="00B42153" w:rsidRDefault="00B42153" w:rsidP="00B42153">
      <w:pPr>
        <w:tabs>
          <w:tab w:val="left" w:pos="-720"/>
        </w:tabs>
        <w:suppressAutoHyphens/>
        <w:ind w:left="720"/>
      </w:pPr>
      <w:r>
        <w:t xml:space="preserve">This is a new collection package, therefore all burden is new. The new burden of </w:t>
      </w:r>
      <w:r w:rsidR="002D0B15">
        <w:t>54,336</w:t>
      </w:r>
      <w:r>
        <w:t xml:space="preserve"> hours is a program change as a result of changing regulations.</w:t>
      </w:r>
    </w:p>
    <w:p w:rsidR="003544FC" w:rsidRDefault="003544FC" w:rsidP="00FA2CF7">
      <w:pPr>
        <w:tabs>
          <w:tab w:val="left" w:pos="-720"/>
        </w:tabs>
        <w:suppressAutoHyphens/>
        <w:ind w:left="720"/>
      </w:pPr>
    </w:p>
    <w:p w:rsidR="003544FC" w:rsidRDefault="003544FC" w:rsidP="00FA2CF7">
      <w:pPr>
        <w:tabs>
          <w:tab w:val="left" w:pos="-720"/>
        </w:tabs>
        <w:suppressAutoHyphens/>
        <w:ind w:left="720"/>
      </w:pPr>
      <w:r>
        <w:rPr>
          <w:u w:val="single"/>
        </w:rPr>
        <w:t>Respondents, Responses and Burden Hours:</w:t>
      </w:r>
    </w:p>
    <w:p w:rsidR="003544FC" w:rsidRDefault="003544FC" w:rsidP="00FE5B69">
      <w:pPr>
        <w:tabs>
          <w:tab w:val="left" w:pos="-720"/>
        </w:tabs>
        <w:suppressAutoHyphens/>
        <w:ind w:left="720"/>
      </w:pPr>
    </w:p>
    <w:p w:rsidR="003544FC" w:rsidRPr="00283AB0" w:rsidRDefault="003544FC" w:rsidP="00FE5B69">
      <w:pPr>
        <w:tabs>
          <w:tab w:val="left" w:pos="-720"/>
        </w:tabs>
        <w:suppressAutoHyphens/>
        <w:ind w:left="720"/>
      </w:pPr>
      <w:r>
        <w:tab/>
        <w:t xml:space="preserve"># </w:t>
      </w:r>
      <w:proofErr w:type="gramStart"/>
      <w:r>
        <w:t>of</w:t>
      </w:r>
      <w:proofErr w:type="gramEnd"/>
      <w:r>
        <w:t xml:space="preserve"> Respondents</w:t>
      </w:r>
      <w:r>
        <w:tab/>
        <w:t xml:space="preserve"># of Responses </w:t>
      </w:r>
      <w:r>
        <w:tab/>
      </w:r>
      <w:r>
        <w:tab/>
        <w:t xml:space="preserve">                  # Hrs</w:t>
      </w:r>
    </w:p>
    <w:p w:rsidR="003544FC" w:rsidRDefault="003544FC" w:rsidP="00FE5B69">
      <w:pPr>
        <w:tabs>
          <w:tab w:val="left" w:pos="-720"/>
        </w:tabs>
        <w:suppressAutoHyphens/>
        <w:ind w:left="720"/>
      </w:pPr>
      <w:r>
        <w:tab/>
      </w:r>
      <w:r>
        <w:tab/>
      </w:r>
      <w:r>
        <w:tab/>
      </w:r>
      <w:r>
        <w:tab/>
      </w:r>
      <w:r>
        <w:tab/>
      </w:r>
      <w:r>
        <w:tab/>
      </w:r>
      <w:r>
        <w:tab/>
      </w:r>
      <w:r>
        <w:tab/>
      </w:r>
      <w:r>
        <w:tab/>
        <w:t xml:space="preserve">    Burden</w:t>
      </w:r>
    </w:p>
    <w:p w:rsidR="003544FC" w:rsidRDefault="003544FC" w:rsidP="005F30E9">
      <w:pPr>
        <w:tabs>
          <w:tab w:val="left" w:pos="-720"/>
          <w:tab w:val="left" w:pos="0"/>
        </w:tabs>
        <w:suppressAutoHyphens/>
        <w:ind w:left="720" w:hanging="720"/>
        <w:rPr>
          <w:b/>
        </w:rPr>
      </w:pPr>
      <w:r>
        <w:rPr>
          <w:b/>
        </w:rPr>
        <w:tab/>
      </w:r>
      <w:proofErr w:type="gramStart"/>
      <w:r>
        <w:rPr>
          <w:b/>
        </w:rPr>
        <w:t>Section 668.6 – Gainful employment in a recognized occupation.</w:t>
      </w:r>
      <w:proofErr w:type="gramEnd"/>
    </w:p>
    <w:p w:rsidR="003544FC" w:rsidRDefault="003544FC" w:rsidP="005F30E9">
      <w:pPr>
        <w:tabs>
          <w:tab w:val="left" w:pos="-720"/>
          <w:tab w:val="left" w:pos="0"/>
        </w:tabs>
        <w:suppressAutoHyphens/>
        <w:ind w:left="720" w:hanging="720"/>
        <w:rPr>
          <w:b/>
        </w:rPr>
      </w:pPr>
      <w:r>
        <w:rPr>
          <w:b/>
        </w:rPr>
        <w:tab/>
      </w:r>
      <w:r>
        <w:rPr>
          <w:b/>
        </w:rPr>
        <w:tab/>
      </w:r>
    </w:p>
    <w:p w:rsidR="003544FC" w:rsidRDefault="003544FC" w:rsidP="005F30E9">
      <w:pPr>
        <w:tabs>
          <w:tab w:val="left" w:pos="-720"/>
          <w:tab w:val="left" w:pos="0"/>
        </w:tabs>
        <w:suppressAutoHyphens/>
        <w:ind w:left="720" w:hanging="720"/>
      </w:pPr>
      <w:r>
        <w:rPr>
          <w:b/>
        </w:rPr>
        <w:tab/>
      </w:r>
      <w:r>
        <w:rPr>
          <w:u w:val="single"/>
        </w:rPr>
        <w:t>Section 668.164(</w:t>
      </w:r>
      <w:proofErr w:type="spellStart"/>
      <w:r>
        <w:rPr>
          <w:u w:val="single"/>
        </w:rPr>
        <w:t>i</w:t>
      </w:r>
      <w:proofErr w:type="spellEnd"/>
      <w:r>
        <w:rPr>
          <w:u w:val="single"/>
        </w:rPr>
        <w:t>)</w:t>
      </w:r>
      <w:r w:rsidRPr="005F30E9">
        <w:t>:</w:t>
      </w:r>
    </w:p>
    <w:p w:rsidR="003544FC" w:rsidRDefault="003544FC" w:rsidP="00FD6AE4">
      <w:pPr>
        <w:tabs>
          <w:tab w:val="left" w:pos="-720"/>
          <w:tab w:val="left" w:pos="0"/>
        </w:tabs>
        <w:suppressAutoHyphens/>
        <w:ind w:left="720" w:hanging="720"/>
      </w:pPr>
      <w:r>
        <w:tab/>
      </w:r>
      <w:r>
        <w:tab/>
        <w:t xml:space="preserve">     479,595</w:t>
      </w:r>
      <w:r>
        <w:tab/>
      </w:r>
      <w:r>
        <w:tab/>
        <w:t xml:space="preserve">      479,595</w:t>
      </w:r>
      <w:r>
        <w:tab/>
      </w:r>
      <w:r>
        <w:tab/>
      </w:r>
      <w:r>
        <w:tab/>
      </w:r>
      <w:r>
        <w:tab/>
        <w:t xml:space="preserve">     54,336</w:t>
      </w:r>
    </w:p>
    <w:p w:rsidR="003544FC" w:rsidRDefault="003544FC" w:rsidP="00FE5B69">
      <w:pPr>
        <w:tabs>
          <w:tab w:val="left" w:pos="-720"/>
        </w:tabs>
        <w:suppressAutoHyphens/>
        <w:ind w:left="720"/>
      </w:pPr>
    </w:p>
    <w:p w:rsidR="003544FC" w:rsidRDefault="003544FC" w:rsidP="00FE5B69">
      <w:pPr>
        <w:tabs>
          <w:tab w:val="left" w:pos="-720"/>
        </w:tabs>
        <w:suppressAutoHyphens/>
        <w:ind w:left="720"/>
      </w:pPr>
      <w:r>
        <w:t xml:space="preserve">Current </w:t>
      </w:r>
    </w:p>
    <w:p w:rsidR="003544FC" w:rsidRDefault="003544FC" w:rsidP="00FE5B69">
      <w:pPr>
        <w:tabs>
          <w:tab w:val="left" w:pos="-720"/>
        </w:tabs>
        <w:suppressAutoHyphens/>
        <w:ind w:left="720"/>
      </w:pPr>
      <w:r>
        <w:t>Inventory:</w:t>
      </w:r>
      <w:r>
        <w:tab/>
      </w:r>
    </w:p>
    <w:p w:rsidR="003544FC" w:rsidRDefault="003544FC" w:rsidP="00FE5B69">
      <w:pPr>
        <w:tabs>
          <w:tab w:val="left" w:pos="-720"/>
        </w:tabs>
        <w:suppressAutoHyphens/>
        <w:ind w:left="720"/>
      </w:pPr>
      <w:r>
        <w:tab/>
        <w:t xml:space="preserve"># </w:t>
      </w:r>
      <w:proofErr w:type="gramStart"/>
      <w:r>
        <w:t>of</w:t>
      </w:r>
      <w:proofErr w:type="gramEnd"/>
      <w:r>
        <w:t xml:space="preserve"> Respondents</w:t>
      </w:r>
      <w:r>
        <w:tab/>
        <w:t xml:space="preserve">    # of Responses         </w:t>
      </w:r>
      <w:r>
        <w:tab/>
      </w:r>
      <w:r>
        <w:tab/>
        <w:t xml:space="preserve">    # Hrs</w:t>
      </w:r>
    </w:p>
    <w:p w:rsidR="003544FC" w:rsidRDefault="003544FC" w:rsidP="00FE5B69">
      <w:pPr>
        <w:tabs>
          <w:tab w:val="left" w:pos="-720"/>
        </w:tabs>
        <w:suppressAutoHyphens/>
        <w:ind w:left="720"/>
      </w:pPr>
      <w:r>
        <w:tab/>
      </w:r>
      <w:r>
        <w:tab/>
      </w:r>
      <w:r>
        <w:tab/>
      </w:r>
      <w:r>
        <w:tab/>
      </w:r>
      <w:r>
        <w:tab/>
        <w:t xml:space="preserve">             </w:t>
      </w:r>
      <w:r>
        <w:tab/>
      </w:r>
      <w:r>
        <w:tab/>
        <w:t xml:space="preserve"> </w:t>
      </w:r>
      <w:r>
        <w:tab/>
        <w:t xml:space="preserve">   Burden</w:t>
      </w:r>
    </w:p>
    <w:p w:rsidR="003544FC" w:rsidRDefault="003544FC">
      <w:pPr>
        <w:tabs>
          <w:tab w:val="left" w:pos="-720"/>
        </w:tabs>
        <w:suppressAutoHyphens/>
        <w:ind w:left="720" w:hanging="720"/>
      </w:pPr>
      <w:r>
        <w:tab/>
      </w:r>
      <w:r>
        <w:tab/>
      </w:r>
      <w:r>
        <w:tab/>
        <w:t>-0-</w:t>
      </w:r>
      <w:r>
        <w:tab/>
      </w:r>
      <w:r>
        <w:tab/>
        <w:t xml:space="preserve"> </w:t>
      </w:r>
      <w:r>
        <w:tab/>
        <w:t>-0-</w:t>
      </w:r>
      <w:r>
        <w:tab/>
      </w:r>
      <w:r>
        <w:tab/>
      </w:r>
      <w:r>
        <w:tab/>
        <w:t xml:space="preserve">  </w:t>
      </w:r>
      <w:r>
        <w:tab/>
        <w:t xml:space="preserve">       -0-</w:t>
      </w:r>
    </w:p>
    <w:p w:rsidR="003544FC" w:rsidRDefault="003544FC">
      <w:pPr>
        <w:tabs>
          <w:tab w:val="left" w:pos="-720"/>
        </w:tabs>
        <w:suppressAutoHyphens/>
        <w:ind w:left="720" w:hanging="720"/>
      </w:pPr>
    </w:p>
    <w:p w:rsidR="003544FC" w:rsidRDefault="003544FC" w:rsidP="00FE5B69">
      <w:pPr>
        <w:tabs>
          <w:tab w:val="left" w:pos="-720"/>
        </w:tabs>
        <w:suppressAutoHyphens/>
        <w:ind w:left="720"/>
      </w:pPr>
      <w:r>
        <w:t xml:space="preserve">Revised </w:t>
      </w:r>
    </w:p>
    <w:p w:rsidR="003544FC" w:rsidRDefault="003544FC" w:rsidP="00FE5B69">
      <w:pPr>
        <w:tabs>
          <w:tab w:val="left" w:pos="-720"/>
        </w:tabs>
        <w:suppressAutoHyphens/>
        <w:ind w:left="720"/>
      </w:pPr>
      <w:r>
        <w:t>Inventory:</w:t>
      </w:r>
      <w:r>
        <w:tab/>
      </w:r>
    </w:p>
    <w:p w:rsidR="003544FC" w:rsidRDefault="003544FC" w:rsidP="00FE5B69">
      <w:pPr>
        <w:tabs>
          <w:tab w:val="left" w:pos="-720"/>
        </w:tabs>
        <w:suppressAutoHyphens/>
        <w:ind w:left="720"/>
      </w:pPr>
      <w:r>
        <w:tab/>
        <w:t xml:space="preserve"># </w:t>
      </w:r>
      <w:proofErr w:type="gramStart"/>
      <w:r>
        <w:t>of</w:t>
      </w:r>
      <w:proofErr w:type="gramEnd"/>
      <w:r>
        <w:t xml:space="preserve"> Respondents</w:t>
      </w:r>
      <w:r>
        <w:tab/>
        <w:t># of Responses</w:t>
      </w:r>
      <w:r>
        <w:tab/>
      </w:r>
      <w:r>
        <w:tab/>
        <w:t xml:space="preserve">  </w:t>
      </w:r>
      <w:r>
        <w:tab/>
        <w:t xml:space="preserve">    # Hrs</w:t>
      </w:r>
    </w:p>
    <w:p w:rsidR="003544FC" w:rsidRDefault="003544FC" w:rsidP="00FE5B69">
      <w:pPr>
        <w:tabs>
          <w:tab w:val="left" w:pos="-720"/>
        </w:tabs>
        <w:suppressAutoHyphens/>
        <w:ind w:left="720"/>
      </w:pPr>
      <w:r>
        <w:tab/>
      </w:r>
      <w:r>
        <w:tab/>
      </w:r>
      <w:r>
        <w:tab/>
      </w:r>
      <w:r>
        <w:tab/>
      </w:r>
      <w:r>
        <w:tab/>
      </w:r>
      <w:r>
        <w:tab/>
      </w:r>
      <w:r>
        <w:tab/>
      </w:r>
      <w:r>
        <w:tab/>
      </w:r>
      <w:r>
        <w:tab/>
        <w:t xml:space="preserve">   Burden</w:t>
      </w:r>
    </w:p>
    <w:p w:rsidR="003544FC" w:rsidRDefault="003544FC" w:rsidP="00796FFC">
      <w:pPr>
        <w:tabs>
          <w:tab w:val="left" w:pos="-720"/>
        </w:tabs>
        <w:suppressAutoHyphens/>
        <w:ind w:left="720"/>
      </w:pPr>
      <w:r>
        <w:tab/>
        <w:t xml:space="preserve">     479,595</w:t>
      </w:r>
      <w:r>
        <w:tab/>
      </w:r>
      <w:r>
        <w:tab/>
        <w:t xml:space="preserve">     479,595   </w:t>
      </w:r>
      <w:r>
        <w:tab/>
      </w:r>
      <w:r>
        <w:tab/>
      </w:r>
      <w:r>
        <w:tab/>
      </w:r>
      <w:r>
        <w:tab/>
        <w:t xml:space="preserve">    54,336</w:t>
      </w:r>
    </w:p>
    <w:p w:rsidR="003544FC" w:rsidRDefault="003544FC" w:rsidP="00796FFC">
      <w:pPr>
        <w:tabs>
          <w:tab w:val="left" w:pos="-720"/>
        </w:tabs>
        <w:suppressAutoHyphens/>
        <w:ind w:left="720"/>
      </w:pPr>
    </w:p>
    <w:p w:rsidR="003544FC" w:rsidRPr="00FA2CF7" w:rsidRDefault="003544FC" w:rsidP="00FA2CF7">
      <w:pPr>
        <w:tabs>
          <w:tab w:val="left" w:pos="-720"/>
          <w:tab w:val="left" w:pos="0"/>
        </w:tabs>
        <w:suppressAutoHyphens/>
        <w:ind w:left="720" w:hanging="720"/>
        <w:rPr>
          <w:rStyle w:val="a"/>
          <w:b/>
        </w:rPr>
      </w:pPr>
      <w:r w:rsidRPr="008406F4">
        <w:t xml:space="preserve">16. </w:t>
      </w:r>
      <w:r>
        <w:tab/>
      </w:r>
      <w:r w:rsidRPr="00FA2CF7">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544FC" w:rsidRDefault="003544FC" w:rsidP="00FA2CF7">
      <w:pPr>
        <w:tabs>
          <w:tab w:val="left" w:pos="-720"/>
          <w:tab w:val="left" w:pos="0"/>
        </w:tabs>
        <w:suppressAutoHyphens/>
        <w:ind w:left="720" w:hanging="720"/>
        <w:rPr>
          <w:b/>
          <w:bCs/>
        </w:rPr>
      </w:pPr>
    </w:p>
    <w:p w:rsidR="003544FC" w:rsidRDefault="003544FC">
      <w:pPr>
        <w:tabs>
          <w:tab w:val="left" w:pos="-720"/>
          <w:tab w:val="left" w:pos="0"/>
        </w:tabs>
        <w:suppressAutoHyphens/>
        <w:ind w:left="720" w:hanging="720"/>
      </w:pPr>
      <w:r>
        <w:tab/>
        <w:t>This information will not be published</w:t>
      </w:r>
      <w:proofErr w:type="gramStart"/>
      <w:r>
        <w:t>..</w:t>
      </w:r>
      <w:proofErr w:type="gramEnd"/>
    </w:p>
    <w:p w:rsidR="003544FC" w:rsidRDefault="003544FC">
      <w:pPr>
        <w:tabs>
          <w:tab w:val="left" w:pos="-720"/>
        </w:tabs>
        <w:suppressAutoHyphens/>
      </w:pPr>
    </w:p>
    <w:p w:rsidR="003544FC" w:rsidRPr="00FA2CF7" w:rsidRDefault="003544FC" w:rsidP="00FA2CF7">
      <w:pPr>
        <w:tabs>
          <w:tab w:val="left" w:pos="-720"/>
        </w:tabs>
        <w:suppressAutoHyphens/>
        <w:ind w:left="720" w:hanging="720"/>
        <w:rPr>
          <w:b/>
        </w:rPr>
      </w:pPr>
      <w:r w:rsidRPr="008406F4">
        <w:t xml:space="preserve">17. </w:t>
      </w:r>
      <w:r>
        <w:tab/>
      </w:r>
      <w:r w:rsidRPr="00FA2CF7">
        <w:rPr>
          <w:rStyle w:val="a"/>
          <w:b/>
        </w:rPr>
        <w:t>If seeking approval to not display the expiration date for OMB approval of the information collection, explain the reasons that display would be inappropriate.</w:t>
      </w:r>
    </w:p>
    <w:p w:rsidR="003544FC" w:rsidRDefault="003544FC" w:rsidP="00FA2CF7">
      <w:pPr>
        <w:tabs>
          <w:tab w:val="left" w:pos="-720"/>
          <w:tab w:val="left" w:pos="0"/>
        </w:tabs>
        <w:suppressAutoHyphens/>
        <w:rPr>
          <w:b/>
          <w:bCs/>
        </w:rPr>
      </w:pPr>
    </w:p>
    <w:p w:rsidR="003544FC" w:rsidRDefault="003544FC" w:rsidP="00B42153">
      <w:pPr>
        <w:ind w:left="720"/>
      </w:pPr>
      <w:r>
        <w:t>ED is not seeking this approval.</w:t>
      </w:r>
      <w:r w:rsidDel="00DC31FF">
        <w:t xml:space="preserve"> </w:t>
      </w:r>
      <w:r w:rsidR="00B42153">
        <w:t>The OMB expiration dates will be displayed in the Federal Register once approved.</w:t>
      </w:r>
    </w:p>
    <w:p w:rsidR="003544FC" w:rsidRPr="007F537F" w:rsidRDefault="003544FC" w:rsidP="007F537F"/>
    <w:p w:rsidR="00A73B4A" w:rsidRDefault="003544FC">
      <w:pPr>
        <w:ind w:left="720" w:hanging="720"/>
        <w:rPr>
          <w:b/>
        </w:rPr>
      </w:pPr>
      <w:r w:rsidRPr="008406F4">
        <w:t xml:space="preserve">18. </w:t>
      </w:r>
      <w:r>
        <w:tab/>
      </w:r>
      <w:r w:rsidRPr="00FA2CF7">
        <w:rPr>
          <w:rStyle w:val="a"/>
          <w:b/>
        </w:rPr>
        <w:t>Explain each exception to the certification statement identified in the Certification of Paperwork Reduction Act.</w:t>
      </w:r>
    </w:p>
    <w:p w:rsidR="003544FC" w:rsidRDefault="003544FC" w:rsidP="00FA2CF7">
      <w:pPr>
        <w:tabs>
          <w:tab w:val="left" w:pos="-720"/>
          <w:tab w:val="left" w:pos="0"/>
        </w:tabs>
        <w:suppressAutoHyphens/>
        <w:rPr>
          <w:b/>
          <w:bCs/>
        </w:rPr>
      </w:pPr>
    </w:p>
    <w:p w:rsidR="003544FC" w:rsidRDefault="003544FC">
      <w:pPr>
        <w:tabs>
          <w:tab w:val="left" w:pos="-720"/>
          <w:tab w:val="left" w:pos="0"/>
        </w:tabs>
        <w:suppressAutoHyphens/>
        <w:ind w:left="720" w:hanging="720"/>
      </w:pPr>
      <w:r>
        <w:tab/>
        <w:t>There are no exceptions.</w:t>
      </w:r>
    </w:p>
    <w:sectPr w:rsidR="003544FC" w:rsidSect="00B30372">
      <w:footerReference w:type="default" r:id="rId7"/>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1C5" w:rsidRDefault="005621C5" w:rsidP="0087506A">
      <w:r>
        <w:separator/>
      </w:r>
    </w:p>
  </w:endnote>
  <w:endnote w:type="continuationSeparator" w:id="0">
    <w:p w:rsidR="005621C5" w:rsidRDefault="005621C5" w:rsidP="0087506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1C5" w:rsidRDefault="005621C5">
    <w:pPr>
      <w:spacing w:before="140" w:line="100" w:lineRule="exact"/>
      <w:rPr>
        <w:sz w:val="10"/>
      </w:rPr>
    </w:pPr>
  </w:p>
  <w:p w:rsidR="005621C5" w:rsidRDefault="005621C5">
    <w:pPr>
      <w:suppressAutoHyphens/>
    </w:pPr>
  </w:p>
  <w:p w:rsidR="005621C5" w:rsidRDefault="00A73B4A">
    <w:r>
      <w:rPr>
        <w:noProof/>
      </w:rPr>
      <w:pict>
        <v:rect id="_x0000_s2049" style="position:absolute;margin-left:1in;margin-top:12pt;width:468pt;height:12pt;z-index:251660288;mso-position-horizontal-relative:page" o:allowincell="f" filled="f" stroked="f" strokeweight="0">
          <v:textbox inset="0,0,0,0">
            <w:txbxContent>
              <w:p w:rsidR="005621C5" w:rsidRDefault="005621C5">
                <w:pPr>
                  <w:tabs>
                    <w:tab w:val="center" w:pos="4680"/>
                    <w:tab w:val="right" w:pos="9360"/>
                  </w:tabs>
                </w:pPr>
                <w:r>
                  <w:tab/>
                </w:r>
                <w:fldSimple w:instr="page \* arabic">
                  <w:r w:rsidR="002D0B15">
                    <w:rPr>
                      <w:noProof/>
                    </w:rPr>
                    <w:t>9</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1C5" w:rsidRDefault="005621C5" w:rsidP="0087506A">
      <w:r>
        <w:separator/>
      </w:r>
    </w:p>
  </w:footnote>
  <w:footnote w:type="continuationSeparator" w:id="0">
    <w:p w:rsidR="005621C5" w:rsidRDefault="005621C5" w:rsidP="00875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07B7E81"/>
    <w:multiLevelType w:val="hybridMultilevel"/>
    <w:tmpl w:val="1376F220"/>
    <w:lvl w:ilvl="0" w:tplc="4866C370">
      <w:start w:val="1"/>
      <w:numFmt w:val="decimal"/>
      <w:lvlText w:val="%1."/>
      <w:lvlJc w:val="left"/>
      <w:pPr>
        <w:tabs>
          <w:tab w:val="num" w:pos="720"/>
        </w:tabs>
        <w:ind w:left="720" w:hanging="600"/>
      </w:pPr>
      <w:rPr>
        <w:rFonts w:cs="Times New Roman" w:hint="default"/>
        <w:b w:val="0"/>
      </w:rPr>
    </w:lvl>
    <w:lvl w:ilvl="1" w:tplc="04090019">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2">
    <w:nsid w:val="154F2124"/>
    <w:multiLevelType w:val="hybridMultilevel"/>
    <w:tmpl w:val="47C4B846"/>
    <w:lvl w:ilvl="0" w:tplc="6C22E4A6">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25B671C5"/>
    <w:multiLevelType w:val="hybridMultilevel"/>
    <w:tmpl w:val="8CF0694A"/>
    <w:lvl w:ilvl="0" w:tplc="E1A4EC36">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B6B5965"/>
    <w:multiLevelType w:val="hybridMultilevel"/>
    <w:tmpl w:val="D9288266"/>
    <w:lvl w:ilvl="0" w:tplc="C2DE3A2A">
      <w:start w:val="18"/>
      <w:numFmt w:val="decimal"/>
      <w:lvlText w:val="%1."/>
      <w:lvlJc w:val="left"/>
      <w:pPr>
        <w:tabs>
          <w:tab w:val="num" w:pos="480"/>
        </w:tabs>
        <w:ind w:left="480" w:hanging="360"/>
      </w:pPr>
      <w:rPr>
        <w:rFonts w:cs="Times New Roman" w:hint="default"/>
        <w:b w:val="0"/>
      </w:rPr>
    </w:lvl>
    <w:lvl w:ilvl="1" w:tplc="04090019" w:tentative="1">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B9047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D6BA4990"/>
    <w:lvl w:ilvl="0" w:tplc="04090005">
      <w:start w:val="1"/>
      <w:numFmt w:val="bullet"/>
      <w:lvlText w:val=""/>
      <w:lvlJc w:val="left"/>
      <w:pPr>
        <w:tabs>
          <w:tab w:val="num" w:pos="1060"/>
        </w:tabs>
        <w:ind w:left="1060" w:hanging="360"/>
      </w:pPr>
      <w:rPr>
        <w:rFonts w:ascii="Wingdings" w:hAnsi="Wingdings" w:hint="default"/>
      </w:rPr>
    </w:lvl>
    <w:lvl w:ilvl="1" w:tplc="04090001">
      <w:start w:val="1"/>
      <w:numFmt w:val="bullet"/>
      <w:lvlText w:val=""/>
      <w:lvlJc w:val="left"/>
      <w:pPr>
        <w:tabs>
          <w:tab w:val="num" w:pos="1780"/>
        </w:tabs>
        <w:ind w:left="1780" w:hanging="360"/>
      </w:pPr>
      <w:rPr>
        <w:rFonts w:ascii="Symbol" w:hAnsi="Symbol"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16C6971"/>
    <w:multiLevelType w:val="hybridMultilevel"/>
    <w:tmpl w:val="5F62AD0A"/>
    <w:lvl w:ilvl="0" w:tplc="8D5EB89A">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71B62676"/>
    <w:multiLevelType w:val="hybridMultilevel"/>
    <w:tmpl w:val="1376F220"/>
    <w:lvl w:ilvl="0" w:tplc="4866C370">
      <w:start w:val="1"/>
      <w:numFmt w:val="decimal"/>
      <w:lvlText w:val="%1."/>
      <w:lvlJc w:val="left"/>
      <w:pPr>
        <w:tabs>
          <w:tab w:val="num" w:pos="720"/>
        </w:tabs>
        <w:ind w:left="720" w:hanging="600"/>
      </w:pPr>
      <w:rPr>
        <w:rFonts w:cs="Times New Roman" w:hint="default"/>
        <w:b w:val="0"/>
      </w:rPr>
    </w:lvl>
    <w:lvl w:ilvl="1" w:tplc="04090019">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abstractNum w:abstractNumId="10">
    <w:nsid w:val="798B16EC"/>
    <w:multiLevelType w:val="hybridMultilevel"/>
    <w:tmpl w:val="1376F220"/>
    <w:lvl w:ilvl="0" w:tplc="4866C370">
      <w:start w:val="1"/>
      <w:numFmt w:val="decimal"/>
      <w:lvlText w:val="%1."/>
      <w:lvlJc w:val="left"/>
      <w:pPr>
        <w:tabs>
          <w:tab w:val="num" w:pos="600"/>
        </w:tabs>
        <w:ind w:left="600" w:hanging="600"/>
      </w:pPr>
      <w:rPr>
        <w:rFonts w:cs="Times New Roman" w:hint="default"/>
        <w:b w:val="0"/>
      </w:rPr>
    </w:lvl>
    <w:lvl w:ilvl="1" w:tplc="04090019">
      <w:start w:val="1"/>
      <w:numFmt w:val="lowerLetter"/>
      <w:lvlText w:val="%2."/>
      <w:lvlJc w:val="left"/>
      <w:pPr>
        <w:tabs>
          <w:tab w:val="num" w:pos="1200"/>
        </w:tabs>
        <w:ind w:left="1200" w:hanging="360"/>
      </w:pPr>
      <w:rPr>
        <w:rFonts w:cs="Times New Roman"/>
      </w:rPr>
    </w:lvl>
    <w:lvl w:ilvl="2" w:tplc="0409001B" w:tentative="1">
      <w:start w:val="1"/>
      <w:numFmt w:val="lowerRoman"/>
      <w:lvlText w:val="%3."/>
      <w:lvlJc w:val="right"/>
      <w:pPr>
        <w:tabs>
          <w:tab w:val="num" w:pos="1920"/>
        </w:tabs>
        <w:ind w:left="1920" w:hanging="180"/>
      </w:pPr>
      <w:rPr>
        <w:rFonts w:cs="Times New Roman"/>
      </w:rPr>
    </w:lvl>
    <w:lvl w:ilvl="3" w:tplc="0409000F" w:tentative="1">
      <w:start w:val="1"/>
      <w:numFmt w:val="decimal"/>
      <w:lvlText w:val="%4."/>
      <w:lvlJc w:val="left"/>
      <w:pPr>
        <w:tabs>
          <w:tab w:val="num" w:pos="2640"/>
        </w:tabs>
        <w:ind w:left="2640" w:hanging="360"/>
      </w:pPr>
      <w:rPr>
        <w:rFonts w:cs="Times New Roman"/>
      </w:rPr>
    </w:lvl>
    <w:lvl w:ilvl="4" w:tplc="04090019" w:tentative="1">
      <w:start w:val="1"/>
      <w:numFmt w:val="lowerLetter"/>
      <w:lvlText w:val="%5."/>
      <w:lvlJc w:val="left"/>
      <w:pPr>
        <w:tabs>
          <w:tab w:val="num" w:pos="3360"/>
        </w:tabs>
        <w:ind w:left="3360" w:hanging="360"/>
      </w:pPr>
      <w:rPr>
        <w:rFonts w:cs="Times New Roman"/>
      </w:rPr>
    </w:lvl>
    <w:lvl w:ilvl="5" w:tplc="0409001B" w:tentative="1">
      <w:start w:val="1"/>
      <w:numFmt w:val="lowerRoman"/>
      <w:lvlText w:val="%6."/>
      <w:lvlJc w:val="right"/>
      <w:pPr>
        <w:tabs>
          <w:tab w:val="num" w:pos="4080"/>
        </w:tabs>
        <w:ind w:left="4080" w:hanging="180"/>
      </w:pPr>
      <w:rPr>
        <w:rFonts w:cs="Times New Roman"/>
      </w:rPr>
    </w:lvl>
    <w:lvl w:ilvl="6" w:tplc="0409000F" w:tentative="1">
      <w:start w:val="1"/>
      <w:numFmt w:val="decimal"/>
      <w:lvlText w:val="%7."/>
      <w:lvlJc w:val="left"/>
      <w:pPr>
        <w:tabs>
          <w:tab w:val="num" w:pos="4800"/>
        </w:tabs>
        <w:ind w:left="4800" w:hanging="360"/>
      </w:pPr>
      <w:rPr>
        <w:rFonts w:cs="Times New Roman"/>
      </w:rPr>
    </w:lvl>
    <w:lvl w:ilvl="7" w:tplc="04090019" w:tentative="1">
      <w:start w:val="1"/>
      <w:numFmt w:val="lowerLetter"/>
      <w:lvlText w:val="%8."/>
      <w:lvlJc w:val="left"/>
      <w:pPr>
        <w:tabs>
          <w:tab w:val="num" w:pos="5520"/>
        </w:tabs>
        <w:ind w:left="5520" w:hanging="360"/>
      </w:pPr>
      <w:rPr>
        <w:rFonts w:cs="Times New Roman"/>
      </w:rPr>
    </w:lvl>
    <w:lvl w:ilvl="8" w:tplc="0409001B" w:tentative="1">
      <w:start w:val="1"/>
      <w:numFmt w:val="lowerRoman"/>
      <w:lvlText w:val="%9."/>
      <w:lvlJc w:val="right"/>
      <w:pPr>
        <w:tabs>
          <w:tab w:val="num" w:pos="6240"/>
        </w:tabs>
        <w:ind w:left="6240" w:hanging="180"/>
      </w:pPr>
      <w:rPr>
        <w:rFonts w:cs="Times New Roman"/>
      </w:rPr>
    </w:lvl>
  </w:abstractNum>
  <w:num w:numId="1">
    <w:abstractNumId w:val="10"/>
  </w:num>
  <w:num w:numId="2">
    <w:abstractNumId w:val="3"/>
  </w:num>
  <w:num w:numId="3">
    <w:abstractNumId w:val="4"/>
  </w:num>
  <w:num w:numId="4">
    <w:abstractNumId w:val="2"/>
  </w:num>
  <w:num w:numId="5">
    <w:abstractNumId w:val="8"/>
  </w:num>
  <w:num w:numId="6">
    <w:abstractNumId w:val="9"/>
  </w:num>
  <w:num w:numId="7">
    <w:abstractNumId w:val="1"/>
  </w:num>
  <w:num w:numId="8">
    <w:abstractNumId w:val="6"/>
  </w:num>
  <w:num w:numId="9">
    <w:abstractNumId w:val="5"/>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87506A"/>
    <w:rsid w:val="00015519"/>
    <w:rsid w:val="00023168"/>
    <w:rsid w:val="00040B3D"/>
    <w:rsid w:val="0007332E"/>
    <w:rsid w:val="000766BD"/>
    <w:rsid w:val="000D16D6"/>
    <w:rsid w:val="000F3B6C"/>
    <w:rsid w:val="001108E0"/>
    <w:rsid w:val="001577A3"/>
    <w:rsid w:val="00181694"/>
    <w:rsid w:val="00187724"/>
    <w:rsid w:val="00192E3B"/>
    <w:rsid w:val="001A7AA9"/>
    <w:rsid w:val="001B04E2"/>
    <w:rsid w:val="0020099D"/>
    <w:rsid w:val="00202516"/>
    <w:rsid w:val="00207BDF"/>
    <w:rsid w:val="00215E70"/>
    <w:rsid w:val="002161DD"/>
    <w:rsid w:val="00283AB0"/>
    <w:rsid w:val="002930FA"/>
    <w:rsid w:val="002B578A"/>
    <w:rsid w:val="002B781E"/>
    <w:rsid w:val="002C2045"/>
    <w:rsid w:val="002D0B15"/>
    <w:rsid w:val="002D2180"/>
    <w:rsid w:val="003058DA"/>
    <w:rsid w:val="00315C9D"/>
    <w:rsid w:val="00321117"/>
    <w:rsid w:val="003234D2"/>
    <w:rsid w:val="003544FC"/>
    <w:rsid w:val="0037439B"/>
    <w:rsid w:val="00391C8E"/>
    <w:rsid w:val="003A0AF0"/>
    <w:rsid w:val="003C1E07"/>
    <w:rsid w:val="00402DD8"/>
    <w:rsid w:val="004227A7"/>
    <w:rsid w:val="00423ECC"/>
    <w:rsid w:val="00444FFE"/>
    <w:rsid w:val="00462533"/>
    <w:rsid w:val="00483CBF"/>
    <w:rsid w:val="00496437"/>
    <w:rsid w:val="004B0730"/>
    <w:rsid w:val="004C7002"/>
    <w:rsid w:val="004D0FDA"/>
    <w:rsid w:val="004D42EE"/>
    <w:rsid w:val="004F4E8F"/>
    <w:rsid w:val="004F5568"/>
    <w:rsid w:val="00506075"/>
    <w:rsid w:val="00511FFD"/>
    <w:rsid w:val="005120D8"/>
    <w:rsid w:val="00516D77"/>
    <w:rsid w:val="00527654"/>
    <w:rsid w:val="005368DE"/>
    <w:rsid w:val="00545273"/>
    <w:rsid w:val="005621C5"/>
    <w:rsid w:val="005742D8"/>
    <w:rsid w:val="005A1CDD"/>
    <w:rsid w:val="005A68B8"/>
    <w:rsid w:val="005C7FD5"/>
    <w:rsid w:val="005D7457"/>
    <w:rsid w:val="005F30E9"/>
    <w:rsid w:val="00600EC0"/>
    <w:rsid w:val="00615BA5"/>
    <w:rsid w:val="00636FE3"/>
    <w:rsid w:val="00637A46"/>
    <w:rsid w:val="00684AC6"/>
    <w:rsid w:val="00684EE3"/>
    <w:rsid w:val="006C1AEB"/>
    <w:rsid w:val="006C289B"/>
    <w:rsid w:val="006F234B"/>
    <w:rsid w:val="006F40DB"/>
    <w:rsid w:val="006F44CF"/>
    <w:rsid w:val="00760529"/>
    <w:rsid w:val="00777108"/>
    <w:rsid w:val="00783130"/>
    <w:rsid w:val="0079015B"/>
    <w:rsid w:val="00795C56"/>
    <w:rsid w:val="00796FFC"/>
    <w:rsid w:val="007F537F"/>
    <w:rsid w:val="00815E9D"/>
    <w:rsid w:val="008406F4"/>
    <w:rsid w:val="00856723"/>
    <w:rsid w:val="0087506A"/>
    <w:rsid w:val="008874D4"/>
    <w:rsid w:val="0089370D"/>
    <w:rsid w:val="008B2762"/>
    <w:rsid w:val="008D3014"/>
    <w:rsid w:val="008D6643"/>
    <w:rsid w:val="009130D6"/>
    <w:rsid w:val="00926DF2"/>
    <w:rsid w:val="0095693A"/>
    <w:rsid w:val="00973645"/>
    <w:rsid w:val="009C5C7C"/>
    <w:rsid w:val="009D18A9"/>
    <w:rsid w:val="009D4284"/>
    <w:rsid w:val="009E6434"/>
    <w:rsid w:val="009F037D"/>
    <w:rsid w:val="00A30BAA"/>
    <w:rsid w:val="00A72B58"/>
    <w:rsid w:val="00A73B4A"/>
    <w:rsid w:val="00A75817"/>
    <w:rsid w:val="00A764AA"/>
    <w:rsid w:val="00A77DF1"/>
    <w:rsid w:val="00A860D5"/>
    <w:rsid w:val="00A939F0"/>
    <w:rsid w:val="00B223EA"/>
    <w:rsid w:val="00B30372"/>
    <w:rsid w:val="00B30729"/>
    <w:rsid w:val="00B42153"/>
    <w:rsid w:val="00B510AC"/>
    <w:rsid w:val="00B87DB6"/>
    <w:rsid w:val="00BC02EE"/>
    <w:rsid w:val="00C04067"/>
    <w:rsid w:val="00C05553"/>
    <w:rsid w:val="00C42B92"/>
    <w:rsid w:val="00C7086D"/>
    <w:rsid w:val="00C8689C"/>
    <w:rsid w:val="00D022C4"/>
    <w:rsid w:val="00D12013"/>
    <w:rsid w:val="00D813AC"/>
    <w:rsid w:val="00D944AA"/>
    <w:rsid w:val="00DA5788"/>
    <w:rsid w:val="00DA6674"/>
    <w:rsid w:val="00DA725D"/>
    <w:rsid w:val="00DC31FF"/>
    <w:rsid w:val="00DD179C"/>
    <w:rsid w:val="00DE5EAC"/>
    <w:rsid w:val="00E23A65"/>
    <w:rsid w:val="00E24427"/>
    <w:rsid w:val="00E35977"/>
    <w:rsid w:val="00E61DFE"/>
    <w:rsid w:val="00E8572E"/>
    <w:rsid w:val="00EA23E9"/>
    <w:rsid w:val="00ED0047"/>
    <w:rsid w:val="00EF26F7"/>
    <w:rsid w:val="00F85A1E"/>
    <w:rsid w:val="00FA2581"/>
    <w:rsid w:val="00FA2CF7"/>
    <w:rsid w:val="00FA380A"/>
    <w:rsid w:val="00FB0696"/>
    <w:rsid w:val="00FB238B"/>
    <w:rsid w:val="00FD6AE4"/>
    <w:rsid w:val="00FE2A60"/>
    <w:rsid w:val="00FE4B51"/>
    <w:rsid w:val="00FE5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72"/>
    <w:rPr>
      <w:sz w:val="24"/>
      <w:szCs w:val="24"/>
    </w:rPr>
  </w:style>
  <w:style w:type="paragraph" w:styleId="Heading1">
    <w:name w:val="heading 1"/>
    <w:basedOn w:val="Normal"/>
    <w:next w:val="Normal"/>
    <w:link w:val="Heading1Char"/>
    <w:uiPriority w:val="99"/>
    <w:qFormat/>
    <w:rsid w:val="00B30372"/>
    <w:pPr>
      <w:keepNext/>
      <w:tabs>
        <w:tab w:val="left" w:pos="-720"/>
      </w:tabs>
      <w:suppressAutoHyphen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9E4"/>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uiPriority w:val="99"/>
    <w:semiHidden/>
    <w:rsid w:val="00B30372"/>
    <w:pPr>
      <w:tabs>
        <w:tab w:val="left" w:pos="-720"/>
        <w:tab w:val="left" w:pos="0"/>
      </w:tabs>
      <w:suppressAutoHyphens/>
      <w:ind w:left="720"/>
    </w:pPr>
  </w:style>
  <w:style w:type="character" w:customStyle="1" w:styleId="BodyTextIndentChar">
    <w:name w:val="Body Text Indent Char"/>
    <w:basedOn w:val="DefaultParagraphFont"/>
    <w:link w:val="BodyTextIndent"/>
    <w:uiPriority w:val="99"/>
    <w:semiHidden/>
    <w:rsid w:val="00B439E4"/>
    <w:rPr>
      <w:sz w:val="24"/>
      <w:szCs w:val="24"/>
    </w:rPr>
  </w:style>
  <w:style w:type="paragraph" w:styleId="Header">
    <w:name w:val="header"/>
    <w:basedOn w:val="Normal"/>
    <w:link w:val="HeaderChar"/>
    <w:uiPriority w:val="99"/>
    <w:semiHidden/>
    <w:rsid w:val="00815E9D"/>
    <w:pPr>
      <w:tabs>
        <w:tab w:val="center" w:pos="4680"/>
        <w:tab w:val="right" w:pos="9360"/>
      </w:tabs>
    </w:pPr>
  </w:style>
  <w:style w:type="character" w:customStyle="1" w:styleId="HeaderChar">
    <w:name w:val="Header Char"/>
    <w:basedOn w:val="DefaultParagraphFont"/>
    <w:link w:val="Header"/>
    <w:uiPriority w:val="99"/>
    <w:semiHidden/>
    <w:locked/>
    <w:rsid w:val="00815E9D"/>
    <w:rPr>
      <w:rFonts w:cs="Times New Roman"/>
      <w:sz w:val="24"/>
      <w:szCs w:val="24"/>
    </w:rPr>
  </w:style>
  <w:style w:type="paragraph" w:styleId="Footer">
    <w:name w:val="footer"/>
    <w:basedOn w:val="Normal"/>
    <w:link w:val="FooterChar"/>
    <w:uiPriority w:val="99"/>
    <w:semiHidden/>
    <w:rsid w:val="00815E9D"/>
    <w:pPr>
      <w:tabs>
        <w:tab w:val="center" w:pos="4680"/>
        <w:tab w:val="right" w:pos="9360"/>
      </w:tabs>
    </w:pPr>
  </w:style>
  <w:style w:type="character" w:customStyle="1" w:styleId="FooterChar">
    <w:name w:val="Footer Char"/>
    <w:basedOn w:val="DefaultParagraphFont"/>
    <w:link w:val="Footer"/>
    <w:uiPriority w:val="99"/>
    <w:semiHidden/>
    <w:locked/>
    <w:rsid w:val="00815E9D"/>
    <w:rPr>
      <w:rFonts w:cs="Times New Roman"/>
      <w:sz w:val="24"/>
      <w:szCs w:val="24"/>
    </w:rPr>
  </w:style>
  <w:style w:type="character" w:styleId="CommentReference">
    <w:name w:val="annotation reference"/>
    <w:basedOn w:val="DefaultParagraphFont"/>
    <w:uiPriority w:val="99"/>
    <w:semiHidden/>
    <w:rsid w:val="00C42B92"/>
    <w:rPr>
      <w:rFonts w:cs="Times New Roman"/>
      <w:sz w:val="16"/>
      <w:szCs w:val="16"/>
    </w:rPr>
  </w:style>
  <w:style w:type="paragraph" w:styleId="CommentText">
    <w:name w:val="annotation text"/>
    <w:basedOn w:val="Normal"/>
    <w:link w:val="CommentTextChar"/>
    <w:uiPriority w:val="99"/>
    <w:semiHidden/>
    <w:rsid w:val="00C42B92"/>
    <w:rPr>
      <w:sz w:val="20"/>
      <w:szCs w:val="20"/>
    </w:rPr>
  </w:style>
  <w:style w:type="character" w:customStyle="1" w:styleId="CommentTextChar">
    <w:name w:val="Comment Text Char"/>
    <w:basedOn w:val="DefaultParagraphFont"/>
    <w:link w:val="CommentText"/>
    <w:uiPriority w:val="99"/>
    <w:semiHidden/>
    <w:rsid w:val="00B439E4"/>
    <w:rPr>
      <w:sz w:val="20"/>
      <w:szCs w:val="20"/>
    </w:rPr>
  </w:style>
  <w:style w:type="paragraph" w:styleId="CommentSubject">
    <w:name w:val="annotation subject"/>
    <w:basedOn w:val="CommentText"/>
    <w:next w:val="CommentText"/>
    <w:link w:val="CommentSubjectChar"/>
    <w:uiPriority w:val="99"/>
    <w:semiHidden/>
    <w:rsid w:val="00C42B92"/>
    <w:rPr>
      <w:b/>
      <w:bCs/>
    </w:rPr>
  </w:style>
  <w:style w:type="character" w:customStyle="1" w:styleId="CommentSubjectChar">
    <w:name w:val="Comment Subject Char"/>
    <w:basedOn w:val="CommentTextChar"/>
    <w:link w:val="CommentSubject"/>
    <w:uiPriority w:val="99"/>
    <w:semiHidden/>
    <w:rsid w:val="00B439E4"/>
    <w:rPr>
      <w:b/>
      <w:bCs/>
    </w:rPr>
  </w:style>
  <w:style w:type="paragraph" w:styleId="BalloonText">
    <w:name w:val="Balloon Text"/>
    <w:basedOn w:val="Normal"/>
    <w:link w:val="BalloonTextChar"/>
    <w:uiPriority w:val="99"/>
    <w:semiHidden/>
    <w:rsid w:val="00C42B92"/>
    <w:rPr>
      <w:rFonts w:ascii="Tahoma" w:hAnsi="Tahoma" w:cs="Tahoma"/>
      <w:sz w:val="16"/>
      <w:szCs w:val="16"/>
    </w:rPr>
  </w:style>
  <w:style w:type="character" w:customStyle="1" w:styleId="BalloonTextChar">
    <w:name w:val="Balloon Text Char"/>
    <w:basedOn w:val="DefaultParagraphFont"/>
    <w:link w:val="BalloonText"/>
    <w:uiPriority w:val="99"/>
    <w:semiHidden/>
    <w:rsid w:val="00B439E4"/>
    <w:rPr>
      <w:sz w:val="0"/>
      <w:szCs w:val="0"/>
    </w:rPr>
  </w:style>
  <w:style w:type="character" w:customStyle="1" w:styleId="a">
    <w:name w:val="À"/>
    <w:basedOn w:val="DefaultParagraphFont"/>
    <w:uiPriority w:val="99"/>
    <w:rsid w:val="00A764AA"/>
    <w:rPr>
      <w:rFonts w:cs="Times New Roman"/>
    </w:rPr>
  </w:style>
  <w:style w:type="paragraph" w:styleId="ListParagraph">
    <w:name w:val="List Paragraph"/>
    <w:basedOn w:val="Normal"/>
    <w:uiPriority w:val="99"/>
    <w:qFormat/>
    <w:rsid w:val="008D66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2992</Words>
  <Characters>16978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Dan.Klock</dc:creator>
  <cp:lastModifiedBy>Authorised User</cp:lastModifiedBy>
  <cp:revision>3</cp:revision>
  <cp:lastPrinted>2010-06-28T19:36:00Z</cp:lastPrinted>
  <dcterms:created xsi:type="dcterms:W3CDTF">2010-10-21T19:52:00Z</dcterms:created>
  <dcterms:modified xsi:type="dcterms:W3CDTF">2010-10-21T19:55:00Z</dcterms:modified>
</cp:coreProperties>
</file>