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9D" w:rsidRPr="001B5062" w:rsidRDefault="0098689D" w:rsidP="001B5062">
      <w:pPr>
        <w:pStyle w:val="Title1"/>
      </w:pPr>
      <w:r w:rsidRPr="001B5062">
        <w:t>Supporting Statement for PRA Submission</w:t>
      </w:r>
    </w:p>
    <w:p w:rsidR="0098689D" w:rsidRPr="001B5062" w:rsidRDefault="0098689D" w:rsidP="001B5062">
      <w:pPr>
        <w:pStyle w:val="Title1"/>
      </w:pPr>
      <w:r w:rsidRPr="001B5062">
        <w:t xml:space="preserve">Ammonium Nitrate </w:t>
      </w:r>
      <w:r>
        <w:t xml:space="preserve">Security </w:t>
      </w:r>
      <w:r w:rsidRPr="001B5062">
        <w:t>Program</w:t>
      </w:r>
    </w:p>
    <w:p w:rsidR="0098689D" w:rsidRPr="001B5062" w:rsidRDefault="0098689D" w:rsidP="001B5062">
      <w:pPr>
        <w:pStyle w:val="Title1"/>
      </w:pPr>
      <w:r w:rsidRPr="001B5062">
        <w:t>OMB Control Number 1670-NEW</w:t>
      </w:r>
    </w:p>
    <w:p w:rsidR="0098689D" w:rsidRPr="00537253" w:rsidRDefault="00D125D3" w:rsidP="00833CD7">
      <w:r>
        <w:pict>
          <v:rect id="_x0000_i1025" style="width:0;height:1.5pt" o:hralign="center" o:hrstd="t" o:hr="t" fillcolor="#aca899" stroked="f"/>
        </w:pict>
      </w:r>
    </w:p>
    <w:p w:rsidR="0098689D" w:rsidRPr="00317A3A" w:rsidRDefault="0098689D" w:rsidP="00317A3A">
      <w:pPr>
        <w:pStyle w:val="Heading1"/>
      </w:pPr>
      <w:r w:rsidRPr="00317A3A">
        <w:t>A.</w:t>
      </w:r>
      <w:r w:rsidRPr="00317A3A">
        <w:tab/>
        <w:t>JUSTIFICATION</w:t>
      </w:r>
    </w:p>
    <w:p w:rsidR="0098689D" w:rsidRPr="007E0849" w:rsidRDefault="0098689D" w:rsidP="007E0849">
      <w:pPr>
        <w:pStyle w:val="Heading2"/>
      </w:pPr>
      <w:r w:rsidRPr="007E0849">
        <w:t>Circumstances Making the Collection of Information Necessary</w:t>
      </w:r>
    </w:p>
    <w:p w:rsidR="0098689D" w:rsidRPr="00D51596" w:rsidRDefault="0098689D" w:rsidP="00D51596">
      <w:pPr>
        <w:spacing w:after="120"/>
      </w:pPr>
      <w:r w:rsidRPr="00D51596">
        <w:rPr>
          <w:rFonts w:ascii="Times New Roman" w:hAnsi="Times New Roman"/>
        </w:rPr>
        <w:t xml:space="preserve">Section 563 of the Fiscal Year 2008 Department of Homeland Security Appropriations Act amends the Homeland Security Act of 2002 and directs DHS to “regulate the sale and transfer of ammonium nitrate by an ammonium nitrate facility . . . to prevent the misappropriation or use of ammonium nitrate in an act of terrorism.”  </w:t>
      </w:r>
      <w:r w:rsidRPr="00D51596">
        <w:rPr>
          <w:rFonts w:ascii="Times New Roman" w:hAnsi="Times New Roman"/>
          <w:u w:val="single"/>
        </w:rPr>
        <w:t>See</w:t>
      </w:r>
      <w:r w:rsidRPr="00D51596">
        <w:rPr>
          <w:rFonts w:ascii="Times New Roman" w:hAnsi="Times New Roman"/>
        </w:rPr>
        <w:t xml:space="preserve"> Pub. L. 110-161, Division E (2007). Section 563 amends the Homeland Security Act of 2002 (6 U.</w:t>
      </w:r>
      <w:r>
        <w:rPr>
          <w:rFonts w:ascii="Times New Roman" w:hAnsi="Times New Roman"/>
        </w:rPr>
        <w:t>S</w:t>
      </w:r>
      <w:r w:rsidRPr="00D51596">
        <w:rPr>
          <w:rFonts w:ascii="Times New Roman" w:hAnsi="Times New Roman"/>
        </w:rPr>
        <w:t xml:space="preserve">.C. 361 et seq.) by adding in a new Subtitle J </w:t>
      </w:r>
      <w:r w:rsidRPr="001D0D88">
        <w:rPr>
          <w:rFonts w:ascii="Times New Roman" w:hAnsi="Times New Roman"/>
        </w:rPr>
        <w:t>–</w:t>
      </w:r>
      <w:r w:rsidRPr="00D51596">
        <w:rPr>
          <w:rFonts w:ascii="Times New Roman" w:hAnsi="Times New Roman"/>
        </w:rPr>
        <w:t xml:space="preserve"> Secure Handling of Ammonium Nitrate, sections 899A - 899J (to be codified from 6 U.S.C. </w:t>
      </w:r>
      <w:r>
        <w:rPr>
          <w:rFonts w:ascii="Times New Roman" w:hAnsi="Times New Roman"/>
        </w:rPr>
        <w:t xml:space="preserve">   </w:t>
      </w:r>
      <w:r w:rsidRPr="00D51596">
        <w:rPr>
          <w:rFonts w:ascii="Times New Roman" w:hAnsi="Times New Roman"/>
        </w:rPr>
        <w:t>§ 488 to 6 U.S.C. § 488i). All references to 6 U.S.C. §§ 488 - 488i throughout this document refer to the corresponding sections in the Homeland Security Act of 2002, as amended by section 563 of the Fiscal Year 2008 Department of Homeland Security Appropriations Act.  All references to “Subtitle J” throughout this document refer to Subtitle J of the Homeland Security Act of 2002, as created by the Fiscal Year 2008 Department of Homeland Security Appropriations Act.</w:t>
      </w:r>
    </w:p>
    <w:p w:rsidR="0098689D" w:rsidRPr="007C7D9C" w:rsidRDefault="0098689D" w:rsidP="001B0A7E">
      <w:pPr>
        <w:pStyle w:val="Body"/>
        <w:ind w:firstLine="0"/>
        <w:rPr>
          <w:sz w:val="24"/>
          <w:szCs w:val="24"/>
        </w:rPr>
      </w:pPr>
      <w:r>
        <w:rPr>
          <w:sz w:val="24"/>
          <w:szCs w:val="24"/>
        </w:rPr>
        <w:t xml:space="preserve">The Department has issued a proposed rule for purposes of developing the Ammonium Nitrate Security Program and complying with Subtitle J.  </w:t>
      </w:r>
      <w:r w:rsidRPr="001B0A7E">
        <w:rPr>
          <w:sz w:val="24"/>
          <w:szCs w:val="24"/>
        </w:rPr>
        <w:t xml:space="preserve">The Ammonium Nitrate </w:t>
      </w:r>
      <w:r>
        <w:rPr>
          <w:sz w:val="24"/>
          <w:szCs w:val="24"/>
        </w:rPr>
        <w:t xml:space="preserve">Security </w:t>
      </w:r>
      <w:r w:rsidRPr="001B0A7E">
        <w:rPr>
          <w:sz w:val="24"/>
          <w:szCs w:val="24"/>
        </w:rPr>
        <w:t xml:space="preserve">Program will collect, via a web-based portal, personally identifiable information (PII) for the purpose of issuing </w:t>
      </w:r>
      <w:r>
        <w:rPr>
          <w:sz w:val="24"/>
          <w:szCs w:val="24"/>
        </w:rPr>
        <w:t>AN</w:t>
      </w:r>
      <w:r w:rsidRPr="001B0A7E">
        <w:rPr>
          <w:sz w:val="24"/>
          <w:szCs w:val="24"/>
        </w:rPr>
        <w:t xml:space="preserve"> </w:t>
      </w:r>
      <w:r>
        <w:rPr>
          <w:sz w:val="24"/>
          <w:szCs w:val="24"/>
        </w:rPr>
        <w:t xml:space="preserve">Registered </w:t>
      </w:r>
      <w:r w:rsidRPr="001B0A7E">
        <w:rPr>
          <w:sz w:val="24"/>
          <w:szCs w:val="24"/>
        </w:rPr>
        <w:t>User Numbers</w:t>
      </w:r>
      <w:r>
        <w:rPr>
          <w:sz w:val="24"/>
          <w:szCs w:val="24"/>
        </w:rPr>
        <w:t xml:space="preserve">.  Possession of an AN Registered User Number will be required of any person seeking to sell, transfer, purchase, or obtain ammonium nitrate in the </w:t>
      </w:r>
      <w:smartTag w:uri="urn:schemas-microsoft-com:office:smarttags" w:element="country-region">
        <w:smartTag w:uri="urn:schemas-microsoft-com:office:smarttags" w:element="place">
          <w:r>
            <w:rPr>
              <w:sz w:val="24"/>
              <w:szCs w:val="24"/>
            </w:rPr>
            <w:t>United States</w:t>
          </w:r>
        </w:smartTag>
      </w:smartTag>
      <w:r>
        <w:rPr>
          <w:sz w:val="24"/>
          <w:szCs w:val="24"/>
        </w:rPr>
        <w:t>.</w:t>
      </w:r>
      <w:r w:rsidRPr="001B0A7E">
        <w:rPr>
          <w:sz w:val="24"/>
          <w:szCs w:val="24"/>
        </w:rPr>
        <w:t xml:space="preserve">  </w:t>
      </w:r>
      <w:r>
        <w:rPr>
          <w:sz w:val="24"/>
          <w:szCs w:val="24"/>
        </w:rPr>
        <w:t>Subtitle J</w:t>
      </w:r>
      <w:r w:rsidRPr="00BA267E">
        <w:rPr>
          <w:sz w:val="24"/>
          <w:szCs w:val="24"/>
        </w:rPr>
        <w:t xml:space="preserve"> explicitly requires the Department to conduct a check of identifying information of all prospective registrants against identifying information that appears in the Terrorist Screening Database (TSDB).</w:t>
      </w:r>
      <w:r>
        <w:rPr>
          <w:sz w:val="24"/>
          <w:szCs w:val="24"/>
        </w:rPr>
        <w:t xml:space="preserve">  </w:t>
      </w:r>
      <w:r>
        <w:rPr>
          <w:sz w:val="24"/>
          <w:szCs w:val="24"/>
          <w:u w:val="single"/>
        </w:rPr>
        <w:t>See</w:t>
      </w:r>
      <w:r>
        <w:rPr>
          <w:sz w:val="24"/>
          <w:szCs w:val="24"/>
        </w:rPr>
        <w:t xml:space="preserve"> 6 U.S.C. § 488a(i)(2)</w:t>
      </w:r>
    </w:p>
    <w:p w:rsidR="0098689D" w:rsidRPr="00BA267E" w:rsidRDefault="0098689D" w:rsidP="00BA267E">
      <w:pPr>
        <w:pStyle w:val="Body"/>
        <w:ind w:firstLine="0"/>
        <w:rPr>
          <w:sz w:val="24"/>
          <w:szCs w:val="24"/>
        </w:rPr>
      </w:pPr>
      <w:r w:rsidRPr="00BA267E">
        <w:rPr>
          <w:sz w:val="24"/>
          <w:szCs w:val="24"/>
        </w:rPr>
        <w:t xml:space="preserve">The Infrastructure Security Compliance Division (ISCD) within the Office of Infrastructure Protection (IP) of the National Protection &amp; Programs Directorate (NPPD) implements the Ammonium Nitrate </w:t>
      </w:r>
      <w:r>
        <w:rPr>
          <w:sz w:val="24"/>
          <w:szCs w:val="24"/>
        </w:rPr>
        <w:t xml:space="preserve">Security </w:t>
      </w:r>
      <w:r w:rsidRPr="00BA267E">
        <w:rPr>
          <w:sz w:val="24"/>
          <w:szCs w:val="24"/>
        </w:rPr>
        <w:t>Program.</w:t>
      </w:r>
    </w:p>
    <w:p w:rsidR="0098689D" w:rsidRPr="00BA267E" w:rsidRDefault="0098689D" w:rsidP="001B0A7E">
      <w:pPr>
        <w:pStyle w:val="Body"/>
        <w:ind w:firstLine="0"/>
        <w:rPr>
          <w:sz w:val="24"/>
          <w:szCs w:val="24"/>
        </w:rPr>
      </w:pPr>
      <w:r>
        <w:rPr>
          <w:sz w:val="24"/>
          <w:szCs w:val="24"/>
        </w:rPr>
        <w:t xml:space="preserve">The </w:t>
      </w:r>
      <w:r w:rsidRPr="00BA267E">
        <w:rPr>
          <w:sz w:val="24"/>
          <w:szCs w:val="24"/>
        </w:rPr>
        <w:t xml:space="preserve">Ammonium Nitrate </w:t>
      </w:r>
      <w:r>
        <w:rPr>
          <w:sz w:val="24"/>
          <w:szCs w:val="24"/>
        </w:rPr>
        <w:t xml:space="preserve">Security </w:t>
      </w:r>
      <w:r w:rsidRPr="00BA267E">
        <w:rPr>
          <w:sz w:val="24"/>
          <w:szCs w:val="24"/>
        </w:rPr>
        <w:t>Program does not require Part B to this Paperwork Reduction Act (PRA) justification to demonstrate consistency with the proposed statistical methods.</w:t>
      </w:r>
    </w:p>
    <w:p w:rsidR="0098689D" w:rsidRPr="002E0DA6" w:rsidRDefault="0098689D" w:rsidP="007E0849">
      <w:pPr>
        <w:pStyle w:val="Heading2"/>
      </w:pPr>
      <w:r w:rsidRPr="002E0DA6">
        <w:t xml:space="preserve">By whom, how, and </w:t>
      </w:r>
      <w:r w:rsidRPr="00382D2E">
        <w:t>for</w:t>
      </w:r>
      <w:r w:rsidRPr="002E0DA6">
        <w:t xml:space="preserve"> what purpose the information is to be used</w:t>
      </w:r>
    </w:p>
    <w:p w:rsidR="0098689D" w:rsidRPr="001B0A7E" w:rsidRDefault="0098689D" w:rsidP="001B0A7E">
      <w:pPr>
        <w:pStyle w:val="Body"/>
        <w:ind w:firstLine="0"/>
        <w:rPr>
          <w:sz w:val="24"/>
          <w:szCs w:val="24"/>
        </w:rPr>
      </w:pPr>
      <w:r w:rsidRPr="001B0A7E">
        <w:rPr>
          <w:sz w:val="24"/>
          <w:szCs w:val="24"/>
        </w:rPr>
        <w:t xml:space="preserve">There are </w:t>
      </w:r>
      <w:r>
        <w:rPr>
          <w:sz w:val="24"/>
          <w:szCs w:val="24"/>
        </w:rPr>
        <w:t>eight</w:t>
      </w:r>
      <w:r w:rsidRPr="001B0A7E">
        <w:rPr>
          <w:sz w:val="24"/>
          <w:szCs w:val="24"/>
        </w:rPr>
        <w:t xml:space="preserve"> instruments in this collection.  These instruments will be used to manage the Ammonium Nitrate </w:t>
      </w:r>
      <w:r>
        <w:rPr>
          <w:sz w:val="24"/>
          <w:szCs w:val="24"/>
        </w:rPr>
        <w:t xml:space="preserve">Security </w:t>
      </w:r>
      <w:r w:rsidRPr="001B0A7E">
        <w:rPr>
          <w:sz w:val="24"/>
          <w:szCs w:val="24"/>
        </w:rPr>
        <w:t xml:space="preserve">Program.  The instruments that comprise this collection are as follows: </w:t>
      </w:r>
    </w:p>
    <w:p w:rsidR="0098689D" w:rsidRPr="007E0849" w:rsidRDefault="0098689D" w:rsidP="007E0849">
      <w:pPr>
        <w:pStyle w:val="Heading3"/>
      </w:pPr>
      <w:r w:rsidRPr="007E0849">
        <w:t>Ammonium Nitrate Registration</w:t>
      </w:r>
    </w:p>
    <w:p w:rsidR="0098689D" w:rsidRPr="001B0A7E" w:rsidRDefault="0098689D" w:rsidP="001B0A7E">
      <w:pPr>
        <w:pStyle w:val="Body"/>
        <w:ind w:firstLine="0"/>
        <w:rPr>
          <w:sz w:val="24"/>
          <w:szCs w:val="24"/>
        </w:rPr>
      </w:pPr>
      <w:r w:rsidRPr="001B0A7E">
        <w:rPr>
          <w:sz w:val="24"/>
          <w:szCs w:val="24"/>
        </w:rPr>
        <w:t>Information is collected through a</w:t>
      </w:r>
      <w:r>
        <w:rPr>
          <w:sz w:val="24"/>
          <w:szCs w:val="24"/>
        </w:rPr>
        <w:t>n online</w:t>
      </w:r>
      <w:r w:rsidRPr="001B0A7E">
        <w:rPr>
          <w:sz w:val="24"/>
          <w:szCs w:val="24"/>
        </w:rPr>
        <w:t xml:space="preserve"> web portal directly from each applicant who wishes to apply for an </w:t>
      </w:r>
      <w:r>
        <w:rPr>
          <w:sz w:val="24"/>
          <w:szCs w:val="24"/>
        </w:rPr>
        <w:t>AN Registered</w:t>
      </w:r>
      <w:r w:rsidRPr="001B0A7E">
        <w:rPr>
          <w:sz w:val="24"/>
          <w:szCs w:val="24"/>
        </w:rPr>
        <w:t xml:space="preserve"> User Number.  The information collected will be used to determine </w:t>
      </w:r>
      <w:r w:rsidRPr="001B0A7E">
        <w:rPr>
          <w:sz w:val="24"/>
          <w:szCs w:val="24"/>
        </w:rPr>
        <w:lastRenderedPageBreak/>
        <w:t xml:space="preserve">if the applicant is eligible for an </w:t>
      </w:r>
      <w:r>
        <w:rPr>
          <w:sz w:val="24"/>
          <w:szCs w:val="24"/>
        </w:rPr>
        <w:t>AN Registered</w:t>
      </w:r>
      <w:r w:rsidRPr="001B0A7E">
        <w:rPr>
          <w:sz w:val="24"/>
          <w:szCs w:val="24"/>
        </w:rPr>
        <w:t xml:space="preserve"> User Number.  Specifically, </w:t>
      </w:r>
      <w:r>
        <w:rPr>
          <w:sz w:val="24"/>
          <w:szCs w:val="24"/>
        </w:rPr>
        <w:t>Subtitle J</w:t>
      </w:r>
      <w:r w:rsidRPr="001B0A7E">
        <w:rPr>
          <w:sz w:val="24"/>
          <w:szCs w:val="24"/>
        </w:rPr>
        <w:t xml:space="preserve"> requires the Department to conduct a check of identifying information of all </w:t>
      </w:r>
      <w:r>
        <w:rPr>
          <w:sz w:val="24"/>
          <w:szCs w:val="24"/>
        </w:rPr>
        <w:t>applicants</w:t>
      </w:r>
      <w:r w:rsidRPr="001B0A7E">
        <w:rPr>
          <w:sz w:val="24"/>
          <w:szCs w:val="24"/>
        </w:rPr>
        <w:t xml:space="preserve"> against identifying information that appears in the TSDB.</w:t>
      </w:r>
      <w:r>
        <w:rPr>
          <w:sz w:val="24"/>
          <w:szCs w:val="24"/>
        </w:rPr>
        <w:t xml:space="preserve">  </w:t>
      </w:r>
      <w:r>
        <w:rPr>
          <w:sz w:val="24"/>
          <w:szCs w:val="24"/>
          <w:u w:val="single"/>
        </w:rPr>
        <w:t>See</w:t>
      </w:r>
      <w:r>
        <w:rPr>
          <w:sz w:val="24"/>
          <w:szCs w:val="24"/>
        </w:rPr>
        <w:t xml:space="preserve"> 6 U.S.C. § 488a(i)(2)(A)</w:t>
      </w:r>
      <w:r w:rsidRPr="00D45326">
        <w:rPr>
          <w:sz w:val="24"/>
          <w:szCs w:val="24"/>
        </w:rPr>
        <w:t xml:space="preserve">  The Department </w:t>
      </w:r>
      <w:r>
        <w:rPr>
          <w:sz w:val="24"/>
          <w:szCs w:val="24"/>
        </w:rPr>
        <w:t>may</w:t>
      </w:r>
      <w:r w:rsidRPr="00D45326">
        <w:rPr>
          <w:sz w:val="24"/>
          <w:szCs w:val="24"/>
        </w:rPr>
        <w:t xml:space="preserve"> deny </w:t>
      </w:r>
      <w:r>
        <w:rPr>
          <w:sz w:val="24"/>
          <w:szCs w:val="24"/>
        </w:rPr>
        <w:t>an</w:t>
      </w:r>
      <w:r w:rsidRPr="00D45326">
        <w:rPr>
          <w:sz w:val="24"/>
          <w:szCs w:val="24"/>
        </w:rPr>
        <w:t xml:space="preserve"> applicant an AN Registered User Number if </w:t>
      </w:r>
      <w:r>
        <w:rPr>
          <w:sz w:val="24"/>
          <w:szCs w:val="24"/>
        </w:rPr>
        <w:t>his/her identifying</w:t>
      </w:r>
      <w:r w:rsidRPr="00D45326">
        <w:rPr>
          <w:sz w:val="24"/>
          <w:szCs w:val="24"/>
        </w:rPr>
        <w:t xml:space="preserve"> information matches information contained in the TSDB.</w:t>
      </w:r>
      <w:r w:rsidRPr="00BC3034">
        <w:rPr>
          <w:sz w:val="24"/>
          <w:szCs w:val="24"/>
        </w:rPr>
        <w:t xml:space="preserve"> </w:t>
      </w:r>
      <w:r>
        <w:rPr>
          <w:sz w:val="24"/>
          <w:szCs w:val="24"/>
        </w:rPr>
        <w:t xml:space="preserve"> </w:t>
      </w:r>
      <w:r w:rsidRPr="00D51596">
        <w:rPr>
          <w:sz w:val="24"/>
          <w:szCs w:val="24"/>
          <w:u w:val="single"/>
        </w:rPr>
        <w:t>See</w:t>
      </w:r>
      <w:r w:rsidRPr="001B0A7E">
        <w:rPr>
          <w:sz w:val="24"/>
          <w:szCs w:val="24"/>
        </w:rPr>
        <w:t xml:space="preserve"> </w:t>
      </w:r>
      <w:r>
        <w:rPr>
          <w:sz w:val="24"/>
          <w:szCs w:val="24"/>
        </w:rPr>
        <w:t>6 U.S.C. § 488a(i)(2)(B)</w:t>
      </w:r>
      <w:r w:rsidRPr="001B0A7E">
        <w:rPr>
          <w:sz w:val="24"/>
          <w:szCs w:val="24"/>
        </w:rPr>
        <w:t>.</w:t>
      </w:r>
    </w:p>
    <w:p w:rsidR="0098689D" w:rsidRPr="001B0A7E" w:rsidRDefault="0098689D" w:rsidP="002D03C1">
      <w:pPr>
        <w:pStyle w:val="Body"/>
        <w:ind w:firstLine="0"/>
        <w:rPr>
          <w:sz w:val="24"/>
          <w:szCs w:val="24"/>
        </w:rPr>
      </w:pPr>
      <w:r w:rsidRPr="001B0A7E">
        <w:rPr>
          <w:sz w:val="24"/>
          <w:szCs w:val="24"/>
        </w:rPr>
        <w:t xml:space="preserve">Consistent with </w:t>
      </w:r>
      <w:r>
        <w:rPr>
          <w:sz w:val="24"/>
          <w:szCs w:val="24"/>
        </w:rPr>
        <w:t>6 U.S.C. § 488a(i)</w:t>
      </w:r>
      <w:r w:rsidRPr="001B0A7E">
        <w:rPr>
          <w:sz w:val="24"/>
          <w:szCs w:val="24"/>
        </w:rPr>
        <w:t xml:space="preserve">(3)(A) and </w:t>
      </w:r>
      <w:r>
        <w:rPr>
          <w:sz w:val="24"/>
          <w:szCs w:val="24"/>
        </w:rPr>
        <w:t>6 U.S.C. § 488a(i)(3)</w:t>
      </w:r>
      <w:r w:rsidRPr="001B0A7E">
        <w:rPr>
          <w:sz w:val="24"/>
          <w:szCs w:val="24"/>
        </w:rPr>
        <w:t xml:space="preserve">(B), to the extent practicable, the Department intends to approve or deny each registration application, and to issue each registration number, not later than 72 hours after the time </w:t>
      </w:r>
      <w:r>
        <w:rPr>
          <w:sz w:val="24"/>
          <w:szCs w:val="24"/>
        </w:rPr>
        <w:t>DHS</w:t>
      </w:r>
      <w:r w:rsidRPr="001B0A7E">
        <w:rPr>
          <w:sz w:val="24"/>
          <w:szCs w:val="24"/>
        </w:rPr>
        <w:t xml:space="preserve"> receives a complete registration application. </w:t>
      </w:r>
      <w:r w:rsidRPr="00B4167F">
        <w:rPr>
          <w:sz w:val="24"/>
          <w:szCs w:val="24"/>
        </w:rPr>
        <w:t xml:space="preserve"> The Department proposes that AN Registered User Numbers will be disseminated to successful applicants via e-mail or through the proposed DHS web portal. The Department also proposes in section 31.235 of the proposed rule to make AN Registered User Numbers valid for a period of three years.</w:t>
      </w:r>
    </w:p>
    <w:p w:rsidR="0098689D" w:rsidRPr="002D03C1" w:rsidRDefault="0098689D" w:rsidP="002D03C1">
      <w:pPr>
        <w:pStyle w:val="Body"/>
        <w:ind w:firstLine="0"/>
        <w:rPr>
          <w:sz w:val="24"/>
          <w:szCs w:val="24"/>
        </w:rPr>
      </w:pPr>
      <w:r w:rsidRPr="002D03C1">
        <w:rPr>
          <w:sz w:val="24"/>
          <w:szCs w:val="24"/>
        </w:rPr>
        <w:t>Each AN Facility must register at least one individual</w:t>
      </w:r>
      <w:r>
        <w:rPr>
          <w:sz w:val="24"/>
          <w:szCs w:val="24"/>
        </w:rPr>
        <w:t xml:space="preserve"> who is designated to act on behalf of the</w:t>
      </w:r>
      <w:r w:rsidRPr="002D03C1">
        <w:rPr>
          <w:sz w:val="24"/>
          <w:szCs w:val="24"/>
        </w:rPr>
        <w:t xml:space="preserve"> facility for purposes of compliance with this regulation</w:t>
      </w:r>
      <w:r>
        <w:rPr>
          <w:sz w:val="24"/>
          <w:szCs w:val="24"/>
        </w:rPr>
        <w:t>.  In addition, a</w:t>
      </w:r>
      <w:r w:rsidRPr="002D03C1">
        <w:rPr>
          <w:sz w:val="24"/>
          <w:szCs w:val="24"/>
        </w:rPr>
        <w:t>ny individual who has an ownership interest in an AN Facility; is designated to act on behalf of a facility for purposes of compliance with th</w:t>
      </w:r>
      <w:r>
        <w:rPr>
          <w:sz w:val="24"/>
          <w:szCs w:val="24"/>
        </w:rPr>
        <w:t>is regulation, such as,</w:t>
      </w:r>
      <w:r w:rsidRPr="002D03C1">
        <w:rPr>
          <w:sz w:val="24"/>
          <w:szCs w:val="24"/>
        </w:rPr>
        <w:t xml:space="preserve"> a site manager, sales manager, or corporate officer; or is involved in the sale or transfer of ammonium nitrate at an AN Facility, such as a sales clerk or cashier, may register as an </w:t>
      </w:r>
      <w:r>
        <w:rPr>
          <w:sz w:val="24"/>
          <w:szCs w:val="24"/>
        </w:rPr>
        <w:t>“</w:t>
      </w:r>
      <w:r w:rsidRPr="002D03C1">
        <w:rPr>
          <w:sz w:val="24"/>
          <w:szCs w:val="24"/>
        </w:rPr>
        <w:t>AN Seller</w:t>
      </w:r>
      <w:r>
        <w:rPr>
          <w:sz w:val="24"/>
          <w:szCs w:val="24"/>
        </w:rPr>
        <w:t>.”</w:t>
      </w:r>
      <w:r w:rsidRPr="002D03C1">
        <w:rPr>
          <w:sz w:val="24"/>
          <w:szCs w:val="24"/>
        </w:rPr>
        <w:t xml:space="preserve">  </w:t>
      </w:r>
      <w:r>
        <w:rPr>
          <w:sz w:val="24"/>
          <w:szCs w:val="24"/>
        </w:rPr>
        <w:t>Additionally, a</w:t>
      </w:r>
      <w:r w:rsidRPr="002D03C1">
        <w:rPr>
          <w:sz w:val="24"/>
          <w:szCs w:val="24"/>
        </w:rPr>
        <w:t>ny persons who individually perform sale</w:t>
      </w:r>
      <w:r>
        <w:rPr>
          <w:sz w:val="24"/>
          <w:szCs w:val="24"/>
        </w:rPr>
        <w:t>s</w:t>
      </w:r>
      <w:r w:rsidRPr="002D03C1">
        <w:rPr>
          <w:sz w:val="24"/>
          <w:szCs w:val="24"/>
        </w:rPr>
        <w:t xml:space="preserve"> or transfer</w:t>
      </w:r>
      <w:r>
        <w:rPr>
          <w:sz w:val="24"/>
          <w:szCs w:val="24"/>
        </w:rPr>
        <w:t>s</w:t>
      </w:r>
      <w:r w:rsidRPr="002D03C1">
        <w:rPr>
          <w:sz w:val="24"/>
          <w:szCs w:val="24"/>
        </w:rPr>
        <w:t xml:space="preserve"> of ammonium nitrate on behalf of an AN Facility must be registered</w:t>
      </w:r>
      <w:r w:rsidRPr="001E38C8">
        <w:rPr>
          <w:sz w:val="24"/>
          <w:szCs w:val="24"/>
        </w:rPr>
        <w:t xml:space="preserve">. </w:t>
      </w:r>
      <w:r>
        <w:rPr>
          <w:sz w:val="24"/>
          <w:szCs w:val="24"/>
        </w:rPr>
        <w:t xml:space="preserve"> </w:t>
      </w:r>
      <w:r w:rsidRPr="001E38C8">
        <w:rPr>
          <w:sz w:val="24"/>
          <w:szCs w:val="24"/>
        </w:rPr>
        <w:t xml:space="preserve">Finally, </w:t>
      </w:r>
      <w:r>
        <w:rPr>
          <w:sz w:val="24"/>
          <w:szCs w:val="24"/>
        </w:rPr>
        <w:t>6 U.S.C. § 488a</w:t>
      </w:r>
      <w:r w:rsidRPr="001E38C8">
        <w:rPr>
          <w:sz w:val="24"/>
          <w:szCs w:val="24"/>
        </w:rPr>
        <w:t xml:space="preserve">(d) requires anyone who intends to purchase </w:t>
      </w:r>
      <w:r>
        <w:rPr>
          <w:sz w:val="24"/>
          <w:szCs w:val="24"/>
        </w:rPr>
        <w:t xml:space="preserve">or obtain </w:t>
      </w:r>
      <w:r w:rsidRPr="001E38C8">
        <w:rPr>
          <w:sz w:val="24"/>
          <w:szCs w:val="24"/>
        </w:rPr>
        <w:t>ammonium nitrate to register with the Department.  These individuals are referred to in the proposed rule as “AN Purchasers.”</w:t>
      </w:r>
    </w:p>
    <w:p w:rsidR="0098689D" w:rsidRPr="007E0849" w:rsidRDefault="0098689D" w:rsidP="007E0849">
      <w:pPr>
        <w:pStyle w:val="Heading3"/>
      </w:pPr>
      <w:r w:rsidRPr="00F175A9">
        <w:rPr>
          <w:bCs w:val="0"/>
        </w:rPr>
        <w:t>Appeals</w:t>
      </w:r>
      <w:r>
        <w:rPr>
          <w:bCs w:val="0"/>
        </w:rPr>
        <w:t xml:space="preserve"> for Denial or Revocation of AN Registered User Numbers</w:t>
      </w:r>
    </w:p>
    <w:p w:rsidR="0098689D" w:rsidRPr="001B0A7E" w:rsidRDefault="0098689D" w:rsidP="001B0A7E">
      <w:pPr>
        <w:pStyle w:val="Body"/>
        <w:ind w:firstLine="0"/>
        <w:rPr>
          <w:sz w:val="24"/>
        </w:rPr>
      </w:pPr>
      <w:r w:rsidRPr="006E4315">
        <w:rPr>
          <w:sz w:val="24"/>
        </w:rPr>
        <w:t>Individuals who have had their AN Registered User Number</w:t>
      </w:r>
      <w:r>
        <w:rPr>
          <w:sz w:val="24"/>
        </w:rPr>
        <w:t>s</w:t>
      </w:r>
      <w:r w:rsidRPr="006E4315">
        <w:rPr>
          <w:sz w:val="24"/>
        </w:rPr>
        <w:t xml:space="preserve"> denied or revoked may appeal the Department’s denial or revocation.  </w:t>
      </w:r>
      <w:r>
        <w:rPr>
          <w:sz w:val="24"/>
        </w:rPr>
        <w:t>An i</w:t>
      </w:r>
      <w:r w:rsidRPr="006E4315">
        <w:rPr>
          <w:sz w:val="24"/>
        </w:rPr>
        <w:t xml:space="preserve">ndividual requesting an </w:t>
      </w:r>
      <w:r>
        <w:rPr>
          <w:sz w:val="24"/>
        </w:rPr>
        <w:t>appeal</w:t>
      </w:r>
      <w:r w:rsidRPr="006E4315">
        <w:rPr>
          <w:sz w:val="24"/>
        </w:rPr>
        <w:t xml:space="preserve"> </w:t>
      </w:r>
      <w:r>
        <w:rPr>
          <w:sz w:val="24"/>
        </w:rPr>
        <w:t>is</w:t>
      </w:r>
      <w:r w:rsidRPr="006E4315">
        <w:rPr>
          <w:sz w:val="24"/>
        </w:rPr>
        <w:t xml:space="preserve"> required to file a Request for Materials</w:t>
      </w:r>
      <w:r w:rsidRPr="002805CC">
        <w:rPr>
          <w:sz w:val="24"/>
          <w:szCs w:val="24"/>
        </w:rPr>
        <w:t xml:space="preserve"> (requesting copies of the materials on which denial or revocation was based)</w:t>
      </w:r>
      <w:r w:rsidRPr="006E4315">
        <w:rPr>
          <w:sz w:val="24"/>
        </w:rPr>
        <w:t>, a Request for Appeal</w:t>
      </w:r>
      <w:r>
        <w:rPr>
          <w:sz w:val="24"/>
        </w:rPr>
        <w:t xml:space="preserve"> </w:t>
      </w:r>
      <w:r w:rsidRPr="002805CC">
        <w:rPr>
          <w:sz w:val="24"/>
          <w:szCs w:val="24"/>
        </w:rPr>
        <w:t>(containing the rationale or information upon which he/she disputes the Department’s denial or revocation determination),</w:t>
      </w:r>
      <w:r w:rsidRPr="006E4315">
        <w:rPr>
          <w:sz w:val="24"/>
        </w:rPr>
        <w:t xml:space="preserve"> an</w:t>
      </w:r>
      <w:r>
        <w:rPr>
          <w:sz w:val="24"/>
        </w:rPr>
        <w:t>d any other necessary filings.</w:t>
      </w:r>
    </w:p>
    <w:p w:rsidR="0098689D" w:rsidRPr="0076014F" w:rsidRDefault="0098689D" w:rsidP="007E0849">
      <w:pPr>
        <w:pStyle w:val="Heading3"/>
      </w:pPr>
      <w:r w:rsidRPr="0076014F">
        <w:t>Purchaser Verification</w:t>
      </w:r>
    </w:p>
    <w:p w:rsidR="0098689D" w:rsidRPr="00B4167F" w:rsidRDefault="0098689D" w:rsidP="003F2967">
      <w:pPr>
        <w:pStyle w:val="Body"/>
        <w:ind w:firstLine="0"/>
        <w:rPr>
          <w:sz w:val="24"/>
          <w:szCs w:val="24"/>
        </w:rPr>
      </w:pPr>
      <w:r w:rsidRPr="00B4167F">
        <w:rPr>
          <w:sz w:val="24"/>
          <w:szCs w:val="24"/>
        </w:rPr>
        <w:t>Prior to a sale or transfer of ammonium nitrate the AN Seller must always perform two verifications, and</w:t>
      </w:r>
      <w:r>
        <w:rPr>
          <w:sz w:val="24"/>
          <w:szCs w:val="24"/>
        </w:rPr>
        <w:t>,</w:t>
      </w:r>
      <w:r w:rsidRPr="00B4167F">
        <w:rPr>
          <w:sz w:val="24"/>
          <w:szCs w:val="24"/>
        </w:rPr>
        <w:t xml:space="preserve"> depending on whether or not the prospective AN Purchaser opt</w:t>
      </w:r>
      <w:r>
        <w:rPr>
          <w:sz w:val="24"/>
          <w:szCs w:val="24"/>
        </w:rPr>
        <w:t>s</w:t>
      </w:r>
      <w:r w:rsidRPr="00B4167F">
        <w:rPr>
          <w:sz w:val="24"/>
          <w:szCs w:val="24"/>
        </w:rPr>
        <w:t xml:space="preserve"> to use an agent</w:t>
      </w:r>
      <w:r>
        <w:rPr>
          <w:sz w:val="24"/>
          <w:szCs w:val="24"/>
        </w:rPr>
        <w:t>,</w:t>
      </w:r>
      <w:r w:rsidRPr="00B4167F">
        <w:rPr>
          <w:sz w:val="24"/>
          <w:szCs w:val="24"/>
        </w:rPr>
        <w:t xml:space="preserve"> some additional verification may be required.  Not all of the verifications require information to be collected by the Department.</w:t>
      </w:r>
    </w:p>
    <w:p w:rsidR="0098689D" w:rsidRPr="00B4167F" w:rsidRDefault="0098689D" w:rsidP="00DD4470">
      <w:pPr>
        <w:pStyle w:val="Body"/>
        <w:ind w:firstLine="0"/>
        <w:rPr>
          <w:sz w:val="24"/>
          <w:szCs w:val="24"/>
        </w:rPr>
      </w:pPr>
      <w:r w:rsidRPr="00B4167F">
        <w:rPr>
          <w:sz w:val="24"/>
          <w:szCs w:val="24"/>
        </w:rPr>
        <w:t>The AN Seller must always verify the currency and authenticity of the prospective AN Purchaser’s AN Registered User Number.  The AN Seller will verify the currency and authenticity of a prospective AN Purchaser’s AN Registered User Number eith</w:t>
      </w:r>
      <w:r>
        <w:rPr>
          <w:sz w:val="24"/>
          <w:szCs w:val="24"/>
        </w:rPr>
        <w:t>er electronically through a web-</w:t>
      </w:r>
      <w:r w:rsidRPr="00B4167F">
        <w:rPr>
          <w:sz w:val="24"/>
          <w:szCs w:val="24"/>
        </w:rPr>
        <w:t>portal designed by the Department (the “Purchaser Verification Portal”) or telephonically through a call center maintained by the Department.</w:t>
      </w:r>
    </w:p>
    <w:p w:rsidR="0098689D" w:rsidRPr="00B4167F" w:rsidRDefault="0098689D" w:rsidP="00DD4470">
      <w:pPr>
        <w:pStyle w:val="Body"/>
        <w:ind w:firstLine="0"/>
        <w:rPr>
          <w:sz w:val="24"/>
          <w:szCs w:val="24"/>
        </w:rPr>
      </w:pPr>
      <w:r w:rsidRPr="00B4167F">
        <w:rPr>
          <w:sz w:val="24"/>
          <w:szCs w:val="24"/>
        </w:rPr>
        <w:lastRenderedPageBreak/>
        <w:t xml:space="preserve">The AN Seller must also verify the prospective AN Purchaser’s identity as required by DHS. </w:t>
      </w:r>
      <w:r>
        <w:rPr>
          <w:sz w:val="24"/>
          <w:szCs w:val="24"/>
        </w:rPr>
        <w:t xml:space="preserve"> </w:t>
      </w:r>
      <w:r w:rsidRPr="00B4167F">
        <w:rPr>
          <w:sz w:val="24"/>
          <w:szCs w:val="24"/>
        </w:rPr>
        <w:t>The manner of verification of a prospective AN Purchaser’s identity varies depending on whether o</w:t>
      </w:r>
      <w:r>
        <w:rPr>
          <w:sz w:val="24"/>
          <w:szCs w:val="24"/>
        </w:rPr>
        <w:t>r not the AN Purchaser opts</w:t>
      </w:r>
      <w:r w:rsidRPr="00B4167F">
        <w:rPr>
          <w:sz w:val="24"/>
          <w:szCs w:val="24"/>
        </w:rPr>
        <w:t xml:space="preserve"> to use an agent. </w:t>
      </w:r>
      <w:r>
        <w:rPr>
          <w:sz w:val="24"/>
          <w:szCs w:val="24"/>
        </w:rPr>
        <w:t xml:space="preserve"> If the AN Purchaser opts</w:t>
      </w:r>
      <w:r w:rsidRPr="00B4167F">
        <w:rPr>
          <w:sz w:val="24"/>
          <w:szCs w:val="24"/>
        </w:rPr>
        <w:t xml:space="preserve"> not to use an agent, then the AN Seller verifies the AN Purchaser’s identity based upon the visual check of the AN Purchaser’s photo identification.  Such verification does not involve the collection of information by the Department.  Ho</w:t>
      </w:r>
      <w:r>
        <w:rPr>
          <w:sz w:val="24"/>
          <w:szCs w:val="24"/>
        </w:rPr>
        <w:t>wever, if the AN Purchaser opts</w:t>
      </w:r>
      <w:r w:rsidRPr="00B4167F">
        <w:rPr>
          <w:sz w:val="24"/>
          <w:szCs w:val="24"/>
        </w:rPr>
        <w:t xml:space="preserve"> to use an agent, then the AN Seller verifies the AN Purchaser’s identity by submitting certain information (e.g., name; photo identification document number; AN Registered User Number) provided by the AN Purchaser to the Department, concurrently with the information necessary to verify the currency and authenticity of the prospective AN Purchaser’s AN Registered User Number.</w:t>
      </w:r>
    </w:p>
    <w:p w:rsidR="0098689D" w:rsidRPr="00B4167F" w:rsidRDefault="0098689D" w:rsidP="00DD4470">
      <w:pPr>
        <w:pStyle w:val="Body"/>
        <w:ind w:firstLine="0"/>
        <w:rPr>
          <w:sz w:val="24"/>
          <w:szCs w:val="24"/>
        </w:rPr>
      </w:pPr>
      <w:r w:rsidRPr="00B4167F">
        <w:rPr>
          <w:sz w:val="24"/>
          <w:szCs w:val="24"/>
        </w:rPr>
        <w:t xml:space="preserve">In the event a prospective AN Purchaser uses an agent to complete the transaction, the AN Seller must also verify both (1) the agent’s identity based upon a visual check of the agent’s photo identification, and (2) that the agent is acting on the approved AN Purchaser’s behalf.  </w:t>
      </w:r>
      <w:r>
        <w:rPr>
          <w:sz w:val="24"/>
          <w:szCs w:val="24"/>
        </w:rPr>
        <w:t xml:space="preserve">An </w:t>
      </w:r>
      <w:r w:rsidRPr="00B4167F">
        <w:rPr>
          <w:sz w:val="24"/>
          <w:szCs w:val="24"/>
        </w:rPr>
        <w:t>AN Purchaser may provide to the Department the names of any agents that might act on his/her behalf at the point of sale.  Prior to transferring possession of ammonium nitrate to an agent, an AN Seller would need to verify with the Department that the prospective AN Purchaser has designated the agent as an approved agent to represent the AN Purchaser at the point of sale.  If the AN Purchaser did not pre-register an agent</w:t>
      </w:r>
      <w:r>
        <w:rPr>
          <w:sz w:val="24"/>
          <w:szCs w:val="24"/>
        </w:rPr>
        <w:t>,</w:t>
      </w:r>
      <w:r w:rsidRPr="00B4167F">
        <w:rPr>
          <w:sz w:val="24"/>
          <w:szCs w:val="24"/>
        </w:rPr>
        <w:t xml:space="preserve"> the proposed rule allows the AN Seller to verify that the agent is acting on the approved AN Purchaser’s behalf directly with the AN Purchaser.  Such verification does not involve the collection of information by the Department.</w:t>
      </w:r>
    </w:p>
    <w:p w:rsidR="0098689D" w:rsidRPr="0076014F" w:rsidRDefault="0098689D" w:rsidP="007E0849">
      <w:pPr>
        <w:pStyle w:val="Heading3"/>
      </w:pPr>
      <w:r w:rsidRPr="0076014F">
        <w:t>Ammonium Nitrate Helpdesk</w:t>
      </w:r>
    </w:p>
    <w:p w:rsidR="0098689D" w:rsidRPr="001B0A7E" w:rsidRDefault="0098689D" w:rsidP="001B0A7E">
      <w:pPr>
        <w:pStyle w:val="Body"/>
        <w:ind w:firstLine="0"/>
        <w:rPr>
          <w:sz w:val="24"/>
        </w:rPr>
      </w:pPr>
      <w:r w:rsidRPr="001B0A7E">
        <w:rPr>
          <w:sz w:val="24"/>
        </w:rPr>
        <w:t xml:space="preserve">The Ammonium Nitrate Helpdesk will (1) respond to </w:t>
      </w:r>
      <w:r>
        <w:rPr>
          <w:sz w:val="24"/>
        </w:rPr>
        <w:t>questions</w:t>
      </w:r>
      <w:r w:rsidRPr="001B0A7E">
        <w:rPr>
          <w:sz w:val="24"/>
        </w:rPr>
        <w:t xml:space="preserve"> from industry and the public</w:t>
      </w:r>
      <w:r>
        <w:rPr>
          <w:sz w:val="24"/>
        </w:rPr>
        <w:t xml:space="preserve"> about the Ammonium Nitrate Security Program</w:t>
      </w:r>
      <w:r w:rsidRPr="001B0A7E">
        <w:rPr>
          <w:sz w:val="24"/>
        </w:rPr>
        <w:t xml:space="preserve">, </w:t>
      </w:r>
      <w:r>
        <w:rPr>
          <w:sz w:val="24"/>
        </w:rPr>
        <w:t>(2) support individuals seeking to comply with the Ammonium Nitrate Security Program</w:t>
      </w:r>
      <w:r w:rsidRPr="001B0A7E">
        <w:rPr>
          <w:sz w:val="24"/>
        </w:rPr>
        <w:t xml:space="preserve"> and (</w:t>
      </w:r>
      <w:r>
        <w:rPr>
          <w:sz w:val="24"/>
        </w:rPr>
        <w:t>3</w:t>
      </w:r>
      <w:r w:rsidRPr="001B0A7E">
        <w:rPr>
          <w:sz w:val="24"/>
        </w:rPr>
        <w:t xml:space="preserve">) </w:t>
      </w:r>
      <w:r>
        <w:rPr>
          <w:sz w:val="24"/>
        </w:rPr>
        <w:t xml:space="preserve">as necessary, provide </w:t>
      </w:r>
      <w:r w:rsidRPr="001B0A7E">
        <w:rPr>
          <w:sz w:val="24"/>
        </w:rPr>
        <w:t>verification services</w:t>
      </w:r>
      <w:r>
        <w:rPr>
          <w:sz w:val="24"/>
        </w:rPr>
        <w:t xml:space="preserve"> to AN Sellers</w:t>
      </w:r>
      <w:r w:rsidRPr="001B0A7E">
        <w:rPr>
          <w:sz w:val="24"/>
        </w:rPr>
        <w:t>.</w:t>
      </w:r>
    </w:p>
    <w:p w:rsidR="0098689D" w:rsidRDefault="0098689D" w:rsidP="007E0849">
      <w:pPr>
        <w:pStyle w:val="Heading3"/>
        <w:rPr>
          <w:bCs w:val="0"/>
        </w:rPr>
      </w:pPr>
      <w:r>
        <w:rPr>
          <w:bCs w:val="0"/>
        </w:rPr>
        <w:t>Electronic Recordkeeping Database</w:t>
      </w:r>
    </w:p>
    <w:p w:rsidR="0098689D" w:rsidRPr="00A62B41" w:rsidRDefault="0098689D" w:rsidP="00A62B41">
      <w:pPr>
        <w:pStyle w:val="Body"/>
        <w:ind w:firstLine="0"/>
        <w:rPr>
          <w:sz w:val="24"/>
        </w:rPr>
      </w:pPr>
      <w:r w:rsidRPr="00A62B41">
        <w:rPr>
          <w:sz w:val="24"/>
        </w:rPr>
        <w:t xml:space="preserve">AN Facilities </w:t>
      </w:r>
      <w:r>
        <w:rPr>
          <w:sz w:val="24"/>
        </w:rPr>
        <w:t xml:space="preserve">will be </w:t>
      </w:r>
      <w:r w:rsidRPr="00A62B41">
        <w:rPr>
          <w:sz w:val="24"/>
        </w:rPr>
        <w:t>required to keep various records.  However, the use of this recordkeeping instrument is voluntary.  This instrument will allow the Department to offer AN Facilities the use of an electronic recordkeeping database which will comply with requirements proposed in section 31.315 of the proposed rule.</w:t>
      </w:r>
      <w:r w:rsidRPr="00740988">
        <w:rPr>
          <w:sz w:val="24"/>
        </w:rPr>
        <w:t xml:space="preserve"> </w:t>
      </w:r>
      <w:r>
        <w:rPr>
          <w:sz w:val="24"/>
        </w:rPr>
        <w:t xml:space="preserve"> AN Facilities that choose not to use the Electronic Recordkeeping Database must maintain records in some other manner.</w:t>
      </w:r>
    </w:p>
    <w:p w:rsidR="0098689D" w:rsidRPr="0076014F" w:rsidRDefault="0098689D" w:rsidP="007E0849">
      <w:pPr>
        <w:pStyle w:val="Heading3"/>
      </w:pPr>
      <w:r w:rsidRPr="0076014F">
        <w:t>Reporting Theft &amp; Loss</w:t>
      </w:r>
    </w:p>
    <w:p w:rsidR="0098689D" w:rsidRPr="000C6114" w:rsidRDefault="0098689D" w:rsidP="003F2967">
      <w:pPr>
        <w:spacing w:line="276" w:lineRule="auto"/>
        <w:rPr>
          <w:rFonts w:ascii="Times New Roman" w:hAnsi="Times New Roman"/>
        </w:rPr>
      </w:pPr>
      <w:r w:rsidRPr="00BE6E40">
        <w:rPr>
          <w:rFonts w:ascii="Times New Roman" w:hAnsi="Times New Roman"/>
        </w:rPr>
        <w:t>To report a theft or loss of ammonium nitrate, an individual will contact the Bureau of Alcohol, Tobacco, Firearms and Explosives (ATF).</w:t>
      </w:r>
      <w:r w:rsidRPr="00F92293">
        <w:rPr>
          <w:rFonts w:ascii="Times New Roman" w:hAnsi="Times New Roman"/>
        </w:rPr>
        <w:t xml:space="preserve">  Thefts and losses of ammonium nitrate are to be reported to ATF by te</w:t>
      </w:r>
      <w:r>
        <w:rPr>
          <w:rFonts w:ascii="Times New Roman" w:hAnsi="Times New Roman"/>
        </w:rPr>
        <w:t>lephoning a nationwide</w:t>
      </w:r>
      <w:r w:rsidRPr="00F92293">
        <w:rPr>
          <w:rFonts w:ascii="Times New Roman" w:hAnsi="Times New Roman"/>
        </w:rPr>
        <w:t xml:space="preserve"> number, followed up with submission to ATF of a completed paper form </w:t>
      </w:r>
      <w:r>
        <w:rPr>
          <w:rFonts w:ascii="Times New Roman" w:hAnsi="Times New Roman"/>
        </w:rPr>
        <w:t xml:space="preserve">or facsimile </w:t>
      </w:r>
      <w:r w:rsidRPr="00F92293">
        <w:rPr>
          <w:rFonts w:ascii="Times New Roman" w:hAnsi="Times New Roman"/>
        </w:rPr>
        <w:t>detailing the</w:t>
      </w:r>
      <w:r>
        <w:rPr>
          <w:rFonts w:ascii="Times New Roman" w:hAnsi="Times New Roman"/>
        </w:rPr>
        <w:t xml:space="preserve"> incident.  The Department will</w:t>
      </w:r>
      <w:r w:rsidRPr="00F92293">
        <w:rPr>
          <w:rFonts w:ascii="Times New Roman" w:hAnsi="Times New Roman"/>
        </w:rPr>
        <w:t xml:space="preserve"> work with ATF to determine the appropriate information to be reported and proper template for a form specific to reporting the theft or loss of ammonium nitrate.  While </w:t>
      </w:r>
      <w:r>
        <w:rPr>
          <w:rFonts w:ascii="Times New Roman" w:hAnsi="Times New Roman"/>
        </w:rPr>
        <w:t>Subtitle J does not require</w:t>
      </w:r>
      <w:r w:rsidRPr="00F92293">
        <w:rPr>
          <w:rFonts w:ascii="Times New Roman" w:hAnsi="Times New Roman"/>
        </w:rPr>
        <w:t xml:space="preserve"> AN Facility Representatives or other registered individuals who have knowledge of a theft or unexplained </w:t>
      </w:r>
      <w:r w:rsidRPr="00F92293">
        <w:rPr>
          <w:rFonts w:ascii="Times New Roman" w:hAnsi="Times New Roman"/>
        </w:rPr>
        <w:lastRenderedPageBreak/>
        <w:t>loss to report such incidents to local law enforcement, the Department encourages AN Facilities and individuals to do so in addition to reporting the theft or loss to ATF.</w:t>
      </w:r>
    </w:p>
    <w:p w:rsidR="0098689D" w:rsidRPr="0076014F" w:rsidRDefault="0098689D" w:rsidP="00A62B41">
      <w:pPr>
        <w:pStyle w:val="Heading3"/>
      </w:pPr>
      <w:r>
        <w:rPr>
          <w:bCs w:val="0"/>
        </w:rPr>
        <w:t xml:space="preserve">Adjudication or Appeal of an </w:t>
      </w:r>
      <w:r w:rsidRPr="000C1203">
        <w:t>Order Assessing Civil Penalty</w:t>
      </w:r>
    </w:p>
    <w:p w:rsidR="0098689D" w:rsidRPr="00A62B41" w:rsidRDefault="0098689D" w:rsidP="00A62B41">
      <w:pPr>
        <w:pStyle w:val="Body"/>
        <w:ind w:firstLine="0"/>
        <w:rPr>
          <w:sz w:val="24"/>
        </w:rPr>
      </w:pPr>
      <w:r w:rsidRPr="00A62B41">
        <w:rPr>
          <w:sz w:val="24"/>
        </w:rPr>
        <w:t xml:space="preserve">The information collected will be used to conduct hearings, adjudications, and appeals pursuant to the proposed rule.  Section 31.700 of the proposed rule </w:t>
      </w:r>
      <w:r>
        <w:rPr>
          <w:sz w:val="24"/>
        </w:rPr>
        <w:t>provides that</w:t>
      </w:r>
      <w:r w:rsidRPr="00A62B41">
        <w:rPr>
          <w:sz w:val="24"/>
        </w:rPr>
        <w:t xml:space="preserve"> any person or entity against whom an Order Assessing Civil Penalty has been issued is entitled to a hearing and </w:t>
      </w:r>
      <w:r>
        <w:rPr>
          <w:sz w:val="24"/>
        </w:rPr>
        <w:t>adjudication by a Presiding Officer</w:t>
      </w:r>
      <w:r w:rsidRPr="00A62B41">
        <w:rPr>
          <w:sz w:val="24"/>
        </w:rPr>
        <w:t xml:space="preserve"> on any issue of material fact relevant to any civil penalty issued against such person or entity. Section 31.735</w:t>
      </w:r>
      <w:r>
        <w:rPr>
          <w:sz w:val="24"/>
        </w:rPr>
        <w:t>(a)</w:t>
      </w:r>
      <w:r w:rsidRPr="00A62B41">
        <w:rPr>
          <w:sz w:val="24"/>
        </w:rPr>
        <w:t xml:space="preserve"> of the proposed rule </w:t>
      </w:r>
      <w:r>
        <w:rPr>
          <w:sz w:val="24"/>
        </w:rPr>
        <w:t>states that</w:t>
      </w:r>
      <w:r w:rsidRPr="00A62B41">
        <w:rPr>
          <w:sz w:val="24"/>
        </w:rPr>
        <w:t xml:space="preserve"> any person or entity </w:t>
      </w:r>
      <w:r>
        <w:rPr>
          <w:sz w:val="24"/>
        </w:rPr>
        <w:t>receiving</w:t>
      </w:r>
      <w:r w:rsidRPr="00A62B41">
        <w:rPr>
          <w:sz w:val="24"/>
        </w:rPr>
        <w:t xml:space="preserve"> an </w:t>
      </w:r>
      <w:r>
        <w:rPr>
          <w:sz w:val="24"/>
        </w:rPr>
        <w:t xml:space="preserve">adverse adjudication decision </w:t>
      </w:r>
      <w:r w:rsidRPr="00A62B41">
        <w:rPr>
          <w:sz w:val="24"/>
        </w:rPr>
        <w:t>has the right to appeal.</w:t>
      </w:r>
    </w:p>
    <w:p w:rsidR="0098689D" w:rsidRDefault="0098689D" w:rsidP="00A62B41">
      <w:pPr>
        <w:pStyle w:val="Body"/>
        <w:ind w:firstLine="0"/>
        <w:rPr>
          <w:sz w:val="24"/>
        </w:rPr>
      </w:pPr>
      <w:r w:rsidRPr="00A62B41">
        <w:rPr>
          <w:sz w:val="24"/>
        </w:rPr>
        <w:t>DHS anticipates that there will be fewer than 10 respondents annually.</w:t>
      </w:r>
    </w:p>
    <w:p w:rsidR="0098689D" w:rsidRDefault="0098689D" w:rsidP="00A62B41">
      <w:pPr>
        <w:pStyle w:val="Body"/>
        <w:ind w:firstLine="0"/>
        <w:rPr>
          <w:sz w:val="24"/>
        </w:rPr>
      </w:pPr>
      <w:r>
        <w:rPr>
          <w:b/>
          <w:sz w:val="24"/>
        </w:rPr>
        <w:t>Inspections and Audits</w:t>
      </w:r>
    </w:p>
    <w:p w:rsidR="0098689D" w:rsidRPr="000C6114" w:rsidRDefault="0098689D" w:rsidP="00A62B41">
      <w:pPr>
        <w:pStyle w:val="Body"/>
        <w:ind w:firstLine="0"/>
        <w:rPr>
          <w:sz w:val="24"/>
        </w:rPr>
      </w:pPr>
      <w:r>
        <w:rPr>
          <w:sz w:val="24"/>
        </w:rPr>
        <w:t xml:space="preserve">The information collected will be used to inspect and audit the records proposed in section 31.315 of the proposed rule.  DHS may also inspect and audit any other records that pertain to misappropriation or preventing misappropriation of ammonium nitrate, and may inspect and audit any other records required by the Assistant Secretary to be maintained pursuant to Subtitle J.  During an inspection or audit the Department may copy such records.  DHS may also take original copies of pertinent records out of the subject AN Facilities for duplication.  DHS may also perform remote inspections or audits, and require AN Facilities, AN Facility Representatives, and Designated AN Facility POCs to make the records available to the Department by facsimile, mail or email. </w:t>
      </w:r>
    </w:p>
    <w:p w:rsidR="0098689D" w:rsidRPr="00F7015B" w:rsidRDefault="0098689D" w:rsidP="007E0849">
      <w:pPr>
        <w:pStyle w:val="Heading2"/>
      </w:pPr>
      <w:r w:rsidRPr="00F7015B">
        <w:t>Use of Improved Information Technology and Burden Reduction</w:t>
      </w:r>
    </w:p>
    <w:p w:rsidR="0098689D" w:rsidRPr="001B0A7E" w:rsidRDefault="0098689D" w:rsidP="001B0A7E">
      <w:pPr>
        <w:pStyle w:val="Body"/>
        <w:ind w:firstLine="0"/>
        <w:rPr>
          <w:sz w:val="24"/>
          <w:szCs w:val="24"/>
        </w:rPr>
      </w:pPr>
      <w:r>
        <w:rPr>
          <w:sz w:val="24"/>
          <w:szCs w:val="24"/>
        </w:rPr>
        <w:t>This collection will use information technology to reduce burden through the use of web-portals when: (1) individuals apply for AN Registered User Numbers, (2) AN Sellers choose to perform verifications required by statute or regulation through the Purchaser Verification Portal, and (3) AN Facilities choose to maintain records in the electronic recordkeeping database.  The Ammonium Nitrate Security Program will also collect information through</w:t>
      </w:r>
      <w:r w:rsidRPr="001B0A7E">
        <w:rPr>
          <w:sz w:val="24"/>
          <w:szCs w:val="24"/>
        </w:rPr>
        <w:t xml:space="preserve"> web-forms, phone, e-mail</w:t>
      </w:r>
      <w:r>
        <w:rPr>
          <w:sz w:val="24"/>
          <w:szCs w:val="24"/>
        </w:rPr>
        <w:t>, and in person through inspections and audits as necessary</w:t>
      </w:r>
      <w:r w:rsidRPr="001B0A7E">
        <w:rPr>
          <w:sz w:val="24"/>
          <w:szCs w:val="24"/>
        </w:rPr>
        <w:t>.</w:t>
      </w:r>
    </w:p>
    <w:p w:rsidR="0098689D" w:rsidRPr="00F7015B" w:rsidRDefault="0098689D" w:rsidP="007E0849">
      <w:pPr>
        <w:pStyle w:val="Heading2"/>
      </w:pPr>
      <w:r w:rsidRPr="00F7015B">
        <w:t>Efforts to Identify Duplication and Use of Similar Information</w:t>
      </w:r>
    </w:p>
    <w:p w:rsidR="0098689D" w:rsidRPr="001B0A7E" w:rsidRDefault="0098689D" w:rsidP="001B0A7E">
      <w:pPr>
        <w:pStyle w:val="Body"/>
        <w:ind w:firstLine="0"/>
        <w:rPr>
          <w:sz w:val="24"/>
        </w:rPr>
      </w:pPr>
      <w:r w:rsidRPr="001B0A7E">
        <w:rPr>
          <w:sz w:val="24"/>
        </w:rPr>
        <w:t xml:space="preserve">The Ammonium Nitrate </w:t>
      </w:r>
      <w:r>
        <w:rPr>
          <w:sz w:val="24"/>
        </w:rPr>
        <w:t xml:space="preserve">Security </w:t>
      </w:r>
      <w:r w:rsidRPr="001B0A7E">
        <w:rPr>
          <w:sz w:val="24"/>
        </w:rPr>
        <w:t>Program has two initiatives that seek to avoid duplication and reuse similar information.  The first initiative w</w:t>
      </w:r>
      <w:r>
        <w:rPr>
          <w:sz w:val="24"/>
        </w:rPr>
        <w:t>ould</w:t>
      </w:r>
      <w:r w:rsidRPr="001B0A7E">
        <w:rPr>
          <w:sz w:val="24"/>
        </w:rPr>
        <w:t xml:space="preserve"> seek to reuse information </w:t>
      </w:r>
      <w:r>
        <w:rPr>
          <w:sz w:val="24"/>
        </w:rPr>
        <w:t xml:space="preserve">collected from </w:t>
      </w:r>
      <w:r w:rsidRPr="00385E86">
        <w:rPr>
          <w:sz w:val="24"/>
          <w:szCs w:val="24"/>
        </w:rPr>
        <w:t>applicants already vetted against the TSDB as part of other DHS programs prior to submission of their AN Registered User Number applications.  Under section 31.220(c)(1) of the proposed rule the Department may collect information necessary to enable it to verify applicants’ enrollments in other TSDB vetting programs.  Sections 31.220</w:t>
      </w:r>
      <w:r>
        <w:rPr>
          <w:sz w:val="24"/>
          <w:szCs w:val="24"/>
        </w:rPr>
        <w:t>, 31.225,</w:t>
      </w:r>
      <w:r w:rsidRPr="00385E86">
        <w:rPr>
          <w:sz w:val="24"/>
          <w:szCs w:val="24"/>
        </w:rPr>
        <w:t xml:space="preserve"> and 31.230 of the propo</w:t>
      </w:r>
      <w:r>
        <w:rPr>
          <w:sz w:val="24"/>
          <w:szCs w:val="24"/>
        </w:rPr>
        <w:t>sed rule would enable, but</w:t>
      </w:r>
      <w:r w:rsidRPr="00385E86">
        <w:rPr>
          <w:sz w:val="24"/>
          <w:szCs w:val="24"/>
        </w:rPr>
        <w:t xml:space="preserve"> not require, DHS to recognize the results of TSDB vetting completed by other DHS programs as part of AN Registered User Number application reviews.</w:t>
      </w:r>
    </w:p>
    <w:p w:rsidR="0098689D" w:rsidRPr="001B0A7E" w:rsidRDefault="0098689D" w:rsidP="001B0A7E">
      <w:pPr>
        <w:pStyle w:val="Body"/>
        <w:ind w:firstLine="0"/>
        <w:rPr>
          <w:sz w:val="24"/>
        </w:rPr>
      </w:pPr>
      <w:r w:rsidRPr="001B0A7E">
        <w:rPr>
          <w:sz w:val="24"/>
        </w:rPr>
        <w:lastRenderedPageBreak/>
        <w:t>The second initiative will leverage the existing</w:t>
      </w:r>
      <w:r>
        <w:rPr>
          <w:sz w:val="24"/>
        </w:rPr>
        <w:t xml:space="preserve"> </w:t>
      </w:r>
      <w:r w:rsidRPr="001B0A7E">
        <w:rPr>
          <w:sz w:val="24"/>
        </w:rPr>
        <w:t>ATF</w:t>
      </w:r>
      <w:r>
        <w:rPr>
          <w:sz w:val="24"/>
        </w:rPr>
        <w:t xml:space="preserve"> </w:t>
      </w:r>
      <w:r w:rsidRPr="0020013C">
        <w:rPr>
          <w:sz w:val="24"/>
          <w:szCs w:val="24"/>
        </w:rPr>
        <w:t xml:space="preserve">infrastructure to collect reports of theft or loss of ammonium nitrate.  The Department proposes to require that each theft/loss report be made to ATF in a manner prescribed by DHS after consultation with ATF, and contain information similar to that currently required by ATF for reports of theft or loss of explosives. </w:t>
      </w:r>
      <w:r>
        <w:rPr>
          <w:sz w:val="24"/>
          <w:szCs w:val="24"/>
        </w:rPr>
        <w:t xml:space="preserve"> </w:t>
      </w:r>
      <w:r w:rsidRPr="0020013C">
        <w:rPr>
          <w:sz w:val="24"/>
          <w:szCs w:val="24"/>
        </w:rPr>
        <w:t>This likely would involve modified versions of the process and tools established by ATF in support of the ATF regulations regarding the reporting of theft or loss of explosive materials.</w:t>
      </w:r>
    </w:p>
    <w:p w:rsidR="0098689D" w:rsidRPr="008D7ACA" w:rsidRDefault="0098689D" w:rsidP="00917171">
      <w:pPr>
        <w:pStyle w:val="Heading2"/>
      </w:pPr>
      <w:r w:rsidRPr="008D7ACA">
        <w:t>Impact on Small Business or Other Small Entities</w:t>
      </w:r>
    </w:p>
    <w:p w:rsidR="0098689D" w:rsidRPr="00921E03" w:rsidRDefault="0098689D" w:rsidP="00917171">
      <w:pPr>
        <w:pStyle w:val="Body"/>
        <w:ind w:firstLine="0"/>
        <w:rPr>
          <w:sz w:val="24"/>
        </w:rPr>
      </w:pPr>
      <w:r w:rsidRPr="00921E03">
        <w:rPr>
          <w:sz w:val="24"/>
        </w:rPr>
        <w:t xml:space="preserve">The </w:t>
      </w:r>
      <w:r>
        <w:rPr>
          <w:sz w:val="24"/>
        </w:rPr>
        <w:t>R</w:t>
      </w:r>
      <w:r w:rsidRPr="00921E03">
        <w:rPr>
          <w:sz w:val="24"/>
        </w:rPr>
        <w:t xml:space="preserve">egulatory </w:t>
      </w:r>
      <w:r>
        <w:rPr>
          <w:sz w:val="24"/>
        </w:rPr>
        <w:t>Assessment</w:t>
      </w:r>
      <w:r w:rsidRPr="00921E03">
        <w:rPr>
          <w:sz w:val="24"/>
        </w:rPr>
        <w:t xml:space="preserve"> published concurrently with the Notice of Proposed Rule</w:t>
      </w:r>
      <w:r>
        <w:rPr>
          <w:sz w:val="24"/>
        </w:rPr>
        <w:t>m</w:t>
      </w:r>
      <w:r w:rsidRPr="00921E03">
        <w:rPr>
          <w:sz w:val="24"/>
        </w:rPr>
        <w:t xml:space="preserve">aking for the Ammonium Nitrate </w:t>
      </w:r>
      <w:r>
        <w:rPr>
          <w:sz w:val="24"/>
        </w:rPr>
        <w:t>Security Program examined the impact on small business and other small entities.  W</w:t>
      </w:r>
      <w:r w:rsidRPr="000831A3">
        <w:rPr>
          <w:sz w:val="24"/>
        </w:rPr>
        <w:t xml:space="preserve">ithout the benefit of having the AN Registered User Number </w:t>
      </w:r>
      <w:r>
        <w:rPr>
          <w:sz w:val="24"/>
        </w:rPr>
        <w:t xml:space="preserve">registration </w:t>
      </w:r>
      <w:r w:rsidRPr="000831A3">
        <w:rPr>
          <w:sz w:val="24"/>
        </w:rPr>
        <w:t xml:space="preserve">results, it is very difficult to know which </w:t>
      </w:r>
      <w:r>
        <w:rPr>
          <w:sz w:val="24"/>
        </w:rPr>
        <w:t>entities</w:t>
      </w:r>
      <w:r w:rsidRPr="000831A3">
        <w:rPr>
          <w:sz w:val="24"/>
        </w:rPr>
        <w:t xml:space="preserve"> will have to undergo the burden of verifying AN Regis</w:t>
      </w:r>
      <w:r>
        <w:rPr>
          <w:sz w:val="24"/>
        </w:rPr>
        <w:t>tered User Numbers</w:t>
      </w:r>
      <w:r w:rsidRPr="000831A3">
        <w:rPr>
          <w:sz w:val="24"/>
        </w:rPr>
        <w:t xml:space="preserve"> and maintaining records of ammonium nitrate transactions.</w:t>
      </w:r>
      <w:r>
        <w:rPr>
          <w:sz w:val="24"/>
        </w:rPr>
        <w:t xml:space="preserve"> </w:t>
      </w:r>
      <w:r w:rsidRPr="000831A3">
        <w:rPr>
          <w:sz w:val="24"/>
        </w:rPr>
        <w:t xml:space="preserve"> After AN Sellers and AN Purchasers register with DHS there will be a better understanding of how many and which specific AN </w:t>
      </w:r>
      <w:r>
        <w:rPr>
          <w:sz w:val="24"/>
        </w:rPr>
        <w:t>F</w:t>
      </w:r>
      <w:r w:rsidRPr="000831A3">
        <w:rPr>
          <w:sz w:val="24"/>
        </w:rPr>
        <w:t xml:space="preserve">acilities will be subject to the requirements </w:t>
      </w:r>
      <w:r>
        <w:rPr>
          <w:sz w:val="24"/>
        </w:rPr>
        <w:t xml:space="preserve">of </w:t>
      </w:r>
      <w:r w:rsidRPr="000831A3">
        <w:rPr>
          <w:sz w:val="24"/>
        </w:rPr>
        <w:t xml:space="preserve">this proposed rule. </w:t>
      </w:r>
      <w:r>
        <w:rPr>
          <w:sz w:val="24"/>
        </w:rPr>
        <w:t xml:space="preserve"> T</w:t>
      </w:r>
      <w:r w:rsidRPr="000831A3">
        <w:rPr>
          <w:sz w:val="24"/>
        </w:rPr>
        <w:t xml:space="preserve">he Department has offered some degree of flexibility when choosing the method of verifying AN Registered User Numbers and maintaining records. </w:t>
      </w:r>
      <w:r>
        <w:rPr>
          <w:sz w:val="24"/>
        </w:rPr>
        <w:t xml:space="preserve"> </w:t>
      </w:r>
      <w:r w:rsidRPr="000831A3">
        <w:rPr>
          <w:sz w:val="24"/>
        </w:rPr>
        <w:t xml:space="preserve">DHS expects that AN Facilities will take full advantage of this flexibility in order to minimize the cost this rule </w:t>
      </w:r>
      <w:r>
        <w:rPr>
          <w:sz w:val="24"/>
        </w:rPr>
        <w:t>will have on</w:t>
      </w:r>
      <w:r w:rsidRPr="000831A3">
        <w:rPr>
          <w:sz w:val="24"/>
        </w:rPr>
        <w:t xml:space="preserve"> their operations.</w:t>
      </w:r>
    </w:p>
    <w:p w:rsidR="0098689D" w:rsidRPr="00F7015B" w:rsidRDefault="0098689D" w:rsidP="007E0849">
      <w:pPr>
        <w:pStyle w:val="Heading2"/>
      </w:pPr>
      <w:r w:rsidRPr="00F7015B">
        <w:t xml:space="preserve">Consequences of Collecting the Information </w:t>
      </w:r>
      <w:r>
        <w:t>L</w:t>
      </w:r>
      <w:r w:rsidRPr="00F7015B">
        <w:t>ess Frequently</w:t>
      </w:r>
    </w:p>
    <w:p w:rsidR="0098689D" w:rsidRPr="001B0A7E" w:rsidRDefault="0098689D" w:rsidP="001B0A7E">
      <w:pPr>
        <w:pStyle w:val="Body"/>
        <w:ind w:firstLine="0"/>
        <w:rPr>
          <w:sz w:val="24"/>
        </w:rPr>
      </w:pPr>
      <w:r>
        <w:rPr>
          <w:rStyle w:val="BodyChar"/>
          <w:snapToGrid/>
          <w:sz w:val="24"/>
        </w:rPr>
        <w:t xml:space="preserve">Collecting the information less frequently would likely result in the failure to comply with Subtitle J and an increased risk of the misappropriation or use of ammonium nitrate in an act of terrorism. </w:t>
      </w:r>
    </w:p>
    <w:p w:rsidR="0098689D" w:rsidRPr="004F5797" w:rsidRDefault="0098689D" w:rsidP="007E0849">
      <w:pPr>
        <w:pStyle w:val="Heading2"/>
      </w:pPr>
      <w:r w:rsidRPr="004F5797">
        <w:t xml:space="preserve">Special Circumstances Relating to the Guidelines </w:t>
      </w:r>
      <w:r>
        <w:t xml:space="preserve">under </w:t>
      </w:r>
      <w:hyperlink r:id="rId7" w:history="1">
        <w:r w:rsidRPr="004F5797">
          <w:rPr>
            <w:rStyle w:val="Hyperlink"/>
            <w:color w:val="auto"/>
            <w:u w:val="none"/>
          </w:rPr>
          <w:t xml:space="preserve">5 CFR </w:t>
        </w:r>
        <w:r>
          <w:rPr>
            <w:rStyle w:val="Hyperlink"/>
            <w:color w:val="auto"/>
            <w:u w:val="none"/>
          </w:rPr>
          <w:t xml:space="preserve">§ </w:t>
        </w:r>
        <w:r w:rsidRPr="004F5797">
          <w:rPr>
            <w:rStyle w:val="Hyperlink"/>
            <w:color w:val="auto"/>
            <w:u w:val="none"/>
          </w:rPr>
          <w:t>1320.5</w:t>
        </w:r>
      </w:hyperlink>
      <w:r>
        <w:t>(d)(2)(ii)</w:t>
      </w:r>
    </w:p>
    <w:p w:rsidR="0098689D" w:rsidRPr="001B0A7E" w:rsidRDefault="0098689D" w:rsidP="001B0A7E">
      <w:pPr>
        <w:pStyle w:val="Body"/>
        <w:ind w:firstLine="0"/>
        <w:rPr>
          <w:sz w:val="24"/>
        </w:rPr>
      </w:pPr>
      <w:r w:rsidRPr="001B0A7E">
        <w:rPr>
          <w:sz w:val="24"/>
        </w:rPr>
        <w:t>There are no special circumstances under this collection.</w:t>
      </w:r>
    </w:p>
    <w:p w:rsidR="0098689D" w:rsidRPr="00F7015B" w:rsidRDefault="0098689D" w:rsidP="007E0849">
      <w:pPr>
        <w:pStyle w:val="Heading2"/>
      </w:pPr>
      <w:r w:rsidRPr="00F7015B">
        <w:t>Comments in Response to the</w:t>
      </w:r>
      <w:r>
        <w:t xml:space="preserve"> Federal Register</w:t>
      </w:r>
      <w:r w:rsidRPr="00F7015B">
        <w:t xml:space="preserve"> Notice and Efforts to Consult Outside the Agency</w:t>
      </w:r>
    </w:p>
    <w:p w:rsidR="0098689D" w:rsidRPr="001B0A7E" w:rsidRDefault="0098689D" w:rsidP="001B0A7E">
      <w:pPr>
        <w:pStyle w:val="Body"/>
        <w:ind w:firstLine="0"/>
        <w:rPr>
          <w:sz w:val="24"/>
        </w:rPr>
      </w:pPr>
      <w:r w:rsidRPr="001B0A7E">
        <w:rPr>
          <w:sz w:val="24"/>
        </w:rPr>
        <w:t xml:space="preserve">Notice will be published as part of the Ammonium Nitrate </w:t>
      </w:r>
      <w:r>
        <w:rPr>
          <w:sz w:val="24"/>
        </w:rPr>
        <w:t xml:space="preserve">Security Program </w:t>
      </w:r>
      <w:r w:rsidRPr="001B0A7E">
        <w:rPr>
          <w:sz w:val="24"/>
        </w:rPr>
        <w:t>N</w:t>
      </w:r>
      <w:r>
        <w:rPr>
          <w:sz w:val="24"/>
        </w:rPr>
        <w:t>otice of Proposed Rulemaking</w:t>
      </w:r>
      <w:r w:rsidRPr="001B0A7E">
        <w:rPr>
          <w:sz w:val="24"/>
        </w:rPr>
        <w:t xml:space="preserve"> and F</w:t>
      </w:r>
      <w:r>
        <w:rPr>
          <w:sz w:val="24"/>
        </w:rPr>
        <w:t xml:space="preserve">inal </w:t>
      </w:r>
      <w:r w:rsidRPr="001B0A7E">
        <w:rPr>
          <w:sz w:val="24"/>
        </w:rPr>
        <w:t>R</w:t>
      </w:r>
      <w:r>
        <w:rPr>
          <w:sz w:val="24"/>
        </w:rPr>
        <w:t>ule</w:t>
      </w:r>
      <w:r w:rsidRPr="001B0A7E">
        <w:rPr>
          <w:sz w:val="24"/>
        </w:rPr>
        <w:t>.</w:t>
      </w:r>
    </w:p>
    <w:p w:rsidR="0098689D" w:rsidRPr="00F7015B" w:rsidRDefault="0098689D" w:rsidP="007E0849">
      <w:pPr>
        <w:pStyle w:val="Heading2"/>
      </w:pPr>
      <w:r w:rsidRPr="00F7015B">
        <w:t>Explanation of Any Payment or Gift to Respondents</w:t>
      </w:r>
    </w:p>
    <w:p w:rsidR="0098689D" w:rsidRPr="001B0A7E" w:rsidRDefault="0098689D" w:rsidP="001B0A7E">
      <w:pPr>
        <w:pStyle w:val="Body"/>
        <w:ind w:firstLine="0"/>
        <w:rPr>
          <w:sz w:val="24"/>
        </w:rPr>
      </w:pPr>
      <w:r w:rsidRPr="001B0A7E">
        <w:rPr>
          <w:sz w:val="24"/>
        </w:rPr>
        <w:t>There is no offer of monetary or material value for this information collection.</w:t>
      </w:r>
    </w:p>
    <w:p w:rsidR="0098689D" w:rsidRPr="00F7015B" w:rsidRDefault="0098689D" w:rsidP="007E0849">
      <w:pPr>
        <w:pStyle w:val="Heading2"/>
      </w:pPr>
      <w:r w:rsidRPr="00F7015B">
        <w:t>Assurance of Confidentiality Provided to Respondents</w:t>
      </w:r>
    </w:p>
    <w:p w:rsidR="0098689D" w:rsidRPr="001B0A7E" w:rsidRDefault="0098689D" w:rsidP="001B0A7E">
      <w:pPr>
        <w:pStyle w:val="Body"/>
        <w:ind w:firstLine="0"/>
        <w:rPr>
          <w:sz w:val="24"/>
        </w:rPr>
      </w:pPr>
      <w:r w:rsidRPr="001B0A7E">
        <w:rPr>
          <w:sz w:val="24"/>
        </w:rPr>
        <w:t>As provided by the Privacy Act, 5 U.S.C. § 552a, DHS will publish a P</w:t>
      </w:r>
      <w:r>
        <w:rPr>
          <w:sz w:val="24"/>
        </w:rPr>
        <w:t>rivacy Impact Assessment</w:t>
      </w:r>
      <w:r w:rsidRPr="001B0A7E">
        <w:rPr>
          <w:sz w:val="24"/>
        </w:rPr>
        <w:t xml:space="preserve"> </w:t>
      </w:r>
      <w:r>
        <w:rPr>
          <w:sz w:val="24"/>
        </w:rPr>
        <w:t xml:space="preserve">(PIA) </w:t>
      </w:r>
      <w:r w:rsidRPr="001B0A7E">
        <w:rPr>
          <w:sz w:val="24"/>
        </w:rPr>
        <w:t xml:space="preserve">specifically for the PII collected by the Ammonium Nitrate </w:t>
      </w:r>
      <w:r>
        <w:rPr>
          <w:sz w:val="24"/>
        </w:rPr>
        <w:t xml:space="preserve">Security </w:t>
      </w:r>
      <w:r w:rsidRPr="001B0A7E">
        <w:rPr>
          <w:sz w:val="24"/>
        </w:rPr>
        <w:t>Program.</w:t>
      </w:r>
    </w:p>
    <w:p w:rsidR="0098689D" w:rsidRDefault="0098689D" w:rsidP="001B0A7E">
      <w:pPr>
        <w:pStyle w:val="Body"/>
        <w:ind w:firstLine="0"/>
        <w:rPr>
          <w:sz w:val="24"/>
        </w:rPr>
      </w:pPr>
      <w:r w:rsidRPr="001B0A7E">
        <w:rPr>
          <w:sz w:val="24"/>
        </w:rPr>
        <w:t xml:space="preserve">DHS will publish a System of Records Notice (SORN) to cover the information collected by the Ammonium Nitrate </w:t>
      </w:r>
      <w:r>
        <w:rPr>
          <w:sz w:val="24"/>
        </w:rPr>
        <w:t xml:space="preserve">Security </w:t>
      </w:r>
      <w:r w:rsidRPr="001B0A7E">
        <w:rPr>
          <w:sz w:val="24"/>
        </w:rPr>
        <w:t>Program.</w:t>
      </w:r>
    </w:p>
    <w:p w:rsidR="0098689D" w:rsidRPr="00F7015B" w:rsidRDefault="0098689D" w:rsidP="007E0849">
      <w:pPr>
        <w:pStyle w:val="Heading2"/>
      </w:pPr>
      <w:r w:rsidRPr="00F7015B">
        <w:lastRenderedPageBreak/>
        <w:t>Justification for Sensitive Questions</w:t>
      </w:r>
    </w:p>
    <w:p w:rsidR="0098689D" w:rsidRPr="001B0A7E" w:rsidRDefault="0098689D" w:rsidP="001B0A7E">
      <w:pPr>
        <w:pStyle w:val="Body"/>
        <w:ind w:firstLine="0"/>
        <w:rPr>
          <w:sz w:val="24"/>
        </w:rPr>
      </w:pPr>
      <w:r w:rsidRPr="001B0A7E">
        <w:rPr>
          <w:sz w:val="24"/>
        </w:rPr>
        <w:t>There are no questions of a sensitive nature.</w:t>
      </w:r>
    </w:p>
    <w:p w:rsidR="0098689D" w:rsidRPr="00F7015B" w:rsidRDefault="0098689D" w:rsidP="007E0849">
      <w:pPr>
        <w:pStyle w:val="Heading2"/>
      </w:pPr>
      <w:r w:rsidRPr="00F7015B">
        <w:t>Estimates of Annualized Burden Hours and Costs</w:t>
      </w:r>
    </w:p>
    <w:p w:rsidR="0098689D" w:rsidRDefault="0098689D" w:rsidP="00AF75A5">
      <w:pPr>
        <w:pStyle w:val="Body"/>
        <w:ind w:firstLine="0"/>
      </w:pPr>
      <w:r w:rsidRPr="001B0A7E">
        <w:rPr>
          <w:sz w:val="24"/>
        </w:rPr>
        <w:t>The annual total estimate for reporting, recordkeeping</w:t>
      </w:r>
      <w:r>
        <w:rPr>
          <w:sz w:val="24"/>
        </w:rPr>
        <w:t>,</w:t>
      </w:r>
      <w:r w:rsidRPr="001B0A7E">
        <w:rPr>
          <w:sz w:val="24"/>
        </w:rPr>
        <w:t xml:space="preserve"> and cost burden under this collection is </w:t>
      </w:r>
      <w:r w:rsidRPr="00C97DBF">
        <w:rPr>
          <w:sz w:val="24"/>
        </w:rPr>
        <w:t>$13</w:t>
      </w:r>
      <w:r>
        <w:rPr>
          <w:sz w:val="24"/>
        </w:rPr>
        <w:t>4</w:t>
      </w:r>
      <w:r w:rsidRPr="00C97DBF">
        <w:rPr>
          <w:sz w:val="24"/>
        </w:rPr>
        <w:t>,</w:t>
      </w:r>
      <w:r w:rsidR="00EF1227">
        <w:rPr>
          <w:sz w:val="24"/>
        </w:rPr>
        <w:t>337</w:t>
      </w:r>
      <w:r w:rsidRPr="00C97DBF">
        <w:rPr>
          <w:sz w:val="24"/>
        </w:rPr>
        <w:t>,</w:t>
      </w:r>
      <w:r>
        <w:rPr>
          <w:sz w:val="24"/>
        </w:rPr>
        <w:t>4</w:t>
      </w:r>
      <w:r w:rsidRPr="00C97DBF">
        <w:rPr>
          <w:sz w:val="24"/>
        </w:rPr>
        <w:t>00.  Individual burden estimates vary by instrument and are summarized in the table</w:t>
      </w:r>
      <w:r w:rsidRPr="001B0A7E">
        <w:rPr>
          <w:sz w:val="24"/>
        </w:rPr>
        <w:t xml:space="preserve"> below:</w:t>
      </w:r>
    </w:p>
    <w:p w:rsidR="0098689D" w:rsidRDefault="0098689D" w:rsidP="00AF75A5">
      <w:pPr>
        <w:pStyle w:val="Body"/>
        <w:ind w:firstLine="0"/>
      </w:pPr>
    </w:p>
    <w:p w:rsidR="0098689D" w:rsidRPr="00F7015B" w:rsidRDefault="0098689D" w:rsidP="00AF75A5">
      <w:pPr>
        <w:pStyle w:val="Body"/>
        <w:ind w:firstLine="0"/>
      </w:pPr>
      <w:r w:rsidRPr="00BA407B">
        <w:t xml:space="preserve">Table </w:t>
      </w:r>
      <w:r>
        <w:t>1</w:t>
      </w:r>
      <w:r w:rsidRPr="00BA407B">
        <w:t xml:space="preserve">: Estimates of Annualized </w:t>
      </w:r>
      <w:r>
        <w:t>Burden Hours and Costs</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68"/>
        <w:gridCol w:w="1350"/>
        <w:gridCol w:w="1458"/>
        <w:gridCol w:w="1548"/>
        <w:gridCol w:w="1800"/>
      </w:tblGrid>
      <w:tr w:rsidR="0098689D" w:rsidRPr="00D34F55" w:rsidTr="00DE6AE6">
        <w:trPr>
          <w:cantSplit/>
          <w:tblHeader/>
        </w:trPr>
        <w:tc>
          <w:tcPr>
            <w:tcW w:w="1440"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Instrument</w:t>
            </w:r>
          </w:p>
        </w:tc>
        <w:tc>
          <w:tcPr>
            <w:tcW w:w="1368"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Number of Respondents</w:t>
            </w:r>
          </w:p>
        </w:tc>
        <w:tc>
          <w:tcPr>
            <w:tcW w:w="1350"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Responses per Respondent</w:t>
            </w:r>
          </w:p>
        </w:tc>
        <w:tc>
          <w:tcPr>
            <w:tcW w:w="1458"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Avg. Burden per Response (in hours)</w:t>
            </w:r>
          </w:p>
        </w:tc>
        <w:tc>
          <w:tcPr>
            <w:tcW w:w="1548"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Total Annual Burden</w:t>
            </w:r>
          </w:p>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(in hours)</w:t>
            </w:r>
          </w:p>
        </w:tc>
        <w:tc>
          <w:tcPr>
            <w:tcW w:w="1800" w:type="dxa"/>
            <w:vAlign w:val="center"/>
          </w:tcPr>
          <w:p w:rsidR="0098689D" w:rsidRPr="00D34F55" w:rsidRDefault="0098689D" w:rsidP="00DE6AE6">
            <w:pPr>
              <w:jc w:val="center"/>
              <w:rPr>
                <w:rFonts w:ascii="Times New Roman" w:hAnsi="Times New Roman"/>
                <w:b/>
                <w:bCs/>
                <w:sz w:val="20"/>
                <w:szCs w:val="20"/>
              </w:rPr>
            </w:pPr>
            <w:r w:rsidRPr="00D34F55">
              <w:rPr>
                <w:rFonts w:ascii="Times New Roman" w:hAnsi="Times New Roman"/>
                <w:b/>
                <w:bCs/>
                <w:sz w:val="20"/>
                <w:szCs w:val="20"/>
              </w:rPr>
              <w:t>Total Annual Respondent Cost (in dollars)</w:t>
            </w:r>
          </w:p>
        </w:tc>
      </w:tr>
      <w:tr w:rsidR="0098689D" w:rsidRPr="00D34F55" w:rsidTr="00DE6AE6">
        <w:trPr>
          <w:cantSplit/>
          <w:trHeight w:val="690"/>
          <w:tblHeader/>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bCs/>
                <w:sz w:val="20"/>
                <w:szCs w:val="20"/>
              </w:rPr>
              <w:t>Ammonium Nitrate Registration</w:t>
            </w:r>
          </w:p>
        </w:tc>
        <w:tc>
          <w:tcPr>
            <w:tcW w:w="136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116,800</w:t>
            </w:r>
          </w:p>
        </w:tc>
        <w:tc>
          <w:tcPr>
            <w:tcW w:w="135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w:t>
            </w:r>
          </w:p>
        </w:tc>
        <w:tc>
          <w:tcPr>
            <w:tcW w:w="145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2.02</w:t>
            </w:r>
          </w:p>
        </w:tc>
        <w:tc>
          <w:tcPr>
            <w:tcW w:w="154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235,912</w:t>
            </w:r>
          </w:p>
        </w:tc>
        <w:tc>
          <w:tcPr>
            <w:tcW w:w="1800" w:type="dxa"/>
            <w:vAlign w:val="center"/>
          </w:tcPr>
          <w:p w:rsidR="0098689D" w:rsidRPr="00D34F55" w:rsidRDefault="0098689D" w:rsidP="00EF1227">
            <w:pPr>
              <w:jc w:val="center"/>
              <w:rPr>
                <w:rFonts w:ascii="Times New Roman" w:hAnsi="Times New Roman"/>
                <w:sz w:val="20"/>
                <w:szCs w:val="20"/>
              </w:rPr>
            </w:pPr>
            <w:r w:rsidRPr="00D34F55">
              <w:rPr>
                <w:rFonts w:ascii="Times New Roman" w:hAnsi="Times New Roman"/>
                <w:sz w:val="20"/>
                <w:szCs w:val="20"/>
              </w:rPr>
              <w:t>$11,</w:t>
            </w:r>
            <w:r w:rsidR="00EF1227" w:rsidRPr="00D34F55">
              <w:rPr>
                <w:rFonts w:ascii="Times New Roman" w:hAnsi="Times New Roman"/>
                <w:sz w:val="20"/>
                <w:szCs w:val="20"/>
              </w:rPr>
              <w:t>114</w:t>
            </w:r>
            <w:r w:rsidRPr="00D34F55">
              <w:rPr>
                <w:rFonts w:ascii="Times New Roman" w:hAnsi="Times New Roman"/>
                <w:sz w:val="20"/>
                <w:szCs w:val="20"/>
              </w:rPr>
              <w:t>,</w:t>
            </w:r>
            <w:r w:rsidR="00EF1227" w:rsidRPr="00D34F55">
              <w:rPr>
                <w:rFonts w:ascii="Times New Roman" w:hAnsi="Times New Roman"/>
                <w:sz w:val="20"/>
                <w:szCs w:val="20"/>
              </w:rPr>
              <w:t>000</w:t>
            </w:r>
          </w:p>
        </w:tc>
      </w:tr>
      <w:tr w:rsidR="0098689D" w:rsidRPr="00D34F55" w:rsidTr="00DE6AE6">
        <w:trPr>
          <w:cantSplit/>
          <w:trHeight w:val="690"/>
          <w:tblHeader/>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bCs/>
                <w:sz w:val="20"/>
                <w:szCs w:val="20"/>
              </w:rPr>
              <w:t>Appeals for Denial or Revocation of AN Registered User Numbers</w:t>
            </w:r>
          </w:p>
        </w:tc>
        <w:tc>
          <w:tcPr>
            <w:tcW w:w="136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223</w:t>
            </w:r>
          </w:p>
        </w:tc>
        <w:tc>
          <w:tcPr>
            <w:tcW w:w="1350"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1</w:t>
            </w:r>
          </w:p>
        </w:tc>
        <w:tc>
          <w:tcPr>
            <w:tcW w:w="145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6.00</w:t>
            </w:r>
          </w:p>
        </w:tc>
        <w:tc>
          <w:tcPr>
            <w:tcW w:w="154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1,336</w:t>
            </w:r>
          </w:p>
        </w:tc>
        <w:tc>
          <w:tcPr>
            <w:tcW w:w="1800" w:type="dxa"/>
            <w:vAlign w:val="center"/>
          </w:tcPr>
          <w:p w:rsidR="0098689D" w:rsidRPr="00D34F55" w:rsidRDefault="0098689D">
            <w:pPr>
              <w:jc w:val="center"/>
              <w:rPr>
                <w:rFonts w:ascii="Times New Roman" w:hAnsi="Times New Roman"/>
                <w:sz w:val="20"/>
                <w:szCs w:val="20"/>
              </w:rPr>
            </w:pPr>
            <w:r w:rsidRPr="00D34F55">
              <w:rPr>
                <w:rFonts w:ascii="Times New Roman" w:hAnsi="Times New Roman"/>
                <w:sz w:val="20"/>
                <w:szCs w:val="20"/>
              </w:rPr>
              <w:t>$49,500</w:t>
            </w:r>
          </w:p>
        </w:tc>
      </w:tr>
      <w:tr w:rsidR="0098689D" w:rsidRPr="00D34F55" w:rsidTr="00DE6AE6">
        <w:trPr>
          <w:cantSplit/>
          <w:trHeight w:val="690"/>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Purchaser Verification</w:t>
            </w:r>
          </w:p>
        </w:tc>
        <w:tc>
          <w:tcPr>
            <w:tcW w:w="136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6,236</w:t>
            </w:r>
          </w:p>
        </w:tc>
        <w:tc>
          <w:tcPr>
            <w:tcW w:w="1350"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4705</w:t>
            </w:r>
          </w:p>
        </w:tc>
        <w:tc>
          <w:tcPr>
            <w:tcW w:w="145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0.08</w:t>
            </w:r>
          </w:p>
        </w:tc>
        <w:tc>
          <w:tcPr>
            <w:tcW w:w="154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2,445,001</w:t>
            </w:r>
          </w:p>
        </w:tc>
        <w:tc>
          <w:tcPr>
            <w:tcW w:w="1800" w:type="dxa"/>
            <w:vAlign w:val="center"/>
          </w:tcPr>
          <w:p w:rsidR="0098689D" w:rsidRPr="00D34F55" w:rsidRDefault="0098689D">
            <w:pPr>
              <w:jc w:val="center"/>
              <w:rPr>
                <w:rFonts w:ascii="Times New Roman" w:hAnsi="Times New Roman"/>
                <w:sz w:val="20"/>
                <w:szCs w:val="20"/>
              </w:rPr>
            </w:pPr>
            <w:r w:rsidRPr="00D34F55">
              <w:rPr>
                <w:rFonts w:ascii="Times New Roman" w:hAnsi="Times New Roman"/>
                <w:sz w:val="20"/>
                <w:szCs w:val="20"/>
              </w:rPr>
              <w:t>$93,262,600</w:t>
            </w:r>
          </w:p>
        </w:tc>
      </w:tr>
      <w:tr w:rsidR="0098689D" w:rsidRPr="00D34F55" w:rsidTr="00DE6AE6">
        <w:trPr>
          <w:cantSplit/>
          <w:trHeight w:val="690"/>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Ammonium Nitrate Helpdesk</w:t>
            </w:r>
          </w:p>
        </w:tc>
        <w:tc>
          <w:tcPr>
            <w:tcW w:w="136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248,460</w:t>
            </w:r>
          </w:p>
        </w:tc>
        <w:tc>
          <w:tcPr>
            <w:tcW w:w="1350"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119</w:t>
            </w:r>
          </w:p>
        </w:tc>
        <w:tc>
          <w:tcPr>
            <w:tcW w:w="145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0.02</w:t>
            </w:r>
          </w:p>
        </w:tc>
        <w:tc>
          <w:tcPr>
            <w:tcW w:w="154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551,114</w:t>
            </w:r>
          </w:p>
        </w:tc>
        <w:tc>
          <w:tcPr>
            <w:tcW w:w="1800" w:type="dxa"/>
            <w:vAlign w:val="center"/>
          </w:tcPr>
          <w:p w:rsidR="0098689D" w:rsidRPr="00D34F55" w:rsidRDefault="0098689D" w:rsidP="00EF1227">
            <w:pPr>
              <w:jc w:val="center"/>
              <w:rPr>
                <w:rFonts w:ascii="Times New Roman" w:hAnsi="Times New Roman"/>
                <w:sz w:val="20"/>
                <w:szCs w:val="20"/>
              </w:rPr>
            </w:pPr>
            <w:r w:rsidRPr="00D34F55">
              <w:rPr>
                <w:rFonts w:ascii="Times New Roman" w:hAnsi="Times New Roman"/>
                <w:sz w:val="20"/>
                <w:szCs w:val="20"/>
              </w:rPr>
              <w:t>$20,</w:t>
            </w:r>
            <w:r w:rsidR="00EF1227" w:rsidRPr="00D34F55">
              <w:rPr>
                <w:rFonts w:ascii="Times New Roman" w:hAnsi="Times New Roman"/>
                <w:sz w:val="20"/>
                <w:szCs w:val="20"/>
              </w:rPr>
              <w:t>680</w:t>
            </w:r>
            <w:r w:rsidRPr="00D34F55">
              <w:rPr>
                <w:rFonts w:ascii="Times New Roman" w:hAnsi="Times New Roman"/>
                <w:sz w:val="20"/>
                <w:szCs w:val="20"/>
              </w:rPr>
              <w:t>,</w:t>
            </w:r>
            <w:r w:rsidR="00EF1227" w:rsidRPr="00D34F55">
              <w:rPr>
                <w:rFonts w:ascii="Times New Roman" w:hAnsi="Times New Roman"/>
                <w:sz w:val="20"/>
                <w:szCs w:val="20"/>
              </w:rPr>
              <w:t>100</w:t>
            </w:r>
          </w:p>
        </w:tc>
      </w:tr>
      <w:tr w:rsidR="0098689D" w:rsidRPr="00D34F55" w:rsidTr="00DE6AE6">
        <w:trPr>
          <w:cantSplit/>
          <w:trHeight w:val="690"/>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bCs/>
                <w:sz w:val="20"/>
                <w:szCs w:val="20"/>
              </w:rPr>
              <w:t>Electronic Recordkeeping Database</w:t>
            </w:r>
          </w:p>
        </w:tc>
        <w:tc>
          <w:tcPr>
            <w:tcW w:w="136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6,236</w:t>
            </w:r>
          </w:p>
        </w:tc>
        <w:tc>
          <w:tcPr>
            <w:tcW w:w="135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4705</w:t>
            </w:r>
          </w:p>
        </w:tc>
        <w:tc>
          <w:tcPr>
            <w:tcW w:w="145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0.02</w:t>
            </w:r>
          </w:p>
        </w:tc>
        <w:tc>
          <w:tcPr>
            <w:tcW w:w="154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448,992</w:t>
            </w:r>
          </w:p>
        </w:tc>
        <w:tc>
          <w:tcPr>
            <w:tcW w:w="1800" w:type="dxa"/>
            <w:vAlign w:val="center"/>
          </w:tcPr>
          <w:p w:rsidR="0098689D" w:rsidRPr="00D34F55" w:rsidRDefault="0098689D">
            <w:pPr>
              <w:jc w:val="center"/>
              <w:rPr>
                <w:rFonts w:ascii="Times New Roman" w:hAnsi="Times New Roman"/>
                <w:sz w:val="20"/>
                <w:szCs w:val="20"/>
              </w:rPr>
            </w:pPr>
            <w:r w:rsidRPr="00D34F55">
              <w:rPr>
                <w:rFonts w:ascii="Times New Roman" w:hAnsi="Times New Roman"/>
                <w:sz w:val="20"/>
                <w:szCs w:val="20"/>
              </w:rPr>
              <w:t>$8,591,600</w:t>
            </w:r>
          </w:p>
        </w:tc>
      </w:tr>
      <w:tr w:rsidR="0098689D" w:rsidRPr="00D34F55" w:rsidTr="00DE6AE6">
        <w:trPr>
          <w:cantSplit/>
          <w:trHeight w:val="690"/>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Reporting of Theft &amp; Loss</w:t>
            </w:r>
          </w:p>
        </w:tc>
        <w:tc>
          <w:tcPr>
            <w:tcW w:w="136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125</w:t>
            </w:r>
          </w:p>
        </w:tc>
        <w:tc>
          <w:tcPr>
            <w:tcW w:w="1350"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1</w:t>
            </w:r>
          </w:p>
        </w:tc>
        <w:tc>
          <w:tcPr>
            <w:tcW w:w="145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2.80</w:t>
            </w:r>
          </w:p>
        </w:tc>
        <w:tc>
          <w:tcPr>
            <w:tcW w:w="1548" w:type="dxa"/>
            <w:vAlign w:val="center"/>
          </w:tcPr>
          <w:p w:rsidR="0098689D" w:rsidRPr="00D34F55" w:rsidDel="00CB5417" w:rsidRDefault="0098689D" w:rsidP="00DE6AE6">
            <w:pPr>
              <w:jc w:val="center"/>
              <w:rPr>
                <w:rFonts w:ascii="Times New Roman" w:hAnsi="Times New Roman"/>
                <w:sz w:val="20"/>
                <w:szCs w:val="20"/>
              </w:rPr>
            </w:pPr>
            <w:r w:rsidRPr="00D34F55">
              <w:rPr>
                <w:rFonts w:ascii="Times New Roman" w:hAnsi="Times New Roman"/>
                <w:sz w:val="20"/>
                <w:szCs w:val="20"/>
              </w:rPr>
              <w:t>349</w:t>
            </w:r>
          </w:p>
        </w:tc>
        <w:tc>
          <w:tcPr>
            <w:tcW w:w="1800" w:type="dxa"/>
            <w:vAlign w:val="center"/>
          </w:tcPr>
          <w:p w:rsidR="0098689D" w:rsidRPr="00D34F55" w:rsidRDefault="0098689D" w:rsidP="00EF1227">
            <w:pPr>
              <w:jc w:val="center"/>
              <w:rPr>
                <w:rFonts w:ascii="Times New Roman" w:hAnsi="Times New Roman"/>
                <w:sz w:val="20"/>
                <w:szCs w:val="20"/>
              </w:rPr>
            </w:pPr>
            <w:r w:rsidRPr="00D34F55">
              <w:rPr>
                <w:rFonts w:ascii="Times New Roman" w:hAnsi="Times New Roman"/>
                <w:sz w:val="20"/>
                <w:szCs w:val="20"/>
              </w:rPr>
              <w:t>$</w:t>
            </w:r>
            <w:r w:rsidR="00EF1227" w:rsidRPr="00D34F55">
              <w:rPr>
                <w:rFonts w:ascii="Times New Roman" w:hAnsi="Times New Roman"/>
                <w:sz w:val="20"/>
                <w:szCs w:val="20"/>
              </w:rPr>
              <w:t>18</w:t>
            </w:r>
            <w:r w:rsidRPr="00D34F55">
              <w:rPr>
                <w:rFonts w:ascii="Times New Roman" w:hAnsi="Times New Roman"/>
                <w:sz w:val="20"/>
                <w:szCs w:val="20"/>
              </w:rPr>
              <w:t>,</w:t>
            </w:r>
            <w:r w:rsidR="00EF1227" w:rsidRPr="00D34F55">
              <w:rPr>
                <w:rFonts w:ascii="Times New Roman" w:hAnsi="Times New Roman"/>
                <w:sz w:val="20"/>
                <w:szCs w:val="20"/>
              </w:rPr>
              <w:t>300</w:t>
            </w:r>
          </w:p>
        </w:tc>
      </w:tr>
      <w:tr w:rsidR="0098689D" w:rsidRPr="00D34F55" w:rsidTr="00AF75A5">
        <w:trPr>
          <w:cantSplit/>
          <w:trHeight w:val="690"/>
        </w:trPr>
        <w:tc>
          <w:tcPr>
            <w:tcW w:w="144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bCs/>
                <w:sz w:val="20"/>
                <w:szCs w:val="20"/>
              </w:rPr>
              <w:t xml:space="preserve">Adjudication or Appeal of an </w:t>
            </w:r>
            <w:r w:rsidRPr="00D34F55">
              <w:rPr>
                <w:rFonts w:ascii="Times New Roman" w:hAnsi="Times New Roman"/>
                <w:sz w:val="20"/>
                <w:szCs w:val="20"/>
              </w:rPr>
              <w:t>Order Assessing Civil Penalty</w:t>
            </w:r>
          </w:p>
        </w:tc>
        <w:tc>
          <w:tcPr>
            <w:tcW w:w="136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Less Than 10</w:t>
            </w:r>
          </w:p>
        </w:tc>
        <w:tc>
          <w:tcPr>
            <w:tcW w:w="135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N/A</w:t>
            </w:r>
          </w:p>
        </w:tc>
        <w:tc>
          <w:tcPr>
            <w:tcW w:w="145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N/A</w:t>
            </w:r>
          </w:p>
        </w:tc>
        <w:tc>
          <w:tcPr>
            <w:tcW w:w="154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N/A</w:t>
            </w:r>
          </w:p>
        </w:tc>
        <w:tc>
          <w:tcPr>
            <w:tcW w:w="180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N/A</w:t>
            </w:r>
          </w:p>
        </w:tc>
      </w:tr>
      <w:tr w:rsidR="0098689D" w:rsidRPr="00D34F55" w:rsidTr="00DE6AE6">
        <w:trPr>
          <w:cantSplit/>
          <w:trHeight w:val="690"/>
        </w:trPr>
        <w:tc>
          <w:tcPr>
            <w:tcW w:w="1440" w:type="dxa"/>
            <w:vAlign w:val="center"/>
          </w:tcPr>
          <w:p w:rsidR="0098689D" w:rsidRPr="00D34F55" w:rsidRDefault="0098689D" w:rsidP="00DE6AE6">
            <w:pPr>
              <w:jc w:val="center"/>
              <w:rPr>
                <w:rFonts w:ascii="Times New Roman" w:hAnsi="Times New Roman"/>
                <w:bCs/>
                <w:sz w:val="20"/>
                <w:szCs w:val="20"/>
              </w:rPr>
            </w:pPr>
            <w:r w:rsidRPr="00D34F55">
              <w:rPr>
                <w:rFonts w:ascii="Times New Roman" w:hAnsi="Times New Roman"/>
                <w:bCs/>
                <w:sz w:val="20"/>
                <w:szCs w:val="20"/>
              </w:rPr>
              <w:t>Inspections and Audits</w:t>
            </w:r>
          </w:p>
        </w:tc>
        <w:tc>
          <w:tcPr>
            <w:tcW w:w="136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1559</w:t>
            </w:r>
          </w:p>
        </w:tc>
        <w:tc>
          <w:tcPr>
            <w:tcW w:w="135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w:t>
            </w:r>
          </w:p>
        </w:tc>
        <w:tc>
          <w:tcPr>
            <w:tcW w:w="145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12.00</w:t>
            </w:r>
          </w:p>
        </w:tc>
        <w:tc>
          <w:tcPr>
            <w:tcW w:w="1548"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18,708</w:t>
            </w:r>
          </w:p>
        </w:tc>
        <w:tc>
          <w:tcPr>
            <w:tcW w:w="1800" w:type="dxa"/>
            <w:vAlign w:val="center"/>
          </w:tcPr>
          <w:p w:rsidR="0098689D" w:rsidRPr="00D34F55" w:rsidRDefault="0098689D" w:rsidP="00DE6AE6">
            <w:pPr>
              <w:jc w:val="center"/>
              <w:rPr>
                <w:rFonts w:ascii="Times New Roman" w:hAnsi="Times New Roman"/>
                <w:sz w:val="20"/>
                <w:szCs w:val="20"/>
              </w:rPr>
            </w:pPr>
            <w:r w:rsidRPr="00D34F55">
              <w:rPr>
                <w:rFonts w:ascii="Times New Roman" w:hAnsi="Times New Roman"/>
                <w:sz w:val="20"/>
                <w:szCs w:val="20"/>
              </w:rPr>
              <w:t>$621,100</w:t>
            </w:r>
          </w:p>
        </w:tc>
      </w:tr>
    </w:tbl>
    <w:p w:rsidR="0098689D" w:rsidRPr="00F7015B" w:rsidRDefault="0098689D" w:rsidP="007E0849">
      <w:pPr>
        <w:pStyle w:val="Heading2"/>
      </w:pPr>
      <w:r w:rsidRPr="00F7015B">
        <w:t>Estimates of Other Total Annual Cost Burden to Respondents and Record Keepers</w:t>
      </w:r>
    </w:p>
    <w:p w:rsidR="0098689D" w:rsidRPr="001B0A7E" w:rsidRDefault="0098689D" w:rsidP="001B0A7E">
      <w:pPr>
        <w:pStyle w:val="Body"/>
        <w:ind w:firstLine="0"/>
        <w:rPr>
          <w:sz w:val="24"/>
        </w:rPr>
      </w:pPr>
      <w:r w:rsidRPr="001B0A7E">
        <w:rPr>
          <w:sz w:val="24"/>
        </w:rPr>
        <w:t>There are no other annual costs to respondents for this information collection.</w:t>
      </w:r>
    </w:p>
    <w:p w:rsidR="0098689D" w:rsidRPr="00F7015B" w:rsidRDefault="0098689D" w:rsidP="00851AEA">
      <w:pPr>
        <w:pStyle w:val="Heading2"/>
      </w:pPr>
      <w:r w:rsidRPr="00F7015B">
        <w:t>Annualized Cost to the Federal Government</w:t>
      </w:r>
    </w:p>
    <w:p w:rsidR="0098689D" w:rsidRDefault="0098689D" w:rsidP="00851AEA">
      <w:pPr>
        <w:pStyle w:val="Heading3"/>
      </w:pPr>
      <w:r>
        <w:t>Initial Capital Costs for Web-Portals</w:t>
      </w:r>
    </w:p>
    <w:p w:rsidR="0098689D" w:rsidRPr="001B0A7E" w:rsidRDefault="0098689D" w:rsidP="00851AEA">
      <w:pPr>
        <w:pStyle w:val="Body"/>
        <w:ind w:firstLine="0"/>
        <w:rPr>
          <w:sz w:val="24"/>
        </w:rPr>
      </w:pPr>
      <w:r w:rsidRPr="001B0A7E">
        <w:rPr>
          <w:sz w:val="24"/>
        </w:rPr>
        <w:t xml:space="preserve">The initial capital costs for the Ammonium Nitrate </w:t>
      </w:r>
      <w:r>
        <w:rPr>
          <w:sz w:val="24"/>
        </w:rPr>
        <w:t xml:space="preserve">Security </w:t>
      </w:r>
      <w:r w:rsidRPr="001B0A7E">
        <w:rPr>
          <w:sz w:val="24"/>
        </w:rPr>
        <w:t xml:space="preserve">Program web-portals for registration and purchaser verification are </w:t>
      </w:r>
      <w:r>
        <w:rPr>
          <w:sz w:val="24"/>
        </w:rPr>
        <w:t xml:space="preserve">estimated at </w:t>
      </w:r>
      <w:r w:rsidRPr="001B0A7E">
        <w:rPr>
          <w:sz w:val="24"/>
        </w:rPr>
        <w:t>$1</w:t>
      </w:r>
      <w:r>
        <w:rPr>
          <w:sz w:val="24"/>
        </w:rPr>
        <w:t>,500,000</w:t>
      </w:r>
      <w:r w:rsidRPr="001B0A7E">
        <w:rPr>
          <w:sz w:val="24"/>
        </w:rPr>
        <w:t>.</w:t>
      </w:r>
    </w:p>
    <w:p w:rsidR="0098689D" w:rsidRPr="00F33F90" w:rsidRDefault="0098689D" w:rsidP="00851AEA">
      <w:pPr>
        <w:pStyle w:val="Heading3"/>
      </w:pPr>
      <w:r>
        <w:lastRenderedPageBreak/>
        <w:t>Registration Web-Portal Costs</w:t>
      </w:r>
    </w:p>
    <w:p w:rsidR="0098689D" w:rsidRPr="001B0A7E" w:rsidRDefault="0098689D" w:rsidP="00851AEA">
      <w:pPr>
        <w:pStyle w:val="Body"/>
        <w:ind w:firstLine="0"/>
        <w:rPr>
          <w:sz w:val="24"/>
        </w:rPr>
      </w:pPr>
      <w:r w:rsidRPr="001B0A7E">
        <w:rPr>
          <w:sz w:val="24"/>
        </w:rPr>
        <w:t xml:space="preserve">The annual </w:t>
      </w:r>
      <w:r>
        <w:rPr>
          <w:sz w:val="24"/>
        </w:rPr>
        <w:t xml:space="preserve">registration web-portal costs include: (1) </w:t>
      </w:r>
      <w:r w:rsidRPr="001B0A7E">
        <w:rPr>
          <w:sz w:val="24"/>
        </w:rPr>
        <w:t>Operating and Maintenance (O&amp;M) cost</w:t>
      </w:r>
      <w:r>
        <w:rPr>
          <w:sz w:val="24"/>
        </w:rPr>
        <w:t>s estimated at $750,000; and (2) t</w:t>
      </w:r>
      <w:r w:rsidRPr="001B0A7E">
        <w:rPr>
          <w:sz w:val="24"/>
        </w:rPr>
        <w:t xml:space="preserve">he associated management and coordination costs for the web-portal activity </w:t>
      </w:r>
      <w:r>
        <w:rPr>
          <w:sz w:val="24"/>
        </w:rPr>
        <w:t>estimated at $165,900</w:t>
      </w:r>
      <w:r w:rsidRPr="001B0A7E">
        <w:rPr>
          <w:sz w:val="24"/>
        </w:rPr>
        <w:t>.</w:t>
      </w:r>
      <w:r>
        <w:rPr>
          <w:sz w:val="24"/>
        </w:rPr>
        <w:t xml:space="preserve"> (i.e., </w:t>
      </w:r>
      <w:r w:rsidRPr="001B0A7E">
        <w:rPr>
          <w:sz w:val="24"/>
        </w:rPr>
        <w:t xml:space="preserve">the fully loaded cost of employing </w:t>
      </w:r>
      <w:r>
        <w:rPr>
          <w:sz w:val="24"/>
        </w:rPr>
        <w:t>one</w:t>
      </w:r>
      <w:r w:rsidRPr="001B0A7E">
        <w:rPr>
          <w:sz w:val="24"/>
        </w:rPr>
        <w:t xml:space="preserve"> government employee at the GS-14 level</w:t>
      </w:r>
      <w:r>
        <w:rPr>
          <w:sz w:val="24"/>
        </w:rPr>
        <w:t>).</w:t>
      </w:r>
    </w:p>
    <w:p w:rsidR="0098689D" w:rsidRPr="00E5768E" w:rsidRDefault="0098689D" w:rsidP="00851AEA">
      <w:pPr>
        <w:pStyle w:val="Heading3"/>
      </w:pPr>
      <w:r>
        <w:t>Vetting Against The Terrorist Screening Database</w:t>
      </w:r>
    </w:p>
    <w:p w:rsidR="0098689D" w:rsidRPr="001B0A7E" w:rsidRDefault="0098689D" w:rsidP="00851AEA">
      <w:pPr>
        <w:pStyle w:val="Body"/>
        <w:ind w:firstLine="0"/>
        <w:rPr>
          <w:sz w:val="24"/>
        </w:rPr>
      </w:pPr>
      <w:r>
        <w:rPr>
          <w:sz w:val="24"/>
        </w:rPr>
        <w:t>Vetting</w:t>
      </w:r>
      <w:r w:rsidRPr="001B0A7E">
        <w:rPr>
          <w:sz w:val="24"/>
        </w:rPr>
        <w:t xml:space="preserve"> information against the TSDB</w:t>
      </w:r>
      <w:r>
        <w:rPr>
          <w:sz w:val="24"/>
        </w:rPr>
        <w:t xml:space="preserve"> may result in potential</w:t>
      </w:r>
      <w:r w:rsidRPr="001B0A7E">
        <w:rPr>
          <w:sz w:val="24"/>
        </w:rPr>
        <w:t xml:space="preserve"> matches</w:t>
      </w:r>
      <w:r>
        <w:rPr>
          <w:sz w:val="24"/>
        </w:rPr>
        <w:t xml:space="preserve"> to the TSDB.  Potential matches require </w:t>
      </w:r>
      <w:r w:rsidRPr="001B0A7E">
        <w:rPr>
          <w:sz w:val="24"/>
        </w:rPr>
        <w:t xml:space="preserve">manual </w:t>
      </w:r>
      <w:r>
        <w:rPr>
          <w:sz w:val="24"/>
        </w:rPr>
        <w:t>adjudication</w:t>
      </w:r>
      <w:r w:rsidRPr="001B0A7E">
        <w:rPr>
          <w:sz w:val="24"/>
        </w:rPr>
        <w:t xml:space="preserve"> to </w:t>
      </w:r>
      <w:r>
        <w:rPr>
          <w:sz w:val="24"/>
        </w:rPr>
        <w:t xml:space="preserve">confirm a positive </w:t>
      </w:r>
      <w:r w:rsidRPr="001B0A7E">
        <w:rPr>
          <w:sz w:val="24"/>
        </w:rPr>
        <w:t>match.</w:t>
      </w:r>
    </w:p>
    <w:p w:rsidR="0098689D" w:rsidRPr="001B5062" w:rsidRDefault="0098689D" w:rsidP="00851AEA">
      <w:pPr>
        <w:pStyle w:val="Body"/>
        <w:ind w:firstLine="0"/>
        <w:rPr>
          <w:sz w:val="24"/>
        </w:rPr>
      </w:pPr>
      <w:r>
        <w:rPr>
          <w:sz w:val="24"/>
        </w:rPr>
        <w:t>T</w:t>
      </w:r>
      <w:r w:rsidRPr="001B0A7E">
        <w:rPr>
          <w:sz w:val="24"/>
        </w:rPr>
        <w:t xml:space="preserve">he estimated cost for </w:t>
      </w:r>
      <w:r>
        <w:rPr>
          <w:sz w:val="24"/>
        </w:rPr>
        <w:t>vetting individuals applying for AN Registered User Numbers as outlined in the Regulatory Assessment</w:t>
      </w:r>
      <w:r w:rsidRPr="001B0A7E">
        <w:rPr>
          <w:sz w:val="24"/>
        </w:rPr>
        <w:t xml:space="preserve"> against the TSDB</w:t>
      </w:r>
      <w:r w:rsidRPr="001B0A7E" w:rsidDel="002263F4">
        <w:rPr>
          <w:sz w:val="24"/>
        </w:rPr>
        <w:t xml:space="preserve"> </w:t>
      </w:r>
      <w:r>
        <w:rPr>
          <w:sz w:val="24"/>
        </w:rPr>
        <w:t>is</w:t>
      </w:r>
      <w:r w:rsidRPr="001B0A7E">
        <w:rPr>
          <w:sz w:val="24"/>
        </w:rPr>
        <w:t xml:space="preserve"> $2</w:t>
      </w:r>
      <w:r>
        <w:rPr>
          <w:sz w:val="24"/>
        </w:rPr>
        <w:t>,422,000</w:t>
      </w:r>
      <w:r w:rsidRPr="001B0A7E">
        <w:rPr>
          <w:sz w:val="24"/>
        </w:rPr>
        <w:t xml:space="preserve"> annually.</w:t>
      </w:r>
    </w:p>
    <w:p w:rsidR="0098689D" w:rsidRPr="00F92A3C" w:rsidRDefault="0098689D" w:rsidP="00851AEA">
      <w:pPr>
        <w:pStyle w:val="Body"/>
        <w:ind w:left="900" w:hanging="900"/>
        <w:jc w:val="left"/>
        <w:rPr>
          <w:sz w:val="24"/>
        </w:rPr>
      </w:pPr>
      <w:r w:rsidRPr="001B5062">
        <w:rPr>
          <w:sz w:val="24"/>
        </w:rPr>
        <w:t xml:space="preserve">Table 2: </w:t>
      </w:r>
      <w:r w:rsidRPr="00F92A3C">
        <w:rPr>
          <w:sz w:val="24"/>
        </w:rPr>
        <w:t xml:space="preserve">Estimates of Annualized Costs for the Collection of Data for </w:t>
      </w:r>
      <w:r>
        <w:rPr>
          <w:sz w:val="24"/>
        </w:rPr>
        <w:t xml:space="preserve">the </w:t>
      </w:r>
      <w:r w:rsidRPr="00F92A3C">
        <w:rPr>
          <w:sz w:val="24"/>
        </w:rPr>
        <w:t xml:space="preserve">Registration </w:t>
      </w:r>
      <w:r>
        <w:rPr>
          <w:sz w:val="24"/>
        </w:rPr>
        <w:t>Portal</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400"/>
        <w:gridCol w:w="1620"/>
      </w:tblGrid>
      <w:tr w:rsidR="0098689D" w:rsidRPr="00851AEA" w:rsidTr="00851AEA">
        <w:trPr>
          <w:cantSplit/>
        </w:trPr>
        <w:tc>
          <w:tcPr>
            <w:tcW w:w="18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rPr>
            </w:pPr>
            <w:r w:rsidRPr="00851AEA">
              <w:rPr>
                <w:rFonts w:ascii="Times New Roman" w:hAnsi="Times New Roman"/>
                <w:b/>
              </w:rPr>
              <w:t>Expense Type</w:t>
            </w:r>
          </w:p>
        </w:tc>
        <w:tc>
          <w:tcPr>
            <w:tcW w:w="54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highlight w:val="yellow"/>
              </w:rPr>
            </w:pPr>
            <w:r w:rsidRPr="00851AEA">
              <w:rPr>
                <w:rFonts w:ascii="Times New Roman" w:hAnsi="Times New Roman"/>
                <w:b/>
              </w:rPr>
              <w:t>Expense Explanation</w:t>
            </w:r>
          </w:p>
        </w:tc>
        <w:tc>
          <w:tcPr>
            <w:tcW w:w="162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bCs/>
              </w:rPr>
            </w:pPr>
            <w:r w:rsidRPr="00851AEA">
              <w:rPr>
                <w:rFonts w:ascii="Times New Roman" w:hAnsi="Times New Roman"/>
                <w:b/>
                <w:bCs/>
              </w:rPr>
              <w:t>Annual Costs  (in dollars)</w:t>
            </w:r>
          </w:p>
        </w:tc>
      </w:tr>
      <w:tr w:rsidR="0098689D" w:rsidRPr="00F7015B" w:rsidTr="00851AEA">
        <w:trPr>
          <w:cantSplit/>
          <w:trHeight w:val="825"/>
        </w:trPr>
        <w:tc>
          <w:tcPr>
            <w:tcW w:w="1800" w:type="dxa"/>
            <w:tcBorders>
              <w:bottom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AN O&amp;M</w:t>
            </w:r>
          </w:p>
        </w:tc>
        <w:tc>
          <w:tcPr>
            <w:tcW w:w="5400" w:type="dxa"/>
            <w:tcBorders>
              <w:bottom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Cost for O&amp;M of AN Registration Portal</w:t>
            </w:r>
          </w:p>
        </w:tc>
        <w:tc>
          <w:tcPr>
            <w:tcW w:w="1620" w:type="dxa"/>
            <w:tcBorders>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750,000</w:t>
            </w:r>
          </w:p>
        </w:tc>
      </w:tr>
      <w:tr w:rsidR="0098689D" w:rsidRPr="00F7015B" w:rsidTr="00851AEA">
        <w:trPr>
          <w:cantSplit/>
          <w:trHeight w:val="825"/>
        </w:trPr>
        <w:tc>
          <w:tcPr>
            <w:tcW w:w="1800" w:type="dxa"/>
            <w:tcBorders>
              <w:bottom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Direct Costs to the Federal Government</w:t>
            </w:r>
          </w:p>
        </w:tc>
        <w:tc>
          <w:tcPr>
            <w:tcW w:w="5400" w:type="dxa"/>
            <w:tcBorders>
              <w:bottom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 xml:space="preserve">One DHS Project Manager (GS-14 or FTE) for the </w:t>
            </w:r>
            <w:r>
              <w:rPr>
                <w:rFonts w:ascii="Times New Roman" w:hAnsi="Times New Roman"/>
              </w:rPr>
              <w:t>R</w:t>
            </w:r>
            <w:r w:rsidRPr="00851AEA">
              <w:rPr>
                <w:rFonts w:ascii="Times New Roman" w:hAnsi="Times New Roman"/>
              </w:rPr>
              <w:t xml:space="preserve">egistration </w:t>
            </w:r>
            <w:r>
              <w:rPr>
                <w:rFonts w:ascii="Times New Roman" w:hAnsi="Times New Roman"/>
              </w:rPr>
              <w:t>P</w:t>
            </w:r>
            <w:r w:rsidRPr="00851AEA">
              <w:rPr>
                <w:rFonts w:ascii="Times New Roman" w:hAnsi="Times New Roman"/>
              </w:rPr>
              <w:t>ortal</w:t>
            </w:r>
          </w:p>
        </w:tc>
        <w:tc>
          <w:tcPr>
            <w:tcW w:w="1620" w:type="dxa"/>
            <w:tcBorders>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165,900</w:t>
            </w:r>
          </w:p>
        </w:tc>
      </w:tr>
      <w:tr w:rsidR="0098689D" w:rsidRPr="00F7015B" w:rsidTr="00851AEA">
        <w:trPr>
          <w:cantSplit/>
          <w:trHeight w:val="825"/>
        </w:trPr>
        <w:tc>
          <w:tcPr>
            <w:tcW w:w="1800" w:type="dxa"/>
            <w:tcBorders>
              <w:top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Screening</w:t>
            </w:r>
          </w:p>
        </w:tc>
        <w:tc>
          <w:tcPr>
            <w:tcW w:w="5400" w:type="dxa"/>
            <w:tcBorders>
              <w:top w:val="single" w:sz="4" w:space="0" w:color="auto"/>
              <w:left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Terrorist Screening Database Costs</w:t>
            </w:r>
          </w:p>
        </w:tc>
        <w:tc>
          <w:tcPr>
            <w:tcW w:w="1620" w:type="dxa"/>
            <w:tcBorders>
              <w:top w:val="single" w:sz="4" w:space="0" w:color="auto"/>
              <w:left w:val="single" w:sz="4" w:space="0" w:color="auto"/>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2,422,000</w:t>
            </w:r>
          </w:p>
        </w:tc>
      </w:tr>
      <w:tr w:rsidR="0098689D" w:rsidRPr="00F7015B" w:rsidTr="00851AEA">
        <w:trPr>
          <w:cantSplit/>
        </w:trPr>
        <w:tc>
          <w:tcPr>
            <w:tcW w:w="7200" w:type="dxa"/>
            <w:gridSpan w:val="2"/>
            <w:tcBorders>
              <w:top w:val="nil"/>
              <w:left w:val="nil"/>
              <w:bottom w:val="nil"/>
              <w:right w:val="nil"/>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Total</w:t>
            </w:r>
          </w:p>
        </w:tc>
        <w:tc>
          <w:tcPr>
            <w:tcW w:w="1620" w:type="dxa"/>
            <w:tcBorders>
              <w:top w:val="nil"/>
              <w:left w:val="nil"/>
              <w:bottom w:val="nil"/>
              <w:right w:val="nil"/>
            </w:tcBorders>
            <w:vAlign w:val="bottom"/>
          </w:tcPr>
          <w:p w:rsidR="0098689D" w:rsidRPr="00851AEA" w:rsidRDefault="0098689D" w:rsidP="00851AEA">
            <w:pPr>
              <w:tabs>
                <w:tab w:val="center" w:pos="4320"/>
                <w:tab w:val="right" w:pos="8640"/>
              </w:tabs>
              <w:jc w:val="right"/>
              <w:rPr>
                <w:rFonts w:ascii="Times New Roman" w:hAnsi="Times New Roman"/>
                <w:b/>
              </w:rPr>
            </w:pPr>
            <w:r w:rsidRPr="00851AEA">
              <w:rPr>
                <w:rFonts w:ascii="Times New Roman" w:hAnsi="Times New Roman"/>
                <w:b/>
              </w:rPr>
              <w:t>3,337,900</w:t>
            </w:r>
          </w:p>
        </w:tc>
      </w:tr>
    </w:tbl>
    <w:p w:rsidR="0098689D" w:rsidRDefault="0098689D" w:rsidP="00851AEA">
      <w:pPr>
        <w:pStyle w:val="Heading3"/>
      </w:pPr>
      <w:r>
        <w:t>Purchaser Verification Portal Costs</w:t>
      </w:r>
    </w:p>
    <w:p w:rsidR="0098689D" w:rsidRDefault="0098689D" w:rsidP="00851AEA">
      <w:pPr>
        <w:pStyle w:val="Body"/>
        <w:ind w:firstLine="0"/>
        <w:rPr>
          <w:sz w:val="24"/>
        </w:rPr>
      </w:pPr>
      <w:r w:rsidRPr="001B0A7E">
        <w:rPr>
          <w:sz w:val="24"/>
        </w:rPr>
        <w:t xml:space="preserve">The annual </w:t>
      </w:r>
      <w:r>
        <w:rPr>
          <w:sz w:val="24"/>
        </w:rPr>
        <w:t xml:space="preserve">Purchaser Verification Portal costs include: (1) </w:t>
      </w:r>
      <w:r w:rsidRPr="001B0A7E">
        <w:rPr>
          <w:sz w:val="24"/>
        </w:rPr>
        <w:t>Operating and Maintenance (O&amp;M) cost</w:t>
      </w:r>
      <w:r>
        <w:rPr>
          <w:sz w:val="24"/>
        </w:rPr>
        <w:t>s estimated at $750;000 and (2) t</w:t>
      </w:r>
      <w:r w:rsidRPr="001B0A7E">
        <w:rPr>
          <w:sz w:val="24"/>
        </w:rPr>
        <w:t xml:space="preserve">he associated management and coordination costs for the web-portal activity </w:t>
      </w:r>
      <w:r>
        <w:rPr>
          <w:sz w:val="24"/>
        </w:rPr>
        <w:t xml:space="preserve">estimated at $165,900 (i.e., </w:t>
      </w:r>
      <w:r w:rsidRPr="001B0A7E">
        <w:rPr>
          <w:sz w:val="24"/>
        </w:rPr>
        <w:t xml:space="preserve">the fully loaded cost of employing </w:t>
      </w:r>
      <w:r>
        <w:rPr>
          <w:sz w:val="24"/>
        </w:rPr>
        <w:t>one</w:t>
      </w:r>
      <w:r w:rsidRPr="001B0A7E">
        <w:rPr>
          <w:sz w:val="24"/>
        </w:rPr>
        <w:t xml:space="preserve"> government employee at the GS-14 level</w:t>
      </w:r>
      <w:r>
        <w:rPr>
          <w:sz w:val="24"/>
        </w:rPr>
        <w:t>).</w:t>
      </w:r>
    </w:p>
    <w:p w:rsidR="0098689D" w:rsidRPr="001B5062" w:rsidRDefault="0098689D" w:rsidP="00851AEA">
      <w:pPr>
        <w:pStyle w:val="Body"/>
        <w:ind w:left="900" w:hanging="900"/>
        <w:jc w:val="left"/>
        <w:rPr>
          <w:sz w:val="24"/>
        </w:rPr>
      </w:pPr>
      <w:r>
        <w:rPr>
          <w:sz w:val="24"/>
        </w:rPr>
        <w:t>Table 3</w:t>
      </w:r>
      <w:r w:rsidRPr="001B5062">
        <w:rPr>
          <w:sz w:val="24"/>
        </w:rPr>
        <w:t xml:space="preserve">: </w:t>
      </w:r>
      <w:r w:rsidRPr="00F92A3C">
        <w:rPr>
          <w:sz w:val="24"/>
        </w:rPr>
        <w:t xml:space="preserve">Estimates of Annualized Costs for the Collection of Data for </w:t>
      </w:r>
      <w:r>
        <w:rPr>
          <w:sz w:val="24"/>
        </w:rPr>
        <w:t>the Purchaser Verification Portal</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400"/>
        <w:gridCol w:w="1620"/>
      </w:tblGrid>
      <w:tr w:rsidR="0098689D" w:rsidRPr="00851AEA" w:rsidTr="00851AEA">
        <w:trPr>
          <w:cantSplit/>
        </w:trPr>
        <w:tc>
          <w:tcPr>
            <w:tcW w:w="18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rPr>
            </w:pPr>
            <w:r w:rsidRPr="00851AEA">
              <w:rPr>
                <w:rFonts w:ascii="Times New Roman" w:hAnsi="Times New Roman"/>
                <w:b/>
              </w:rPr>
              <w:t>Expense Type</w:t>
            </w:r>
          </w:p>
        </w:tc>
        <w:tc>
          <w:tcPr>
            <w:tcW w:w="54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highlight w:val="yellow"/>
              </w:rPr>
            </w:pPr>
            <w:r w:rsidRPr="00851AEA">
              <w:rPr>
                <w:rFonts w:ascii="Times New Roman" w:hAnsi="Times New Roman"/>
                <w:b/>
              </w:rPr>
              <w:t>Expense Explanation</w:t>
            </w:r>
          </w:p>
        </w:tc>
        <w:tc>
          <w:tcPr>
            <w:tcW w:w="162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bCs/>
              </w:rPr>
            </w:pPr>
            <w:r w:rsidRPr="00851AEA">
              <w:rPr>
                <w:rFonts w:ascii="Times New Roman" w:hAnsi="Times New Roman"/>
                <w:b/>
                <w:bCs/>
              </w:rPr>
              <w:t>Annual Costs  (in dollars)</w:t>
            </w:r>
          </w:p>
        </w:tc>
      </w:tr>
      <w:tr w:rsidR="0098689D" w:rsidRPr="00F7015B" w:rsidTr="00851AEA">
        <w:trPr>
          <w:cantSplit/>
          <w:trHeight w:val="825"/>
        </w:trPr>
        <w:tc>
          <w:tcPr>
            <w:tcW w:w="1800" w:type="dxa"/>
            <w:tcBorders>
              <w:top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Direct Costs to the Federal Government</w:t>
            </w:r>
          </w:p>
        </w:tc>
        <w:tc>
          <w:tcPr>
            <w:tcW w:w="5400" w:type="dxa"/>
            <w:tcBorders>
              <w:top w:val="single" w:sz="4" w:space="0" w:color="auto"/>
              <w:left w:val="single" w:sz="4" w:space="0" w:color="auto"/>
              <w:bottom w:val="single" w:sz="4" w:space="0" w:color="auto"/>
              <w:right w:val="single" w:sz="4" w:space="0" w:color="auto"/>
            </w:tcBorders>
            <w:vAlign w:val="center"/>
          </w:tcPr>
          <w:p w:rsidR="0098689D" w:rsidRPr="00851AEA" w:rsidRDefault="0098689D" w:rsidP="00F974EE">
            <w:pPr>
              <w:tabs>
                <w:tab w:val="center" w:pos="4320"/>
                <w:tab w:val="right" w:pos="8640"/>
              </w:tabs>
              <w:jc w:val="center"/>
              <w:rPr>
                <w:rFonts w:ascii="Times New Roman" w:hAnsi="Times New Roman"/>
              </w:rPr>
            </w:pPr>
            <w:r w:rsidRPr="00851AEA">
              <w:rPr>
                <w:rFonts w:ascii="Times New Roman" w:hAnsi="Times New Roman"/>
              </w:rPr>
              <w:t xml:space="preserve">One DHS Project Manager (GS-14 or FTE) for the </w:t>
            </w:r>
            <w:bookmarkStart w:id="0" w:name="OLE_LINK1"/>
            <w:bookmarkStart w:id="1" w:name="OLE_LINK2"/>
            <w:r>
              <w:rPr>
                <w:rFonts w:ascii="Times New Roman" w:hAnsi="Times New Roman"/>
              </w:rPr>
              <w:t>P</w:t>
            </w:r>
            <w:r w:rsidRPr="00851AEA">
              <w:rPr>
                <w:rFonts w:ascii="Times New Roman" w:hAnsi="Times New Roman"/>
              </w:rPr>
              <w:t xml:space="preserve">urchaser </w:t>
            </w:r>
            <w:r>
              <w:rPr>
                <w:rFonts w:ascii="Times New Roman" w:hAnsi="Times New Roman"/>
              </w:rPr>
              <w:t>V</w:t>
            </w:r>
            <w:r w:rsidRPr="00851AEA">
              <w:rPr>
                <w:rFonts w:ascii="Times New Roman" w:hAnsi="Times New Roman"/>
              </w:rPr>
              <w:t xml:space="preserve">erification </w:t>
            </w:r>
            <w:r>
              <w:rPr>
                <w:rFonts w:ascii="Times New Roman" w:hAnsi="Times New Roman"/>
              </w:rPr>
              <w:t>P</w:t>
            </w:r>
            <w:r w:rsidRPr="00851AEA">
              <w:rPr>
                <w:rFonts w:ascii="Times New Roman" w:hAnsi="Times New Roman"/>
              </w:rPr>
              <w:t>o</w:t>
            </w:r>
            <w:r>
              <w:rPr>
                <w:rFonts w:ascii="Times New Roman" w:hAnsi="Times New Roman"/>
              </w:rPr>
              <w:t>r</w:t>
            </w:r>
            <w:r w:rsidRPr="00851AEA">
              <w:rPr>
                <w:rFonts w:ascii="Times New Roman" w:hAnsi="Times New Roman"/>
              </w:rPr>
              <w:t>tal</w:t>
            </w:r>
            <w:bookmarkEnd w:id="0"/>
            <w:bookmarkEnd w:id="1"/>
          </w:p>
        </w:tc>
        <w:tc>
          <w:tcPr>
            <w:tcW w:w="1620" w:type="dxa"/>
            <w:tcBorders>
              <w:top w:val="single" w:sz="4" w:space="0" w:color="auto"/>
              <w:left w:val="single" w:sz="4" w:space="0" w:color="auto"/>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165,900</w:t>
            </w:r>
          </w:p>
        </w:tc>
      </w:tr>
      <w:tr w:rsidR="0098689D" w:rsidRPr="00F7015B" w:rsidTr="00851AEA">
        <w:trPr>
          <w:cantSplit/>
          <w:trHeight w:val="825"/>
        </w:trPr>
        <w:tc>
          <w:tcPr>
            <w:tcW w:w="1800" w:type="dxa"/>
            <w:tcBorders>
              <w:top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 xml:space="preserve">AN O&amp;M </w:t>
            </w:r>
          </w:p>
        </w:tc>
        <w:tc>
          <w:tcPr>
            <w:tcW w:w="5400" w:type="dxa"/>
            <w:tcBorders>
              <w:top w:val="single" w:sz="4" w:space="0" w:color="auto"/>
              <w:left w:val="single" w:sz="4" w:space="0" w:color="auto"/>
              <w:bottom w:val="single" w:sz="4" w:space="0" w:color="auto"/>
              <w:right w:val="single" w:sz="4" w:space="0" w:color="auto"/>
            </w:tcBorders>
            <w:vAlign w:val="center"/>
          </w:tcPr>
          <w:p w:rsidR="0098689D" w:rsidRPr="00851AEA" w:rsidRDefault="0098689D" w:rsidP="00BD7EEE">
            <w:pPr>
              <w:tabs>
                <w:tab w:val="center" w:pos="4320"/>
                <w:tab w:val="right" w:pos="8640"/>
              </w:tabs>
              <w:jc w:val="center"/>
              <w:rPr>
                <w:rFonts w:ascii="Times New Roman" w:hAnsi="Times New Roman"/>
              </w:rPr>
            </w:pPr>
            <w:r w:rsidRPr="00851AEA">
              <w:rPr>
                <w:rFonts w:ascii="Times New Roman" w:hAnsi="Times New Roman"/>
              </w:rPr>
              <w:t xml:space="preserve">Costs for O&amp;M of </w:t>
            </w:r>
            <w:r>
              <w:rPr>
                <w:rFonts w:ascii="Times New Roman" w:hAnsi="Times New Roman"/>
              </w:rPr>
              <w:t>Purchaser Verification Portal</w:t>
            </w:r>
          </w:p>
        </w:tc>
        <w:tc>
          <w:tcPr>
            <w:tcW w:w="1620" w:type="dxa"/>
            <w:tcBorders>
              <w:top w:val="single" w:sz="4" w:space="0" w:color="auto"/>
              <w:left w:val="single" w:sz="4" w:space="0" w:color="auto"/>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750,000</w:t>
            </w:r>
          </w:p>
        </w:tc>
      </w:tr>
      <w:tr w:rsidR="0098689D" w:rsidRPr="00F7015B" w:rsidTr="00851AEA">
        <w:trPr>
          <w:cantSplit/>
        </w:trPr>
        <w:tc>
          <w:tcPr>
            <w:tcW w:w="7200" w:type="dxa"/>
            <w:gridSpan w:val="2"/>
            <w:tcBorders>
              <w:top w:val="nil"/>
              <w:left w:val="nil"/>
              <w:bottom w:val="nil"/>
              <w:right w:val="nil"/>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Total</w:t>
            </w:r>
          </w:p>
        </w:tc>
        <w:tc>
          <w:tcPr>
            <w:tcW w:w="1620" w:type="dxa"/>
            <w:tcBorders>
              <w:top w:val="nil"/>
              <w:left w:val="nil"/>
              <w:bottom w:val="nil"/>
              <w:right w:val="nil"/>
            </w:tcBorders>
            <w:vAlign w:val="bottom"/>
          </w:tcPr>
          <w:p w:rsidR="0098689D" w:rsidRPr="00851AEA" w:rsidRDefault="0098689D" w:rsidP="00851AEA">
            <w:pPr>
              <w:tabs>
                <w:tab w:val="center" w:pos="4320"/>
                <w:tab w:val="right" w:pos="8640"/>
              </w:tabs>
              <w:jc w:val="right"/>
              <w:rPr>
                <w:rFonts w:ascii="Times New Roman" w:hAnsi="Times New Roman"/>
              </w:rPr>
            </w:pPr>
            <w:r>
              <w:rPr>
                <w:rFonts w:ascii="Times New Roman" w:hAnsi="Times New Roman"/>
              </w:rPr>
              <w:t>91</w:t>
            </w:r>
            <w:r w:rsidRPr="00851AEA">
              <w:rPr>
                <w:rFonts w:ascii="Times New Roman" w:hAnsi="Times New Roman"/>
              </w:rPr>
              <w:t>5,900</w:t>
            </w:r>
          </w:p>
        </w:tc>
      </w:tr>
    </w:tbl>
    <w:p w:rsidR="0098689D" w:rsidRPr="0009056C" w:rsidRDefault="0098689D" w:rsidP="00851AEA">
      <w:pPr>
        <w:pStyle w:val="Heading3"/>
      </w:pPr>
      <w:r w:rsidRPr="0009056C">
        <w:lastRenderedPageBreak/>
        <w:t>Appeals for Denial or Revocation of AN Registered User Numbers</w:t>
      </w:r>
      <w:r>
        <w:t xml:space="preserve"> Costs</w:t>
      </w:r>
    </w:p>
    <w:p w:rsidR="0098689D" w:rsidRPr="001B0A7E" w:rsidRDefault="0098689D" w:rsidP="00851AEA">
      <w:pPr>
        <w:pStyle w:val="Body"/>
        <w:ind w:firstLine="0"/>
        <w:rPr>
          <w:sz w:val="24"/>
        </w:rPr>
      </w:pPr>
      <w:r w:rsidRPr="001B0A7E">
        <w:rPr>
          <w:sz w:val="24"/>
        </w:rPr>
        <w:t xml:space="preserve">The associated management and coordination costs for </w:t>
      </w:r>
      <w:r w:rsidRPr="0009056C">
        <w:t>Appeals for Denial or Revocation of AN Registered User Numbers</w:t>
      </w:r>
      <w:r w:rsidRPr="001B0A7E">
        <w:rPr>
          <w:sz w:val="24"/>
        </w:rPr>
        <w:t xml:space="preserve"> are equivalent to the fully loaded cost of employing two government employees at the GS-14 level and are estimated to be $331,800.</w:t>
      </w:r>
    </w:p>
    <w:p w:rsidR="0098689D" w:rsidRDefault="0098689D" w:rsidP="00851AEA">
      <w:pPr>
        <w:pStyle w:val="Heading3"/>
      </w:pPr>
      <w:r>
        <w:t>Ammonium Nitrate Helpdesk Costs</w:t>
      </w:r>
    </w:p>
    <w:p w:rsidR="0098689D" w:rsidRPr="001B0A7E" w:rsidRDefault="0098689D" w:rsidP="00851AEA">
      <w:pPr>
        <w:pStyle w:val="Body"/>
        <w:ind w:firstLine="0"/>
        <w:rPr>
          <w:sz w:val="24"/>
        </w:rPr>
      </w:pPr>
      <w:r w:rsidRPr="001B0A7E">
        <w:rPr>
          <w:sz w:val="24"/>
        </w:rPr>
        <w:t>Based upon historical experience, the annual cost to implement and manage a helpdesk is estimated to be $2,</w:t>
      </w:r>
      <w:r>
        <w:rPr>
          <w:sz w:val="24"/>
        </w:rPr>
        <w:t>400,000.</w:t>
      </w:r>
    </w:p>
    <w:p w:rsidR="0098689D" w:rsidRDefault="0098689D" w:rsidP="00851AEA">
      <w:pPr>
        <w:pStyle w:val="Heading3"/>
      </w:pPr>
      <w:r w:rsidRPr="0009056C">
        <w:t>Electronic Recordkeeping Database</w:t>
      </w:r>
      <w:r>
        <w:t xml:space="preserve"> Web-Portal</w:t>
      </w:r>
    </w:p>
    <w:p w:rsidR="0098689D" w:rsidRDefault="0098689D" w:rsidP="00851AEA">
      <w:pPr>
        <w:pStyle w:val="Body"/>
        <w:ind w:firstLine="0"/>
        <w:rPr>
          <w:sz w:val="24"/>
        </w:rPr>
      </w:pPr>
      <w:r w:rsidRPr="001B0A7E">
        <w:rPr>
          <w:sz w:val="24"/>
        </w:rPr>
        <w:t xml:space="preserve">The annual </w:t>
      </w:r>
      <w:r>
        <w:rPr>
          <w:sz w:val="24"/>
        </w:rPr>
        <w:t xml:space="preserve">Electronic Recordkeeping Database web-portal costs include: (1) </w:t>
      </w:r>
      <w:r w:rsidRPr="001B0A7E">
        <w:rPr>
          <w:sz w:val="24"/>
        </w:rPr>
        <w:t>Operating and Maintenance (O&amp;M) cost</w:t>
      </w:r>
      <w:r>
        <w:rPr>
          <w:sz w:val="24"/>
        </w:rPr>
        <w:t>s estimated at $750;000 and (2) t</w:t>
      </w:r>
      <w:r w:rsidRPr="001B0A7E">
        <w:rPr>
          <w:sz w:val="24"/>
        </w:rPr>
        <w:t xml:space="preserve">he associated management and coordination costs for the web-portal activity </w:t>
      </w:r>
      <w:r>
        <w:rPr>
          <w:sz w:val="24"/>
        </w:rPr>
        <w:t xml:space="preserve">estimated at $165,900 (i.e., </w:t>
      </w:r>
      <w:r w:rsidRPr="001B0A7E">
        <w:rPr>
          <w:sz w:val="24"/>
        </w:rPr>
        <w:t xml:space="preserve">the fully loaded cost of employing </w:t>
      </w:r>
      <w:r>
        <w:rPr>
          <w:sz w:val="24"/>
        </w:rPr>
        <w:t>one</w:t>
      </w:r>
      <w:r w:rsidRPr="001B0A7E">
        <w:rPr>
          <w:sz w:val="24"/>
        </w:rPr>
        <w:t xml:space="preserve"> government employee at the GS-14 level</w:t>
      </w:r>
      <w:r>
        <w:rPr>
          <w:sz w:val="24"/>
        </w:rPr>
        <w:t>).</w:t>
      </w:r>
    </w:p>
    <w:p w:rsidR="0098689D" w:rsidRPr="001B5062" w:rsidRDefault="0098689D" w:rsidP="00851AEA">
      <w:pPr>
        <w:pStyle w:val="Body"/>
        <w:ind w:left="900" w:hanging="900"/>
        <w:jc w:val="left"/>
        <w:rPr>
          <w:sz w:val="24"/>
        </w:rPr>
      </w:pPr>
      <w:r>
        <w:rPr>
          <w:sz w:val="24"/>
        </w:rPr>
        <w:t>Table 4</w:t>
      </w:r>
      <w:r w:rsidRPr="001B5062">
        <w:rPr>
          <w:sz w:val="24"/>
        </w:rPr>
        <w:t xml:space="preserve">: </w:t>
      </w:r>
      <w:r w:rsidRPr="00F92A3C">
        <w:rPr>
          <w:sz w:val="24"/>
        </w:rPr>
        <w:t xml:space="preserve">Estimates of Annualized Costs for the </w:t>
      </w:r>
      <w:r>
        <w:rPr>
          <w:sz w:val="24"/>
        </w:rPr>
        <w:t>Electronic Recordkeeping Database Web-Portal</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400"/>
        <w:gridCol w:w="1620"/>
      </w:tblGrid>
      <w:tr w:rsidR="0098689D" w:rsidRPr="00851AEA" w:rsidTr="00851AEA">
        <w:trPr>
          <w:cantSplit/>
        </w:trPr>
        <w:tc>
          <w:tcPr>
            <w:tcW w:w="18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rPr>
            </w:pPr>
            <w:r w:rsidRPr="00851AEA">
              <w:rPr>
                <w:rFonts w:ascii="Times New Roman" w:hAnsi="Times New Roman"/>
                <w:b/>
              </w:rPr>
              <w:t>Expense Type</w:t>
            </w:r>
          </w:p>
        </w:tc>
        <w:tc>
          <w:tcPr>
            <w:tcW w:w="540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highlight w:val="yellow"/>
              </w:rPr>
            </w:pPr>
            <w:r w:rsidRPr="00851AEA">
              <w:rPr>
                <w:rFonts w:ascii="Times New Roman" w:hAnsi="Times New Roman"/>
                <w:b/>
              </w:rPr>
              <w:t>Expense Explanation</w:t>
            </w:r>
          </w:p>
        </w:tc>
        <w:tc>
          <w:tcPr>
            <w:tcW w:w="1620" w:type="dxa"/>
            <w:tcBorders>
              <w:top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b/>
                <w:bCs/>
              </w:rPr>
            </w:pPr>
            <w:r w:rsidRPr="00851AEA">
              <w:rPr>
                <w:rFonts w:ascii="Times New Roman" w:hAnsi="Times New Roman"/>
                <w:b/>
                <w:bCs/>
              </w:rPr>
              <w:t>Annual Costs  (in dollars)</w:t>
            </w:r>
          </w:p>
        </w:tc>
      </w:tr>
      <w:tr w:rsidR="0098689D" w:rsidRPr="00F7015B" w:rsidTr="00851AEA">
        <w:trPr>
          <w:cantSplit/>
          <w:trHeight w:val="825"/>
        </w:trPr>
        <w:tc>
          <w:tcPr>
            <w:tcW w:w="1800" w:type="dxa"/>
            <w:tcBorders>
              <w:top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Direct Costs to the Federal Government</w:t>
            </w:r>
          </w:p>
        </w:tc>
        <w:tc>
          <w:tcPr>
            <w:tcW w:w="5400" w:type="dxa"/>
            <w:tcBorders>
              <w:top w:val="single" w:sz="4" w:space="0" w:color="auto"/>
              <w:left w:val="single" w:sz="4" w:space="0" w:color="auto"/>
              <w:bottom w:val="single" w:sz="4" w:space="0" w:color="auto"/>
              <w:right w:val="single" w:sz="4" w:space="0" w:color="auto"/>
            </w:tcBorders>
            <w:vAlign w:val="center"/>
          </w:tcPr>
          <w:p w:rsidR="0098689D" w:rsidRPr="00851AEA" w:rsidRDefault="0098689D" w:rsidP="001B4FE4">
            <w:pPr>
              <w:tabs>
                <w:tab w:val="center" w:pos="4320"/>
                <w:tab w:val="right" w:pos="8640"/>
              </w:tabs>
              <w:jc w:val="center"/>
              <w:rPr>
                <w:rFonts w:ascii="Times New Roman" w:hAnsi="Times New Roman"/>
              </w:rPr>
            </w:pPr>
            <w:r w:rsidRPr="00851AEA">
              <w:rPr>
                <w:rFonts w:ascii="Times New Roman" w:hAnsi="Times New Roman"/>
              </w:rPr>
              <w:t xml:space="preserve">One DHS Project Manager (GS-14 or FTE) for the </w:t>
            </w:r>
            <w:r>
              <w:rPr>
                <w:rFonts w:ascii="Times New Roman" w:hAnsi="Times New Roman"/>
              </w:rPr>
              <w:t>Electronic Recordkeeping Database</w:t>
            </w:r>
            <w:r w:rsidRPr="00851AEA">
              <w:rPr>
                <w:rFonts w:ascii="Times New Roman" w:hAnsi="Times New Roman"/>
              </w:rPr>
              <w:t xml:space="preserve"> </w:t>
            </w:r>
          </w:p>
        </w:tc>
        <w:tc>
          <w:tcPr>
            <w:tcW w:w="1620" w:type="dxa"/>
            <w:tcBorders>
              <w:top w:val="single" w:sz="4" w:space="0" w:color="auto"/>
              <w:left w:val="single" w:sz="4" w:space="0" w:color="auto"/>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165,900</w:t>
            </w:r>
          </w:p>
        </w:tc>
      </w:tr>
      <w:tr w:rsidR="0098689D" w:rsidRPr="00F7015B" w:rsidTr="00851AEA">
        <w:trPr>
          <w:cantSplit/>
          <w:trHeight w:val="825"/>
        </w:trPr>
        <w:tc>
          <w:tcPr>
            <w:tcW w:w="1800" w:type="dxa"/>
            <w:tcBorders>
              <w:top w:val="single" w:sz="4" w:space="0" w:color="auto"/>
              <w:bottom w:val="single" w:sz="4" w:space="0" w:color="auto"/>
              <w:right w:val="single" w:sz="4" w:space="0" w:color="auto"/>
            </w:tcBorders>
            <w:vAlign w:val="center"/>
          </w:tcPr>
          <w:p w:rsidR="0098689D" w:rsidRPr="00851AEA" w:rsidRDefault="0098689D" w:rsidP="00851AEA">
            <w:pPr>
              <w:tabs>
                <w:tab w:val="center" w:pos="4320"/>
                <w:tab w:val="right" w:pos="8640"/>
              </w:tabs>
              <w:jc w:val="center"/>
              <w:rPr>
                <w:rFonts w:ascii="Times New Roman" w:hAnsi="Times New Roman"/>
              </w:rPr>
            </w:pPr>
            <w:r w:rsidRPr="00851AEA">
              <w:rPr>
                <w:rFonts w:ascii="Times New Roman" w:hAnsi="Times New Roman"/>
              </w:rPr>
              <w:t xml:space="preserve">AN O&amp;M </w:t>
            </w:r>
          </w:p>
        </w:tc>
        <w:tc>
          <w:tcPr>
            <w:tcW w:w="5400" w:type="dxa"/>
            <w:tcBorders>
              <w:top w:val="single" w:sz="4" w:space="0" w:color="auto"/>
              <w:left w:val="single" w:sz="4" w:space="0" w:color="auto"/>
              <w:bottom w:val="single" w:sz="4" w:space="0" w:color="auto"/>
              <w:right w:val="single" w:sz="4" w:space="0" w:color="auto"/>
            </w:tcBorders>
            <w:vAlign w:val="center"/>
          </w:tcPr>
          <w:p w:rsidR="0098689D" w:rsidRPr="00851AEA" w:rsidRDefault="0098689D" w:rsidP="00BD7EEE">
            <w:pPr>
              <w:tabs>
                <w:tab w:val="center" w:pos="4320"/>
                <w:tab w:val="right" w:pos="8640"/>
              </w:tabs>
              <w:jc w:val="center"/>
              <w:rPr>
                <w:rFonts w:ascii="Times New Roman" w:hAnsi="Times New Roman"/>
              </w:rPr>
            </w:pPr>
            <w:r w:rsidRPr="001B4FE4">
              <w:rPr>
                <w:rFonts w:ascii="Times New Roman" w:hAnsi="Times New Roman"/>
              </w:rPr>
              <w:t>Costs for O&amp;M of Electronic Recordkeeping Database</w:t>
            </w:r>
          </w:p>
        </w:tc>
        <w:tc>
          <w:tcPr>
            <w:tcW w:w="1620" w:type="dxa"/>
            <w:tcBorders>
              <w:top w:val="single" w:sz="4" w:space="0" w:color="auto"/>
              <w:left w:val="single" w:sz="4" w:space="0" w:color="auto"/>
              <w:bottom w:val="single" w:sz="4" w:space="0" w:color="auto"/>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750,000</w:t>
            </w:r>
          </w:p>
        </w:tc>
      </w:tr>
      <w:tr w:rsidR="0098689D" w:rsidRPr="00F7015B" w:rsidTr="00851AEA">
        <w:trPr>
          <w:cantSplit/>
        </w:trPr>
        <w:tc>
          <w:tcPr>
            <w:tcW w:w="7200" w:type="dxa"/>
            <w:gridSpan w:val="2"/>
            <w:tcBorders>
              <w:top w:val="nil"/>
              <w:left w:val="nil"/>
              <w:bottom w:val="nil"/>
              <w:right w:val="nil"/>
            </w:tcBorders>
            <w:vAlign w:val="center"/>
          </w:tcPr>
          <w:p w:rsidR="0098689D" w:rsidRPr="00851AEA" w:rsidRDefault="0098689D" w:rsidP="00851AEA">
            <w:pPr>
              <w:tabs>
                <w:tab w:val="center" w:pos="4320"/>
                <w:tab w:val="right" w:pos="8640"/>
              </w:tabs>
              <w:jc w:val="right"/>
              <w:rPr>
                <w:rFonts w:ascii="Times New Roman" w:hAnsi="Times New Roman"/>
              </w:rPr>
            </w:pPr>
            <w:r w:rsidRPr="00851AEA">
              <w:rPr>
                <w:rFonts w:ascii="Times New Roman" w:hAnsi="Times New Roman"/>
              </w:rPr>
              <w:t>Total</w:t>
            </w:r>
          </w:p>
        </w:tc>
        <w:tc>
          <w:tcPr>
            <w:tcW w:w="1620" w:type="dxa"/>
            <w:tcBorders>
              <w:top w:val="nil"/>
              <w:left w:val="nil"/>
              <w:bottom w:val="nil"/>
              <w:right w:val="nil"/>
            </w:tcBorders>
            <w:vAlign w:val="bottom"/>
          </w:tcPr>
          <w:p w:rsidR="0098689D" w:rsidRPr="00851AEA" w:rsidRDefault="0098689D" w:rsidP="00851AEA">
            <w:pPr>
              <w:tabs>
                <w:tab w:val="center" w:pos="4320"/>
                <w:tab w:val="right" w:pos="8640"/>
              </w:tabs>
              <w:jc w:val="right"/>
              <w:rPr>
                <w:rFonts w:ascii="Times New Roman" w:hAnsi="Times New Roman"/>
              </w:rPr>
            </w:pPr>
            <w:r>
              <w:rPr>
                <w:rFonts w:ascii="Times New Roman" w:hAnsi="Times New Roman"/>
              </w:rPr>
              <w:t>91</w:t>
            </w:r>
            <w:r w:rsidRPr="00851AEA">
              <w:rPr>
                <w:rFonts w:ascii="Times New Roman" w:hAnsi="Times New Roman"/>
              </w:rPr>
              <w:t>5,900</w:t>
            </w:r>
          </w:p>
        </w:tc>
      </w:tr>
    </w:tbl>
    <w:p w:rsidR="0098689D" w:rsidRPr="001A2BAA" w:rsidRDefault="0098689D" w:rsidP="00851AEA">
      <w:pPr>
        <w:pStyle w:val="Heading3"/>
      </w:pPr>
      <w:r w:rsidRPr="001A2BAA">
        <w:t>Reporting Theft and Loss</w:t>
      </w:r>
    </w:p>
    <w:p w:rsidR="0098689D" w:rsidRDefault="0098689D" w:rsidP="00851AEA">
      <w:pPr>
        <w:pStyle w:val="Body"/>
        <w:ind w:firstLine="0"/>
        <w:rPr>
          <w:sz w:val="24"/>
        </w:rPr>
      </w:pPr>
      <w:r w:rsidRPr="001B0A7E">
        <w:rPr>
          <w:sz w:val="24"/>
        </w:rPr>
        <w:t xml:space="preserve">Funds to support the ATF activities associated with theft and loss reporting </w:t>
      </w:r>
      <w:r>
        <w:rPr>
          <w:sz w:val="24"/>
        </w:rPr>
        <w:t>are</w:t>
      </w:r>
      <w:r w:rsidRPr="001B0A7E">
        <w:rPr>
          <w:sz w:val="24"/>
        </w:rPr>
        <w:t xml:space="preserve"> estimated to be $</w:t>
      </w:r>
      <w:r>
        <w:rPr>
          <w:sz w:val="24"/>
        </w:rPr>
        <w:t>25</w:t>
      </w:r>
      <w:r w:rsidRPr="001B0A7E">
        <w:rPr>
          <w:sz w:val="24"/>
        </w:rPr>
        <w:t>0,000.</w:t>
      </w:r>
    </w:p>
    <w:p w:rsidR="0098689D" w:rsidRDefault="0098689D" w:rsidP="00851AEA">
      <w:pPr>
        <w:pStyle w:val="Heading3"/>
      </w:pPr>
      <w:r w:rsidRPr="0009056C">
        <w:t>Adjudication or Appeal of an Order Assessing Civil Penalty</w:t>
      </w:r>
    </w:p>
    <w:p w:rsidR="0098689D" w:rsidRPr="00B4167F" w:rsidRDefault="0098689D" w:rsidP="00851AEA">
      <w:pPr>
        <w:pStyle w:val="Body"/>
        <w:ind w:firstLine="0"/>
        <w:rPr>
          <w:sz w:val="24"/>
          <w:szCs w:val="24"/>
        </w:rPr>
      </w:pPr>
      <w:r w:rsidRPr="00B4167F">
        <w:rPr>
          <w:sz w:val="24"/>
          <w:szCs w:val="24"/>
        </w:rPr>
        <w:t>Because DHS anticipates that there will be fewer than 10 respondents annually, no annual costs were estimated.</w:t>
      </w:r>
    </w:p>
    <w:p w:rsidR="0098689D" w:rsidRDefault="0098689D" w:rsidP="00BD7EEE">
      <w:pPr>
        <w:pStyle w:val="Heading3"/>
      </w:pPr>
      <w:r>
        <w:t>Inspections &amp; Audits</w:t>
      </w:r>
    </w:p>
    <w:p w:rsidR="0098689D" w:rsidRPr="001B0A7E" w:rsidRDefault="0098689D" w:rsidP="00BD7EEE">
      <w:pPr>
        <w:pStyle w:val="Body"/>
        <w:ind w:firstLine="0"/>
        <w:rPr>
          <w:sz w:val="24"/>
        </w:rPr>
      </w:pPr>
      <w:r w:rsidRPr="001B0A7E">
        <w:rPr>
          <w:sz w:val="24"/>
        </w:rPr>
        <w:t xml:space="preserve">The associated management and coordination costs for </w:t>
      </w:r>
      <w:r>
        <w:rPr>
          <w:sz w:val="24"/>
        </w:rPr>
        <w:t xml:space="preserve">the information collected due to Inspections &amp; Audits </w:t>
      </w:r>
      <w:r w:rsidRPr="001B0A7E">
        <w:rPr>
          <w:sz w:val="24"/>
        </w:rPr>
        <w:t>are equivalent to the fully loaded cost of employing two government employees at the GS-14 level and are estimated to be $331,800.</w:t>
      </w:r>
    </w:p>
    <w:p w:rsidR="0098689D" w:rsidRDefault="0098689D" w:rsidP="00851AEA">
      <w:pPr>
        <w:pStyle w:val="Heading3"/>
      </w:pPr>
      <w:r>
        <w:t>Total Federal Government Costs</w:t>
      </w:r>
    </w:p>
    <w:p w:rsidR="0098689D" w:rsidRPr="001B0A7E" w:rsidRDefault="0098689D" w:rsidP="00851AEA">
      <w:pPr>
        <w:pStyle w:val="Body"/>
        <w:ind w:firstLine="0"/>
        <w:rPr>
          <w:sz w:val="24"/>
        </w:rPr>
      </w:pPr>
      <w:r w:rsidRPr="001B0A7E">
        <w:rPr>
          <w:sz w:val="24"/>
        </w:rPr>
        <w:t xml:space="preserve">In sum, the estimated total annual operating cost to the United States Government for collecting and conducting screening of information under </w:t>
      </w:r>
      <w:r>
        <w:rPr>
          <w:sz w:val="24"/>
        </w:rPr>
        <w:t xml:space="preserve">the </w:t>
      </w:r>
      <w:r w:rsidRPr="001B0A7E">
        <w:rPr>
          <w:sz w:val="24"/>
        </w:rPr>
        <w:t xml:space="preserve">Ammonium Nitrate </w:t>
      </w:r>
      <w:r>
        <w:rPr>
          <w:sz w:val="24"/>
        </w:rPr>
        <w:t xml:space="preserve">Security </w:t>
      </w:r>
      <w:r w:rsidRPr="001B0A7E">
        <w:rPr>
          <w:sz w:val="24"/>
        </w:rPr>
        <w:t>Program is $</w:t>
      </w:r>
      <w:r>
        <w:rPr>
          <w:sz w:val="24"/>
        </w:rPr>
        <w:t>8,483</w:t>
      </w:r>
      <w:r w:rsidRPr="001B0A7E">
        <w:rPr>
          <w:sz w:val="24"/>
        </w:rPr>
        <w:t>,</w:t>
      </w:r>
      <w:r>
        <w:rPr>
          <w:sz w:val="24"/>
        </w:rPr>
        <w:t>3</w:t>
      </w:r>
      <w:r w:rsidRPr="001B0A7E">
        <w:rPr>
          <w:sz w:val="24"/>
        </w:rPr>
        <w:t>00 in addition to an estimated initial capital cost of $</w:t>
      </w:r>
      <w:r>
        <w:rPr>
          <w:sz w:val="24"/>
        </w:rPr>
        <w:t>1,500,000</w:t>
      </w:r>
      <w:r w:rsidRPr="001B0A7E">
        <w:rPr>
          <w:sz w:val="24"/>
        </w:rPr>
        <w:t>.</w:t>
      </w:r>
    </w:p>
    <w:p w:rsidR="0098689D" w:rsidRPr="001B0A7E" w:rsidRDefault="0098689D" w:rsidP="00851AEA">
      <w:pPr>
        <w:pStyle w:val="Body"/>
        <w:ind w:firstLine="0"/>
        <w:rPr>
          <w:sz w:val="24"/>
        </w:rPr>
      </w:pPr>
      <w:r>
        <w:rPr>
          <w:sz w:val="24"/>
        </w:rPr>
        <w:t>Table 5</w:t>
      </w:r>
      <w:r w:rsidRPr="001B0A7E">
        <w:rPr>
          <w:sz w:val="24"/>
        </w:rPr>
        <w:t xml:space="preserve">: Estimated Summary of Federal Government Annual Costs </w:t>
      </w:r>
    </w:p>
    <w:tbl>
      <w:tblPr>
        <w:tblW w:w="496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448"/>
      </w:tblGrid>
      <w:tr w:rsidR="0098689D" w:rsidRPr="00851AEA" w:rsidTr="00851AEA">
        <w:trPr>
          <w:cantSplit/>
          <w:tblHeader/>
        </w:trPr>
        <w:tc>
          <w:tcPr>
            <w:tcW w:w="2520" w:type="dxa"/>
            <w:vAlign w:val="center"/>
          </w:tcPr>
          <w:p w:rsidR="0098689D" w:rsidRPr="00851AEA" w:rsidRDefault="0098689D" w:rsidP="00851AEA">
            <w:pPr>
              <w:keepNext/>
              <w:keepLines/>
              <w:jc w:val="center"/>
              <w:rPr>
                <w:rFonts w:ascii="Times New Roman" w:hAnsi="Times New Roman"/>
                <w:b/>
              </w:rPr>
            </w:pPr>
            <w:r w:rsidRPr="00851AEA">
              <w:rPr>
                <w:rFonts w:ascii="Times New Roman" w:hAnsi="Times New Roman"/>
                <w:b/>
              </w:rPr>
              <w:lastRenderedPageBreak/>
              <w:t>Instrument</w:t>
            </w:r>
          </w:p>
        </w:tc>
        <w:tc>
          <w:tcPr>
            <w:tcW w:w="2448" w:type="dxa"/>
            <w:vAlign w:val="center"/>
          </w:tcPr>
          <w:p w:rsidR="0098689D" w:rsidRPr="00851AEA" w:rsidRDefault="0098689D" w:rsidP="00851AEA">
            <w:pPr>
              <w:keepNext/>
              <w:keepLines/>
              <w:jc w:val="center"/>
              <w:rPr>
                <w:rFonts w:ascii="Times New Roman" w:hAnsi="Times New Roman"/>
                <w:b/>
              </w:rPr>
            </w:pPr>
            <w:r w:rsidRPr="00851AEA">
              <w:rPr>
                <w:rFonts w:ascii="Times New Roman" w:hAnsi="Times New Roman"/>
                <w:b/>
              </w:rPr>
              <w:t>Federal Government Cost (in dollars)</w:t>
            </w:r>
          </w:p>
        </w:tc>
      </w:tr>
      <w:tr w:rsidR="0098689D" w:rsidRPr="00851AEA" w:rsidTr="00851AEA">
        <w:trPr>
          <w:cantSplit/>
          <w:trHeight w:val="555"/>
          <w:tblHeader/>
        </w:trPr>
        <w:tc>
          <w:tcPr>
            <w:tcW w:w="2520" w:type="dxa"/>
            <w:vAlign w:val="center"/>
          </w:tcPr>
          <w:p w:rsidR="0098689D" w:rsidRPr="00851AEA" w:rsidRDefault="0098689D" w:rsidP="00851AEA">
            <w:pPr>
              <w:jc w:val="center"/>
              <w:rPr>
                <w:rFonts w:ascii="Times New Roman" w:hAnsi="Times New Roman"/>
              </w:rPr>
            </w:pPr>
            <w:r w:rsidRPr="00851AEA">
              <w:rPr>
                <w:rFonts w:ascii="Times New Roman" w:hAnsi="Times New Roman"/>
              </w:rPr>
              <w:t>AN Registration</w:t>
            </w:r>
          </w:p>
        </w:tc>
        <w:tc>
          <w:tcPr>
            <w:tcW w:w="2448" w:type="dxa"/>
            <w:vAlign w:val="center"/>
          </w:tcPr>
          <w:p w:rsidR="0098689D" w:rsidRPr="00851AEA" w:rsidRDefault="0098689D" w:rsidP="00851AEA">
            <w:pPr>
              <w:jc w:val="right"/>
              <w:rPr>
                <w:rFonts w:ascii="Times New Roman" w:hAnsi="Times New Roman"/>
              </w:rPr>
            </w:pPr>
            <w:r w:rsidRPr="00851AEA">
              <w:rPr>
                <w:rFonts w:ascii="Times New Roman" w:hAnsi="Times New Roman"/>
              </w:rPr>
              <w:t>3,337,900</w:t>
            </w:r>
          </w:p>
        </w:tc>
      </w:tr>
      <w:tr w:rsidR="0098689D" w:rsidRPr="00851AEA" w:rsidTr="00851AEA">
        <w:trPr>
          <w:cantSplit/>
          <w:trHeight w:val="555"/>
          <w:tblHeader/>
        </w:trPr>
        <w:tc>
          <w:tcPr>
            <w:tcW w:w="2520" w:type="dxa"/>
            <w:vAlign w:val="center"/>
          </w:tcPr>
          <w:p w:rsidR="0098689D" w:rsidRPr="00851AEA" w:rsidRDefault="0098689D" w:rsidP="00851AEA">
            <w:pPr>
              <w:jc w:val="center"/>
              <w:rPr>
                <w:rFonts w:ascii="Times New Roman" w:hAnsi="Times New Roman"/>
              </w:rPr>
            </w:pPr>
            <w:r w:rsidRPr="00851AEA">
              <w:rPr>
                <w:rFonts w:ascii="Times New Roman" w:hAnsi="Times New Roman"/>
              </w:rPr>
              <w:t>Purchaser Verification</w:t>
            </w:r>
          </w:p>
        </w:tc>
        <w:tc>
          <w:tcPr>
            <w:tcW w:w="2448" w:type="dxa"/>
            <w:vAlign w:val="center"/>
          </w:tcPr>
          <w:p w:rsidR="0098689D" w:rsidRPr="00851AEA" w:rsidDel="00CB5417" w:rsidRDefault="0098689D" w:rsidP="00851AEA">
            <w:pPr>
              <w:jc w:val="right"/>
              <w:rPr>
                <w:rFonts w:ascii="Times New Roman" w:hAnsi="Times New Roman"/>
              </w:rPr>
            </w:pPr>
            <w:r>
              <w:rPr>
                <w:rFonts w:ascii="Times New Roman" w:hAnsi="Times New Roman"/>
              </w:rPr>
              <w:t>91</w:t>
            </w:r>
            <w:r w:rsidRPr="00851AEA">
              <w:rPr>
                <w:rFonts w:ascii="Times New Roman" w:hAnsi="Times New Roman"/>
              </w:rPr>
              <w:t>5,900</w:t>
            </w:r>
          </w:p>
        </w:tc>
      </w:tr>
      <w:tr w:rsidR="0098689D" w:rsidRPr="00851AEA" w:rsidTr="00851AEA">
        <w:trPr>
          <w:cantSplit/>
          <w:trHeight w:val="555"/>
          <w:tblHeader/>
        </w:trPr>
        <w:tc>
          <w:tcPr>
            <w:tcW w:w="2520" w:type="dxa"/>
            <w:vAlign w:val="center"/>
          </w:tcPr>
          <w:p w:rsidR="0098689D" w:rsidRPr="001B4FE4" w:rsidRDefault="0098689D" w:rsidP="00851AEA">
            <w:pPr>
              <w:jc w:val="center"/>
              <w:rPr>
                <w:rFonts w:ascii="Times New Roman" w:hAnsi="Times New Roman"/>
              </w:rPr>
            </w:pPr>
            <w:r w:rsidRPr="001B4FE4">
              <w:rPr>
                <w:rFonts w:ascii="Times New Roman" w:hAnsi="Times New Roman"/>
              </w:rPr>
              <w:t>Appeals for Denial or Revocation of AN Registered User Numbers</w:t>
            </w:r>
          </w:p>
        </w:tc>
        <w:tc>
          <w:tcPr>
            <w:tcW w:w="2448" w:type="dxa"/>
            <w:vAlign w:val="center"/>
          </w:tcPr>
          <w:p w:rsidR="0098689D" w:rsidRPr="00851AEA" w:rsidDel="00CB5417" w:rsidRDefault="0098689D" w:rsidP="00851AEA">
            <w:pPr>
              <w:jc w:val="right"/>
              <w:rPr>
                <w:rFonts w:ascii="Times New Roman" w:hAnsi="Times New Roman"/>
              </w:rPr>
            </w:pPr>
            <w:r w:rsidRPr="00851AEA">
              <w:rPr>
                <w:rFonts w:ascii="Times New Roman" w:hAnsi="Times New Roman"/>
              </w:rPr>
              <w:t>331,800</w:t>
            </w:r>
          </w:p>
        </w:tc>
      </w:tr>
      <w:tr w:rsidR="0098689D" w:rsidRPr="00851AEA" w:rsidTr="00851AEA">
        <w:trPr>
          <w:cantSplit/>
          <w:trHeight w:val="555"/>
          <w:tblHeader/>
        </w:trPr>
        <w:tc>
          <w:tcPr>
            <w:tcW w:w="2520" w:type="dxa"/>
            <w:vAlign w:val="center"/>
          </w:tcPr>
          <w:p w:rsidR="0098689D" w:rsidRPr="00851AEA" w:rsidRDefault="0098689D" w:rsidP="00851AEA">
            <w:pPr>
              <w:jc w:val="center"/>
              <w:rPr>
                <w:rFonts w:ascii="Times New Roman" w:hAnsi="Times New Roman"/>
              </w:rPr>
            </w:pPr>
            <w:r w:rsidRPr="00851AEA">
              <w:rPr>
                <w:rFonts w:ascii="Times New Roman" w:hAnsi="Times New Roman"/>
              </w:rPr>
              <w:t>Ammonium Nitrate Helpdesk</w:t>
            </w:r>
          </w:p>
        </w:tc>
        <w:tc>
          <w:tcPr>
            <w:tcW w:w="2448" w:type="dxa"/>
            <w:vAlign w:val="center"/>
          </w:tcPr>
          <w:p w:rsidR="0098689D" w:rsidRPr="00851AEA" w:rsidDel="00CB5417" w:rsidRDefault="0098689D" w:rsidP="00851AEA">
            <w:pPr>
              <w:jc w:val="right"/>
              <w:rPr>
                <w:rFonts w:ascii="Times New Roman" w:hAnsi="Times New Roman"/>
              </w:rPr>
            </w:pPr>
            <w:r w:rsidRPr="00851AEA">
              <w:rPr>
                <w:rFonts w:ascii="Times New Roman" w:hAnsi="Times New Roman"/>
              </w:rPr>
              <w:t>2,400,000</w:t>
            </w:r>
          </w:p>
        </w:tc>
      </w:tr>
      <w:tr w:rsidR="0098689D" w:rsidRPr="00851AEA" w:rsidTr="00851AEA">
        <w:trPr>
          <w:cantSplit/>
          <w:trHeight w:val="555"/>
          <w:tblHeader/>
        </w:trPr>
        <w:tc>
          <w:tcPr>
            <w:tcW w:w="2520" w:type="dxa"/>
            <w:vAlign w:val="center"/>
          </w:tcPr>
          <w:p w:rsidR="0098689D" w:rsidRPr="001B4FE4" w:rsidRDefault="0098689D" w:rsidP="001B4FE4">
            <w:pPr>
              <w:jc w:val="center"/>
              <w:rPr>
                <w:rFonts w:ascii="Times New Roman" w:hAnsi="Times New Roman"/>
              </w:rPr>
            </w:pPr>
            <w:r w:rsidRPr="001B4FE4">
              <w:rPr>
                <w:rFonts w:ascii="Times New Roman" w:hAnsi="Times New Roman"/>
              </w:rPr>
              <w:t xml:space="preserve">Electronic Recordkeeping Database </w:t>
            </w:r>
          </w:p>
        </w:tc>
        <w:tc>
          <w:tcPr>
            <w:tcW w:w="2448" w:type="dxa"/>
            <w:vAlign w:val="center"/>
          </w:tcPr>
          <w:p w:rsidR="0098689D" w:rsidRPr="00851AEA" w:rsidRDefault="0098689D" w:rsidP="00851AEA">
            <w:pPr>
              <w:jc w:val="right"/>
              <w:rPr>
                <w:rFonts w:ascii="Times New Roman" w:hAnsi="Times New Roman"/>
              </w:rPr>
            </w:pPr>
            <w:r>
              <w:rPr>
                <w:rFonts w:ascii="Times New Roman" w:hAnsi="Times New Roman"/>
              </w:rPr>
              <w:t>91</w:t>
            </w:r>
            <w:r w:rsidRPr="00851AEA">
              <w:rPr>
                <w:rFonts w:ascii="Times New Roman" w:hAnsi="Times New Roman"/>
              </w:rPr>
              <w:t>5,900</w:t>
            </w:r>
          </w:p>
        </w:tc>
      </w:tr>
      <w:tr w:rsidR="0098689D" w:rsidRPr="00851AEA" w:rsidTr="00851AEA">
        <w:trPr>
          <w:cantSplit/>
          <w:trHeight w:val="555"/>
          <w:tblHeader/>
        </w:trPr>
        <w:tc>
          <w:tcPr>
            <w:tcW w:w="2520" w:type="dxa"/>
            <w:vAlign w:val="center"/>
          </w:tcPr>
          <w:p w:rsidR="0098689D" w:rsidRPr="00851AEA" w:rsidRDefault="0098689D" w:rsidP="00851AEA">
            <w:pPr>
              <w:jc w:val="center"/>
              <w:rPr>
                <w:rFonts w:ascii="Times New Roman" w:hAnsi="Times New Roman"/>
              </w:rPr>
            </w:pPr>
            <w:r w:rsidRPr="00851AEA">
              <w:rPr>
                <w:rFonts w:ascii="Times New Roman" w:hAnsi="Times New Roman"/>
              </w:rPr>
              <w:t>Reporting of Theft &amp; Loss</w:t>
            </w:r>
          </w:p>
        </w:tc>
        <w:tc>
          <w:tcPr>
            <w:tcW w:w="2448" w:type="dxa"/>
            <w:vAlign w:val="center"/>
          </w:tcPr>
          <w:p w:rsidR="0098689D" w:rsidRPr="00851AEA" w:rsidRDefault="0098689D" w:rsidP="00851AEA">
            <w:pPr>
              <w:jc w:val="right"/>
              <w:rPr>
                <w:rFonts w:ascii="Times New Roman" w:hAnsi="Times New Roman"/>
              </w:rPr>
            </w:pPr>
            <w:r w:rsidRPr="00851AEA">
              <w:rPr>
                <w:rFonts w:ascii="Times New Roman" w:hAnsi="Times New Roman"/>
              </w:rPr>
              <w:t>250,000</w:t>
            </w:r>
          </w:p>
        </w:tc>
      </w:tr>
      <w:tr w:rsidR="0098689D" w:rsidRPr="00851AEA" w:rsidTr="00851AEA">
        <w:trPr>
          <w:cantSplit/>
          <w:trHeight w:val="555"/>
          <w:tblHeader/>
        </w:trPr>
        <w:tc>
          <w:tcPr>
            <w:tcW w:w="2520" w:type="dxa"/>
            <w:vAlign w:val="center"/>
          </w:tcPr>
          <w:p w:rsidR="0098689D" w:rsidRPr="001B4FE4" w:rsidRDefault="0098689D" w:rsidP="00851AEA">
            <w:pPr>
              <w:jc w:val="center"/>
              <w:rPr>
                <w:rFonts w:ascii="Times New Roman" w:hAnsi="Times New Roman"/>
              </w:rPr>
            </w:pPr>
            <w:r w:rsidRPr="001B4FE4">
              <w:rPr>
                <w:rFonts w:ascii="Times New Roman" w:hAnsi="Times New Roman"/>
                <w:bCs/>
              </w:rPr>
              <w:t xml:space="preserve">Adjudication or Appeal of an </w:t>
            </w:r>
            <w:r w:rsidRPr="001B4FE4">
              <w:rPr>
                <w:rFonts w:ascii="Times New Roman" w:hAnsi="Times New Roman"/>
              </w:rPr>
              <w:t>Order Assessing Civil Penalty</w:t>
            </w:r>
          </w:p>
        </w:tc>
        <w:tc>
          <w:tcPr>
            <w:tcW w:w="2448" w:type="dxa"/>
            <w:vAlign w:val="center"/>
          </w:tcPr>
          <w:p w:rsidR="0098689D" w:rsidRPr="00851AEA" w:rsidDel="00CB5417" w:rsidRDefault="0098689D" w:rsidP="00851AEA">
            <w:pPr>
              <w:jc w:val="right"/>
              <w:rPr>
                <w:rFonts w:ascii="Times New Roman" w:hAnsi="Times New Roman"/>
              </w:rPr>
            </w:pPr>
            <w:r w:rsidRPr="00851AEA">
              <w:rPr>
                <w:rFonts w:ascii="Times New Roman" w:hAnsi="Times New Roman"/>
              </w:rPr>
              <w:t>N/A</w:t>
            </w:r>
          </w:p>
        </w:tc>
      </w:tr>
      <w:tr w:rsidR="0098689D" w:rsidRPr="00851AEA" w:rsidTr="00851AEA">
        <w:trPr>
          <w:cantSplit/>
          <w:trHeight w:val="555"/>
          <w:tblHeader/>
        </w:trPr>
        <w:tc>
          <w:tcPr>
            <w:tcW w:w="2520" w:type="dxa"/>
            <w:vAlign w:val="center"/>
          </w:tcPr>
          <w:p w:rsidR="0098689D" w:rsidRPr="001B4FE4" w:rsidRDefault="0098689D" w:rsidP="00851AEA">
            <w:pPr>
              <w:jc w:val="center"/>
              <w:rPr>
                <w:rFonts w:ascii="Times New Roman" w:hAnsi="Times New Roman"/>
                <w:bCs/>
              </w:rPr>
            </w:pPr>
            <w:r>
              <w:rPr>
                <w:rFonts w:ascii="Times New Roman" w:hAnsi="Times New Roman"/>
                <w:bCs/>
              </w:rPr>
              <w:t>Inspections and Audits</w:t>
            </w:r>
          </w:p>
        </w:tc>
        <w:tc>
          <w:tcPr>
            <w:tcW w:w="2448" w:type="dxa"/>
            <w:vAlign w:val="center"/>
          </w:tcPr>
          <w:p w:rsidR="0098689D" w:rsidRPr="00851AEA" w:rsidRDefault="0098689D" w:rsidP="00851AEA">
            <w:pPr>
              <w:jc w:val="right"/>
              <w:rPr>
                <w:rFonts w:ascii="Times New Roman" w:hAnsi="Times New Roman"/>
              </w:rPr>
            </w:pPr>
            <w:r>
              <w:rPr>
                <w:rFonts w:ascii="Times New Roman" w:hAnsi="Times New Roman"/>
              </w:rPr>
              <w:t>331,800</w:t>
            </w:r>
          </w:p>
        </w:tc>
      </w:tr>
      <w:tr w:rsidR="0098689D" w:rsidRPr="00851AEA" w:rsidTr="00851AEA">
        <w:trPr>
          <w:cantSplit/>
          <w:trHeight w:val="350"/>
          <w:tblHeader/>
        </w:trPr>
        <w:tc>
          <w:tcPr>
            <w:tcW w:w="2520" w:type="dxa"/>
            <w:tcBorders>
              <w:left w:val="nil"/>
              <w:bottom w:val="nil"/>
              <w:right w:val="nil"/>
            </w:tcBorders>
            <w:vAlign w:val="center"/>
          </w:tcPr>
          <w:p w:rsidR="0098689D" w:rsidRPr="00851AEA" w:rsidRDefault="0098689D" w:rsidP="00851AEA">
            <w:pPr>
              <w:jc w:val="right"/>
              <w:rPr>
                <w:rFonts w:ascii="Times New Roman" w:hAnsi="Times New Roman"/>
              </w:rPr>
            </w:pPr>
            <w:r w:rsidRPr="00851AEA">
              <w:rPr>
                <w:rFonts w:ascii="Times New Roman" w:hAnsi="Times New Roman"/>
              </w:rPr>
              <w:t>Total</w:t>
            </w:r>
          </w:p>
        </w:tc>
        <w:tc>
          <w:tcPr>
            <w:tcW w:w="2448" w:type="dxa"/>
            <w:tcBorders>
              <w:left w:val="nil"/>
              <w:bottom w:val="nil"/>
              <w:right w:val="nil"/>
            </w:tcBorders>
            <w:vAlign w:val="center"/>
          </w:tcPr>
          <w:p w:rsidR="0098689D" w:rsidRPr="00851AEA" w:rsidDel="00CB5417" w:rsidRDefault="0098689D" w:rsidP="00851AEA">
            <w:pPr>
              <w:jc w:val="right"/>
              <w:rPr>
                <w:rFonts w:ascii="Times New Roman" w:hAnsi="Times New Roman"/>
              </w:rPr>
            </w:pPr>
            <w:r>
              <w:rPr>
                <w:rFonts w:ascii="Times New Roman" w:hAnsi="Times New Roman"/>
              </w:rPr>
              <w:t>8,483</w:t>
            </w:r>
            <w:r w:rsidRPr="00851AEA">
              <w:rPr>
                <w:rFonts w:ascii="Times New Roman" w:hAnsi="Times New Roman"/>
              </w:rPr>
              <w:t>,</w:t>
            </w:r>
            <w:r>
              <w:rPr>
                <w:rFonts w:ascii="Times New Roman" w:hAnsi="Times New Roman"/>
              </w:rPr>
              <w:t>3</w:t>
            </w:r>
            <w:r w:rsidRPr="00851AEA">
              <w:rPr>
                <w:rFonts w:ascii="Times New Roman" w:hAnsi="Times New Roman"/>
              </w:rPr>
              <w:t>00</w:t>
            </w:r>
          </w:p>
        </w:tc>
      </w:tr>
    </w:tbl>
    <w:p w:rsidR="0098689D" w:rsidRPr="00F7015B" w:rsidRDefault="0098689D" w:rsidP="007E0849">
      <w:pPr>
        <w:pStyle w:val="Heading2"/>
      </w:pPr>
      <w:r w:rsidRPr="00F7015B">
        <w:t>Explanation for Program Changes or Adjustments</w:t>
      </w:r>
    </w:p>
    <w:p w:rsidR="0098689D" w:rsidRPr="001B0A7E" w:rsidRDefault="0098689D" w:rsidP="001B0A7E">
      <w:pPr>
        <w:pStyle w:val="Body"/>
        <w:ind w:firstLine="0"/>
        <w:rPr>
          <w:sz w:val="24"/>
        </w:rPr>
      </w:pPr>
      <w:r w:rsidRPr="001B0A7E">
        <w:rPr>
          <w:sz w:val="24"/>
        </w:rPr>
        <w:t xml:space="preserve">The Ammonium Nitrate </w:t>
      </w:r>
      <w:r>
        <w:rPr>
          <w:sz w:val="24"/>
        </w:rPr>
        <w:t xml:space="preserve">Security </w:t>
      </w:r>
      <w:r w:rsidRPr="001B0A7E">
        <w:rPr>
          <w:sz w:val="24"/>
        </w:rPr>
        <w:t>Program is a new collection.</w:t>
      </w:r>
    </w:p>
    <w:p w:rsidR="0098689D" w:rsidRPr="00F7015B" w:rsidRDefault="0098689D" w:rsidP="007E0849">
      <w:pPr>
        <w:pStyle w:val="Heading2"/>
      </w:pPr>
      <w:r w:rsidRPr="00F7015B">
        <w:t>Plans for Tabulation and Publication and Project Time Schedule</w:t>
      </w:r>
    </w:p>
    <w:p w:rsidR="0098689D" w:rsidRPr="001B0A7E" w:rsidRDefault="0098689D" w:rsidP="001B0A7E">
      <w:pPr>
        <w:pStyle w:val="Body"/>
        <w:ind w:firstLine="0"/>
        <w:rPr>
          <w:sz w:val="24"/>
        </w:rPr>
      </w:pPr>
      <w:r w:rsidRPr="001B0A7E">
        <w:rPr>
          <w:sz w:val="24"/>
        </w:rPr>
        <w:t>No plans exist for the publication of data collected under this information collection for statistical use, tabulation, or statistical analysis.</w:t>
      </w:r>
    </w:p>
    <w:p w:rsidR="0098689D" w:rsidRPr="00F7015B" w:rsidRDefault="0098689D" w:rsidP="007E0849">
      <w:pPr>
        <w:pStyle w:val="Heading2"/>
      </w:pPr>
      <w:r w:rsidRPr="00F7015B">
        <w:t>Reason(s) Display of OMB Expiration Date is Inappropriate</w:t>
      </w:r>
    </w:p>
    <w:p w:rsidR="0098689D" w:rsidRPr="001B0A7E" w:rsidRDefault="0098689D" w:rsidP="001B0A7E">
      <w:pPr>
        <w:pStyle w:val="Body"/>
        <w:ind w:firstLine="0"/>
        <w:rPr>
          <w:sz w:val="24"/>
        </w:rPr>
      </w:pPr>
      <w:r w:rsidRPr="001B0A7E">
        <w:rPr>
          <w:sz w:val="24"/>
        </w:rPr>
        <w:t xml:space="preserve">The Ammonium Nitrate </w:t>
      </w:r>
      <w:r>
        <w:rPr>
          <w:sz w:val="24"/>
        </w:rPr>
        <w:t xml:space="preserve">Security </w:t>
      </w:r>
      <w:r w:rsidRPr="001B0A7E">
        <w:rPr>
          <w:sz w:val="24"/>
        </w:rPr>
        <w:t>Program will display the expiration date for OMB approval of this information collection.</w:t>
      </w:r>
    </w:p>
    <w:p w:rsidR="0098689D" w:rsidRPr="00F7015B" w:rsidRDefault="0098689D" w:rsidP="007E0849">
      <w:pPr>
        <w:pStyle w:val="Heading2"/>
      </w:pPr>
      <w:r w:rsidRPr="00F7015B">
        <w:t>Exceptions to Certification for Paperwork Reduction Act Submissions</w:t>
      </w:r>
    </w:p>
    <w:p w:rsidR="0098689D" w:rsidRPr="001B0A7E" w:rsidRDefault="0098689D" w:rsidP="001B0A7E">
      <w:pPr>
        <w:pStyle w:val="Body"/>
        <w:ind w:firstLine="0"/>
        <w:rPr>
          <w:sz w:val="24"/>
        </w:rPr>
      </w:pPr>
      <w:r w:rsidRPr="001B0A7E">
        <w:rPr>
          <w:sz w:val="24"/>
        </w:rPr>
        <w:t>No exceptions are requested under this collection.</w:t>
      </w:r>
    </w:p>
    <w:sectPr w:rsidR="0098689D" w:rsidRPr="001B0A7E" w:rsidSect="005C66D5">
      <w:headerReference w:type="even" r:id="rId8"/>
      <w:footerReference w:type="default" r:id="rId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20C" w:rsidRDefault="008A420C" w:rsidP="0083624C">
      <w:r>
        <w:separator/>
      </w:r>
    </w:p>
  </w:endnote>
  <w:endnote w:type="continuationSeparator" w:id="0">
    <w:p w:rsidR="008A420C" w:rsidRDefault="008A420C" w:rsidP="007C03A3">
      <w:r>
        <w:continuationSeparator/>
      </w:r>
    </w:p>
    <w:p w:rsidR="008A420C" w:rsidRDefault="008A420C" w:rsidP="007C03A3"/>
    <w:p w:rsidR="008A420C" w:rsidRDefault="008A420C"/>
    <w:p w:rsidR="008A420C" w:rsidRDefault="008A420C" w:rsidP="008B7D15"/>
    <w:p w:rsidR="008A420C" w:rsidRDefault="008A420C" w:rsidP="008B7D15"/>
    <w:p w:rsidR="008A420C" w:rsidRDefault="008A420C"/>
    <w:p w:rsidR="008A420C" w:rsidRDefault="008A420C" w:rsidP="0083624C"/>
    <w:p w:rsidR="008A420C" w:rsidRDefault="008A420C" w:rsidP="0083624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Joanna MT">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9D" w:rsidRPr="001D0B01" w:rsidRDefault="00D125D3" w:rsidP="001D0B01">
    <w:pPr>
      <w:jc w:val="center"/>
      <w:rPr>
        <w:rFonts w:ascii="Times New Roman" w:hAnsi="Times New Roman"/>
      </w:rPr>
    </w:pPr>
    <w:r w:rsidRPr="001D0B01">
      <w:rPr>
        <w:rFonts w:ascii="Times New Roman" w:hAnsi="Times New Roman"/>
      </w:rPr>
      <w:fldChar w:fldCharType="begin"/>
    </w:r>
    <w:r w:rsidR="0098689D" w:rsidRPr="001D0B01">
      <w:rPr>
        <w:rFonts w:ascii="Times New Roman" w:hAnsi="Times New Roman"/>
      </w:rPr>
      <w:instrText xml:space="preserve"> PAGE </w:instrText>
    </w:r>
    <w:r w:rsidRPr="001D0B01">
      <w:rPr>
        <w:rFonts w:ascii="Times New Roman" w:hAnsi="Times New Roman"/>
      </w:rPr>
      <w:fldChar w:fldCharType="separate"/>
    </w:r>
    <w:r w:rsidR="00DF31DC">
      <w:rPr>
        <w:rFonts w:ascii="Times New Roman" w:hAnsi="Times New Roman"/>
        <w:noProof/>
      </w:rPr>
      <w:t>5</w:t>
    </w:r>
    <w:r w:rsidRPr="001D0B01">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20C" w:rsidRDefault="008A420C" w:rsidP="0083624C">
      <w:r>
        <w:separator/>
      </w:r>
    </w:p>
  </w:footnote>
  <w:footnote w:type="continuationSeparator" w:id="0">
    <w:p w:rsidR="008A420C" w:rsidRDefault="008A420C" w:rsidP="0083624C">
      <w:r>
        <w:continuationSeparator/>
      </w:r>
    </w:p>
  </w:footnote>
  <w:footnote w:type="continuationNotice" w:id="1">
    <w:p w:rsidR="008A420C" w:rsidRDefault="008A42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9D" w:rsidRDefault="0098689D"/>
  <w:p w:rsidR="0098689D" w:rsidRDefault="0098689D"/>
  <w:p w:rsidR="0098689D" w:rsidRDefault="0098689D" w:rsidP="008B7D15"/>
  <w:p w:rsidR="0098689D" w:rsidRDefault="0098689D" w:rsidP="008B7D15"/>
  <w:p w:rsidR="0098689D" w:rsidRDefault="0098689D" w:rsidP="0083624C"/>
  <w:p w:rsidR="0098689D" w:rsidRDefault="0098689D" w:rsidP="008362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246"/>
    <w:multiLevelType w:val="hybridMultilevel"/>
    <w:tmpl w:val="BA500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F7E57"/>
    <w:multiLevelType w:val="multilevel"/>
    <w:tmpl w:val="BA8C02EA"/>
    <w:lvl w:ilvl="0">
      <w:start w:val="1"/>
      <w:numFmt w:val="decimal"/>
      <w:lvlText w:val="%1."/>
      <w:lvlJc w:val="left"/>
      <w:pPr>
        <w:tabs>
          <w:tab w:val="num" w:pos="540"/>
        </w:tabs>
        <w:ind w:left="540" w:hanging="540"/>
      </w:pPr>
      <w:rPr>
        <w:rFonts w:cs="Times New Roman" w:hint="default"/>
      </w:rPr>
    </w:lvl>
    <w:lvl w:ilvl="1">
      <w:start w:val="22"/>
      <w:numFmt w:val="decimal"/>
      <w:lvlText w:val="%2."/>
      <w:lvlJc w:val="left"/>
      <w:pPr>
        <w:tabs>
          <w:tab w:val="num" w:pos="1080"/>
        </w:tabs>
        <w:ind w:left="1152" w:hanging="432"/>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B070F56"/>
    <w:multiLevelType w:val="hybridMultilevel"/>
    <w:tmpl w:val="00229A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1E4679"/>
    <w:multiLevelType w:val="multilevel"/>
    <w:tmpl w:val="EDDEE360"/>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5EF6CFD"/>
    <w:multiLevelType w:val="hybridMultilevel"/>
    <w:tmpl w:val="EDC2A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C72DA"/>
    <w:multiLevelType w:val="hybridMultilevel"/>
    <w:tmpl w:val="C9EAAE34"/>
    <w:lvl w:ilvl="0" w:tplc="357E799C">
      <w:start w:val="22"/>
      <w:numFmt w:val="decimal"/>
      <w:lvlText w:val="%1."/>
      <w:lvlJc w:val="left"/>
      <w:pPr>
        <w:tabs>
          <w:tab w:val="num" w:pos="1080"/>
        </w:tabs>
        <w:ind w:left="1152" w:hanging="432"/>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6">
    <w:nsid w:val="388D28F7"/>
    <w:multiLevelType w:val="hybridMultilevel"/>
    <w:tmpl w:val="85C2D33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04D1704"/>
    <w:multiLevelType w:val="hybridMultilevel"/>
    <w:tmpl w:val="5FC6C45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42B00EAA"/>
    <w:multiLevelType w:val="hybridMultilevel"/>
    <w:tmpl w:val="2A80C1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83B38AB"/>
    <w:multiLevelType w:val="hybridMultilevel"/>
    <w:tmpl w:val="83EED6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87161E5"/>
    <w:multiLevelType w:val="hybridMultilevel"/>
    <w:tmpl w:val="BA587C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44D5A2B"/>
    <w:multiLevelType w:val="hybridMultilevel"/>
    <w:tmpl w:val="BF6C0234"/>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2">
    <w:nsid w:val="57E128ED"/>
    <w:multiLevelType w:val="multilevel"/>
    <w:tmpl w:val="A6849390"/>
    <w:styleLink w:val="BulletedUnderheader2"/>
    <w:lvl w:ilvl="0">
      <w:start w:val="1"/>
      <w:numFmt w:val="bullet"/>
      <w:lvlText w:val=""/>
      <w:lvlJc w:val="left"/>
      <w:pPr>
        <w:tabs>
          <w:tab w:val="num" w:pos="1440"/>
        </w:tabs>
        <w:ind w:left="1440" w:hanging="360"/>
      </w:pPr>
      <w:rPr>
        <w:rFonts w:ascii="Symbol" w:hAnsi="Symbol"/>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91F14F0"/>
    <w:multiLevelType w:val="hybridMultilevel"/>
    <w:tmpl w:val="0102F3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A34B72"/>
    <w:multiLevelType w:val="hybridMultilevel"/>
    <w:tmpl w:val="BA8C02EA"/>
    <w:lvl w:ilvl="0" w:tplc="3D068026">
      <w:start w:val="1"/>
      <w:numFmt w:val="decimal"/>
      <w:pStyle w:val="Heading2"/>
      <w:lvlText w:val="%1."/>
      <w:lvlJc w:val="left"/>
      <w:pPr>
        <w:tabs>
          <w:tab w:val="num" w:pos="540"/>
        </w:tabs>
        <w:ind w:left="540" w:hanging="540"/>
      </w:pPr>
      <w:rPr>
        <w:rFonts w:cs="Times New Roman" w:hint="default"/>
      </w:rPr>
    </w:lvl>
    <w:lvl w:ilvl="1" w:tplc="357E799C">
      <w:start w:val="22"/>
      <w:numFmt w:val="decimal"/>
      <w:lvlText w:val="%2."/>
      <w:lvlJc w:val="left"/>
      <w:pPr>
        <w:tabs>
          <w:tab w:val="num" w:pos="1080"/>
        </w:tabs>
        <w:ind w:left="1152" w:hanging="432"/>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158182B"/>
    <w:multiLevelType w:val="hybridMultilevel"/>
    <w:tmpl w:val="C7A6B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984C82"/>
    <w:multiLevelType w:val="multilevel"/>
    <w:tmpl w:val="BA8C02EA"/>
    <w:lvl w:ilvl="0">
      <w:start w:val="1"/>
      <w:numFmt w:val="decimal"/>
      <w:lvlText w:val="%1."/>
      <w:lvlJc w:val="left"/>
      <w:pPr>
        <w:tabs>
          <w:tab w:val="num" w:pos="540"/>
        </w:tabs>
        <w:ind w:left="540" w:hanging="540"/>
      </w:pPr>
      <w:rPr>
        <w:rFonts w:cs="Times New Roman" w:hint="default"/>
      </w:rPr>
    </w:lvl>
    <w:lvl w:ilvl="1">
      <w:start w:val="22"/>
      <w:numFmt w:val="decimal"/>
      <w:lvlText w:val="%2."/>
      <w:lvlJc w:val="left"/>
      <w:pPr>
        <w:tabs>
          <w:tab w:val="num" w:pos="1080"/>
        </w:tabs>
        <w:ind w:left="1152" w:hanging="432"/>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76364428"/>
    <w:multiLevelType w:val="hybridMultilevel"/>
    <w:tmpl w:val="E1086E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F1A5F56"/>
    <w:multiLevelType w:val="hybridMultilevel"/>
    <w:tmpl w:val="463847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F20395A"/>
    <w:multiLevelType w:val="hybridMultilevel"/>
    <w:tmpl w:val="EA9024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13"/>
  </w:num>
  <w:num w:numId="4">
    <w:abstractNumId w:val="9"/>
  </w:num>
  <w:num w:numId="5">
    <w:abstractNumId w:val="0"/>
  </w:num>
  <w:num w:numId="6">
    <w:abstractNumId w:val="10"/>
  </w:num>
  <w:num w:numId="7">
    <w:abstractNumId w:val="2"/>
  </w:num>
  <w:num w:numId="8">
    <w:abstractNumId w:val="17"/>
  </w:num>
  <w:num w:numId="9">
    <w:abstractNumId w:val="19"/>
  </w:num>
  <w:num w:numId="10">
    <w:abstractNumId w:val="15"/>
  </w:num>
  <w:num w:numId="11">
    <w:abstractNumId w:val="11"/>
  </w:num>
  <w:num w:numId="12">
    <w:abstractNumId w:val="14"/>
  </w:num>
  <w:num w:numId="13">
    <w:abstractNumId w:val="3"/>
  </w:num>
  <w:num w:numId="14">
    <w:abstractNumId w:val="8"/>
  </w:num>
  <w:num w:numId="15">
    <w:abstractNumId w:val="7"/>
  </w:num>
  <w:num w:numId="16">
    <w:abstractNumId w:val="6"/>
  </w:num>
  <w:num w:numId="17">
    <w:abstractNumId w:val="18"/>
  </w:num>
  <w:num w:numId="18">
    <w:abstractNumId w:val="5"/>
  </w:num>
  <w:num w:numId="19">
    <w:abstractNumId w:val="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trackRevisions/>
  <w:defaultTabStop w:val="720"/>
  <w:characterSpacingControl w:val="doNotCompress"/>
  <w:footnotePr>
    <w:footnote w:id="-1"/>
    <w:footnote w:id="0"/>
    <w:footnote w:id="1"/>
  </w:footnotePr>
  <w:endnotePr>
    <w:numFmt w:val="decimal"/>
    <w:endnote w:id="-1"/>
    <w:endnote w:id="0"/>
  </w:endnotePr>
  <w:compat/>
  <w:rsids>
    <w:rsidRoot w:val="0080748C"/>
    <w:rsid w:val="0000123C"/>
    <w:rsid w:val="00016B2C"/>
    <w:rsid w:val="000179B7"/>
    <w:rsid w:val="0002437B"/>
    <w:rsid w:val="00030A1A"/>
    <w:rsid w:val="00030A56"/>
    <w:rsid w:val="0003118D"/>
    <w:rsid w:val="000349AA"/>
    <w:rsid w:val="000354D0"/>
    <w:rsid w:val="000363C9"/>
    <w:rsid w:val="00042B92"/>
    <w:rsid w:val="00042DFF"/>
    <w:rsid w:val="00043E05"/>
    <w:rsid w:val="00045522"/>
    <w:rsid w:val="00065655"/>
    <w:rsid w:val="0007074C"/>
    <w:rsid w:val="00070F46"/>
    <w:rsid w:val="00073668"/>
    <w:rsid w:val="000831A3"/>
    <w:rsid w:val="0009056C"/>
    <w:rsid w:val="00095730"/>
    <w:rsid w:val="0009690A"/>
    <w:rsid w:val="000A3490"/>
    <w:rsid w:val="000A478D"/>
    <w:rsid w:val="000A7A3E"/>
    <w:rsid w:val="000B36BC"/>
    <w:rsid w:val="000B794C"/>
    <w:rsid w:val="000C0328"/>
    <w:rsid w:val="000C1203"/>
    <w:rsid w:val="000C3358"/>
    <w:rsid w:val="000C35EB"/>
    <w:rsid w:val="000C4887"/>
    <w:rsid w:val="000C6114"/>
    <w:rsid w:val="000D05F3"/>
    <w:rsid w:val="000D13F5"/>
    <w:rsid w:val="000D144A"/>
    <w:rsid w:val="000D5CD0"/>
    <w:rsid w:val="000F2402"/>
    <w:rsid w:val="000F2A9E"/>
    <w:rsid w:val="000F2BD4"/>
    <w:rsid w:val="000F3EBF"/>
    <w:rsid w:val="000F79F3"/>
    <w:rsid w:val="00104305"/>
    <w:rsid w:val="001113AC"/>
    <w:rsid w:val="0011546C"/>
    <w:rsid w:val="00117516"/>
    <w:rsid w:val="00120FC6"/>
    <w:rsid w:val="00123B7D"/>
    <w:rsid w:val="001249D5"/>
    <w:rsid w:val="00136919"/>
    <w:rsid w:val="001404BE"/>
    <w:rsid w:val="001447F8"/>
    <w:rsid w:val="00150107"/>
    <w:rsid w:val="00151D95"/>
    <w:rsid w:val="001564AD"/>
    <w:rsid w:val="001577CE"/>
    <w:rsid w:val="00172E1E"/>
    <w:rsid w:val="001762B7"/>
    <w:rsid w:val="0018098D"/>
    <w:rsid w:val="00180BEE"/>
    <w:rsid w:val="00185872"/>
    <w:rsid w:val="00186413"/>
    <w:rsid w:val="001A2BAA"/>
    <w:rsid w:val="001B0A7E"/>
    <w:rsid w:val="001B4FE4"/>
    <w:rsid w:val="001B5062"/>
    <w:rsid w:val="001C08AD"/>
    <w:rsid w:val="001C50F9"/>
    <w:rsid w:val="001D0B01"/>
    <w:rsid w:val="001D0D88"/>
    <w:rsid w:val="001E1205"/>
    <w:rsid w:val="001E38C8"/>
    <w:rsid w:val="001E4AB3"/>
    <w:rsid w:val="001F2DAA"/>
    <w:rsid w:val="001F58B2"/>
    <w:rsid w:val="001F6433"/>
    <w:rsid w:val="0020013C"/>
    <w:rsid w:val="00202D89"/>
    <w:rsid w:val="00205FA6"/>
    <w:rsid w:val="0021275D"/>
    <w:rsid w:val="00213099"/>
    <w:rsid w:val="00221A35"/>
    <w:rsid w:val="002263F4"/>
    <w:rsid w:val="002272EA"/>
    <w:rsid w:val="0023288C"/>
    <w:rsid w:val="0023451A"/>
    <w:rsid w:val="0023554A"/>
    <w:rsid w:val="002379F9"/>
    <w:rsid w:val="00242AA4"/>
    <w:rsid w:val="0025329E"/>
    <w:rsid w:val="00260297"/>
    <w:rsid w:val="00260F7F"/>
    <w:rsid w:val="00272646"/>
    <w:rsid w:val="00273AFE"/>
    <w:rsid w:val="002805CC"/>
    <w:rsid w:val="00282D09"/>
    <w:rsid w:val="00295921"/>
    <w:rsid w:val="00297A21"/>
    <w:rsid w:val="002A050F"/>
    <w:rsid w:val="002A0FF6"/>
    <w:rsid w:val="002A10F4"/>
    <w:rsid w:val="002A77B7"/>
    <w:rsid w:val="002B2959"/>
    <w:rsid w:val="002C215A"/>
    <w:rsid w:val="002C704D"/>
    <w:rsid w:val="002D03C1"/>
    <w:rsid w:val="002D08CB"/>
    <w:rsid w:val="002D3DBD"/>
    <w:rsid w:val="002D56A0"/>
    <w:rsid w:val="002D68F4"/>
    <w:rsid w:val="002E0DA6"/>
    <w:rsid w:val="002F3A12"/>
    <w:rsid w:val="002F5F98"/>
    <w:rsid w:val="002F6BC9"/>
    <w:rsid w:val="002F6E25"/>
    <w:rsid w:val="0030193E"/>
    <w:rsid w:val="0031377B"/>
    <w:rsid w:val="00314F57"/>
    <w:rsid w:val="00317A3A"/>
    <w:rsid w:val="00322676"/>
    <w:rsid w:val="003259DB"/>
    <w:rsid w:val="00334B15"/>
    <w:rsid w:val="00337376"/>
    <w:rsid w:val="00340921"/>
    <w:rsid w:val="00343380"/>
    <w:rsid w:val="003440D2"/>
    <w:rsid w:val="003446B5"/>
    <w:rsid w:val="00352E7E"/>
    <w:rsid w:val="00354B3F"/>
    <w:rsid w:val="00355874"/>
    <w:rsid w:val="00361F2A"/>
    <w:rsid w:val="00365F2E"/>
    <w:rsid w:val="00366516"/>
    <w:rsid w:val="003674F8"/>
    <w:rsid w:val="00370042"/>
    <w:rsid w:val="00370EB7"/>
    <w:rsid w:val="003724C8"/>
    <w:rsid w:val="00375FE4"/>
    <w:rsid w:val="00381CF4"/>
    <w:rsid w:val="003823DC"/>
    <w:rsid w:val="00382D2E"/>
    <w:rsid w:val="00385E86"/>
    <w:rsid w:val="00386855"/>
    <w:rsid w:val="00391116"/>
    <w:rsid w:val="003923C1"/>
    <w:rsid w:val="00393665"/>
    <w:rsid w:val="003941C5"/>
    <w:rsid w:val="003A5ED5"/>
    <w:rsid w:val="003B1BD3"/>
    <w:rsid w:val="003B3433"/>
    <w:rsid w:val="003B70CD"/>
    <w:rsid w:val="003B7F6E"/>
    <w:rsid w:val="003C0920"/>
    <w:rsid w:val="003C22CD"/>
    <w:rsid w:val="003D1029"/>
    <w:rsid w:val="003D2722"/>
    <w:rsid w:val="003F003C"/>
    <w:rsid w:val="003F2967"/>
    <w:rsid w:val="003F419A"/>
    <w:rsid w:val="003F7F0C"/>
    <w:rsid w:val="00403992"/>
    <w:rsid w:val="0040778D"/>
    <w:rsid w:val="004110CE"/>
    <w:rsid w:val="0041548E"/>
    <w:rsid w:val="00416716"/>
    <w:rsid w:val="00417E9E"/>
    <w:rsid w:val="00420A39"/>
    <w:rsid w:val="00422476"/>
    <w:rsid w:val="00445E29"/>
    <w:rsid w:val="00455F20"/>
    <w:rsid w:val="004569D7"/>
    <w:rsid w:val="00460C23"/>
    <w:rsid w:val="004621B8"/>
    <w:rsid w:val="004637A0"/>
    <w:rsid w:val="00464D9C"/>
    <w:rsid w:val="00465696"/>
    <w:rsid w:val="00471341"/>
    <w:rsid w:val="00477765"/>
    <w:rsid w:val="00477F36"/>
    <w:rsid w:val="00485899"/>
    <w:rsid w:val="00490F77"/>
    <w:rsid w:val="004A0EF9"/>
    <w:rsid w:val="004A3AA0"/>
    <w:rsid w:val="004A44AA"/>
    <w:rsid w:val="004A7F1B"/>
    <w:rsid w:val="004B5618"/>
    <w:rsid w:val="004B7882"/>
    <w:rsid w:val="004D0A5B"/>
    <w:rsid w:val="004D53AB"/>
    <w:rsid w:val="004D7406"/>
    <w:rsid w:val="004E2D86"/>
    <w:rsid w:val="004E7361"/>
    <w:rsid w:val="004E7942"/>
    <w:rsid w:val="004F1A38"/>
    <w:rsid w:val="004F3EE0"/>
    <w:rsid w:val="004F5797"/>
    <w:rsid w:val="005026C9"/>
    <w:rsid w:val="00504881"/>
    <w:rsid w:val="005050A1"/>
    <w:rsid w:val="005064DD"/>
    <w:rsid w:val="00511B7B"/>
    <w:rsid w:val="00516C13"/>
    <w:rsid w:val="00523DBE"/>
    <w:rsid w:val="00533051"/>
    <w:rsid w:val="00537253"/>
    <w:rsid w:val="00543FC6"/>
    <w:rsid w:val="00553830"/>
    <w:rsid w:val="00555041"/>
    <w:rsid w:val="005616A9"/>
    <w:rsid w:val="005637C5"/>
    <w:rsid w:val="00567F19"/>
    <w:rsid w:val="0058530E"/>
    <w:rsid w:val="00590316"/>
    <w:rsid w:val="00592B7A"/>
    <w:rsid w:val="0059767D"/>
    <w:rsid w:val="005B254A"/>
    <w:rsid w:val="005B321F"/>
    <w:rsid w:val="005B354E"/>
    <w:rsid w:val="005C66D5"/>
    <w:rsid w:val="005C6D65"/>
    <w:rsid w:val="005C7E74"/>
    <w:rsid w:val="005D49BB"/>
    <w:rsid w:val="005D6084"/>
    <w:rsid w:val="005E5102"/>
    <w:rsid w:val="005F20E4"/>
    <w:rsid w:val="005F2870"/>
    <w:rsid w:val="00604FE2"/>
    <w:rsid w:val="0060522F"/>
    <w:rsid w:val="00607348"/>
    <w:rsid w:val="006122B6"/>
    <w:rsid w:val="006171DB"/>
    <w:rsid w:val="006171F4"/>
    <w:rsid w:val="00624FCE"/>
    <w:rsid w:val="006270AC"/>
    <w:rsid w:val="00631640"/>
    <w:rsid w:val="00635386"/>
    <w:rsid w:val="00640D28"/>
    <w:rsid w:val="00641825"/>
    <w:rsid w:val="00643102"/>
    <w:rsid w:val="0065099D"/>
    <w:rsid w:val="00654941"/>
    <w:rsid w:val="006562E6"/>
    <w:rsid w:val="0066153C"/>
    <w:rsid w:val="006616E9"/>
    <w:rsid w:val="0066202A"/>
    <w:rsid w:val="006630A4"/>
    <w:rsid w:val="00664A9D"/>
    <w:rsid w:val="0066672C"/>
    <w:rsid w:val="00670F64"/>
    <w:rsid w:val="00674B58"/>
    <w:rsid w:val="006770FD"/>
    <w:rsid w:val="006771B6"/>
    <w:rsid w:val="006800B1"/>
    <w:rsid w:val="0068101C"/>
    <w:rsid w:val="006869E2"/>
    <w:rsid w:val="00690280"/>
    <w:rsid w:val="0069301D"/>
    <w:rsid w:val="00697107"/>
    <w:rsid w:val="006A581D"/>
    <w:rsid w:val="006A6924"/>
    <w:rsid w:val="006B3CA7"/>
    <w:rsid w:val="006B57F8"/>
    <w:rsid w:val="006B77DA"/>
    <w:rsid w:val="006B79BC"/>
    <w:rsid w:val="006B7BB5"/>
    <w:rsid w:val="006C3EF5"/>
    <w:rsid w:val="006C4377"/>
    <w:rsid w:val="006C65CA"/>
    <w:rsid w:val="006D0F6D"/>
    <w:rsid w:val="006E24EB"/>
    <w:rsid w:val="006E4315"/>
    <w:rsid w:val="006E4E11"/>
    <w:rsid w:val="006E539E"/>
    <w:rsid w:val="006F1CD6"/>
    <w:rsid w:val="006F2FD7"/>
    <w:rsid w:val="00700178"/>
    <w:rsid w:val="0070018C"/>
    <w:rsid w:val="007009C8"/>
    <w:rsid w:val="00706471"/>
    <w:rsid w:val="00714D7F"/>
    <w:rsid w:val="00714F25"/>
    <w:rsid w:val="00717A47"/>
    <w:rsid w:val="00730C8A"/>
    <w:rsid w:val="00740988"/>
    <w:rsid w:val="00751E88"/>
    <w:rsid w:val="00757F0B"/>
    <w:rsid w:val="0076014F"/>
    <w:rsid w:val="007604A0"/>
    <w:rsid w:val="00765E85"/>
    <w:rsid w:val="00774975"/>
    <w:rsid w:val="007820E5"/>
    <w:rsid w:val="00782D1E"/>
    <w:rsid w:val="00786423"/>
    <w:rsid w:val="00797391"/>
    <w:rsid w:val="007A52C7"/>
    <w:rsid w:val="007A6BA7"/>
    <w:rsid w:val="007B3834"/>
    <w:rsid w:val="007B71DE"/>
    <w:rsid w:val="007C03A3"/>
    <w:rsid w:val="007C6826"/>
    <w:rsid w:val="007C7D9C"/>
    <w:rsid w:val="007C7DFF"/>
    <w:rsid w:val="007D0D99"/>
    <w:rsid w:val="007D15FE"/>
    <w:rsid w:val="007D17F9"/>
    <w:rsid w:val="007D2AD4"/>
    <w:rsid w:val="007D334C"/>
    <w:rsid w:val="007D4D4F"/>
    <w:rsid w:val="007D5553"/>
    <w:rsid w:val="007E0849"/>
    <w:rsid w:val="007E1115"/>
    <w:rsid w:val="007E12CC"/>
    <w:rsid w:val="007E716B"/>
    <w:rsid w:val="007F0FEF"/>
    <w:rsid w:val="007F674B"/>
    <w:rsid w:val="007F7340"/>
    <w:rsid w:val="007F7DE3"/>
    <w:rsid w:val="00802DC5"/>
    <w:rsid w:val="00803185"/>
    <w:rsid w:val="008032DC"/>
    <w:rsid w:val="0080748C"/>
    <w:rsid w:val="0081136C"/>
    <w:rsid w:val="00812DD8"/>
    <w:rsid w:val="00814C74"/>
    <w:rsid w:val="00816A61"/>
    <w:rsid w:val="00816B15"/>
    <w:rsid w:val="008234E1"/>
    <w:rsid w:val="00824FE9"/>
    <w:rsid w:val="008255E5"/>
    <w:rsid w:val="00827BC8"/>
    <w:rsid w:val="00833299"/>
    <w:rsid w:val="00833CCE"/>
    <w:rsid w:val="00833CD7"/>
    <w:rsid w:val="0083624C"/>
    <w:rsid w:val="008423F6"/>
    <w:rsid w:val="00850613"/>
    <w:rsid w:val="00851AEA"/>
    <w:rsid w:val="008631E7"/>
    <w:rsid w:val="00864FB3"/>
    <w:rsid w:val="00867A0F"/>
    <w:rsid w:val="00871538"/>
    <w:rsid w:val="0088014A"/>
    <w:rsid w:val="0089093B"/>
    <w:rsid w:val="00890F0B"/>
    <w:rsid w:val="00893DF1"/>
    <w:rsid w:val="008944E9"/>
    <w:rsid w:val="0089593C"/>
    <w:rsid w:val="008A420C"/>
    <w:rsid w:val="008B16D5"/>
    <w:rsid w:val="008B67A0"/>
    <w:rsid w:val="008B7D15"/>
    <w:rsid w:val="008C0AE5"/>
    <w:rsid w:val="008C385E"/>
    <w:rsid w:val="008C4216"/>
    <w:rsid w:val="008C6F2E"/>
    <w:rsid w:val="008D7ACA"/>
    <w:rsid w:val="008D7F02"/>
    <w:rsid w:val="008E0A5D"/>
    <w:rsid w:val="008E6499"/>
    <w:rsid w:val="008E7874"/>
    <w:rsid w:val="008F432A"/>
    <w:rsid w:val="009022F9"/>
    <w:rsid w:val="00902F21"/>
    <w:rsid w:val="00903F02"/>
    <w:rsid w:val="00905AFD"/>
    <w:rsid w:val="00906D29"/>
    <w:rsid w:val="00915C22"/>
    <w:rsid w:val="00917171"/>
    <w:rsid w:val="00921E03"/>
    <w:rsid w:val="00922AE9"/>
    <w:rsid w:val="009231C1"/>
    <w:rsid w:val="00930E78"/>
    <w:rsid w:val="00936C7C"/>
    <w:rsid w:val="00941F33"/>
    <w:rsid w:val="00946CF6"/>
    <w:rsid w:val="00955C02"/>
    <w:rsid w:val="009569F0"/>
    <w:rsid w:val="00956A15"/>
    <w:rsid w:val="009575FC"/>
    <w:rsid w:val="00967B97"/>
    <w:rsid w:val="009723C1"/>
    <w:rsid w:val="009730B9"/>
    <w:rsid w:val="00975BC7"/>
    <w:rsid w:val="009766A9"/>
    <w:rsid w:val="00977E51"/>
    <w:rsid w:val="00981701"/>
    <w:rsid w:val="0098496A"/>
    <w:rsid w:val="0098689D"/>
    <w:rsid w:val="00992182"/>
    <w:rsid w:val="0099259D"/>
    <w:rsid w:val="009959BF"/>
    <w:rsid w:val="009A0D18"/>
    <w:rsid w:val="009A18FF"/>
    <w:rsid w:val="009A267E"/>
    <w:rsid w:val="009A4982"/>
    <w:rsid w:val="009A662D"/>
    <w:rsid w:val="009B1D30"/>
    <w:rsid w:val="009B53B4"/>
    <w:rsid w:val="009C0326"/>
    <w:rsid w:val="009C1E00"/>
    <w:rsid w:val="009C30CD"/>
    <w:rsid w:val="009C4C05"/>
    <w:rsid w:val="009C518B"/>
    <w:rsid w:val="009C5C9C"/>
    <w:rsid w:val="009C6389"/>
    <w:rsid w:val="009C78B8"/>
    <w:rsid w:val="009D1F12"/>
    <w:rsid w:val="009D4D60"/>
    <w:rsid w:val="009D7C67"/>
    <w:rsid w:val="009F6576"/>
    <w:rsid w:val="00A053D4"/>
    <w:rsid w:val="00A07583"/>
    <w:rsid w:val="00A12A2B"/>
    <w:rsid w:val="00A174B3"/>
    <w:rsid w:val="00A21B17"/>
    <w:rsid w:val="00A227BA"/>
    <w:rsid w:val="00A2725A"/>
    <w:rsid w:val="00A27D7B"/>
    <w:rsid w:val="00A30517"/>
    <w:rsid w:val="00A330B2"/>
    <w:rsid w:val="00A34CDC"/>
    <w:rsid w:val="00A36C13"/>
    <w:rsid w:val="00A40F2C"/>
    <w:rsid w:val="00A53D63"/>
    <w:rsid w:val="00A60A7E"/>
    <w:rsid w:val="00A61ADE"/>
    <w:rsid w:val="00A62B41"/>
    <w:rsid w:val="00A65F6B"/>
    <w:rsid w:val="00A66F44"/>
    <w:rsid w:val="00A70BF5"/>
    <w:rsid w:val="00A73CB8"/>
    <w:rsid w:val="00A755B9"/>
    <w:rsid w:val="00A76121"/>
    <w:rsid w:val="00A80FD5"/>
    <w:rsid w:val="00A83938"/>
    <w:rsid w:val="00A85CC3"/>
    <w:rsid w:val="00A91FA3"/>
    <w:rsid w:val="00A9666E"/>
    <w:rsid w:val="00AA7C0B"/>
    <w:rsid w:val="00AB0D79"/>
    <w:rsid w:val="00AB3ECC"/>
    <w:rsid w:val="00AC339E"/>
    <w:rsid w:val="00AC7212"/>
    <w:rsid w:val="00AC7D56"/>
    <w:rsid w:val="00AD487C"/>
    <w:rsid w:val="00AD6B05"/>
    <w:rsid w:val="00AD75F4"/>
    <w:rsid w:val="00AE581F"/>
    <w:rsid w:val="00AF0D11"/>
    <w:rsid w:val="00AF1AC8"/>
    <w:rsid w:val="00AF2A3F"/>
    <w:rsid w:val="00AF65CB"/>
    <w:rsid w:val="00AF6962"/>
    <w:rsid w:val="00AF731A"/>
    <w:rsid w:val="00AF75A5"/>
    <w:rsid w:val="00B045A8"/>
    <w:rsid w:val="00B05168"/>
    <w:rsid w:val="00B12948"/>
    <w:rsid w:val="00B16AFD"/>
    <w:rsid w:val="00B17362"/>
    <w:rsid w:val="00B241D1"/>
    <w:rsid w:val="00B25407"/>
    <w:rsid w:val="00B272FB"/>
    <w:rsid w:val="00B279DA"/>
    <w:rsid w:val="00B30437"/>
    <w:rsid w:val="00B345B6"/>
    <w:rsid w:val="00B37156"/>
    <w:rsid w:val="00B373A3"/>
    <w:rsid w:val="00B4064A"/>
    <w:rsid w:val="00B4167F"/>
    <w:rsid w:val="00B45031"/>
    <w:rsid w:val="00B52470"/>
    <w:rsid w:val="00B53028"/>
    <w:rsid w:val="00B54FF3"/>
    <w:rsid w:val="00B60286"/>
    <w:rsid w:val="00B67A3F"/>
    <w:rsid w:val="00B72138"/>
    <w:rsid w:val="00B7387F"/>
    <w:rsid w:val="00B7506C"/>
    <w:rsid w:val="00B857B6"/>
    <w:rsid w:val="00BA1C6E"/>
    <w:rsid w:val="00BA267E"/>
    <w:rsid w:val="00BA4038"/>
    <w:rsid w:val="00BA407B"/>
    <w:rsid w:val="00BA6DDA"/>
    <w:rsid w:val="00BC1F07"/>
    <w:rsid w:val="00BC3034"/>
    <w:rsid w:val="00BD0E1C"/>
    <w:rsid w:val="00BD137C"/>
    <w:rsid w:val="00BD5F1B"/>
    <w:rsid w:val="00BD7A4B"/>
    <w:rsid w:val="00BD7EEE"/>
    <w:rsid w:val="00BE4AFA"/>
    <w:rsid w:val="00BE6E40"/>
    <w:rsid w:val="00BF2FD9"/>
    <w:rsid w:val="00BF37DA"/>
    <w:rsid w:val="00C0481B"/>
    <w:rsid w:val="00C07497"/>
    <w:rsid w:val="00C077C2"/>
    <w:rsid w:val="00C10FDD"/>
    <w:rsid w:val="00C130FA"/>
    <w:rsid w:val="00C22144"/>
    <w:rsid w:val="00C23124"/>
    <w:rsid w:val="00C25E53"/>
    <w:rsid w:val="00C33F6A"/>
    <w:rsid w:val="00C348CA"/>
    <w:rsid w:val="00C35FBF"/>
    <w:rsid w:val="00C3698B"/>
    <w:rsid w:val="00C36AA8"/>
    <w:rsid w:val="00C46095"/>
    <w:rsid w:val="00C546FE"/>
    <w:rsid w:val="00C6016C"/>
    <w:rsid w:val="00C717BE"/>
    <w:rsid w:val="00C76676"/>
    <w:rsid w:val="00C80BAC"/>
    <w:rsid w:val="00C8421A"/>
    <w:rsid w:val="00C86137"/>
    <w:rsid w:val="00C868C2"/>
    <w:rsid w:val="00C872AD"/>
    <w:rsid w:val="00C944A1"/>
    <w:rsid w:val="00C97DBF"/>
    <w:rsid w:val="00CA1447"/>
    <w:rsid w:val="00CB01AF"/>
    <w:rsid w:val="00CB26CF"/>
    <w:rsid w:val="00CB2754"/>
    <w:rsid w:val="00CB3E97"/>
    <w:rsid w:val="00CB5417"/>
    <w:rsid w:val="00CB575F"/>
    <w:rsid w:val="00CC19F3"/>
    <w:rsid w:val="00CC2B82"/>
    <w:rsid w:val="00CC2E06"/>
    <w:rsid w:val="00CC3323"/>
    <w:rsid w:val="00CC52BC"/>
    <w:rsid w:val="00CC7F1E"/>
    <w:rsid w:val="00CE06C8"/>
    <w:rsid w:val="00CE378A"/>
    <w:rsid w:val="00CE4849"/>
    <w:rsid w:val="00CE6350"/>
    <w:rsid w:val="00D003B1"/>
    <w:rsid w:val="00D03666"/>
    <w:rsid w:val="00D10B0A"/>
    <w:rsid w:val="00D125D3"/>
    <w:rsid w:val="00D143DD"/>
    <w:rsid w:val="00D14D2D"/>
    <w:rsid w:val="00D162EB"/>
    <w:rsid w:val="00D176D9"/>
    <w:rsid w:val="00D17765"/>
    <w:rsid w:val="00D17881"/>
    <w:rsid w:val="00D2441B"/>
    <w:rsid w:val="00D3016E"/>
    <w:rsid w:val="00D32753"/>
    <w:rsid w:val="00D32A20"/>
    <w:rsid w:val="00D32D1E"/>
    <w:rsid w:val="00D33A53"/>
    <w:rsid w:val="00D34F55"/>
    <w:rsid w:val="00D360C2"/>
    <w:rsid w:val="00D40234"/>
    <w:rsid w:val="00D45326"/>
    <w:rsid w:val="00D45CC6"/>
    <w:rsid w:val="00D462FF"/>
    <w:rsid w:val="00D46DDE"/>
    <w:rsid w:val="00D51596"/>
    <w:rsid w:val="00D520D9"/>
    <w:rsid w:val="00D53447"/>
    <w:rsid w:val="00D62AB4"/>
    <w:rsid w:val="00D63692"/>
    <w:rsid w:val="00D71A4A"/>
    <w:rsid w:val="00D75B6C"/>
    <w:rsid w:val="00D77458"/>
    <w:rsid w:val="00D82106"/>
    <w:rsid w:val="00D87F13"/>
    <w:rsid w:val="00D907AC"/>
    <w:rsid w:val="00D9092E"/>
    <w:rsid w:val="00D91675"/>
    <w:rsid w:val="00DA4B34"/>
    <w:rsid w:val="00DA4F24"/>
    <w:rsid w:val="00DA60D8"/>
    <w:rsid w:val="00DA6968"/>
    <w:rsid w:val="00DA6A80"/>
    <w:rsid w:val="00DB2AD8"/>
    <w:rsid w:val="00DB719D"/>
    <w:rsid w:val="00DD0CE4"/>
    <w:rsid w:val="00DD2818"/>
    <w:rsid w:val="00DD4470"/>
    <w:rsid w:val="00DD5FA9"/>
    <w:rsid w:val="00DE59A4"/>
    <w:rsid w:val="00DE6AE6"/>
    <w:rsid w:val="00DF0AEE"/>
    <w:rsid w:val="00DF20EC"/>
    <w:rsid w:val="00DF3091"/>
    <w:rsid w:val="00DF31DC"/>
    <w:rsid w:val="00E028FD"/>
    <w:rsid w:val="00E05D35"/>
    <w:rsid w:val="00E1148E"/>
    <w:rsid w:val="00E13FF8"/>
    <w:rsid w:val="00E1422D"/>
    <w:rsid w:val="00E245B1"/>
    <w:rsid w:val="00E336FF"/>
    <w:rsid w:val="00E43848"/>
    <w:rsid w:val="00E44F5B"/>
    <w:rsid w:val="00E47D22"/>
    <w:rsid w:val="00E572F8"/>
    <w:rsid w:val="00E5768E"/>
    <w:rsid w:val="00E60084"/>
    <w:rsid w:val="00E6057A"/>
    <w:rsid w:val="00E64F21"/>
    <w:rsid w:val="00E67A2D"/>
    <w:rsid w:val="00E769DF"/>
    <w:rsid w:val="00E83692"/>
    <w:rsid w:val="00E91B8E"/>
    <w:rsid w:val="00E935D6"/>
    <w:rsid w:val="00E93B9F"/>
    <w:rsid w:val="00E94E00"/>
    <w:rsid w:val="00EA4171"/>
    <w:rsid w:val="00EA44BB"/>
    <w:rsid w:val="00EC0C74"/>
    <w:rsid w:val="00EC21B2"/>
    <w:rsid w:val="00EC473C"/>
    <w:rsid w:val="00ED3A3D"/>
    <w:rsid w:val="00EE1867"/>
    <w:rsid w:val="00EE21F7"/>
    <w:rsid w:val="00EE58F1"/>
    <w:rsid w:val="00EF1227"/>
    <w:rsid w:val="00EF1F58"/>
    <w:rsid w:val="00F010F8"/>
    <w:rsid w:val="00F02086"/>
    <w:rsid w:val="00F0508B"/>
    <w:rsid w:val="00F062C4"/>
    <w:rsid w:val="00F12A45"/>
    <w:rsid w:val="00F175A9"/>
    <w:rsid w:val="00F20519"/>
    <w:rsid w:val="00F25C36"/>
    <w:rsid w:val="00F31824"/>
    <w:rsid w:val="00F31B8C"/>
    <w:rsid w:val="00F31E34"/>
    <w:rsid w:val="00F32036"/>
    <w:rsid w:val="00F320CF"/>
    <w:rsid w:val="00F33F90"/>
    <w:rsid w:val="00F40B2B"/>
    <w:rsid w:val="00F509F8"/>
    <w:rsid w:val="00F66EC3"/>
    <w:rsid w:val="00F7015B"/>
    <w:rsid w:val="00F73701"/>
    <w:rsid w:val="00F77DC0"/>
    <w:rsid w:val="00F80034"/>
    <w:rsid w:val="00F84B4D"/>
    <w:rsid w:val="00F863FB"/>
    <w:rsid w:val="00F92293"/>
    <w:rsid w:val="00F92A3C"/>
    <w:rsid w:val="00F964BD"/>
    <w:rsid w:val="00F974EE"/>
    <w:rsid w:val="00FA1D18"/>
    <w:rsid w:val="00FB0DEE"/>
    <w:rsid w:val="00FC1208"/>
    <w:rsid w:val="00FC2299"/>
    <w:rsid w:val="00FC583F"/>
    <w:rsid w:val="00FC5938"/>
    <w:rsid w:val="00FC704B"/>
    <w:rsid w:val="00FD11F6"/>
    <w:rsid w:val="00FD583E"/>
    <w:rsid w:val="00FD6751"/>
    <w:rsid w:val="00FE7D26"/>
    <w:rsid w:val="00FF3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3A3"/>
    <w:pPr>
      <w:tabs>
        <w:tab w:val="left" w:pos="-1440"/>
      </w:tabs>
    </w:pPr>
    <w:rPr>
      <w:rFonts w:ascii="Joanna MT" w:hAnsi="Joanna MT"/>
      <w:sz w:val="24"/>
      <w:szCs w:val="24"/>
    </w:rPr>
  </w:style>
  <w:style w:type="paragraph" w:styleId="Heading1">
    <w:name w:val="heading 1"/>
    <w:basedOn w:val="Normal"/>
    <w:next w:val="Normal"/>
    <w:link w:val="Heading1Char"/>
    <w:autoRedefine/>
    <w:uiPriority w:val="99"/>
    <w:qFormat/>
    <w:rsid w:val="00317A3A"/>
    <w:pPr>
      <w:keepNext/>
      <w:tabs>
        <w:tab w:val="clear" w:pos="-1440"/>
        <w:tab w:val="left" w:pos="0"/>
      </w:tabs>
      <w:spacing w:before="240" w:after="60"/>
      <w:ind w:hanging="540"/>
      <w:outlineLvl w:val="0"/>
    </w:pPr>
    <w:rPr>
      <w:rFonts w:ascii="Times New Roman" w:hAnsi="Times New Roman"/>
      <w:b/>
      <w:bCs/>
      <w:kern w:val="32"/>
      <w:sz w:val="32"/>
      <w:szCs w:val="32"/>
    </w:rPr>
  </w:style>
  <w:style w:type="paragraph" w:styleId="Heading2">
    <w:name w:val="heading 2"/>
    <w:basedOn w:val="Normal"/>
    <w:next w:val="Normal"/>
    <w:link w:val="Heading2Char"/>
    <w:autoRedefine/>
    <w:uiPriority w:val="99"/>
    <w:qFormat/>
    <w:rsid w:val="007E0849"/>
    <w:pPr>
      <w:keepNext/>
      <w:keepLines/>
      <w:numPr>
        <w:numId w:val="12"/>
      </w:numPr>
      <w:tabs>
        <w:tab w:val="clear" w:pos="-1440"/>
        <w:tab w:val="clear" w:pos="540"/>
        <w:tab w:val="num" w:pos="0"/>
      </w:tabs>
      <w:spacing w:before="240" w:after="60"/>
      <w:ind w:left="0" w:right="-187" w:hanging="547"/>
      <w:outlineLvl w:val="1"/>
    </w:pPr>
    <w:rPr>
      <w:rFonts w:ascii="Times New Roman" w:hAnsi="Times New Roman"/>
      <w:b/>
      <w:bCs/>
      <w:i/>
      <w:iCs/>
      <w:sz w:val="28"/>
      <w:szCs w:val="28"/>
    </w:rPr>
  </w:style>
  <w:style w:type="paragraph" w:styleId="Heading3">
    <w:name w:val="heading 3"/>
    <w:basedOn w:val="Normal"/>
    <w:next w:val="Normal"/>
    <w:link w:val="Heading3Char"/>
    <w:autoRedefine/>
    <w:uiPriority w:val="99"/>
    <w:qFormat/>
    <w:rsid w:val="007E0849"/>
    <w:pPr>
      <w:keepNext/>
      <w:keepLines/>
      <w:spacing w:before="120" w:after="60"/>
      <w:outlineLvl w:val="2"/>
    </w:pPr>
    <w:rPr>
      <w:rFonts w:ascii="Times New Roman" w:hAnsi="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074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7074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E0849"/>
    <w:rPr>
      <w:rFonts w:cs="Times New Roman"/>
      <w:b/>
      <w:bCs/>
      <w:sz w:val="26"/>
      <w:szCs w:val="26"/>
      <w:lang w:val="en-US" w:eastAsia="en-US" w:bidi="ar-SA"/>
    </w:rPr>
  </w:style>
  <w:style w:type="paragraph" w:customStyle="1" w:styleId="bodytext">
    <w:name w:val="bodytext"/>
    <w:basedOn w:val="Normal"/>
    <w:uiPriority w:val="99"/>
    <w:rsid w:val="0099259D"/>
    <w:pPr>
      <w:spacing w:before="100" w:beforeAutospacing="1" w:after="100" w:afterAutospacing="1"/>
    </w:pPr>
    <w:rPr>
      <w:rFonts w:ascii="Arial" w:hAnsi="Arial" w:cs="Arial"/>
      <w:color w:val="000000"/>
      <w:sz w:val="20"/>
      <w:szCs w:val="20"/>
    </w:rPr>
  </w:style>
  <w:style w:type="character" w:styleId="Hyperlink">
    <w:name w:val="Hyperlink"/>
    <w:basedOn w:val="DefaultParagraphFont"/>
    <w:uiPriority w:val="99"/>
    <w:rsid w:val="0099259D"/>
    <w:rPr>
      <w:rFonts w:cs="Times New Roman"/>
      <w:color w:val="0000FF"/>
      <w:u w:val="single"/>
    </w:rPr>
  </w:style>
  <w:style w:type="character" w:styleId="FollowedHyperlink">
    <w:name w:val="FollowedHyperlink"/>
    <w:basedOn w:val="DefaultParagraphFont"/>
    <w:uiPriority w:val="99"/>
    <w:rsid w:val="0099259D"/>
    <w:rPr>
      <w:rFonts w:cs="Times New Roman"/>
      <w:color w:val="800080"/>
      <w:u w:val="single"/>
    </w:rPr>
  </w:style>
  <w:style w:type="character" w:styleId="CommentReference">
    <w:name w:val="annotation reference"/>
    <w:basedOn w:val="DefaultParagraphFont"/>
    <w:uiPriority w:val="99"/>
    <w:semiHidden/>
    <w:rsid w:val="00CB2754"/>
    <w:rPr>
      <w:rFonts w:cs="Times New Roman"/>
      <w:sz w:val="16"/>
      <w:szCs w:val="16"/>
    </w:rPr>
  </w:style>
  <w:style w:type="paragraph" w:styleId="CommentText">
    <w:name w:val="annotation text"/>
    <w:basedOn w:val="Normal"/>
    <w:link w:val="CommentTextChar"/>
    <w:uiPriority w:val="99"/>
    <w:semiHidden/>
    <w:rsid w:val="00CB2754"/>
    <w:rPr>
      <w:sz w:val="20"/>
      <w:szCs w:val="20"/>
    </w:rPr>
  </w:style>
  <w:style w:type="character" w:customStyle="1" w:styleId="CommentTextChar">
    <w:name w:val="Comment Text Char"/>
    <w:basedOn w:val="DefaultParagraphFont"/>
    <w:link w:val="CommentText"/>
    <w:uiPriority w:val="99"/>
    <w:semiHidden/>
    <w:locked/>
    <w:rsid w:val="003F2967"/>
    <w:rPr>
      <w:rFonts w:ascii="Joanna MT" w:hAnsi="Joanna MT" w:cs="Times New Roman"/>
    </w:rPr>
  </w:style>
  <w:style w:type="paragraph" w:styleId="CommentSubject">
    <w:name w:val="annotation subject"/>
    <w:basedOn w:val="CommentText"/>
    <w:next w:val="CommentText"/>
    <w:link w:val="CommentSubjectChar"/>
    <w:uiPriority w:val="99"/>
    <w:semiHidden/>
    <w:rsid w:val="00CB2754"/>
    <w:rPr>
      <w:b/>
      <w:bCs/>
    </w:rPr>
  </w:style>
  <w:style w:type="character" w:customStyle="1" w:styleId="CommentSubjectChar">
    <w:name w:val="Comment Subject Char"/>
    <w:basedOn w:val="CommentTextChar"/>
    <w:link w:val="CommentSubject"/>
    <w:uiPriority w:val="99"/>
    <w:semiHidden/>
    <w:locked/>
    <w:rsid w:val="0007074C"/>
    <w:rPr>
      <w:b/>
      <w:bCs/>
      <w:sz w:val="20"/>
      <w:szCs w:val="20"/>
    </w:rPr>
  </w:style>
  <w:style w:type="paragraph" w:styleId="BalloonText">
    <w:name w:val="Balloon Text"/>
    <w:basedOn w:val="Normal"/>
    <w:link w:val="BalloonTextChar"/>
    <w:uiPriority w:val="99"/>
    <w:semiHidden/>
    <w:rsid w:val="00CB27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074C"/>
    <w:rPr>
      <w:rFonts w:cs="Times New Roman"/>
      <w:sz w:val="2"/>
    </w:rPr>
  </w:style>
  <w:style w:type="paragraph" w:styleId="FootnoteText">
    <w:name w:val="footnote text"/>
    <w:basedOn w:val="Normal"/>
    <w:link w:val="FootnoteTextChar"/>
    <w:uiPriority w:val="99"/>
    <w:semiHidden/>
    <w:rsid w:val="003923C1"/>
    <w:rPr>
      <w:sz w:val="20"/>
      <w:szCs w:val="20"/>
    </w:rPr>
  </w:style>
  <w:style w:type="character" w:customStyle="1" w:styleId="FootnoteTextChar">
    <w:name w:val="Footnote Text Char"/>
    <w:basedOn w:val="DefaultParagraphFont"/>
    <w:link w:val="FootnoteText"/>
    <w:uiPriority w:val="99"/>
    <w:semiHidden/>
    <w:locked/>
    <w:rsid w:val="0007074C"/>
    <w:rPr>
      <w:rFonts w:ascii="Joanna MT" w:hAnsi="Joanna MT" w:cs="Times New Roman"/>
      <w:sz w:val="20"/>
      <w:szCs w:val="20"/>
    </w:rPr>
  </w:style>
  <w:style w:type="character" w:styleId="FootnoteReference">
    <w:name w:val="footnote reference"/>
    <w:basedOn w:val="DefaultParagraphFont"/>
    <w:uiPriority w:val="99"/>
    <w:semiHidden/>
    <w:rsid w:val="003923C1"/>
    <w:rPr>
      <w:rFonts w:cs="Times New Roman"/>
      <w:vertAlign w:val="superscript"/>
    </w:rPr>
  </w:style>
  <w:style w:type="paragraph" w:customStyle="1" w:styleId="Default">
    <w:name w:val="Default"/>
    <w:uiPriority w:val="99"/>
    <w:rsid w:val="00B45031"/>
    <w:pPr>
      <w:autoSpaceDE w:val="0"/>
      <w:autoSpaceDN w:val="0"/>
      <w:adjustRightInd w:val="0"/>
    </w:pPr>
    <w:rPr>
      <w:color w:val="000000"/>
      <w:sz w:val="24"/>
      <w:szCs w:val="24"/>
    </w:rPr>
  </w:style>
  <w:style w:type="paragraph" w:styleId="Header">
    <w:name w:val="header"/>
    <w:basedOn w:val="Normal"/>
    <w:link w:val="HeaderChar"/>
    <w:uiPriority w:val="99"/>
    <w:rsid w:val="00956A15"/>
    <w:pPr>
      <w:tabs>
        <w:tab w:val="center" w:pos="4320"/>
        <w:tab w:val="right" w:pos="8640"/>
      </w:tabs>
    </w:pPr>
  </w:style>
  <w:style w:type="character" w:customStyle="1" w:styleId="HeaderChar">
    <w:name w:val="Header Char"/>
    <w:basedOn w:val="DefaultParagraphFont"/>
    <w:link w:val="Header"/>
    <w:uiPriority w:val="99"/>
    <w:semiHidden/>
    <w:locked/>
    <w:rsid w:val="0007074C"/>
    <w:rPr>
      <w:rFonts w:ascii="Joanna MT" w:hAnsi="Joanna MT" w:cs="Times New Roman"/>
      <w:sz w:val="24"/>
      <w:szCs w:val="24"/>
    </w:rPr>
  </w:style>
  <w:style w:type="paragraph" w:styleId="Footer">
    <w:name w:val="footer"/>
    <w:basedOn w:val="Normal"/>
    <w:link w:val="FooterChar"/>
    <w:uiPriority w:val="99"/>
    <w:rsid w:val="00956A15"/>
    <w:pPr>
      <w:tabs>
        <w:tab w:val="center" w:pos="4320"/>
        <w:tab w:val="right" w:pos="8640"/>
      </w:tabs>
    </w:pPr>
  </w:style>
  <w:style w:type="character" w:customStyle="1" w:styleId="FooterChar">
    <w:name w:val="Footer Char"/>
    <w:basedOn w:val="DefaultParagraphFont"/>
    <w:link w:val="Footer"/>
    <w:uiPriority w:val="99"/>
    <w:semiHidden/>
    <w:locked/>
    <w:rsid w:val="0007074C"/>
    <w:rPr>
      <w:rFonts w:ascii="Joanna MT" w:hAnsi="Joanna MT" w:cs="Times New Roman"/>
      <w:sz w:val="24"/>
      <w:szCs w:val="24"/>
    </w:rPr>
  </w:style>
  <w:style w:type="character" w:customStyle="1" w:styleId="normal0">
    <w:name w:val="normal"/>
    <w:basedOn w:val="DefaultParagraphFont"/>
    <w:uiPriority w:val="99"/>
    <w:rsid w:val="008032DC"/>
    <w:rPr>
      <w:rFonts w:cs="Times New Roman"/>
    </w:rPr>
  </w:style>
  <w:style w:type="table" w:styleId="TableGrid">
    <w:name w:val="Table Grid"/>
    <w:basedOn w:val="TableNormal"/>
    <w:uiPriority w:val="99"/>
    <w:rsid w:val="00516C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1762B7"/>
    <w:pPr>
      <w:widowControl w:val="0"/>
      <w:spacing w:before="80" w:after="80"/>
      <w:ind w:left="4320"/>
      <w:jc w:val="both"/>
    </w:pPr>
    <w:rPr>
      <w:rFonts w:cs="Arial"/>
      <w:bCs/>
    </w:rPr>
  </w:style>
  <w:style w:type="character" w:styleId="EndnoteReference">
    <w:name w:val="endnote reference"/>
    <w:basedOn w:val="DefaultParagraphFont"/>
    <w:uiPriority w:val="99"/>
    <w:semiHidden/>
    <w:rsid w:val="0009690A"/>
    <w:rPr>
      <w:rFonts w:cs="Times New Roman"/>
      <w:vertAlign w:val="superscript"/>
    </w:rPr>
  </w:style>
  <w:style w:type="paragraph" w:customStyle="1" w:styleId="NormalUnderHeader2">
    <w:name w:val="Normal (Under Header 2)"/>
    <w:basedOn w:val="Normal"/>
    <w:uiPriority w:val="99"/>
    <w:rsid w:val="009A267E"/>
    <w:pPr>
      <w:widowControl w:val="0"/>
      <w:ind w:left="720"/>
    </w:pPr>
    <w:rPr>
      <w:szCs w:val="20"/>
    </w:rPr>
  </w:style>
  <w:style w:type="paragraph" w:styleId="EndnoteText">
    <w:name w:val="endnote text"/>
    <w:basedOn w:val="Normal"/>
    <w:link w:val="EndnoteTextChar"/>
    <w:uiPriority w:val="99"/>
    <w:semiHidden/>
    <w:rsid w:val="009A267E"/>
    <w:rPr>
      <w:sz w:val="20"/>
      <w:szCs w:val="20"/>
    </w:rPr>
  </w:style>
  <w:style w:type="character" w:customStyle="1" w:styleId="EndnoteTextChar">
    <w:name w:val="Endnote Text Char"/>
    <w:basedOn w:val="DefaultParagraphFont"/>
    <w:link w:val="EndnoteText"/>
    <w:uiPriority w:val="99"/>
    <w:semiHidden/>
    <w:locked/>
    <w:rsid w:val="0007074C"/>
    <w:rPr>
      <w:rFonts w:ascii="Joanna MT" w:hAnsi="Joanna MT" w:cs="Times New Roman"/>
      <w:sz w:val="20"/>
      <w:szCs w:val="20"/>
    </w:rPr>
  </w:style>
  <w:style w:type="character" w:customStyle="1" w:styleId="Footnotel">
    <w:name w:val="Footnotel"/>
    <w:basedOn w:val="FootnoteReference"/>
    <w:uiPriority w:val="99"/>
    <w:rsid w:val="00186413"/>
    <w:rPr>
      <w:rFonts w:ascii="Joanna MT" w:hAnsi="Joanna MT"/>
      <w:sz w:val="20"/>
    </w:rPr>
  </w:style>
  <w:style w:type="character" w:customStyle="1" w:styleId="StyleBoldUnderline">
    <w:name w:val="Style Bold Underline"/>
    <w:basedOn w:val="DefaultParagraphFont"/>
    <w:uiPriority w:val="99"/>
    <w:rsid w:val="00186413"/>
    <w:rPr>
      <w:rFonts w:ascii="Joanna MT" w:hAnsi="Joanna MT" w:cs="Times New Roman"/>
      <w:b/>
      <w:bCs/>
      <w:sz w:val="24"/>
      <w:u w:val="single"/>
    </w:rPr>
  </w:style>
  <w:style w:type="paragraph" w:customStyle="1" w:styleId="CharChar">
    <w:name w:val="Char Char"/>
    <w:basedOn w:val="Normal"/>
    <w:uiPriority w:val="99"/>
    <w:semiHidden/>
    <w:rsid w:val="00B241D1"/>
    <w:pPr>
      <w:tabs>
        <w:tab w:val="clear" w:pos="-1440"/>
      </w:tabs>
      <w:spacing w:after="160" w:line="240" w:lineRule="exact"/>
    </w:pPr>
    <w:rPr>
      <w:rFonts w:ascii="Times New Roman" w:hAnsi="Times New Roman"/>
    </w:rPr>
  </w:style>
  <w:style w:type="paragraph" w:customStyle="1" w:styleId="normalunderheader20">
    <w:name w:val="normalunderheader2"/>
    <w:basedOn w:val="Normal"/>
    <w:uiPriority w:val="99"/>
    <w:rsid w:val="001C08AD"/>
    <w:pPr>
      <w:tabs>
        <w:tab w:val="clear" w:pos="-1440"/>
      </w:tabs>
      <w:snapToGrid w:val="0"/>
      <w:ind w:left="720"/>
    </w:pPr>
  </w:style>
  <w:style w:type="paragraph" w:customStyle="1" w:styleId="Title1">
    <w:name w:val="Title 1"/>
    <w:basedOn w:val="Normal"/>
    <w:autoRedefine/>
    <w:uiPriority w:val="99"/>
    <w:rsid w:val="001B5062"/>
    <w:pPr>
      <w:tabs>
        <w:tab w:val="clear" w:pos="-1440"/>
      </w:tabs>
      <w:jc w:val="center"/>
    </w:pPr>
    <w:rPr>
      <w:rFonts w:ascii="Times New Roman" w:hAnsi="Times New Roman"/>
      <w:b/>
      <w:bCs/>
      <w:sz w:val="28"/>
      <w:szCs w:val="20"/>
    </w:rPr>
  </w:style>
  <w:style w:type="paragraph" w:customStyle="1" w:styleId="Body">
    <w:name w:val="Body"/>
    <w:basedOn w:val="Normal"/>
    <w:link w:val="BodyChar"/>
    <w:uiPriority w:val="99"/>
    <w:rsid w:val="009B53B4"/>
    <w:pPr>
      <w:tabs>
        <w:tab w:val="clear" w:pos="-1440"/>
      </w:tabs>
      <w:spacing w:after="120" w:line="271" w:lineRule="auto"/>
      <w:ind w:firstLine="720"/>
      <w:jc w:val="both"/>
    </w:pPr>
    <w:rPr>
      <w:rFonts w:ascii="Times New Roman" w:hAnsi="Times New Roman"/>
      <w:sz w:val="22"/>
      <w:szCs w:val="20"/>
    </w:rPr>
  </w:style>
  <w:style w:type="character" w:customStyle="1" w:styleId="BodyChar">
    <w:name w:val="Body Char"/>
    <w:basedOn w:val="DefaultParagraphFont"/>
    <w:link w:val="Body"/>
    <w:uiPriority w:val="99"/>
    <w:locked/>
    <w:rsid w:val="00BD137C"/>
    <w:rPr>
      <w:rFonts w:cs="Times New Roman"/>
      <w:snapToGrid w:val="0"/>
      <w:sz w:val="22"/>
      <w:lang w:val="en-US" w:eastAsia="en-US" w:bidi="ar-SA"/>
    </w:rPr>
  </w:style>
  <w:style w:type="paragraph" w:styleId="Revision">
    <w:name w:val="Revision"/>
    <w:hidden/>
    <w:uiPriority w:val="99"/>
    <w:semiHidden/>
    <w:rsid w:val="00DD4470"/>
    <w:rPr>
      <w:rFonts w:ascii="Joanna MT" w:hAnsi="Joanna MT"/>
      <w:sz w:val="24"/>
      <w:szCs w:val="24"/>
    </w:rPr>
  </w:style>
  <w:style w:type="numbering" w:customStyle="1" w:styleId="BulletedUnderheader2">
    <w:name w:val="Bulleted (Under header 2)"/>
    <w:rsid w:val="005F02AE"/>
    <w:pPr>
      <w:numPr>
        <w:numId w:val="2"/>
      </w:numPr>
    </w:pPr>
  </w:style>
</w:styles>
</file>

<file path=word/webSettings.xml><?xml version="1.0" encoding="utf-8"?>
<w:webSettings xmlns:r="http://schemas.openxmlformats.org/officeDocument/2006/relationships" xmlns:w="http://schemas.openxmlformats.org/wordprocessingml/2006/main">
  <w:divs>
    <w:div w:id="180632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fr.gpoaccess.gov/cgi/t/text/text-idx?c=ecfr&amp;sid=3e641ef7952f1515311c839278386ed2&amp;rgn=div5&amp;view=text&amp;node=5:3.0.2.3.9&amp;idno=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3222</Words>
  <Characters>18370</Characters>
  <Application>Microsoft Office Word</Application>
  <DocSecurity>0</DocSecurity>
  <Lines>153</Lines>
  <Paragraphs>43</Paragraphs>
  <ScaleCrop>false</ScaleCrop>
  <Company>ITSO</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CFATS Personnel Surety Program Statement A for PRA</dc:title>
  <dc:subject/>
  <dc:creator>pax1</dc:creator>
  <cp:keywords/>
  <dc:description/>
  <cp:lastModifiedBy>tyrone.huff</cp:lastModifiedBy>
  <cp:revision>2</cp:revision>
  <cp:lastPrinted>2011-03-01T16:49:00Z</cp:lastPrinted>
  <dcterms:created xsi:type="dcterms:W3CDTF">2011-06-27T18:13:00Z</dcterms:created>
  <dcterms:modified xsi:type="dcterms:W3CDTF">2011-06-27T18:13:00Z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2106522895</vt:i4>
  </property>
  <property fmtid="{D5CDD505-2E9C-101B-9397-08002B2CF9AE}" pid="4" name="_EmailSubject">
    <vt:lpwstr>AN PRA Update</vt:lpwstr>
  </property>
  <property fmtid="{D5CDD505-2E9C-101B-9397-08002B2CF9AE}" pid="5" name="_AuthorEmail">
    <vt:lpwstr>Matthew.Bettridge@hq.dhs.gov</vt:lpwstr>
  </property>
  <property fmtid="{D5CDD505-2E9C-101B-9397-08002B2CF9AE}" pid="6" name="_AuthorEmailDisplayName">
    <vt:lpwstr>Bettridge, Matthew</vt:lpwstr>
  </property>
  <property fmtid="{D5CDD505-2E9C-101B-9397-08002B2CF9AE}" pid="7" name="_ReviewingToolsShownOnce">
    <vt:lpwstr/>
  </property>
</Properties>
</file>