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148" w:rsidRDefault="00741148" w:rsidP="002479A3">
      <w:pPr>
        <w:spacing w:after="0"/>
        <w:jc w:val="center"/>
        <w:rPr>
          <w:rFonts w:ascii="Times New Roman" w:hAnsi="Times New Roman"/>
          <w:b/>
          <w:sz w:val="32"/>
          <w:szCs w:val="32"/>
        </w:rPr>
      </w:pPr>
      <w:r>
        <w:rPr>
          <w:rFonts w:ascii="Times New Roman" w:hAnsi="Times New Roman"/>
          <w:b/>
          <w:sz w:val="32"/>
          <w:szCs w:val="32"/>
        </w:rPr>
        <w:t>Variations in Treatment (Attachment C)</w:t>
      </w:r>
    </w:p>
    <w:p w:rsidR="00741148" w:rsidRPr="002479A3" w:rsidRDefault="00741148" w:rsidP="002479A3">
      <w:pPr>
        <w:spacing w:after="0"/>
        <w:jc w:val="center"/>
        <w:rPr>
          <w:rFonts w:ascii="Times New Roman" w:hAnsi="Times New Roman"/>
          <w:b/>
          <w:sz w:val="32"/>
          <w:szCs w:val="32"/>
        </w:rPr>
      </w:pPr>
      <w:r>
        <w:rPr>
          <w:rFonts w:ascii="Times New Roman" w:hAnsi="Times New Roman"/>
          <w:b/>
          <w:sz w:val="32"/>
          <w:szCs w:val="32"/>
        </w:rPr>
        <w:t>Tax Time Pilot</w:t>
      </w:r>
    </w:p>
    <w:p w:rsidR="00741148" w:rsidRDefault="00741148" w:rsidP="00BF19AD">
      <w:pPr>
        <w:spacing w:after="0"/>
        <w:rPr>
          <w:rFonts w:ascii="Times New Roman" w:hAnsi="Times New Roman"/>
          <w:b/>
          <w:sz w:val="24"/>
          <w:szCs w:val="24"/>
          <w:u w:val="single"/>
        </w:rPr>
      </w:pPr>
    </w:p>
    <w:p w:rsidR="00741148" w:rsidRDefault="00741148" w:rsidP="00BF19AD">
      <w:pPr>
        <w:spacing w:after="0"/>
        <w:rPr>
          <w:rFonts w:ascii="Times New Roman" w:hAnsi="Times New Roman"/>
          <w:b/>
          <w:sz w:val="24"/>
          <w:szCs w:val="24"/>
          <w:u w:val="single"/>
        </w:rPr>
      </w:pPr>
    </w:p>
    <w:p w:rsidR="00741148" w:rsidRDefault="00741148" w:rsidP="00BF19AD">
      <w:pPr>
        <w:spacing w:after="0"/>
        <w:rPr>
          <w:rFonts w:ascii="Times New Roman" w:hAnsi="Times New Roman"/>
          <w:sz w:val="18"/>
          <w:szCs w:val="18"/>
        </w:rPr>
      </w:pPr>
      <w:r w:rsidRPr="00C879EE">
        <w:rPr>
          <w:rFonts w:ascii="Times New Roman" w:hAnsi="Times New Roman"/>
          <w:b/>
          <w:sz w:val="24"/>
          <w:szCs w:val="24"/>
          <w:u w:val="single"/>
        </w:rPr>
        <w:t>Current draft treatments for the pilot</w:t>
      </w:r>
      <w:r w:rsidRPr="00C879EE">
        <w:rPr>
          <w:rFonts w:ascii="Times New Roman" w:hAnsi="Times New Roman"/>
          <w:sz w:val="24"/>
          <w:szCs w:val="24"/>
        </w:rPr>
        <w:t xml:space="preserve"> </w:t>
      </w:r>
      <w:r w:rsidRPr="00BF19AD">
        <w:rPr>
          <w:rFonts w:ascii="Times New Roman" w:hAnsi="Times New Roman"/>
          <w:sz w:val="18"/>
          <w:szCs w:val="18"/>
        </w:rPr>
        <w:t>(these are subject to change based on what is learned in the focus groups)</w:t>
      </w:r>
    </w:p>
    <w:p w:rsidR="00741148" w:rsidRPr="00BF19AD" w:rsidRDefault="00741148" w:rsidP="00BF19AD">
      <w:pPr>
        <w:spacing w:after="0"/>
        <w:rPr>
          <w:rFonts w:ascii="Times New Roman" w:hAnsi="Times New Roman"/>
          <w:sz w:val="18"/>
          <w:szCs w:val="1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0"/>
        <w:gridCol w:w="8730"/>
      </w:tblGrid>
      <w:tr w:rsidR="00741148" w:rsidRPr="00B20C63" w:rsidTr="00B20C63">
        <w:tc>
          <w:tcPr>
            <w:tcW w:w="450" w:type="dxa"/>
          </w:tcPr>
          <w:p w:rsidR="00741148" w:rsidRPr="00B20C63" w:rsidRDefault="00741148" w:rsidP="00B20C63">
            <w:pPr>
              <w:spacing w:after="0" w:line="240" w:lineRule="auto"/>
              <w:rPr>
                <w:rFonts w:ascii="Times New Roman" w:hAnsi="Times New Roman"/>
                <w:sz w:val="24"/>
                <w:szCs w:val="24"/>
              </w:rPr>
            </w:pPr>
            <w:r w:rsidRPr="00B20C63">
              <w:rPr>
                <w:rFonts w:ascii="Times New Roman" w:hAnsi="Times New Roman"/>
                <w:sz w:val="24"/>
                <w:szCs w:val="24"/>
              </w:rPr>
              <w:t xml:space="preserve"># </w:t>
            </w:r>
          </w:p>
        </w:tc>
        <w:tc>
          <w:tcPr>
            <w:tcW w:w="8730" w:type="dxa"/>
          </w:tcPr>
          <w:p w:rsidR="00741148" w:rsidRPr="00B20C63" w:rsidRDefault="00741148" w:rsidP="00B20C63">
            <w:pPr>
              <w:spacing w:after="0" w:line="240" w:lineRule="auto"/>
              <w:rPr>
                <w:rFonts w:ascii="Times New Roman" w:hAnsi="Times New Roman"/>
                <w:sz w:val="24"/>
                <w:szCs w:val="24"/>
              </w:rPr>
            </w:pPr>
            <w:r w:rsidRPr="00B20C63">
              <w:rPr>
                <w:rFonts w:ascii="Times New Roman" w:hAnsi="Times New Roman"/>
                <w:sz w:val="24"/>
                <w:szCs w:val="24"/>
              </w:rPr>
              <w:t>Functionality and Pricing Treatment Description</w:t>
            </w:r>
          </w:p>
        </w:tc>
      </w:tr>
      <w:tr w:rsidR="00741148" w:rsidRPr="00B20C63" w:rsidTr="00B20C63">
        <w:tc>
          <w:tcPr>
            <w:tcW w:w="450" w:type="dxa"/>
          </w:tcPr>
          <w:p w:rsidR="00741148" w:rsidRPr="00B20C63" w:rsidRDefault="00741148" w:rsidP="00B20C63">
            <w:pPr>
              <w:spacing w:after="0" w:line="240" w:lineRule="auto"/>
              <w:rPr>
                <w:rFonts w:ascii="Times New Roman" w:hAnsi="Times New Roman"/>
                <w:sz w:val="24"/>
                <w:szCs w:val="24"/>
              </w:rPr>
            </w:pPr>
            <w:r w:rsidRPr="00B20C63">
              <w:rPr>
                <w:rFonts w:ascii="Times New Roman" w:hAnsi="Times New Roman"/>
                <w:sz w:val="24"/>
                <w:szCs w:val="24"/>
              </w:rPr>
              <w:t>1</w:t>
            </w:r>
          </w:p>
        </w:tc>
        <w:tc>
          <w:tcPr>
            <w:tcW w:w="8730" w:type="dxa"/>
          </w:tcPr>
          <w:p w:rsidR="00741148" w:rsidRPr="00B20C63" w:rsidRDefault="00741148" w:rsidP="00B20C63">
            <w:pPr>
              <w:spacing w:after="0" w:line="240" w:lineRule="auto"/>
              <w:rPr>
                <w:rFonts w:ascii="Times New Roman" w:hAnsi="Times New Roman"/>
                <w:sz w:val="24"/>
                <w:szCs w:val="24"/>
              </w:rPr>
            </w:pPr>
            <w:r w:rsidRPr="00B20C63">
              <w:rPr>
                <w:rFonts w:ascii="Times New Roman" w:hAnsi="Times New Roman"/>
                <w:sz w:val="24"/>
                <w:szCs w:val="24"/>
              </w:rPr>
              <w:t xml:space="preserve">Transaction account with no monthly fee, without linked savings account </w:t>
            </w:r>
          </w:p>
        </w:tc>
      </w:tr>
      <w:tr w:rsidR="00741148" w:rsidRPr="00B20C63" w:rsidTr="00B20C63">
        <w:tc>
          <w:tcPr>
            <w:tcW w:w="450" w:type="dxa"/>
          </w:tcPr>
          <w:p w:rsidR="00741148" w:rsidRPr="00B20C63" w:rsidRDefault="00741148" w:rsidP="00B20C63">
            <w:pPr>
              <w:spacing w:after="0" w:line="240" w:lineRule="auto"/>
              <w:rPr>
                <w:rFonts w:ascii="Times New Roman" w:hAnsi="Times New Roman"/>
                <w:sz w:val="24"/>
                <w:szCs w:val="24"/>
              </w:rPr>
            </w:pPr>
            <w:r w:rsidRPr="00B20C63">
              <w:rPr>
                <w:rFonts w:ascii="Times New Roman" w:hAnsi="Times New Roman"/>
                <w:sz w:val="24"/>
                <w:szCs w:val="24"/>
              </w:rPr>
              <w:t>2</w:t>
            </w:r>
          </w:p>
        </w:tc>
        <w:tc>
          <w:tcPr>
            <w:tcW w:w="8730" w:type="dxa"/>
          </w:tcPr>
          <w:p w:rsidR="00741148" w:rsidRPr="00B20C63" w:rsidRDefault="00741148" w:rsidP="00B20C63">
            <w:pPr>
              <w:spacing w:after="0" w:line="240" w:lineRule="auto"/>
              <w:rPr>
                <w:rFonts w:ascii="Times New Roman" w:hAnsi="Times New Roman"/>
                <w:sz w:val="24"/>
                <w:szCs w:val="24"/>
              </w:rPr>
            </w:pPr>
            <w:r w:rsidRPr="00B20C63">
              <w:rPr>
                <w:rFonts w:ascii="Times New Roman" w:hAnsi="Times New Roman"/>
                <w:sz w:val="24"/>
                <w:szCs w:val="24"/>
              </w:rPr>
              <w:t xml:space="preserve">Transaction account with monthly fee ($3), without linked savings account </w:t>
            </w:r>
          </w:p>
        </w:tc>
      </w:tr>
      <w:tr w:rsidR="00741148" w:rsidRPr="00B20C63" w:rsidTr="00B20C63">
        <w:tc>
          <w:tcPr>
            <w:tcW w:w="450" w:type="dxa"/>
          </w:tcPr>
          <w:p w:rsidR="00741148" w:rsidRPr="00B20C63" w:rsidRDefault="00741148" w:rsidP="00B20C63">
            <w:pPr>
              <w:spacing w:after="0" w:line="240" w:lineRule="auto"/>
              <w:rPr>
                <w:rFonts w:ascii="Times New Roman" w:hAnsi="Times New Roman"/>
                <w:sz w:val="24"/>
                <w:szCs w:val="24"/>
              </w:rPr>
            </w:pPr>
            <w:r w:rsidRPr="00B20C63">
              <w:rPr>
                <w:rFonts w:ascii="Times New Roman" w:hAnsi="Times New Roman"/>
                <w:sz w:val="24"/>
                <w:szCs w:val="24"/>
              </w:rPr>
              <w:t>3</w:t>
            </w:r>
          </w:p>
        </w:tc>
        <w:tc>
          <w:tcPr>
            <w:tcW w:w="8730" w:type="dxa"/>
          </w:tcPr>
          <w:p w:rsidR="00741148" w:rsidRPr="00B20C63" w:rsidRDefault="00741148" w:rsidP="00B20C63">
            <w:pPr>
              <w:spacing w:after="0" w:line="240" w:lineRule="auto"/>
              <w:rPr>
                <w:rFonts w:ascii="Times New Roman" w:hAnsi="Times New Roman"/>
                <w:sz w:val="24"/>
                <w:szCs w:val="24"/>
              </w:rPr>
            </w:pPr>
            <w:r w:rsidRPr="00B20C63">
              <w:rPr>
                <w:rFonts w:ascii="Times New Roman" w:hAnsi="Times New Roman"/>
                <w:sz w:val="24"/>
                <w:szCs w:val="24"/>
              </w:rPr>
              <w:t>Transaction account with no monthly fee, with linked savings account</w:t>
            </w:r>
          </w:p>
        </w:tc>
      </w:tr>
      <w:tr w:rsidR="00741148" w:rsidRPr="00B20C63" w:rsidTr="00B20C63">
        <w:tc>
          <w:tcPr>
            <w:tcW w:w="450" w:type="dxa"/>
          </w:tcPr>
          <w:p w:rsidR="00741148" w:rsidRPr="00B20C63" w:rsidRDefault="00741148" w:rsidP="00B20C63">
            <w:pPr>
              <w:spacing w:after="0" w:line="240" w:lineRule="auto"/>
              <w:rPr>
                <w:rFonts w:ascii="Times New Roman" w:hAnsi="Times New Roman"/>
                <w:sz w:val="24"/>
                <w:szCs w:val="24"/>
              </w:rPr>
            </w:pPr>
            <w:r w:rsidRPr="00B20C63">
              <w:rPr>
                <w:rFonts w:ascii="Times New Roman" w:hAnsi="Times New Roman"/>
                <w:sz w:val="24"/>
                <w:szCs w:val="24"/>
              </w:rPr>
              <w:t>4</w:t>
            </w:r>
          </w:p>
        </w:tc>
        <w:tc>
          <w:tcPr>
            <w:tcW w:w="8730" w:type="dxa"/>
          </w:tcPr>
          <w:p w:rsidR="00741148" w:rsidRPr="00B20C63" w:rsidRDefault="00741148" w:rsidP="00B20C63">
            <w:pPr>
              <w:spacing w:after="0" w:line="240" w:lineRule="auto"/>
              <w:rPr>
                <w:rFonts w:ascii="Times New Roman" w:hAnsi="Times New Roman"/>
                <w:sz w:val="24"/>
                <w:szCs w:val="24"/>
              </w:rPr>
            </w:pPr>
            <w:r w:rsidRPr="00B20C63">
              <w:rPr>
                <w:rFonts w:ascii="Times New Roman" w:hAnsi="Times New Roman"/>
                <w:sz w:val="24"/>
                <w:szCs w:val="24"/>
              </w:rPr>
              <w:t>Transaction account with monthly fee ($3), with linked savings account</w:t>
            </w:r>
          </w:p>
        </w:tc>
      </w:tr>
    </w:tbl>
    <w:p w:rsidR="00741148" w:rsidRPr="00D759D5" w:rsidRDefault="00741148" w:rsidP="00BF19AD">
      <w:pPr>
        <w:spacing w:after="0"/>
        <w:rPr>
          <w:rFonts w:ascii="Times New Roman" w:hAnsi="Times New Roman"/>
          <w:sz w:val="24"/>
          <w:szCs w:val="24"/>
        </w:rPr>
      </w:pPr>
      <w:r w:rsidRPr="00C879EE">
        <w:rPr>
          <w:rFonts w:ascii="Times New Roman" w:hAnsi="Times New Roman"/>
          <w:sz w:val="24"/>
          <w:szCs w:val="24"/>
        </w:rPr>
        <w:t xml:space="preserve">A messaging/language treatment could be added to each the treatments listed above.  The focus groups will in part be to test these messaging/language treatments.  Focuses on safety, convenience, cost, speed, or government brand are all examples of treatment messaging/language options that are </w:t>
      </w:r>
      <w:r w:rsidRPr="00D759D5">
        <w:rPr>
          <w:rFonts w:ascii="Times New Roman" w:hAnsi="Times New Roman"/>
          <w:sz w:val="24"/>
          <w:szCs w:val="24"/>
        </w:rPr>
        <w:t xml:space="preserve">being considered. </w:t>
      </w:r>
    </w:p>
    <w:p w:rsidR="00741148" w:rsidRDefault="00741148" w:rsidP="00BF19AD">
      <w:pPr>
        <w:spacing w:after="0"/>
        <w:rPr>
          <w:rFonts w:ascii="Times New Roman" w:hAnsi="Times New Roman"/>
          <w:sz w:val="24"/>
          <w:szCs w:val="24"/>
          <w:u w:val="single"/>
        </w:rPr>
      </w:pPr>
    </w:p>
    <w:p w:rsidR="00741148" w:rsidRPr="00BF19AD" w:rsidRDefault="00741148" w:rsidP="00BF19AD">
      <w:pPr>
        <w:spacing w:after="0"/>
        <w:rPr>
          <w:rFonts w:ascii="Times New Roman" w:hAnsi="Times New Roman"/>
          <w:b/>
          <w:sz w:val="24"/>
          <w:szCs w:val="24"/>
        </w:rPr>
      </w:pPr>
      <w:r w:rsidRPr="00BF19AD">
        <w:rPr>
          <w:rFonts w:ascii="Times New Roman" w:hAnsi="Times New Roman"/>
          <w:b/>
          <w:sz w:val="24"/>
          <w:szCs w:val="24"/>
        </w:rPr>
        <w:t>Descriptions</w:t>
      </w:r>
    </w:p>
    <w:p w:rsidR="00741148" w:rsidRPr="00D759D5" w:rsidRDefault="00741148" w:rsidP="00BF19AD">
      <w:pPr>
        <w:spacing w:after="0"/>
        <w:rPr>
          <w:rFonts w:ascii="Times New Roman" w:hAnsi="Times New Roman"/>
          <w:sz w:val="24"/>
          <w:szCs w:val="24"/>
        </w:rPr>
      </w:pPr>
      <w:r w:rsidRPr="00BF19AD">
        <w:rPr>
          <w:rFonts w:ascii="Times New Roman" w:hAnsi="Times New Roman"/>
          <w:sz w:val="24"/>
          <w:szCs w:val="24"/>
          <w:u w:val="single"/>
        </w:rPr>
        <w:t>Transaction Account</w:t>
      </w:r>
      <w:r w:rsidRPr="00D759D5">
        <w:rPr>
          <w:rFonts w:ascii="Times New Roman" w:hAnsi="Times New Roman"/>
          <w:sz w:val="24"/>
          <w:szCs w:val="24"/>
        </w:rPr>
        <w:t xml:space="preserve"> is a basic financial transaction account, funds can be loaded onto the account through direct deposit or cash loading, it can be used to purchase at Point of Sale (POS) locations where Visa</w:t>
      </w:r>
      <w:r>
        <w:rPr>
          <w:rFonts w:ascii="Times New Roman" w:hAnsi="Times New Roman"/>
          <w:sz w:val="24"/>
          <w:szCs w:val="24"/>
        </w:rPr>
        <w:t>®</w:t>
      </w:r>
      <w:r w:rsidRPr="00D759D5">
        <w:rPr>
          <w:rFonts w:ascii="Times New Roman" w:hAnsi="Times New Roman"/>
          <w:sz w:val="24"/>
          <w:szCs w:val="24"/>
        </w:rPr>
        <w:t xml:space="preserve"> or Master</w:t>
      </w:r>
      <w:r>
        <w:rPr>
          <w:rFonts w:ascii="Times New Roman" w:hAnsi="Times New Roman"/>
          <w:sz w:val="24"/>
          <w:szCs w:val="24"/>
        </w:rPr>
        <w:t>C</w:t>
      </w:r>
      <w:r w:rsidRPr="00D759D5">
        <w:rPr>
          <w:rFonts w:ascii="Times New Roman" w:hAnsi="Times New Roman"/>
          <w:sz w:val="24"/>
          <w:szCs w:val="24"/>
        </w:rPr>
        <w:t>ard</w:t>
      </w:r>
      <w:r>
        <w:rPr>
          <w:rFonts w:ascii="Times New Roman" w:hAnsi="Times New Roman"/>
          <w:sz w:val="24"/>
          <w:szCs w:val="24"/>
        </w:rPr>
        <w:t>®</w:t>
      </w:r>
      <w:r w:rsidRPr="00D759D5">
        <w:rPr>
          <w:rFonts w:ascii="Times New Roman" w:hAnsi="Times New Roman"/>
          <w:sz w:val="24"/>
          <w:szCs w:val="24"/>
        </w:rPr>
        <w:t xml:space="preserve"> are accepted, withdraw money at </w:t>
      </w:r>
      <w:r>
        <w:rPr>
          <w:rFonts w:ascii="Times New Roman" w:hAnsi="Times New Roman"/>
          <w:sz w:val="24"/>
          <w:szCs w:val="24"/>
        </w:rPr>
        <w:t>automated teller machine (</w:t>
      </w:r>
      <w:r w:rsidRPr="00D759D5">
        <w:rPr>
          <w:rFonts w:ascii="Times New Roman" w:hAnsi="Times New Roman"/>
          <w:sz w:val="24"/>
          <w:szCs w:val="24"/>
        </w:rPr>
        <w:t>ATM</w:t>
      </w:r>
      <w:r>
        <w:rPr>
          <w:rFonts w:ascii="Times New Roman" w:hAnsi="Times New Roman"/>
          <w:sz w:val="24"/>
          <w:szCs w:val="24"/>
        </w:rPr>
        <w:t>)</w:t>
      </w:r>
      <w:r w:rsidRPr="00D759D5">
        <w:rPr>
          <w:rFonts w:ascii="Times New Roman" w:hAnsi="Times New Roman"/>
          <w:sz w:val="24"/>
          <w:szCs w:val="24"/>
        </w:rPr>
        <w:t xml:space="preserve">s or as part of cash back at a POS register, bills can be paid online, money is stored safely and is </w:t>
      </w:r>
      <w:r w:rsidRPr="00966AB2">
        <w:rPr>
          <w:rStyle w:val="Strong"/>
          <w:rFonts w:ascii="Times New Roman" w:hAnsi="Times New Roman"/>
          <w:b w:val="0"/>
          <w:color w:val="000000"/>
          <w:sz w:val="24"/>
          <w:szCs w:val="24"/>
        </w:rPr>
        <w:t>Federal Deposit Insurance Corporation</w:t>
      </w:r>
      <w:r>
        <w:rPr>
          <w:rFonts w:ascii="Arial" w:hAnsi="Arial" w:cs="Arial"/>
          <w:color w:val="000000"/>
        </w:rPr>
        <w:t xml:space="preserve"> (</w:t>
      </w:r>
      <w:r w:rsidRPr="00D759D5">
        <w:rPr>
          <w:rFonts w:ascii="Times New Roman" w:hAnsi="Times New Roman"/>
          <w:sz w:val="24"/>
          <w:szCs w:val="24"/>
        </w:rPr>
        <w:t>FDIC</w:t>
      </w:r>
      <w:r>
        <w:rPr>
          <w:rFonts w:ascii="Times New Roman" w:hAnsi="Times New Roman"/>
          <w:sz w:val="24"/>
          <w:szCs w:val="24"/>
        </w:rPr>
        <w:t>)</w:t>
      </w:r>
      <w:r w:rsidRPr="00D759D5">
        <w:rPr>
          <w:rFonts w:ascii="Times New Roman" w:hAnsi="Times New Roman"/>
          <w:sz w:val="24"/>
          <w:szCs w:val="24"/>
        </w:rPr>
        <w:t xml:space="preserve"> insured.</w:t>
      </w:r>
    </w:p>
    <w:p w:rsidR="00741148" w:rsidRDefault="00741148" w:rsidP="00BF19AD">
      <w:pPr>
        <w:spacing w:after="0"/>
        <w:rPr>
          <w:rFonts w:ascii="Times New Roman" w:hAnsi="Times New Roman"/>
          <w:sz w:val="24"/>
          <w:szCs w:val="24"/>
          <w:u w:val="single"/>
        </w:rPr>
      </w:pPr>
    </w:p>
    <w:p w:rsidR="00741148" w:rsidRDefault="00741148" w:rsidP="00BF19AD">
      <w:pPr>
        <w:spacing w:after="0"/>
        <w:rPr>
          <w:rFonts w:ascii="Times New Roman" w:hAnsi="Times New Roman"/>
          <w:sz w:val="24"/>
          <w:szCs w:val="24"/>
        </w:rPr>
      </w:pPr>
      <w:r w:rsidRPr="00BF19AD">
        <w:rPr>
          <w:rFonts w:ascii="Times New Roman" w:hAnsi="Times New Roman"/>
          <w:sz w:val="24"/>
          <w:szCs w:val="24"/>
          <w:u w:val="single"/>
        </w:rPr>
        <w:t>Linked savings account</w:t>
      </w:r>
      <w:r w:rsidRPr="00D759D5">
        <w:rPr>
          <w:rFonts w:ascii="Times New Roman" w:hAnsi="Times New Roman"/>
          <w:sz w:val="24"/>
          <w:szCs w:val="24"/>
        </w:rPr>
        <w:t xml:space="preserve"> is a savings account </w:t>
      </w:r>
      <w:r>
        <w:rPr>
          <w:rFonts w:ascii="Times New Roman" w:hAnsi="Times New Roman"/>
          <w:sz w:val="24"/>
          <w:szCs w:val="24"/>
        </w:rPr>
        <w:t>attached</w:t>
      </w:r>
      <w:r w:rsidRPr="00D759D5">
        <w:rPr>
          <w:rFonts w:ascii="Times New Roman" w:hAnsi="Times New Roman"/>
          <w:sz w:val="24"/>
          <w:szCs w:val="24"/>
        </w:rPr>
        <w:t xml:space="preserve"> to the transaction account</w:t>
      </w:r>
      <w:r>
        <w:rPr>
          <w:rFonts w:ascii="Times New Roman" w:hAnsi="Times New Roman"/>
          <w:sz w:val="24"/>
          <w:szCs w:val="24"/>
        </w:rPr>
        <w:t xml:space="preserve"> that enables money to be transferred between the savings account and transaction account for free.  </w:t>
      </w:r>
      <w:r w:rsidRPr="00A53975">
        <w:rPr>
          <w:rFonts w:ascii="Times New Roman" w:hAnsi="Times New Roman"/>
          <w:color w:val="000000"/>
          <w:sz w:val="24"/>
          <w:szCs w:val="24"/>
        </w:rPr>
        <w:t xml:space="preserve">Savings account funds have to be transferred to transaction account for use. </w:t>
      </w:r>
      <w:r>
        <w:rPr>
          <w:rFonts w:ascii="Times New Roman" w:hAnsi="Times New Roman"/>
          <w:sz w:val="24"/>
          <w:szCs w:val="24"/>
        </w:rPr>
        <w:t>The savings account earns a market rate interest.</w:t>
      </w:r>
    </w:p>
    <w:p w:rsidR="00741148" w:rsidRDefault="00741148" w:rsidP="00BF19AD">
      <w:pPr>
        <w:spacing w:after="0"/>
        <w:rPr>
          <w:rFonts w:ascii="Times New Roman" w:hAnsi="Times New Roman"/>
          <w:sz w:val="24"/>
          <w:szCs w:val="24"/>
        </w:rPr>
      </w:pPr>
    </w:p>
    <w:p w:rsidR="00741148" w:rsidRPr="00D759D5" w:rsidRDefault="00741148" w:rsidP="00BF19AD">
      <w:pPr>
        <w:spacing w:after="0"/>
        <w:rPr>
          <w:rFonts w:ascii="Times New Roman" w:hAnsi="Times New Roman"/>
          <w:sz w:val="24"/>
          <w:szCs w:val="24"/>
        </w:rPr>
      </w:pPr>
      <w:r w:rsidRPr="00BF19AD">
        <w:rPr>
          <w:rFonts w:ascii="Times New Roman" w:hAnsi="Times New Roman"/>
          <w:sz w:val="24"/>
          <w:szCs w:val="24"/>
          <w:u w:val="single"/>
        </w:rPr>
        <w:t>Monthly Fee</w:t>
      </w:r>
      <w:r>
        <w:rPr>
          <w:rFonts w:ascii="Times New Roman" w:hAnsi="Times New Roman"/>
          <w:sz w:val="24"/>
          <w:szCs w:val="24"/>
        </w:rPr>
        <w:t xml:space="preserve"> – Product can for all intents and purposes be used for free unless it has a monthly fee.  There are other fees that can be incurred (e.g. heavy ATM usage, cash loading), but customers can avoid those fees by smart usage (e.g. going to in network ATMs or getting cashback at POS, or utilizing direct deposit).</w:t>
      </w:r>
    </w:p>
    <w:sectPr w:rsidR="00741148" w:rsidRPr="00D759D5" w:rsidSect="00CF3A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0D88"/>
    <w:rsid w:val="00053335"/>
    <w:rsid w:val="00062E16"/>
    <w:rsid w:val="00092BD3"/>
    <w:rsid w:val="000C1252"/>
    <w:rsid w:val="000D0338"/>
    <w:rsid w:val="00136C8B"/>
    <w:rsid w:val="002479A3"/>
    <w:rsid w:val="002A136A"/>
    <w:rsid w:val="003A6A22"/>
    <w:rsid w:val="005D0646"/>
    <w:rsid w:val="00611FB4"/>
    <w:rsid w:val="006469DF"/>
    <w:rsid w:val="006741E0"/>
    <w:rsid w:val="00741148"/>
    <w:rsid w:val="007826E8"/>
    <w:rsid w:val="00966AB2"/>
    <w:rsid w:val="00A1079F"/>
    <w:rsid w:val="00A11CA5"/>
    <w:rsid w:val="00A53975"/>
    <w:rsid w:val="00B15680"/>
    <w:rsid w:val="00B20C63"/>
    <w:rsid w:val="00B670F3"/>
    <w:rsid w:val="00BE1B8A"/>
    <w:rsid w:val="00BF19AD"/>
    <w:rsid w:val="00C22D84"/>
    <w:rsid w:val="00C879EE"/>
    <w:rsid w:val="00CB148C"/>
    <w:rsid w:val="00CF3AE4"/>
    <w:rsid w:val="00D30D88"/>
    <w:rsid w:val="00D759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AE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30D8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locked/>
    <w:rsid w:val="00966AB2"/>
    <w:rPr>
      <w:rFonts w:cs="Times New Roman"/>
      <w:b/>
      <w:b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287</Words>
  <Characters>1636</Characters>
  <Application>Microsoft Office Outlook</Application>
  <DocSecurity>0</DocSecurity>
  <Lines>0</Lines>
  <Paragraphs>0</Paragraphs>
  <ScaleCrop>false</ScaleCrop>
  <Company>The U.S. Department of the Treasury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Variations in Treatment (Attachment C)</dc:title>
  <dc:subject/>
  <dc:creator>US Department of Treasury</dc:creator>
  <cp:keywords/>
  <dc:description/>
  <cp:lastModifiedBy>FMS</cp:lastModifiedBy>
  <cp:revision>2</cp:revision>
  <dcterms:created xsi:type="dcterms:W3CDTF">2010-11-01T16:17:00Z</dcterms:created>
  <dcterms:modified xsi:type="dcterms:W3CDTF">2010-11-01T16:17:00Z</dcterms:modified>
</cp:coreProperties>
</file>