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8AC" w:rsidRPr="00C141E2" w:rsidRDefault="000F48AC" w:rsidP="003D66D7">
      <w:pPr>
        <w:jc w:val="center"/>
        <w:rPr>
          <w:b/>
          <w:bCs/>
        </w:rPr>
      </w:pPr>
      <w:r w:rsidRPr="00C141E2">
        <w:rPr>
          <w:b/>
          <w:bCs/>
        </w:rPr>
        <w:t xml:space="preserve">TARGETED CAPACITY EXPANSION </w:t>
      </w:r>
      <w:r>
        <w:rPr>
          <w:b/>
          <w:bCs/>
        </w:rPr>
        <w:t xml:space="preserve">PROGRAM FOR SUBSTANCE ABUSE TREATMENT AND HIV/AIDS </w:t>
      </w:r>
      <w:r w:rsidRPr="00C141E2">
        <w:rPr>
          <w:b/>
          <w:bCs/>
        </w:rPr>
        <w:t>(TCE-HIV)</w:t>
      </w:r>
      <w:r>
        <w:rPr>
          <w:b/>
          <w:bCs/>
        </w:rPr>
        <w:t xml:space="preserve"> SERVICES</w:t>
      </w:r>
      <w:r w:rsidRPr="00C141E2">
        <w:rPr>
          <w:b/>
          <w:bCs/>
        </w:rPr>
        <w:t xml:space="preserve"> </w:t>
      </w:r>
    </w:p>
    <w:p w:rsidR="000F48AC" w:rsidRDefault="000F48AC" w:rsidP="003D66D7">
      <w:pPr>
        <w:jc w:val="center"/>
        <w:rPr>
          <w:b/>
          <w:bCs/>
        </w:rPr>
      </w:pPr>
      <w:r w:rsidRPr="00C141E2">
        <w:rPr>
          <w:b/>
          <w:bCs/>
        </w:rPr>
        <w:t>MULTI-SITE EVALUATION</w:t>
      </w:r>
    </w:p>
    <w:p w:rsidR="000F48AC" w:rsidRDefault="000F48AC" w:rsidP="003D66D7">
      <w:pPr>
        <w:jc w:val="center"/>
        <w:rPr>
          <w:b/>
          <w:bCs/>
        </w:rPr>
      </w:pPr>
    </w:p>
    <w:p w:rsidR="000F48AC" w:rsidRPr="00C141E2" w:rsidRDefault="000F48AC" w:rsidP="00602D20">
      <w:pPr>
        <w:jc w:val="center"/>
        <w:rPr>
          <w:b/>
          <w:bCs/>
        </w:rPr>
      </w:pPr>
      <w:bookmarkStart w:id="0" w:name="_Toc67387400"/>
      <w:r w:rsidRPr="00C141E2">
        <w:rPr>
          <w:b/>
          <w:bCs/>
        </w:rPr>
        <w:t>SUPPORTING STATEMENT</w:t>
      </w:r>
      <w:bookmarkEnd w:id="0"/>
      <w:r w:rsidRPr="00C141E2">
        <w:rPr>
          <w:b/>
          <w:bCs/>
        </w:rPr>
        <w:t xml:space="preserve"> </w:t>
      </w:r>
    </w:p>
    <w:p w:rsidR="000F48AC" w:rsidRPr="00C141E2" w:rsidRDefault="000F48AC" w:rsidP="003D66D7">
      <w:pPr>
        <w:jc w:val="center"/>
        <w:rPr>
          <w:b/>
          <w:bCs/>
        </w:rPr>
      </w:pPr>
    </w:p>
    <w:p w:rsidR="000F48AC" w:rsidRPr="000916CF" w:rsidRDefault="000F48AC" w:rsidP="003D66D7"/>
    <w:p w:rsidR="000F48AC" w:rsidRPr="004D6522" w:rsidRDefault="000F48AC" w:rsidP="003D66D7"/>
    <w:p w:rsidR="000F48AC" w:rsidRPr="004D6522" w:rsidRDefault="000F48AC" w:rsidP="003D66D7">
      <w:pPr>
        <w:rPr>
          <w:b/>
          <w:bCs/>
        </w:rPr>
      </w:pPr>
      <w:bookmarkStart w:id="1" w:name="_Toc79980788"/>
      <w:bookmarkStart w:id="2" w:name="_Toc88277949"/>
      <w:bookmarkStart w:id="3" w:name="_Toc131564338"/>
      <w:r w:rsidRPr="004D6522">
        <w:rPr>
          <w:b/>
          <w:bCs/>
        </w:rPr>
        <w:t>A.</w:t>
      </w:r>
      <w:r w:rsidRPr="004D6522">
        <w:rPr>
          <w:b/>
          <w:bCs/>
        </w:rPr>
        <w:tab/>
        <w:t>JUSTIFICATION</w:t>
      </w:r>
      <w:bookmarkEnd w:id="1"/>
      <w:bookmarkEnd w:id="2"/>
      <w:bookmarkEnd w:id="3"/>
      <w:r w:rsidRPr="004D6522">
        <w:rPr>
          <w:b/>
          <w:bCs/>
        </w:rPr>
        <w:t xml:space="preserve"> </w:t>
      </w:r>
    </w:p>
    <w:p w:rsidR="000F48AC" w:rsidRPr="004D6522" w:rsidRDefault="000F48AC" w:rsidP="003D66D7">
      <w:pPr>
        <w:rPr>
          <w:b/>
          <w:bCs/>
        </w:rPr>
      </w:pPr>
    </w:p>
    <w:p w:rsidR="000F48AC" w:rsidRDefault="000F48AC">
      <w:pPr>
        <w:tabs>
          <w:tab w:val="left" w:pos="720"/>
        </w:tabs>
        <w:rPr>
          <w:b/>
          <w:bCs/>
        </w:rPr>
      </w:pPr>
      <w:bookmarkStart w:id="4" w:name="_Toc88277950"/>
      <w:bookmarkStart w:id="5" w:name="_Toc131564339"/>
      <w:r>
        <w:rPr>
          <w:b/>
          <w:bCs/>
        </w:rPr>
        <w:tab/>
      </w:r>
      <w:r w:rsidRPr="004D6522">
        <w:rPr>
          <w:b/>
          <w:bCs/>
        </w:rPr>
        <w:t>1.</w:t>
      </w:r>
      <w:r w:rsidRPr="004D6522">
        <w:rPr>
          <w:b/>
          <w:bCs/>
        </w:rPr>
        <w:tab/>
      </w:r>
      <w:r w:rsidRPr="004D6522">
        <w:rPr>
          <w:b/>
          <w:bCs/>
          <w:u w:val="single"/>
        </w:rPr>
        <w:t>Circumstances of Information Collection</w:t>
      </w:r>
      <w:bookmarkEnd w:id="4"/>
      <w:bookmarkEnd w:id="5"/>
    </w:p>
    <w:p w:rsidR="000F48AC" w:rsidRPr="004D6522" w:rsidRDefault="000F48AC" w:rsidP="003D66D7"/>
    <w:p w:rsidR="000F48AC" w:rsidRDefault="000F48AC" w:rsidP="004B5F84">
      <w:pPr>
        <w:ind w:left="720"/>
      </w:pPr>
      <w:r>
        <w:t>T</w:t>
      </w:r>
      <w:r w:rsidRPr="004D6522">
        <w:t xml:space="preserve">he Substance Abuse and Mental Health Services Administration’s (SAMHSA) Center for Substance Abuse Treatment </w:t>
      </w:r>
      <w:r w:rsidRPr="0034455B">
        <w:t>(CSAT</w:t>
      </w:r>
      <w:r w:rsidRPr="004D6522">
        <w:t xml:space="preserve">) is requesting approval from the Office of Management and Budget (OMB) for the data collection activities </w:t>
      </w:r>
      <w:r>
        <w:t xml:space="preserve">for the </w:t>
      </w:r>
      <w:r w:rsidRPr="004D6522">
        <w:t>Targeted Capacity Expansion</w:t>
      </w:r>
      <w:r>
        <w:t xml:space="preserve"> Program for Substance Abuse Treatment and HIV/AIDS </w:t>
      </w:r>
      <w:r w:rsidRPr="004D6522">
        <w:t>(TCE-HIV)</w:t>
      </w:r>
      <w:r>
        <w:t xml:space="preserve"> Services </w:t>
      </w:r>
      <w:r w:rsidRPr="004D6522">
        <w:t>Multi-Site Evaluation</w:t>
      </w:r>
      <w:r>
        <w:t xml:space="preserve"> (hereafter referred to as the </w:t>
      </w:r>
      <w:r w:rsidRPr="004D6522">
        <w:t>Multi-Site Evaluation</w:t>
      </w:r>
      <w:r>
        <w:t>).  In September 2008, SAMHSA contracted with JBS International, Inc. (JBS) to conduct the Multi-Site Evaluation and w</w:t>
      </w:r>
      <w:r w:rsidRPr="002F6BBA">
        <w:t xml:space="preserve">ith approval from </w:t>
      </w:r>
      <w:r>
        <w:t>SAMHSA</w:t>
      </w:r>
      <w:r w:rsidRPr="002F6BBA">
        <w:t>, JBS developed and executed subcontract agreements with its partners A</w:t>
      </w:r>
      <w:r>
        <w:t xml:space="preserve">lliances for </w:t>
      </w:r>
      <w:r w:rsidRPr="002F6BBA">
        <w:t>Q</w:t>
      </w:r>
      <w:r>
        <w:t xml:space="preserve">uality </w:t>
      </w:r>
      <w:r w:rsidRPr="002F6BBA">
        <w:t>E</w:t>
      </w:r>
      <w:r>
        <w:t>ducation, Inc. (AQE)</w:t>
      </w:r>
      <w:r w:rsidRPr="002F6BBA">
        <w:t>, Battelle</w:t>
      </w:r>
      <w:r>
        <w:t xml:space="preserve"> Memorial Institute</w:t>
      </w:r>
      <w:r w:rsidRPr="002F6BBA">
        <w:t xml:space="preserve">, and </w:t>
      </w:r>
      <w:r>
        <w:t>Oregon Health &amp; Science University (</w:t>
      </w:r>
      <w:r w:rsidRPr="002F6BBA">
        <w:t>OHSU</w:t>
      </w:r>
      <w:r>
        <w:t>)</w:t>
      </w:r>
      <w:r w:rsidRPr="002F6BBA">
        <w:t xml:space="preserve"> to </w:t>
      </w:r>
      <w:r>
        <w:t xml:space="preserve">form a multidisciplinary team of methodologists, statisticians, and evaluation experts in the fields of substance abuse and HIV/AIDS (hereafter referred to as the Multi-Site Evaluation Team). </w:t>
      </w:r>
    </w:p>
    <w:p w:rsidR="000F48AC" w:rsidRDefault="000F48AC" w:rsidP="004B5F84">
      <w:pPr>
        <w:ind w:left="720"/>
      </w:pPr>
    </w:p>
    <w:p w:rsidR="000F48AC" w:rsidRDefault="000F48AC" w:rsidP="00905197">
      <w:pPr>
        <w:ind w:left="720"/>
      </w:pPr>
      <w:r>
        <w:t xml:space="preserve">The </w:t>
      </w:r>
      <w:r w:rsidRPr="004D6522">
        <w:t>Multi-Site Evaluation</w:t>
      </w:r>
      <w:r>
        <w:t xml:space="preserve"> </w:t>
      </w:r>
      <w:r w:rsidRPr="004D6522">
        <w:t xml:space="preserve">is </w:t>
      </w:r>
      <w:r>
        <w:t>designed to monitor implementation activities of 48 SAMHSA TCE-HIV funded Grantees including the evidence based practices (EBPs), service delivery, and contextual factors that facilitate or impede program success. The Evaluation is also i</w:t>
      </w:r>
      <w:r w:rsidRPr="004D6522">
        <w:t>ntended to</w:t>
      </w:r>
      <w:r>
        <w:t xml:space="preserve"> obtain information on the risk behaviors, HIV testing/serostatus, social support, medical and mental health, and motivation for treatment from clients of the TCE-HIV Grantees and monitor their satisfaction with services received.</w:t>
      </w:r>
    </w:p>
    <w:p w:rsidR="000F48AC" w:rsidRPr="00905197" w:rsidRDefault="000F48AC" w:rsidP="00905197">
      <w:pPr>
        <w:ind w:left="720"/>
      </w:pPr>
    </w:p>
    <w:p w:rsidR="000F48AC" w:rsidRPr="00905197" w:rsidRDefault="000F48AC" w:rsidP="004B5F84">
      <w:pPr>
        <w:ind w:left="720"/>
      </w:pPr>
      <w:r>
        <w:t>There are a total of five</w:t>
      </w:r>
      <w:r w:rsidRPr="001D6DE0">
        <w:t xml:space="preserve"> data collection instruments for th</w:t>
      </w:r>
      <w:r>
        <w:t>e Multi-Site</w:t>
      </w:r>
      <w:r w:rsidRPr="001D6DE0">
        <w:t xml:space="preserve"> </w:t>
      </w:r>
      <w:r>
        <w:t>E</w:t>
      </w:r>
      <w:r w:rsidRPr="001D6DE0">
        <w:t>valuation</w:t>
      </w:r>
      <w:r>
        <w:t xml:space="preserve">: </w:t>
      </w:r>
      <w:r w:rsidRPr="001D6DE0">
        <w:t xml:space="preserve">administrative </w:t>
      </w:r>
      <w:r>
        <w:t xml:space="preserve">staff </w:t>
      </w:r>
      <w:r w:rsidRPr="001D6DE0">
        <w:t xml:space="preserve">semi-structured interview guide, </w:t>
      </w:r>
      <w:r>
        <w:t>G</w:t>
      </w:r>
      <w:r w:rsidRPr="001D6DE0">
        <w:t xml:space="preserve">rantee </w:t>
      </w:r>
      <w:r>
        <w:t xml:space="preserve">direct services </w:t>
      </w:r>
      <w:r w:rsidRPr="001D6DE0">
        <w:t xml:space="preserve">staff semi-structured interview guide, partner/collaborator semi-structured interview guide, client focus group guide, </w:t>
      </w:r>
      <w:r>
        <w:t xml:space="preserve">and </w:t>
      </w:r>
      <w:r w:rsidRPr="001D6DE0">
        <w:t>client level survey</w:t>
      </w:r>
      <w:r>
        <w:t xml:space="preserve"> to be administered at client intake, discharge, and 6-months post baseline. T</w:t>
      </w:r>
      <w:r w:rsidRPr="004D6522">
        <w:t>he Multi-Site Evaluation</w:t>
      </w:r>
      <w:r>
        <w:t xml:space="preserve"> </w:t>
      </w:r>
      <w:r w:rsidRPr="004D6522">
        <w:t xml:space="preserve">activities </w:t>
      </w:r>
      <w:r>
        <w:t xml:space="preserve">will be conducted with 48 Grantees, 40 of which are treatment Grantees and 8 of which are outreach/pretreatment Grantees. Evaluation activities will </w:t>
      </w:r>
      <w:r w:rsidRPr="004D6522">
        <w:t>include administ</w:t>
      </w:r>
      <w:r>
        <w:t>ering</w:t>
      </w:r>
      <w:r w:rsidRPr="004D6522">
        <w:t xml:space="preserve"> baseline</w:t>
      </w:r>
      <w:r>
        <w:t>, discharge,</w:t>
      </w:r>
      <w:r w:rsidRPr="004D6522">
        <w:t xml:space="preserve"> and follow-up surveys </w:t>
      </w:r>
      <w:r>
        <w:t>to</w:t>
      </w:r>
      <w:r w:rsidRPr="004D6522">
        <w:t xml:space="preserve"> clients receiving TCE-HIV treatment services</w:t>
      </w:r>
      <w:r>
        <w:t>;</w:t>
      </w:r>
      <w:r w:rsidRPr="004D6522">
        <w:t xml:space="preserve"> conducting focus groups with </w:t>
      </w:r>
      <w:r>
        <w:t xml:space="preserve">a subset of these </w:t>
      </w:r>
      <w:r w:rsidRPr="004D6522">
        <w:t>clients</w:t>
      </w:r>
      <w:r>
        <w:t>;</w:t>
      </w:r>
      <w:r w:rsidRPr="004D6522">
        <w:t xml:space="preserve"> and conducting semi-structured interviews with TCE-HIV program staff and program partners</w:t>
      </w:r>
      <w:r>
        <w:t>/collaborators</w:t>
      </w:r>
      <w:r w:rsidRPr="00552587">
        <w:t xml:space="preserve"> </w:t>
      </w:r>
      <w:r w:rsidRPr="00792AD6">
        <w:t>who are overseeing or delivering TCE-HIV services.</w:t>
      </w:r>
      <w:r>
        <w:rPr>
          <w:color w:val="339966"/>
        </w:rPr>
        <w:t xml:space="preserve"> </w:t>
      </w:r>
    </w:p>
    <w:p w:rsidR="000F48AC" w:rsidRPr="00905197" w:rsidRDefault="000F48AC" w:rsidP="004B5F84">
      <w:pPr>
        <w:ind w:left="720"/>
      </w:pPr>
    </w:p>
    <w:p w:rsidR="000F48AC" w:rsidRPr="002F6BBA" w:rsidRDefault="000F48AC" w:rsidP="007C7B7A">
      <w:pPr>
        <w:ind w:left="720"/>
      </w:pPr>
    </w:p>
    <w:p w:rsidR="000F48AC" w:rsidRPr="00A555CE" w:rsidRDefault="000F48AC" w:rsidP="00A555CE">
      <w:pPr>
        <w:ind w:left="720"/>
      </w:pPr>
      <w:r w:rsidRPr="00B9101F">
        <w:rPr>
          <w:b/>
          <w:bCs/>
        </w:rPr>
        <w:t>Minority AIDS Initiative (MAI)</w:t>
      </w:r>
      <w:r w:rsidRPr="00B9101F">
        <w:rPr>
          <w:b/>
        </w:rPr>
        <w:t xml:space="preserve">. </w:t>
      </w:r>
      <w:bookmarkStart w:id="6" w:name="OLE_LINK1"/>
      <w:bookmarkStart w:id="7" w:name="OLE_LINK2"/>
      <w:r w:rsidRPr="00337AA4">
        <w:t>SAMHSA</w:t>
      </w:r>
      <w:r w:rsidRPr="004D6522">
        <w:t xml:space="preserve"> recognize</w:t>
      </w:r>
      <w:r>
        <w:t>d</w:t>
      </w:r>
      <w:r w:rsidRPr="004D6522">
        <w:t xml:space="preserve"> the association between substance abuse and HIV risk and developed the TCE-HIV </w:t>
      </w:r>
      <w:r>
        <w:t>services g</w:t>
      </w:r>
      <w:r w:rsidRPr="004D6522">
        <w:t xml:space="preserve">rant program to improve the delivery of services to racial and ethnic minority </w:t>
      </w:r>
      <w:r>
        <w:t>communities</w:t>
      </w:r>
      <w:r w:rsidRPr="004D6522">
        <w:t xml:space="preserve"> disproportionately impacted by substance </w:t>
      </w:r>
      <w:r>
        <w:t>ab</w:t>
      </w:r>
      <w:r w:rsidRPr="004D6522">
        <w:t xml:space="preserve">use and HIV across the </w:t>
      </w:r>
      <w:smartTag w:uri="urn:schemas-microsoft-com:office:smarttags" w:element="country-region">
        <w:smartTag w:uri="urn:schemas-microsoft-com:office:smarttags" w:element="place">
          <w:r w:rsidRPr="004D6522">
            <w:t>United States</w:t>
          </w:r>
        </w:smartTag>
      </w:smartTag>
      <w:r w:rsidRPr="004D6522">
        <w:t xml:space="preserve"> (</w:t>
      </w:r>
      <w:r w:rsidRPr="00C65261">
        <w:t>Centers</w:t>
      </w:r>
      <w:r w:rsidRPr="00BA4B25">
        <w:t xml:space="preserve"> for Disease Control and Prevention</w:t>
      </w:r>
      <w:r w:rsidRPr="004D6522">
        <w:t>, 200</w:t>
      </w:r>
      <w:r>
        <w:t>6)</w:t>
      </w:r>
      <w:r w:rsidRPr="004D6522">
        <w:t xml:space="preserve">. </w:t>
      </w:r>
      <w:bookmarkEnd w:id="6"/>
      <w:bookmarkEnd w:id="7"/>
      <w:r w:rsidRPr="00C141E2">
        <w:t xml:space="preserve">The </w:t>
      </w:r>
      <w:r>
        <w:t xml:space="preserve">TCE-HIV grants are </w:t>
      </w:r>
      <w:r w:rsidRPr="00C141E2">
        <w:t>authorized under Section 509 of the Public Health Service Act</w:t>
      </w:r>
      <w:r>
        <w:t xml:space="preserve"> (42 U.S.C.290bb-2)</w:t>
      </w:r>
      <w:r w:rsidRPr="00C141E2">
        <w:t xml:space="preserve">, as </w:t>
      </w:r>
      <w:r w:rsidRPr="009015DA">
        <w:t>amended</w:t>
      </w:r>
      <w:r>
        <w:t xml:space="preserve">.  </w:t>
      </w:r>
      <w:r w:rsidRPr="007B54DD">
        <w:t xml:space="preserve">The program also addresses </w:t>
      </w:r>
      <w:r>
        <w:t>Healthy People 202</w:t>
      </w:r>
      <w:r w:rsidRPr="007B54DD">
        <w:t>0 Focus A</w:t>
      </w:r>
      <w:r>
        <w:t>rea 2020-</w:t>
      </w:r>
      <w:r w:rsidRPr="007B54DD">
        <w:t>6 (Substance Abuse)</w:t>
      </w:r>
      <w:r>
        <w:t xml:space="preserve"> (</w:t>
      </w:r>
      <w:r w:rsidRPr="00BA4B25">
        <w:t>U.S.</w:t>
      </w:r>
      <w:r w:rsidRPr="00D12FE6">
        <w:t xml:space="preserve"> </w:t>
      </w:r>
      <w:r w:rsidRPr="00D638FD">
        <w:t>Department</w:t>
      </w:r>
      <w:r w:rsidRPr="00D12FE6">
        <w:t xml:space="preserve"> of Health and Human Services</w:t>
      </w:r>
      <w:r>
        <w:t>, 2009)</w:t>
      </w:r>
      <w:r w:rsidRPr="007B54DD">
        <w:t>.</w:t>
      </w:r>
      <w:r>
        <w:t xml:space="preserve"> </w:t>
      </w:r>
      <w:r w:rsidRPr="004D6522">
        <w:t>The TCE-HIV Grantees are tasked with enhancing and expanding substance abuse treatment and/or outreach and pretreatment services in conjunction with HIV/AIDS services in high</w:t>
      </w:r>
      <w:r>
        <w:t>-</w:t>
      </w:r>
      <w:r w:rsidRPr="004D6522">
        <w:t xml:space="preserve">risk, underserved communities highly affected by both substance abuse and HIV/AIDS. </w:t>
      </w:r>
      <w:r w:rsidRPr="00337AA4">
        <w:t>SAMHSA’s</w:t>
      </w:r>
      <w:r w:rsidRPr="004D6522">
        <w:t xml:space="preserve"> TCE-HIV program is funded by Minority AIDS Initiative (</w:t>
      </w:r>
      <w:r w:rsidRPr="00C65261">
        <w:t>M</w:t>
      </w:r>
      <w:r>
        <w:t xml:space="preserve">inority AIDs Initiative, </w:t>
      </w:r>
      <w:r w:rsidRPr="00C65261">
        <w:t>1998</w:t>
      </w:r>
      <w:r>
        <w:t>)</w:t>
      </w:r>
      <w:r w:rsidRPr="004D6522">
        <w:t xml:space="preserve"> appropriated dollars. The MAI was established in October 1998 in response to the growing concern </w:t>
      </w:r>
      <w:r>
        <w:t>about</w:t>
      </w:r>
      <w:r w:rsidRPr="004D6522">
        <w:t xml:space="preserve"> the impact of </w:t>
      </w:r>
      <w:r w:rsidRPr="00E14DC5">
        <w:t xml:space="preserve">HIV/AIDS on racial and ethnic minorities in the </w:t>
      </w:r>
      <w:smartTag w:uri="urn:schemas-microsoft-com:office:smarttags" w:element="country-region">
        <w:smartTag w:uri="urn:schemas-microsoft-com:office:smarttags" w:element="place">
          <w:r w:rsidRPr="00E14DC5">
            <w:t>United States</w:t>
          </w:r>
        </w:smartTag>
      </w:smartTag>
      <w:r w:rsidRPr="00E14DC5">
        <w:t xml:space="preserve">. </w:t>
      </w:r>
      <w:r>
        <w:t xml:space="preserve">The primary goals of the MAI are to improve HIV-related health outcomes </w:t>
      </w:r>
      <w:r w:rsidRPr="00E14DC5">
        <w:t>in communities disproportionately affected by HIV/AIDS</w:t>
      </w:r>
      <w:r>
        <w:t xml:space="preserve"> and reduce HIV-related disparities for racial and ethnic minority groups. The MAI was designed to focus attention on solving a growing public health problem and to develop and improve the capacity of minority community-based organizations to more effectively serve their communities. This approach was tailored to yield innovative and successful strategies specifically targeted to the highest risk and hardest to serve populations which for the past two decades have eluded more traditional HIV/AIDS prevention, treatment, and education efforts</w:t>
      </w:r>
      <w:r w:rsidRPr="00B56DB2">
        <w:t>.</w:t>
      </w:r>
      <w:r>
        <w:t xml:space="preserve"> </w:t>
      </w:r>
      <w:r w:rsidRPr="00B56DB2">
        <w:t>(</w:t>
      </w:r>
      <w:r w:rsidRPr="00284271">
        <w:t>U.</w:t>
      </w:r>
      <w:r>
        <w:t xml:space="preserve"> </w:t>
      </w:r>
      <w:r w:rsidRPr="00284271">
        <w:t xml:space="preserve">S. House of Representatives Committee on </w:t>
      </w:r>
      <w:r>
        <w:t>A</w:t>
      </w:r>
      <w:r w:rsidRPr="00284271">
        <w:t>ppropriations</w:t>
      </w:r>
      <w:r>
        <w:rPr>
          <w:iCs/>
        </w:rPr>
        <w:t xml:space="preserve">, </w:t>
      </w:r>
      <w:r w:rsidRPr="00B85F93">
        <w:rPr>
          <w:iCs/>
        </w:rPr>
        <w:t>2001</w:t>
      </w:r>
      <w:r w:rsidRPr="00B56DB2">
        <w:rPr>
          <w:iCs/>
        </w:rPr>
        <w:t>)</w:t>
      </w:r>
    </w:p>
    <w:p w:rsidR="000F48AC" w:rsidRDefault="000F48AC">
      <w:pPr>
        <w:ind w:left="720"/>
      </w:pPr>
    </w:p>
    <w:p w:rsidR="000F48AC" w:rsidRDefault="000F48AC" w:rsidP="00567737">
      <w:pPr>
        <w:pStyle w:val="Default"/>
        <w:ind w:left="720"/>
      </w:pPr>
      <w:r w:rsidRPr="00134A65">
        <w:t xml:space="preserve">SAMHSA provides the MAI funds for grants to expand treatment through increasing access and availability of services to a larger number of clients and/or to enhance services by improving the quality and/or the intensity of services in conjunction with HIV/AIDS services in African-American, Hispanic, and/or other racial and ethnic communities affected by the twin epidemics of substance abuse and HIV/AIDS. </w:t>
      </w:r>
      <w:r>
        <w:t>As described in the Request for Applications (RFA), e</w:t>
      </w:r>
      <w:r w:rsidRPr="00134A65">
        <w:t xml:space="preserve">nhanced and expanded services will </w:t>
      </w:r>
      <w:r>
        <w:t xml:space="preserve">have an influence on client </w:t>
      </w:r>
      <w:r w:rsidRPr="00134A65">
        <w:t>substance</w:t>
      </w:r>
      <w:r>
        <w:t xml:space="preserve"> use/</w:t>
      </w:r>
      <w:r w:rsidRPr="00134A65">
        <w:t xml:space="preserve">abuse, HIV/AIDS prevention, criminal activities and criminal justice involvement, and risk behaviors for HIV infection. The primary goal of SAMHSA’s TCE-HIV program is to improve access to substance abuse treatment services through increasing capacity and outreach to racial and ethnic minority populations. In </w:t>
      </w:r>
      <w:r>
        <w:t>SAMHSA’s</w:t>
      </w:r>
      <w:r w:rsidRPr="00134A65">
        <w:t xml:space="preserve"> effort to increase capacity </w:t>
      </w:r>
      <w:r>
        <w:t xml:space="preserve">of </w:t>
      </w:r>
      <w:r w:rsidRPr="00134A65">
        <w:t xml:space="preserve">the TCE-HIV funded </w:t>
      </w:r>
      <w:r>
        <w:t>programs, G</w:t>
      </w:r>
      <w:r w:rsidRPr="00134A65">
        <w:t xml:space="preserve">rantees are expected to develop memoranda of agreement with community-based organizations with experience in providing recovery support and other services in the targeted communities. Examples of possible community linkages include, but are not limited to: </w:t>
      </w:r>
    </w:p>
    <w:p w:rsidR="000F48AC" w:rsidRDefault="000F48AC" w:rsidP="00477BAD">
      <w:pPr>
        <w:pStyle w:val="Default"/>
        <w:ind w:left="720"/>
      </w:pPr>
    </w:p>
    <w:p w:rsidR="000F48AC" w:rsidRDefault="000F48AC" w:rsidP="007269A9">
      <w:pPr>
        <w:pStyle w:val="CM46"/>
        <w:numPr>
          <w:ilvl w:val="0"/>
          <w:numId w:val="47"/>
        </w:numPr>
        <w:spacing w:after="0"/>
      </w:pPr>
      <w:r w:rsidRPr="00134A65">
        <w:t>primary health car</w:t>
      </w:r>
      <w:r>
        <w:t>e;</w:t>
      </w:r>
    </w:p>
    <w:p w:rsidR="000F48AC" w:rsidRDefault="000F48AC" w:rsidP="007269A9">
      <w:pPr>
        <w:pStyle w:val="Default"/>
        <w:numPr>
          <w:ilvl w:val="0"/>
          <w:numId w:val="47"/>
        </w:numPr>
      </w:pPr>
      <w:r>
        <w:t>m</w:t>
      </w:r>
      <w:r w:rsidRPr="00134A65">
        <w:t>ental health and medical services for</w:t>
      </w:r>
      <w:r>
        <w:t xml:space="preserve"> </w:t>
      </w:r>
      <w:r w:rsidRPr="00134A65">
        <w:t>those who are HIV positive, have AIDS</w:t>
      </w:r>
      <w:r>
        <w:t>, or are at high risk of HIV infection;</w:t>
      </w:r>
    </w:p>
    <w:p w:rsidR="000F48AC" w:rsidRDefault="000F48AC" w:rsidP="007269A9">
      <w:pPr>
        <w:pStyle w:val="Default"/>
        <w:numPr>
          <w:ilvl w:val="0"/>
          <w:numId w:val="47"/>
        </w:numPr>
      </w:pPr>
      <w:r w:rsidRPr="00CC0FA7">
        <w:t xml:space="preserve">community-focused educational and preventive efforts; </w:t>
      </w:r>
    </w:p>
    <w:p w:rsidR="000F48AC" w:rsidRDefault="000F48AC" w:rsidP="007269A9">
      <w:pPr>
        <w:pStyle w:val="Default"/>
        <w:numPr>
          <w:ilvl w:val="0"/>
          <w:numId w:val="47"/>
        </w:numPr>
      </w:pPr>
      <w:r w:rsidRPr="00CC0FA7">
        <w:t>private industry-supported</w:t>
      </w:r>
      <w:r>
        <w:t xml:space="preserve"> </w:t>
      </w:r>
      <w:r w:rsidRPr="00CC0FA7">
        <w:t>work placements for recovering persons</w:t>
      </w:r>
      <w:r>
        <w:t>;</w:t>
      </w:r>
    </w:p>
    <w:p w:rsidR="000F48AC" w:rsidRDefault="000F48AC">
      <w:pPr>
        <w:pStyle w:val="Default"/>
        <w:numPr>
          <w:ilvl w:val="0"/>
          <w:numId w:val="47"/>
        </w:numPr>
      </w:pPr>
      <w:r w:rsidRPr="00CC0FA7">
        <w:t>faith-based organizational support;</w:t>
      </w:r>
    </w:p>
    <w:p w:rsidR="000F48AC" w:rsidRDefault="000F48AC">
      <w:pPr>
        <w:pStyle w:val="Default"/>
        <w:numPr>
          <w:ilvl w:val="0"/>
          <w:numId w:val="47"/>
        </w:numPr>
      </w:pPr>
      <w:r w:rsidRPr="00CC0FA7">
        <w:rPr>
          <w:color w:val="auto"/>
        </w:rPr>
        <w:t>support for the homeless;</w:t>
      </w:r>
    </w:p>
    <w:p w:rsidR="000F48AC" w:rsidRPr="00CC0FA7" w:rsidRDefault="000F48AC" w:rsidP="00550099">
      <w:pPr>
        <w:pStyle w:val="Default"/>
        <w:numPr>
          <w:ilvl w:val="0"/>
          <w:numId w:val="47"/>
        </w:numPr>
      </w:pPr>
      <w:r w:rsidRPr="00CC0FA7">
        <w:rPr>
          <w:color w:val="auto"/>
        </w:rPr>
        <w:t xml:space="preserve">HIV/AIDS community-based outreach projects; </w:t>
      </w:r>
    </w:p>
    <w:p w:rsidR="000F48AC" w:rsidRDefault="000F48AC">
      <w:pPr>
        <w:pStyle w:val="Default"/>
        <w:numPr>
          <w:ilvl w:val="0"/>
          <w:numId w:val="47"/>
        </w:numPr>
      </w:pPr>
      <w:r w:rsidRPr="00CC0FA7">
        <w:rPr>
          <w:color w:val="auto"/>
        </w:rPr>
        <w:t>HIV counseling and testing services;</w:t>
      </w:r>
    </w:p>
    <w:p w:rsidR="000F48AC" w:rsidRDefault="000F48AC">
      <w:pPr>
        <w:pStyle w:val="Default"/>
        <w:numPr>
          <w:ilvl w:val="0"/>
          <w:numId w:val="47"/>
        </w:numPr>
      </w:pPr>
      <w:r w:rsidRPr="00CC0FA7">
        <w:rPr>
          <w:color w:val="auto"/>
        </w:rPr>
        <w:t xml:space="preserve">opioid treatment programs; </w:t>
      </w:r>
      <w:r w:rsidRPr="000C5F83">
        <w:rPr>
          <w:color w:val="auto"/>
        </w:rPr>
        <w:t>and</w:t>
      </w:r>
    </w:p>
    <w:p w:rsidR="000F48AC" w:rsidRDefault="000F48AC">
      <w:pPr>
        <w:pStyle w:val="Default"/>
        <w:numPr>
          <w:ilvl w:val="0"/>
          <w:numId w:val="47"/>
        </w:numPr>
      </w:pPr>
      <w:r w:rsidRPr="00CC0FA7">
        <w:rPr>
          <w:color w:val="auto"/>
        </w:rPr>
        <w:t>health education and risk reduction information</w:t>
      </w:r>
      <w:r>
        <w:rPr>
          <w:color w:val="auto"/>
        </w:rPr>
        <w:t>.</w:t>
      </w:r>
    </w:p>
    <w:p w:rsidR="000F48AC" w:rsidRDefault="000F48AC" w:rsidP="00567737">
      <w:pPr>
        <w:ind w:left="720"/>
      </w:pPr>
    </w:p>
    <w:p w:rsidR="000F48AC" w:rsidRDefault="000F48AC" w:rsidP="00DC1118">
      <w:pPr>
        <w:ind w:left="720"/>
      </w:pPr>
      <w:r>
        <w:t xml:space="preserve">Although SAMHSA has provided TCE-HIV funding to Grantees for more than a decade, this </w:t>
      </w:r>
      <w:r w:rsidRPr="004D6522">
        <w:t>Multi-Site Evaluation</w:t>
      </w:r>
      <w:r w:rsidDel="00233745">
        <w:t xml:space="preserve"> </w:t>
      </w:r>
      <w:r>
        <w:t>effort represents the first multi-site evaluation designed to monitor the implementation activities of the MAI-funded TCE-HIV Grantees.</w:t>
      </w:r>
      <w:r w:rsidRPr="004D6522">
        <w:t xml:space="preserve"> </w:t>
      </w:r>
      <w:r w:rsidRPr="00337AA4">
        <w:t>SAMHSA</w:t>
      </w:r>
      <w:r w:rsidRPr="004D6522">
        <w:t xml:space="preserve"> inten</w:t>
      </w:r>
      <w:r>
        <w:t>ds to use</w:t>
      </w:r>
      <w:r w:rsidRPr="004D6522">
        <w:t xml:space="preserve"> the successful conceptualization, planning</w:t>
      </w:r>
      <w:r>
        <w:t>,</w:t>
      </w:r>
      <w:r w:rsidRPr="004D6522">
        <w:t xml:space="preserve"> and implementation of </w:t>
      </w:r>
      <w:r>
        <w:t>the</w:t>
      </w:r>
      <w:r w:rsidRPr="004D6522">
        <w:t xml:space="preserve"> </w:t>
      </w:r>
      <w:r>
        <w:t>m</w:t>
      </w:r>
      <w:r w:rsidRPr="004D6522">
        <w:t>ulti-</w:t>
      </w:r>
      <w:r>
        <w:t>s</w:t>
      </w:r>
      <w:r w:rsidRPr="004D6522">
        <w:t xml:space="preserve">ite </w:t>
      </w:r>
      <w:r>
        <w:t>e</w:t>
      </w:r>
      <w:r w:rsidRPr="004D6522">
        <w:t xml:space="preserve">valuation </w:t>
      </w:r>
      <w:r w:rsidRPr="00BB66D5">
        <w:t xml:space="preserve">to independently evaluate </w:t>
      </w:r>
      <w:r>
        <w:t>the MAI-funded TCE-HIV grant programs</w:t>
      </w:r>
      <w:r w:rsidRPr="00BB66D5">
        <w:t xml:space="preserve"> in a manner that is comprehensive</w:t>
      </w:r>
      <w:r>
        <w:t xml:space="preserve">, </w:t>
      </w:r>
      <w:r w:rsidRPr="00BB66D5">
        <w:t xml:space="preserve">will establish performance goals, and will describe the </w:t>
      </w:r>
      <w:r>
        <w:t xml:space="preserve">EBPs and service delivery </w:t>
      </w:r>
      <w:r w:rsidRPr="00BB66D5">
        <w:t xml:space="preserve">of </w:t>
      </w:r>
      <w:r>
        <w:t>the TCE-HIV program as well as obtain information about the substance abuse and sexual risk behaviors of the clients they serve</w:t>
      </w:r>
      <w:r w:rsidRPr="00BB66D5">
        <w:t>.</w:t>
      </w:r>
      <w:r>
        <w:t xml:space="preserve"> </w:t>
      </w:r>
      <w:r w:rsidRPr="0086465A">
        <w:t xml:space="preserve">Further, this first-of-a-kind </w:t>
      </w:r>
      <w:r w:rsidRPr="004D6522">
        <w:t>Multi-Site Evaluation</w:t>
      </w:r>
      <w:r w:rsidDel="005D4DAD">
        <w:t xml:space="preserve"> </w:t>
      </w:r>
      <w:r w:rsidRPr="0086465A">
        <w:t xml:space="preserve">will allow </w:t>
      </w:r>
      <w:r w:rsidRPr="00337AA4">
        <w:t>SAMHSA</w:t>
      </w:r>
      <w:r w:rsidRPr="0086465A">
        <w:t xml:space="preserve"> to </w:t>
      </w:r>
      <w:r>
        <w:t>fully describe</w:t>
      </w:r>
      <w:r w:rsidRPr="0086465A">
        <w:t xml:space="preserve"> the </w:t>
      </w:r>
      <w:r>
        <w:t xml:space="preserve">programs, their </w:t>
      </w:r>
      <w:r w:rsidRPr="0086465A">
        <w:t>providers, the clients they serve, and the community</w:t>
      </w:r>
      <w:r>
        <w:t xml:space="preserve"> in which the programs operate. </w:t>
      </w:r>
    </w:p>
    <w:p w:rsidR="000F48AC" w:rsidRDefault="000F48AC" w:rsidP="00DC1118"/>
    <w:p w:rsidR="000F48AC" w:rsidRDefault="000F48AC" w:rsidP="00DC1118">
      <w:pPr>
        <w:pStyle w:val="CM46"/>
        <w:spacing w:after="0" w:line="276" w:lineRule="atLeast"/>
        <w:ind w:left="720"/>
      </w:pPr>
      <w:r w:rsidRPr="00B9101F">
        <w:rPr>
          <w:b/>
        </w:rPr>
        <w:t>Centers for Disease Control and Prevention (CDC) Program Evaluation Framework</w:t>
      </w:r>
      <w:r>
        <w:rPr>
          <w:b/>
        </w:rPr>
        <w:t>.</w:t>
      </w:r>
      <w:r>
        <w:t xml:space="preserve"> </w:t>
      </w:r>
      <w:r w:rsidRPr="00CC0FA7">
        <w:t xml:space="preserve">The Multi-Site Evaluation </w:t>
      </w:r>
      <w:r>
        <w:t>Team is informed by</w:t>
      </w:r>
      <w:r w:rsidRPr="00CC0FA7">
        <w:t xml:space="preserve"> the CDC</w:t>
      </w:r>
      <w:r>
        <w:t xml:space="preserve"> Program Evaluation F</w:t>
      </w:r>
      <w:r w:rsidRPr="00CC0FA7">
        <w:t>ramework (</w:t>
      </w:r>
      <w:r>
        <w:t xml:space="preserve">Centers for Disease Control and Prevention, </w:t>
      </w:r>
      <w:r w:rsidRPr="00B85F93">
        <w:t>1999</w:t>
      </w:r>
      <w:r w:rsidRPr="00CC0FA7">
        <w:t xml:space="preserve">) </w:t>
      </w:r>
      <w:r>
        <w:t>(see Exhibit 1 below)</w:t>
      </w:r>
      <w:r w:rsidRPr="00CC0FA7">
        <w:t>. Th</w:t>
      </w:r>
      <w:r>
        <w:t>is</w:t>
      </w:r>
      <w:r w:rsidRPr="00CC0FA7">
        <w:t xml:space="preserve"> framework includes a set of</w:t>
      </w:r>
      <w:r>
        <w:t xml:space="preserve"> </w:t>
      </w:r>
      <w:r w:rsidRPr="00CC0FA7">
        <w:t xml:space="preserve">standards </w:t>
      </w:r>
      <w:r>
        <w:t xml:space="preserve">that address </w:t>
      </w:r>
      <w:r w:rsidRPr="00CC0FA7">
        <w:t>utility, feasibility, propriety, and accuracy</w:t>
      </w:r>
      <w:r>
        <w:t xml:space="preserve"> and aid in determining the potential effectiveness of the evaluation. </w:t>
      </w:r>
      <w:r w:rsidRPr="00CC0FA7">
        <w:t xml:space="preserve">The framework </w:t>
      </w:r>
      <w:r>
        <w:t>also includes</w:t>
      </w:r>
      <w:r w:rsidRPr="00CC0FA7">
        <w:t xml:space="preserve"> six steps that </w:t>
      </w:r>
      <w:r>
        <w:t>can serve as the basis for an evaluation</w:t>
      </w:r>
      <w:r w:rsidRPr="00CC0FA7">
        <w:t xml:space="preserve">. </w:t>
      </w:r>
      <w:r>
        <w:t xml:space="preserve">Although each of these steps builds on the previous one, the steps may be completed out of sequence. </w:t>
      </w:r>
      <w:r w:rsidRPr="00CC0FA7">
        <w:t xml:space="preserve">The </w:t>
      </w:r>
      <w:r>
        <w:t xml:space="preserve">activities conducted by the TCE-HIV Multi-Site Evaluation Team to address these steps </w:t>
      </w:r>
      <w:r w:rsidRPr="00CC0FA7">
        <w:t>are as follows:</w:t>
      </w:r>
    </w:p>
    <w:p w:rsidR="000F48AC" w:rsidRPr="005D4DAD" w:rsidRDefault="000F48AC" w:rsidP="00DC1118">
      <w:pPr>
        <w:pStyle w:val="Default"/>
      </w:pPr>
    </w:p>
    <w:p w:rsidR="000F48AC" w:rsidRPr="005D4DAD" w:rsidRDefault="000F48AC" w:rsidP="002D5A7D">
      <w:pPr>
        <w:pStyle w:val="Default"/>
        <w:numPr>
          <w:ilvl w:val="0"/>
          <w:numId w:val="53"/>
        </w:numPr>
        <w:rPr>
          <w:rStyle w:val="Strong"/>
          <w:b w:val="0"/>
          <w:bCs w:val="0"/>
          <w:color w:val="auto"/>
        </w:rPr>
      </w:pPr>
      <w:bookmarkStart w:id="8" w:name="stakeholders"/>
      <w:r w:rsidRPr="005D4DAD">
        <w:rPr>
          <w:rStyle w:val="Strong"/>
          <w:b w:val="0"/>
          <w:bCs w:val="0"/>
          <w:color w:val="auto"/>
        </w:rPr>
        <w:t>Engage Stakeholders</w:t>
      </w:r>
      <w:bookmarkEnd w:id="8"/>
      <w:r w:rsidRPr="005D4DAD">
        <w:rPr>
          <w:rStyle w:val="Strong"/>
          <w:b w:val="0"/>
          <w:bCs w:val="0"/>
          <w:color w:val="auto"/>
        </w:rPr>
        <w:t>: Held</w:t>
      </w:r>
      <w:r w:rsidRPr="005D4DAD">
        <w:t xml:space="preserve"> a series of Expert Panel Meetings</w:t>
      </w:r>
      <w:r>
        <w:t xml:space="preserve"> and Project Working Group Meetings</w:t>
      </w:r>
      <w:r w:rsidRPr="005D4DAD">
        <w:t xml:space="preserve">, obtained input from all </w:t>
      </w:r>
      <w:r>
        <w:t>G</w:t>
      </w:r>
      <w:r w:rsidRPr="005D4DAD">
        <w:t>rantees through preliminary site visits, and met with SAMHSA Government Project Officer to get information regarding lessons learned from previous TCE-HIV cohorts.</w:t>
      </w:r>
    </w:p>
    <w:p w:rsidR="000F48AC" w:rsidRDefault="000F48AC" w:rsidP="002D5A7D">
      <w:pPr>
        <w:pStyle w:val="Default"/>
        <w:numPr>
          <w:ilvl w:val="0"/>
          <w:numId w:val="53"/>
        </w:numPr>
        <w:rPr>
          <w:color w:val="auto"/>
        </w:rPr>
      </w:pPr>
      <w:bookmarkStart w:id="9" w:name="describe"/>
      <w:r w:rsidRPr="005D4DAD">
        <w:rPr>
          <w:color w:val="auto"/>
        </w:rPr>
        <w:t>D</w:t>
      </w:r>
      <w:bookmarkEnd w:id="9"/>
      <w:r w:rsidRPr="005D4DAD">
        <w:rPr>
          <w:color w:val="auto"/>
        </w:rPr>
        <w:t>escribe the Program</w:t>
      </w:r>
      <w:r>
        <w:rPr>
          <w:color w:val="auto"/>
        </w:rPr>
        <w:t>:</w:t>
      </w:r>
      <w:r w:rsidRPr="005D4DAD">
        <w:rPr>
          <w:color w:val="auto"/>
        </w:rPr>
        <w:t xml:space="preserve"> </w:t>
      </w:r>
      <w:r w:rsidRPr="005D4DAD">
        <w:t xml:space="preserve">Conducted data extraction to gather information from each grant application to explore commonalities and differences among the </w:t>
      </w:r>
      <w:r>
        <w:t>G</w:t>
      </w:r>
      <w:r w:rsidRPr="005D4DAD">
        <w:t xml:space="preserve">rantees and conducted a preliminary visit to each grantee site to learn about their </w:t>
      </w:r>
      <w:r>
        <w:t xml:space="preserve">proposed </w:t>
      </w:r>
      <w:r w:rsidRPr="005D4DAD">
        <w:t>program implementation.</w:t>
      </w:r>
      <w:r w:rsidRPr="005D4DAD" w:rsidDel="000B2265">
        <w:rPr>
          <w:color w:val="auto"/>
        </w:rPr>
        <w:t xml:space="preserve"> </w:t>
      </w:r>
    </w:p>
    <w:p w:rsidR="000F48AC" w:rsidRDefault="000F48AC" w:rsidP="002D5A7D">
      <w:pPr>
        <w:pStyle w:val="Default"/>
        <w:numPr>
          <w:ilvl w:val="0"/>
          <w:numId w:val="53"/>
        </w:numPr>
        <w:rPr>
          <w:color w:val="auto"/>
        </w:rPr>
      </w:pPr>
      <w:bookmarkStart w:id="10" w:name="design"/>
      <w:r w:rsidRPr="005D4DAD">
        <w:rPr>
          <w:color w:val="auto"/>
        </w:rPr>
        <w:t>F</w:t>
      </w:r>
      <w:bookmarkEnd w:id="10"/>
      <w:r w:rsidRPr="005D4DAD">
        <w:rPr>
          <w:color w:val="auto"/>
        </w:rPr>
        <w:t>ocus the Evaluation Design</w:t>
      </w:r>
      <w:r>
        <w:rPr>
          <w:color w:val="auto"/>
        </w:rPr>
        <w:t>:</w:t>
      </w:r>
      <w:r w:rsidRPr="005D4DAD">
        <w:rPr>
          <w:color w:val="auto"/>
        </w:rPr>
        <w:t xml:space="preserve"> </w:t>
      </w:r>
      <w:r w:rsidRPr="005D4DAD">
        <w:t>Gathered information from stakeholders to help focus the evaluation design in order to ensure that it is rigorous yet realistic and promotes efficient use of time and project resources.</w:t>
      </w:r>
    </w:p>
    <w:p w:rsidR="000F48AC" w:rsidRDefault="000F48AC" w:rsidP="002D5A7D">
      <w:pPr>
        <w:pStyle w:val="Default"/>
        <w:numPr>
          <w:ilvl w:val="0"/>
          <w:numId w:val="53"/>
        </w:numPr>
        <w:rPr>
          <w:color w:val="auto"/>
        </w:rPr>
      </w:pPr>
      <w:bookmarkStart w:id="11" w:name="evidence"/>
      <w:r w:rsidRPr="005D4DAD">
        <w:rPr>
          <w:color w:val="auto"/>
        </w:rPr>
        <w:t>G</w:t>
      </w:r>
      <w:bookmarkEnd w:id="11"/>
      <w:r w:rsidRPr="005D4DAD">
        <w:rPr>
          <w:color w:val="auto"/>
        </w:rPr>
        <w:t>ather Credible Evidence</w:t>
      </w:r>
      <w:r>
        <w:rPr>
          <w:color w:val="auto"/>
        </w:rPr>
        <w:t>:</w:t>
      </w:r>
      <w:r w:rsidRPr="005D4DAD">
        <w:rPr>
          <w:color w:val="auto"/>
        </w:rPr>
        <w:t xml:space="preserve"> </w:t>
      </w:r>
      <w:r w:rsidRPr="005D4DAD">
        <w:t>The TCE-HIV Multi-Site Evaluation Team’s goal is to collect information that will convey a well-rounded picture of the TCE-HIV program and be relevant for answering the evaluation questions.</w:t>
      </w:r>
    </w:p>
    <w:p w:rsidR="000F48AC" w:rsidRPr="005D4DAD" w:rsidRDefault="000F48AC" w:rsidP="002D5A7D">
      <w:pPr>
        <w:pStyle w:val="Default"/>
        <w:numPr>
          <w:ilvl w:val="0"/>
          <w:numId w:val="53"/>
        </w:numPr>
        <w:rPr>
          <w:color w:val="auto"/>
        </w:rPr>
      </w:pPr>
      <w:bookmarkStart w:id="12" w:name="justify"/>
      <w:r w:rsidRPr="005D4DAD">
        <w:rPr>
          <w:color w:val="auto"/>
        </w:rPr>
        <w:t>J</w:t>
      </w:r>
      <w:bookmarkEnd w:id="12"/>
      <w:r w:rsidRPr="005D4DAD">
        <w:rPr>
          <w:color w:val="auto"/>
        </w:rPr>
        <w:t xml:space="preserve">ustify Conclusions. </w:t>
      </w:r>
      <w:r w:rsidRPr="005D4DAD">
        <w:t>TCE-HIV Multi-Site Evaluation Team</w:t>
      </w:r>
      <w:r w:rsidRPr="005D4DAD" w:rsidDel="00060BA4">
        <w:t xml:space="preserve"> </w:t>
      </w:r>
      <w:r w:rsidRPr="005D4DAD">
        <w:t>plan</w:t>
      </w:r>
      <w:r>
        <w:t>s</w:t>
      </w:r>
      <w:r w:rsidRPr="005D4DAD">
        <w:t xml:space="preserve"> to justify </w:t>
      </w:r>
      <w:r>
        <w:t>its</w:t>
      </w:r>
      <w:r w:rsidRPr="005D4DAD">
        <w:t xml:space="preserve"> conclusions based on the data collected so stakeholders can use the evaluation results with confidence.</w:t>
      </w:r>
      <w:bookmarkStart w:id="13" w:name="use"/>
    </w:p>
    <w:p w:rsidR="000F48AC" w:rsidRPr="005D4DAD" w:rsidRDefault="000F48AC" w:rsidP="005670DC">
      <w:pPr>
        <w:pStyle w:val="Default"/>
        <w:numPr>
          <w:ilvl w:val="0"/>
          <w:numId w:val="53"/>
        </w:numPr>
      </w:pPr>
      <w:r w:rsidRPr="005D4DAD">
        <w:rPr>
          <w:color w:val="auto"/>
        </w:rPr>
        <w:t>Ensure Use and Share Lessons Learned</w:t>
      </w:r>
      <w:bookmarkEnd w:id="13"/>
      <w:r w:rsidRPr="005D4DAD">
        <w:rPr>
          <w:color w:val="auto"/>
        </w:rPr>
        <w:t xml:space="preserve">. </w:t>
      </w:r>
      <w:r w:rsidRPr="005D4DAD">
        <w:t>TCE-HIV Multi-Site Evaluation Team</w:t>
      </w:r>
      <w:r w:rsidRPr="005D4DAD" w:rsidDel="00060BA4">
        <w:t xml:space="preserve"> </w:t>
      </w:r>
      <w:r w:rsidRPr="005D4DAD">
        <w:t>will make every effort to ensure that the evaluation processes and findings are disseminated and used to benefit current and future TCE-HIV cohorts.</w:t>
      </w:r>
    </w:p>
    <w:p w:rsidR="000F48AC" w:rsidRPr="001C3F4F" w:rsidRDefault="000F48AC" w:rsidP="005670DC">
      <w:pPr>
        <w:pStyle w:val="Default"/>
        <w:ind w:left="1440"/>
        <w:rPr>
          <w:color w:val="auto"/>
        </w:rPr>
      </w:pPr>
    </w:p>
    <w:p w:rsidR="000F48AC" w:rsidRPr="005670DC" w:rsidRDefault="000F48AC" w:rsidP="001035A3">
      <w:pPr>
        <w:pStyle w:val="Default"/>
        <w:ind w:left="720"/>
        <w:rPr>
          <w:color w:val="auto"/>
        </w:rPr>
      </w:pPr>
      <w:r w:rsidRPr="00B9101F">
        <w:rPr>
          <w:b/>
          <w:color w:val="auto"/>
        </w:rPr>
        <w:t>Exhibit 1. CDC Program Evaluation Framework</w:t>
      </w:r>
    </w:p>
    <w:p w:rsidR="000F48AC" w:rsidRPr="005670DC" w:rsidRDefault="000F48AC" w:rsidP="001035A3">
      <w:pPr>
        <w:pStyle w:val="Default"/>
        <w:ind w:left="720"/>
        <w:rPr>
          <w:color w:val="auto"/>
        </w:rPr>
      </w:pPr>
    </w:p>
    <w:p w:rsidR="000F48AC" w:rsidRPr="005670DC" w:rsidRDefault="000F48AC" w:rsidP="000B2265">
      <w:pPr>
        <w:pStyle w:val="Default"/>
        <w:ind w:left="720"/>
        <w:jc w:val="center"/>
        <w:rPr>
          <w:color w:val="auto"/>
        </w:rPr>
      </w:pPr>
      <w:r w:rsidRPr="00A01ABA">
        <w:rPr>
          <w:noProof/>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3pt;height:339.75pt;visibility:visible">
            <v:imagedata r:id="rId7" o:title=""/>
          </v:shape>
        </w:pict>
      </w:r>
    </w:p>
    <w:p w:rsidR="000F48AC" w:rsidRPr="005670DC" w:rsidRDefault="000F48AC" w:rsidP="007269A9">
      <w:pPr>
        <w:ind w:left="720"/>
      </w:pPr>
      <w:r w:rsidRPr="00B9101F">
        <w:t>Source:</w:t>
      </w:r>
      <w:r w:rsidRPr="005670DC">
        <w:t xml:space="preserve"> C</w:t>
      </w:r>
      <w:r>
        <w:t>enters for Disease Control and Prevention</w:t>
      </w:r>
      <w:r w:rsidRPr="005670DC">
        <w:t xml:space="preserve">, </w:t>
      </w:r>
      <w:r w:rsidRPr="00665A39">
        <w:t>1999</w:t>
      </w:r>
    </w:p>
    <w:p w:rsidR="000F48AC" w:rsidRPr="005670DC" w:rsidRDefault="000F48AC" w:rsidP="007269A9">
      <w:pPr>
        <w:ind w:left="720"/>
      </w:pPr>
    </w:p>
    <w:p w:rsidR="000F48AC" w:rsidRDefault="000F48AC" w:rsidP="007269A9">
      <w:pPr>
        <w:ind w:left="720"/>
      </w:pPr>
      <w:r w:rsidRPr="005670DC">
        <w:t>The Multi-Site Evaluation contract was awarded September 1, 2008. The act</w:t>
      </w:r>
      <w:r>
        <w:t>ivities conducted in the first 2</w:t>
      </w:r>
      <w:r w:rsidRPr="005670DC">
        <w:t xml:space="preserve"> years of the 5-year contract have </w:t>
      </w:r>
      <w:r>
        <w:t xml:space="preserve">(1) </w:t>
      </w:r>
      <w:r w:rsidRPr="005670DC">
        <w:t>systematic</w:t>
      </w:r>
      <w:r>
        <w:t>ally</w:t>
      </w:r>
      <w:r w:rsidRPr="005670DC">
        <w:t xml:space="preserve"> follow</w:t>
      </w:r>
      <w:r>
        <w:t>ed</w:t>
      </w:r>
      <w:r w:rsidRPr="005670DC">
        <w:t xml:space="preserve"> the CDC evaluation framework</w:t>
      </w:r>
      <w:r>
        <w:t>;</w:t>
      </w:r>
      <w:r w:rsidRPr="005670DC">
        <w:t xml:space="preserve"> </w:t>
      </w:r>
      <w:r>
        <w:t>(2)</w:t>
      </w:r>
      <w:r w:rsidRPr="005670DC">
        <w:t xml:space="preserve"> develop</w:t>
      </w:r>
      <w:r>
        <w:t>ed</w:t>
      </w:r>
      <w:r w:rsidRPr="005670DC">
        <w:t xml:space="preserve"> the </w:t>
      </w:r>
      <w:r w:rsidRPr="004D6522">
        <w:t>Multi-Site Evaluation</w:t>
      </w:r>
      <w:r w:rsidRPr="005670DC" w:rsidDel="00820461">
        <w:t xml:space="preserve"> </w:t>
      </w:r>
      <w:r w:rsidRPr="005670DC">
        <w:t>plan through meetings with multidisciplinary group</w:t>
      </w:r>
      <w:r>
        <w:t>s</w:t>
      </w:r>
      <w:r w:rsidRPr="005670DC">
        <w:t xml:space="preserve"> of experts to focus the evaluation design</w:t>
      </w:r>
      <w:r>
        <w:t>; (3)</w:t>
      </w:r>
      <w:r w:rsidRPr="005670DC">
        <w:t xml:space="preserve"> review</w:t>
      </w:r>
      <w:r>
        <w:t>ed</w:t>
      </w:r>
      <w:r w:rsidRPr="005670DC">
        <w:t xml:space="preserve"> each Grantee application to ext</w:t>
      </w:r>
      <w:r w:rsidRPr="00EC5B74">
        <w:t xml:space="preserve">ract </w:t>
      </w:r>
      <w:r>
        <w:t>descriptive program</w:t>
      </w:r>
      <w:r w:rsidRPr="00EC5B74">
        <w:t xml:space="preserve"> information</w:t>
      </w:r>
      <w:r>
        <w:t>;</w:t>
      </w:r>
      <w:r w:rsidRPr="005670DC">
        <w:t xml:space="preserve"> </w:t>
      </w:r>
      <w:r>
        <w:t xml:space="preserve">and (4) </w:t>
      </w:r>
      <w:r w:rsidRPr="00EC5B74">
        <w:t>conduct</w:t>
      </w:r>
      <w:r>
        <w:t>ed</w:t>
      </w:r>
      <w:r w:rsidRPr="00EC5B74">
        <w:t xml:space="preserve"> preliminary site visits to engage stakeholders</w:t>
      </w:r>
      <w:r>
        <w:t xml:space="preserve"> and build relationships</w:t>
      </w:r>
      <w:r w:rsidRPr="00EC5B74">
        <w:t>.</w:t>
      </w:r>
      <w:r>
        <w:t xml:space="preserve"> As stipulated in the RFA, </w:t>
      </w:r>
      <w:r w:rsidRPr="00425E3B">
        <w:t xml:space="preserve">Grantees are required to participate in the Multi-Site Evaluation of the TCE-HIV grant program to allow </w:t>
      </w:r>
      <w:r>
        <w:t>G</w:t>
      </w:r>
      <w:r w:rsidRPr="00425E3B">
        <w:t>rantees and SAMHSA to assess the progress of individual projects as well as measure the effectiveness of the grant program overall.</w:t>
      </w:r>
      <w:r>
        <w:t xml:space="preserve">  In addition, a</w:t>
      </w:r>
      <w:r w:rsidRPr="00425E3B">
        <w:t xml:space="preserve">ll grantees </w:t>
      </w:r>
      <w:r>
        <w:t>are</w:t>
      </w:r>
      <w:r w:rsidRPr="00425E3B">
        <w:t xml:space="preserve"> required to provide performance data for outreach/pretreatment and clinical treatment</w:t>
      </w:r>
      <w:r w:rsidRPr="00425E3B">
        <w:rPr>
          <w:b/>
          <w:bCs/>
        </w:rPr>
        <w:t xml:space="preserve"> </w:t>
      </w:r>
      <w:r w:rsidRPr="00425E3B">
        <w:t>to SAMHSA. Grantees will be required to comply with any changes in data collection requirements</w:t>
      </w:r>
      <w:r>
        <w:t xml:space="preserve"> that are a result of the </w:t>
      </w:r>
      <w:r w:rsidRPr="004D6522">
        <w:t>Multi-Site Evaluation</w:t>
      </w:r>
      <w:r>
        <w:t xml:space="preserve">. </w:t>
      </w:r>
    </w:p>
    <w:p w:rsidR="000F48AC" w:rsidRDefault="000F48AC" w:rsidP="00EC5B74"/>
    <w:p w:rsidR="000F48AC" w:rsidRDefault="000F48AC" w:rsidP="00425E3B">
      <w:pPr>
        <w:ind w:left="720"/>
      </w:pPr>
      <w:r w:rsidRPr="00B9101F">
        <w:rPr>
          <w:b/>
        </w:rPr>
        <w:t>Description of the F</w:t>
      </w:r>
      <w:r>
        <w:rPr>
          <w:b/>
        </w:rPr>
        <w:t xml:space="preserve">iscal </w:t>
      </w:r>
      <w:r w:rsidRPr="00B9101F">
        <w:rPr>
          <w:b/>
        </w:rPr>
        <w:t>Y</w:t>
      </w:r>
      <w:r>
        <w:rPr>
          <w:b/>
        </w:rPr>
        <w:t>ear 20</w:t>
      </w:r>
      <w:r w:rsidRPr="00B9101F">
        <w:rPr>
          <w:b/>
        </w:rPr>
        <w:t>08 TCE-HIV Grantees</w:t>
      </w:r>
      <w:r>
        <w:rPr>
          <w:color w:val="000000"/>
        </w:rPr>
        <w:t xml:space="preserve">. </w:t>
      </w:r>
      <w:r w:rsidRPr="00594529">
        <w:rPr>
          <w:color w:val="000000"/>
        </w:rPr>
        <w:t xml:space="preserve">According to the RFA, all </w:t>
      </w:r>
      <w:r>
        <w:rPr>
          <w:color w:val="000000"/>
        </w:rPr>
        <w:t>G</w:t>
      </w:r>
      <w:r w:rsidRPr="00594529">
        <w:rPr>
          <w:color w:val="000000"/>
        </w:rPr>
        <w:t xml:space="preserve">rantees must ensure that they use methods to reach populations of high-risk substance abusers in racial/ethnic minority communities (e.g., African American, Hispanic/Latino) and design programs that are effective in reaching those populations. Grantees could target </w:t>
      </w:r>
      <w:r w:rsidRPr="00B9101F">
        <w:rPr>
          <w:bCs/>
          <w:color w:val="000000"/>
        </w:rPr>
        <w:t>one or more</w:t>
      </w:r>
      <w:r w:rsidRPr="00594529">
        <w:rPr>
          <w:b/>
          <w:bCs/>
          <w:color w:val="000000"/>
        </w:rPr>
        <w:t xml:space="preserve"> </w:t>
      </w:r>
      <w:r w:rsidRPr="00594529">
        <w:rPr>
          <w:color w:val="000000"/>
        </w:rPr>
        <w:t xml:space="preserve">of the high-risk substance abusing populations listed in </w:t>
      </w:r>
      <w:r>
        <w:rPr>
          <w:color w:val="000000"/>
        </w:rPr>
        <w:t>Exhibit 2</w:t>
      </w:r>
      <w:r w:rsidRPr="00594529">
        <w:rPr>
          <w:color w:val="000000"/>
        </w:rPr>
        <w:t xml:space="preserve"> below. This table demonstrates that </w:t>
      </w:r>
      <w:r w:rsidRPr="00594529">
        <w:t xml:space="preserve">the 48 Grantees of the </w:t>
      </w:r>
      <w:r>
        <w:t xml:space="preserve">FY08 </w:t>
      </w:r>
      <w:r w:rsidRPr="00594529">
        <w:t>TCE-HIV program are a diverse group of programs, providing a wide variety of services to varied target populations.</w:t>
      </w:r>
    </w:p>
    <w:p w:rsidR="000F48AC" w:rsidRPr="00594529" w:rsidRDefault="000F48AC" w:rsidP="00425E3B">
      <w:pPr>
        <w:ind w:left="720"/>
      </w:pPr>
      <w:r>
        <w:t xml:space="preserve">  </w:t>
      </w:r>
    </w:p>
    <w:p w:rsidR="000F48AC" w:rsidRDefault="000F48AC" w:rsidP="00B9101F">
      <w:pPr>
        <w:ind w:left="720"/>
        <w:rPr>
          <w:color w:val="000000"/>
        </w:rPr>
      </w:pPr>
      <w:r w:rsidRPr="0097556A">
        <w:rPr>
          <w:b/>
          <w:bCs/>
          <w:color w:val="000000"/>
        </w:rPr>
        <w:t>Exhibit 2</w:t>
      </w:r>
      <w:r w:rsidRPr="0097556A">
        <w:rPr>
          <w:b/>
          <w:bCs/>
        </w:rPr>
        <w:t>. Grantee Self-Reported Target Populations</w:t>
      </w:r>
      <w:r w:rsidRPr="0097556A">
        <w:rPr>
          <w:b/>
          <w:bCs/>
          <w:color w:val="FFFFFF"/>
        </w:rPr>
        <w:t xml:space="preserve">  </w:t>
      </w:r>
    </w:p>
    <w:tbl>
      <w:tblPr>
        <w:tblW w:w="8640" w:type="dxa"/>
        <w:tblInd w:w="720" w:type="dxa"/>
        <w:tblLook w:val="00A0"/>
      </w:tblPr>
      <w:tblGrid>
        <w:gridCol w:w="6480"/>
        <w:gridCol w:w="2160"/>
      </w:tblGrid>
      <w:tr w:rsidR="000F48AC" w:rsidRPr="004F479F" w:rsidTr="00EB37AA">
        <w:trPr>
          <w:trHeight w:val="539"/>
        </w:trPr>
        <w:tc>
          <w:tcPr>
            <w:tcW w:w="6480" w:type="dxa"/>
            <w:tcBorders>
              <w:top w:val="single" w:sz="4" w:space="0" w:color="auto"/>
              <w:left w:val="single" w:sz="8" w:space="0" w:color="000000"/>
              <w:bottom w:val="single" w:sz="8" w:space="0" w:color="000000"/>
              <w:right w:val="single" w:sz="8" w:space="0" w:color="000000"/>
            </w:tcBorders>
            <w:vAlign w:val="center"/>
          </w:tcPr>
          <w:p w:rsidR="000F48AC" w:rsidRPr="0097556A" w:rsidRDefault="000F48AC" w:rsidP="00BD0062">
            <w:pPr>
              <w:jc w:val="center"/>
              <w:rPr>
                <w:b/>
                <w:bCs/>
                <w:color w:val="000000"/>
              </w:rPr>
            </w:pPr>
            <w:r w:rsidRPr="0097556A">
              <w:rPr>
                <w:b/>
                <w:bCs/>
                <w:color w:val="000000"/>
              </w:rPr>
              <w:t>High-Risk Target Population</w:t>
            </w:r>
          </w:p>
        </w:tc>
        <w:tc>
          <w:tcPr>
            <w:tcW w:w="2160" w:type="dxa"/>
            <w:tcBorders>
              <w:top w:val="single" w:sz="4" w:space="0" w:color="auto"/>
              <w:left w:val="single" w:sz="8" w:space="0" w:color="000000"/>
              <w:bottom w:val="single" w:sz="8" w:space="0" w:color="000000"/>
              <w:right w:val="single" w:sz="8" w:space="0" w:color="000000"/>
            </w:tcBorders>
            <w:vAlign w:val="center"/>
          </w:tcPr>
          <w:p w:rsidR="000F48AC" w:rsidRPr="0097556A" w:rsidRDefault="000F48AC" w:rsidP="00BD0062">
            <w:pPr>
              <w:jc w:val="center"/>
              <w:rPr>
                <w:b/>
                <w:bCs/>
                <w:color w:val="000000"/>
              </w:rPr>
            </w:pPr>
            <w:r w:rsidRPr="0097556A">
              <w:rPr>
                <w:b/>
                <w:bCs/>
                <w:color w:val="000000"/>
              </w:rPr>
              <w:t>Frequency*</w:t>
            </w:r>
          </w:p>
        </w:tc>
      </w:tr>
      <w:tr w:rsidR="000F48AC" w:rsidRPr="003007EC" w:rsidTr="00EB37AA">
        <w:trPr>
          <w:trHeight w:val="667"/>
        </w:trPr>
        <w:tc>
          <w:tcPr>
            <w:tcW w:w="6480" w:type="dxa"/>
            <w:tcBorders>
              <w:top w:val="single" w:sz="8" w:space="0" w:color="000000"/>
              <w:left w:val="single" w:sz="8" w:space="0" w:color="000000"/>
              <w:bottom w:val="single" w:sz="8" w:space="0" w:color="000000"/>
              <w:right w:val="single" w:sz="8" w:space="0" w:color="000000"/>
            </w:tcBorders>
            <w:vAlign w:val="center"/>
          </w:tcPr>
          <w:p w:rsidR="000F48AC" w:rsidRPr="00E16BE4" w:rsidRDefault="000F48AC" w:rsidP="00BD0062">
            <w:pPr>
              <w:rPr>
                <w:sz w:val="22"/>
                <w:szCs w:val="22"/>
              </w:rPr>
            </w:pPr>
            <w:r w:rsidRPr="00E16BE4">
              <w:rPr>
                <w:color w:val="000000"/>
                <w:sz w:val="22"/>
                <w:szCs w:val="22"/>
              </w:rPr>
              <w:t>Injecting and at-risk non-injecting drug (including alcohol) users and their partners</w:t>
            </w:r>
          </w:p>
        </w:tc>
        <w:tc>
          <w:tcPr>
            <w:tcW w:w="2160" w:type="dxa"/>
            <w:tcBorders>
              <w:top w:val="single" w:sz="8" w:space="0" w:color="000000"/>
              <w:left w:val="single" w:sz="8" w:space="0" w:color="000000"/>
              <w:bottom w:val="single" w:sz="8" w:space="0" w:color="000000"/>
              <w:right w:val="single" w:sz="8" w:space="0" w:color="000000"/>
            </w:tcBorders>
            <w:vAlign w:val="center"/>
          </w:tcPr>
          <w:p w:rsidR="000F48AC" w:rsidRPr="00E16BE4" w:rsidRDefault="000F48AC" w:rsidP="00BD0062">
            <w:pPr>
              <w:jc w:val="center"/>
              <w:rPr>
                <w:sz w:val="22"/>
                <w:szCs w:val="22"/>
              </w:rPr>
            </w:pPr>
            <w:r w:rsidRPr="00E16BE4">
              <w:rPr>
                <w:sz w:val="22"/>
                <w:szCs w:val="22"/>
              </w:rPr>
              <w:t>44</w:t>
            </w:r>
          </w:p>
        </w:tc>
      </w:tr>
      <w:tr w:rsidR="000F48AC" w:rsidRPr="003007EC" w:rsidTr="00EB37AA">
        <w:trPr>
          <w:trHeight w:val="601"/>
        </w:trPr>
        <w:tc>
          <w:tcPr>
            <w:tcW w:w="6480" w:type="dxa"/>
            <w:tcBorders>
              <w:top w:val="single" w:sz="8" w:space="0" w:color="000000"/>
              <w:left w:val="single" w:sz="8" w:space="0" w:color="000000"/>
              <w:bottom w:val="single" w:sz="8" w:space="0" w:color="000000"/>
              <w:right w:val="single" w:sz="8" w:space="0" w:color="000000"/>
            </w:tcBorders>
            <w:vAlign w:val="center"/>
          </w:tcPr>
          <w:p w:rsidR="000F48AC" w:rsidRPr="00E16BE4" w:rsidRDefault="000F48AC" w:rsidP="00BD0062">
            <w:pPr>
              <w:rPr>
                <w:sz w:val="22"/>
                <w:szCs w:val="22"/>
              </w:rPr>
            </w:pPr>
            <w:r w:rsidRPr="00E16BE4">
              <w:rPr>
                <w:sz w:val="22"/>
                <w:szCs w:val="22"/>
              </w:rPr>
              <w:t>Women, including women and their children</w:t>
            </w:r>
          </w:p>
        </w:tc>
        <w:tc>
          <w:tcPr>
            <w:tcW w:w="2160" w:type="dxa"/>
            <w:tcBorders>
              <w:top w:val="single" w:sz="8" w:space="0" w:color="000000"/>
              <w:left w:val="single" w:sz="8" w:space="0" w:color="000000"/>
              <w:bottom w:val="single" w:sz="8" w:space="0" w:color="000000"/>
              <w:right w:val="single" w:sz="8" w:space="0" w:color="000000"/>
            </w:tcBorders>
            <w:vAlign w:val="center"/>
          </w:tcPr>
          <w:p w:rsidR="000F48AC" w:rsidRPr="00E16BE4" w:rsidRDefault="000F48AC" w:rsidP="00BD0062">
            <w:pPr>
              <w:jc w:val="center"/>
              <w:rPr>
                <w:sz w:val="22"/>
                <w:szCs w:val="22"/>
              </w:rPr>
            </w:pPr>
            <w:r w:rsidRPr="00E16BE4">
              <w:rPr>
                <w:sz w:val="22"/>
                <w:szCs w:val="22"/>
              </w:rPr>
              <w:t>36</w:t>
            </w:r>
          </w:p>
        </w:tc>
      </w:tr>
      <w:tr w:rsidR="000F48AC" w:rsidRPr="003007EC" w:rsidTr="00EB37AA">
        <w:trPr>
          <w:trHeight w:val="601"/>
        </w:trPr>
        <w:tc>
          <w:tcPr>
            <w:tcW w:w="6480" w:type="dxa"/>
            <w:tcBorders>
              <w:top w:val="single" w:sz="8" w:space="0" w:color="000000"/>
              <w:left w:val="single" w:sz="8" w:space="0" w:color="000000"/>
              <w:bottom w:val="single" w:sz="8" w:space="0" w:color="000000"/>
              <w:right w:val="single" w:sz="8" w:space="0" w:color="000000"/>
            </w:tcBorders>
            <w:vAlign w:val="center"/>
          </w:tcPr>
          <w:p w:rsidR="000F48AC" w:rsidRPr="00E16BE4" w:rsidRDefault="000F48AC" w:rsidP="00BD0062">
            <w:pPr>
              <w:rPr>
                <w:sz w:val="22"/>
                <w:szCs w:val="22"/>
              </w:rPr>
            </w:pPr>
            <w:r w:rsidRPr="00E16BE4">
              <w:rPr>
                <w:color w:val="000000"/>
                <w:sz w:val="22"/>
                <w:szCs w:val="22"/>
              </w:rPr>
              <w:t>Individuals who have been released from prisons and jails within the past 2 years</w:t>
            </w:r>
          </w:p>
        </w:tc>
        <w:tc>
          <w:tcPr>
            <w:tcW w:w="2160" w:type="dxa"/>
            <w:tcBorders>
              <w:top w:val="single" w:sz="8" w:space="0" w:color="000000"/>
              <w:left w:val="single" w:sz="8" w:space="0" w:color="000000"/>
              <w:bottom w:val="single" w:sz="8" w:space="0" w:color="000000"/>
              <w:right w:val="single" w:sz="8" w:space="0" w:color="000000"/>
            </w:tcBorders>
            <w:vAlign w:val="center"/>
          </w:tcPr>
          <w:p w:rsidR="000F48AC" w:rsidRPr="00E16BE4" w:rsidRDefault="000F48AC" w:rsidP="00BD0062">
            <w:pPr>
              <w:jc w:val="center"/>
              <w:rPr>
                <w:sz w:val="22"/>
                <w:szCs w:val="22"/>
              </w:rPr>
            </w:pPr>
            <w:r w:rsidRPr="00E16BE4">
              <w:rPr>
                <w:sz w:val="22"/>
                <w:szCs w:val="22"/>
              </w:rPr>
              <w:t>31</w:t>
            </w:r>
          </w:p>
        </w:tc>
      </w:tr>
      <w:tr w:rsidR="000F48AC" w:rsidRPr="003007EC" w:rsidTr="00EB37AA">
        <w:trPr>
          <w:trHeight w:val="601"/>
        </w:trPr>
        <w:tc>
          <w:tcPr>
            <w:tcW w:w="6480" w:type="dxa"/>
            <w:tcBorders>
              <w:top w:val="single" w:sz="8" w:space="0" w:color="000000"/>
              <w:left w:val="single" w:sz="8" w:space="0" w:color="000000"/>
              <w:bottom w:val="single" w:sz="8" w:space="0" w:color="000000"/>
              <w:right w:val="single" w:sz="8" w:space="0" w:color="000000"/>
            </w:tcBorders>
            <w:vAlign w:val="center"/>
          </w:tcPr>
          <w:p w:rsidR="000F48AC" w:rsidRPr="00E16BE4" w:rsidRDefault="000F48AC" w:rsidP="00BD0062">
            <w:pPr>
              <w:rPr>
                <w:sz w:val="22"/>
                <w:szCs w:val="22"/>
              </w:rPr>
            </w:pPr>
            <w:r w:rsidRPr="00B9101F">
              <w:rPr>
                <w:sz w:val="22"/>
                <w:szCs w:val="22"/>
              </w:rPr>
              <w:t>Men who have sex with men (MSMs)</w:t>
            </w:r>
          </w:p>
        </w:tc>
        <w:tc>
          <w:tcPr>
            <w:tcW w:w="2160" w:type="dxa"/>
            <w:tcBorders>
              <w:top w:val="single" w:sz="8" w:space="0" w:color="000000"/>
              <w:left w:val="single" w:sz="8" w:space="0" w:color="000000"/>
              <w:bottom w:val="single" w:sz="8" w:space="0" w:color="000000"/>
              <w:right w:val="single" w:sz="8" w:space="0" w:color="000000"/>
            </w:tcBorders>
            <w:vAlign w:val="center"/>
          </w:tcPr>
          <w:p w:rsidR="000F48AC" w:rsidRPr="00E16BE4" w:rsidRDefault="000F48AC" w:rsidP="00BD0062">
            <w:pPr>
              <w:jc w:val="center"/>
              <w:rPr>
                <w:sz w:val="22"/>
                <w:szCs w:val="22"/>
              </w:rPr>
            </w:pPr>
            <w:r w:rsidRPr="00E16BE4">
              <w:rPr>
                <w:sz w:val="22"/>
                <w:szCs w:val="22"/>
              </w:rPr>
              <w:t>26</w:t>
            </w:r>
          </w:p>
        </w:tc>
      </w:tr>
      <w:tr w:rsidR="000F48AC" w:rsidRPr="003007EC" w:rsidTr="00EB37AA">
        <w:trPr>
          <w:trHeight w:val="601"/>
        </w:trPr>
        <w:tc>
          <w:tcPr>
            <w:tcW w:w="6480" w:type="dxa"/>
            <w:tcBorders>
              <w:top w:val="single" w:sz="8" w:space="0" w:color="000000"/>
              <w:left w:val="single" w:sz="8" w:space="0" w:color="000000"/>
              <w:bottom w:val="single" w:sz="8" w:space="0" w:color="000000"/>
              <w:right w:val="single" w:sz="8" w:space="0" w:color="000000"/>
            </w:tcBorders>
            <w:vAlign w:val="center"/>
          </w:tcPr>
          <w:p w:rsidR="000F48AC" w:rsidRPr="00E16BE4" w:rsidRDefault="000F48AC" w:rsidP="00BD0062">
            <w:pPr>
              <w:rPr>
                <w:sz w:val="22"/>
                <w:szCs w:val="22"/>
              </w:rPr>
            </w:pPr>
            <w:r w:rsidRPr="00E16BE4">
              <w:rPr>
                <w:sz w:val="22"/>
                <w:szCs w:val="22"/>
              </w:rPr>
              <w:t>Adolescents (ages 12–17) and/or young adults (ages 18–24)</w:t>
            </w:r>
          </w:p>
        </w:tc>
        <w:tc>
          <w:tcPr>
            <w:tcW w:w="2160" w:type="dxa"/>
            <w:tcBorders>
              <w:top w:val="single" w:sz="8" w:space="0" w:color="000000"/>
              <w:left w:val="single" w:sz="8" w:space="0" w:color="000000"/>
              <w:bottom w:val="single" w:sz="8" w:space="0" w:color="000000"/>
              <w:right w:val="single" w:sz="8" w:space="0" w:color="000000"/>
            </w:tcBorders>
            <w:vAlign w:val="center"/>
          </w:tcPr>
          <w:p w:rsidR="000F48AC" w:rsidRPr="00E16BE4" w:rsidRDefault="000F48AC" w:rsidP="00BD0062">
            <w:pPr>
              <w:jc w:val="center"/>
              <w:rPr>
                <w:sz w:val="22"/>
                <w:szCs w:val="22"/>
              </w:rPr>
            </w:pPr>
            <w:r w:rsidRPr="00E16BE4">
              <w:rPr>
                <w:sz w:val="22"/>
                <w:szCs w:val="22"/>
              </w:rPr>
              <w:t>15</w:t>
            </w:r>
          </w:p>
        </w:tc>
      </w:tr>
      <w:tr w:rsidR="000F48AC" w:rsidRPr="003007EC" w:rsidTr="00EB37AA">
        <w:trPr>
          <w:trHeight w:val="601"/>
        </w:trPr>
        <w:tc>
          <w:tcPr>
            <w:tcW w:w="6480" w:type="dxa"/>
            <w:tcBorders>
              <w:top w:val="single" w:sz="8" w:space="0" w:color="000000"/>
              <w:left w:val="single" w:sz="8" w:space="0" w:color="000000"/>
              <w:bottom w:val="single" w:sz="8" w:space="0" w:color="000000"/>
              <w:right w:val="single" w:sz="8" w:space="0" w:color="000000"/>
            </w:tcBorders>
            <w:vAlign w:val="center"/>
          </w:tcPr>
          <w:p w:rsidR="000F48AC" w:rsidRPr="00E16BE4" w:rsidRDefault="000F48AC" w:rsidP="00BD0062">
            <w:pPr>
              <w:rPr>
                <w:sz w:val="22"/>
                <w:szCs w:val="22"/>
              </w:rPr>
            </w:pPr>
            <w:r w:rsidRPr="00B9101F">
              <w:rPr>
                <w:sz w:val="22"/>
                <w:szCs w:val="22"/>
              </w:rPr>
              <w:t>Returning veterans</w:t>
            </w:r>
          </w:p>
        </w:tc>
        <w:tc>
          <w:tcPr>
            <w:tcW w:w="2160" w:type="dxa"/>
            <w:tcBorders>
              <w:top w:val="single" w:sz="8" w:space="0" w:color="000000"/>
              <w:left w:val="single" w:sz="8" w:space="0" w:color="000000"/>
              <w:bottom w:val="single" w:sz="8" w:space="0" w:color="000000"/>
              <w:right w:val="single" w:sz="8" w:space="0" w:color="000000"/>
            </w:tcBorders>
            <w:vAlign w:val="center"/>
          </w:tcPr>
          <w:p w:rsidR="000F48AC" w:rsidRPr="00E16BE4" w:rsidRDefault="000F48AC" w:rsidP="00BD0062">
            <w:pPr>
              <w:jc w:val="center"/>
              <w:rPr>
                <w:sz w:val="22"/>
                <w:szCs w:val="22"/>
              </w:rPr>
            </w:pPr>
            <w:r w:rsidRPr="00E16BE4">
              <w:rPr>
                <w:sz w:val="22"/>
                <w:szCs w:val="22"/>
              </w:rPr>
              <w:t>7</w:t>
            </w:r>
          </w:p>
        </w:tc>
      </w:tr>
    </w:tbl>
    <w:p w:rsidR="000F48AC" w:rsidRPr="00B9101F" w:rsidRDefault="000F48AC" w:rsidP="00B9101F">
      <w:pPr>
        <w:ind w:left="720"/>
        <w:rPr>
          <w:sz w:val="18"/>
          <w:szCs w:val="18"/>
        </w:rPr>
      </w:pPr>
      <w:r w:rsidRPr="00B9101F">
        <w:rPr>
          <w:sz w:val="18"/>
          <w:szCs w:val="18"/>
        </w:rPr>
        <w:t xml:space="preserve">* Grantees could target multiple high-risk populations, thus these numbers do not add to 48 (i.e., the number of Grantees). </w:t>
      </w:r>
    </w:p>
    <w:p w:rsidR="000F48AC" w:rsidRDefault="000F48AC" w:rsidP="00594529">
      <w:pPr>
        <w:rPr>
          <w:color w:val="000000"/>
          <w:sz w:val="22"/>
          <w:szCs w:val="22"/>
        </w:rPr>
      </w:pPr>
    </w:p>
    <w:p w:rsidR="000F48AC" w:rsidRDefault="000F48AC" w:rsidP="00425E3B">
      <w:pPr>
        <w:ind w:left="720"/>
      </w:pPr>
      <w:r w:rsidRPr="00425E3B">
        <w:rPr>
          <w:color w:val="000000"/>
        </w:rPr>
        <w:t xml:space="preserve">As specified in the RFA, </w:t>
      </w:r>
      <w:r>
        <w:rPr>
          <w:color w:val="000000"/>
        </w:rPr>
        <w:t>G</w:t>
      </w:r>
      <w:r w:rsidRPr="00425E3B">
        <w:rPr>
          <w:color w:val="000000"/>
        </w:rPr>
        <w:t xml:space="preserve">rantees </w:t>
      </w:r>
      <w:r>
        <w:rPr>
          <w:color w:val="000000"/>
        </w:rPr>
        <w:t>could</w:t>
      </w:r>
      <w:r w:rsidRPr="00425E3B">
        <w:rPr>
          <w:color w:val="000000"/>
        </w:rPr>
        <w:t xml:space="preserve"> expand</w:t>
      </w:r>
      <w:r w:rsidRPr="00425E3B">
        <w:rPr>
          <w:b/>
          <w:bCs/>
          <w:color w:val="000000"/>
        </w:rPr>
        <w:t xml:space="preserve"> </w:t>
      </w:r>
      <w:r w:rsidRPr="00425E3B">
        <w:rPr>
          <w:color w:val="000000"/>
        </w:rPr>
        <w:t>substance abuse treatment and/or outreach/pretreatment services in conjunction with HIV/AIDS services, enhance</w:t>
      </w:r>
      <w:r w:rsidRPr="00425E3B">
        <w:rPr>
          <w:b/>
          <w:bCs/>
          <w:color w:val="000000"/>
        </w:rPr>
        <w:t xml:space="preserve"> </w:t>
      </w:r>
      <w:r w:rsidRPr="00425E3B">
        <w:rPr>
          <w:color w:val="000000"/>
        </w:rPr>
        <w:t xml:space="preserve">substance abuse treatment and/or outreach and pretreatment services, or do both. </w:t>
      </w:r>
      <w:r w:rsidRPr="00425E3B">
        <w:t xml:space="preserve">Additionally, </w:t>
      </w:r>
      <w:r>
        <w:t>G</w:t>
      </w:r>
      <w:r w:rsidRPr="00425E3B">
        <w:t xml:space="preserve">rantees </w:t>
      </w:r>
      <w:r>
        <w:t>could</w:t>
      </w:r>
      <w:r w:rsidRPr="00425E3B">
        <w:t xml:space="preserve"> implement outreach/pretreatment services, treatment services, or both outreach/pretreatment services and treatment services as part of their grant funding (see Exhibit 3 below for program model types).</w:t>
      </w:r>
    </w:p>
    <w:p w:rsidR="000F48AC" w:rsidRPr="00425E3B" w:rsidRDefault="000F48AC" w:rsidP="00425E3B">
      <w:pPr>
        <w:ind w:left="720"/>
      </w:pPr>
      <w:r>
        <w:t xml:space="preserve">  </w:t>
      </w:r>
    </w:p>
    <w:p w:rsidR="000F48AC" w:rsidRDefault="000F48AC" w:rsidP="00B9101F">
      <w:pPr>
        <w:ind w:left="720"/>
        <w:rPr>
          <w:b/>
          <w:bCs/>
        </w:rPr>
      </w:pPr>
      <w:r w:rsidRPr="00B9101F">
        <w:rPr>
          <w:b/>
          <w:bCs/>
        </w:rPr>
        <w:t>Exhibit 3</w:t>
      </w:r>
      <w:r w:rsidRPr="00B9101F">
        <w:rPr>
          <w:b/>
          <w:bCs/>
          <w:color w:val="000000"/>
        </w:rPr>
        <w:t xml:space="preserve">. </w:t>
      </w:r>
      <w:r w:rsidRPr="00B9101F">
        <w:rPr>
          <w:b/>
          <w:bCs/>
        </w:rPr>
        <w:t>Grantee Program Model Type</w:t>
      </w:r>
    </w:p>
    <w:tbl>
      <w:tblPr>
        <w:tblW w:w="8640" w:type="dxa"/>
        <w:tblInd w:w="720" w:type="dxa"/>
        <w:tblLook w:val="00A0"/>
      </w:tblPr>
      <w:tblGrid>
        <w:gridCol w:w="6650"/>
        <w:gridCol w:w="1990"/>
      </w:tblGrid>
      <w:tr w:rsidR="000F48AC" w:rsidRPr="00CB5C58" w:rsidTr="00EB37AA">
        <w:trPr>
          <w:trHeight w:val="668"/>
        </w:trPr>
        <w:tc>
          <w:tcPr>
            <w:tcW w:w="7758" w:type="dxa"/>
            <w:tcBorders>
              <w:top w:val="single" w:sz="4" w:space="0" w:color="auto"/>
              <w:left w:val="single" w:sz="4" w:space="0" w:color="auto"/>
              <w:bottom w:val="single" w:sz="4" w:space="0" w:color="auto"/>
              <w:right w:val="single" w:sz="4" w:space="0" w:color="auto"/>
            </w:tcBorders>
          </w:tcPr>
          <w:p w:rsidR="000F48AC" w:rsidRDefault="000F48AC" w:rsidP="00BD0062">
            <w:pPr>
              <w:jc w:val="center"/>
              <w:rPr>
                <w:b/>
                <w:bCs/>
                <w:color w:val="000000"/>
              </w:rPr>
            </w:pPr>
          </w:p>
          <w:p w:rsidR="000F48AC" w:rsidRPr="00CB5C58" w:rsidRDefault="000F48AC" w:rsidP="00BD0062">
            <w:pPr>
              <w:jc w:val="center"/>
              <w:rPr>
                <w:b/>
                <w:bCs/>
                <w:color w:val="000000"/>
              </w:rPr>
            </w:pPr>
            <w:r>
              <w:rPr>
                <w:b/>
                <w:bCs/>
                <w:color w:val="000000"/>
              </w:rPr>
              <w:t>Program Models</w:t>
            </w:r>
          </w:p>
        </w:tc>
        <w:tc>
          <w:tcPr>
            <w:tcW w:w="2160" w:type="dxa"/>
            <w:tcBorders>
              <w:top w:val="single" w:sz="4" w:space="0" w:color="auto"/>
              <w:left w:val="single" w:sz="4" w:space="0" w:color="auto"/>
              <w:bottom w:val="single" w:sz="4" w:space="0" w:color="auto"/>
              <w:right w:val="single" w:sz="4" w:space="0" w:color="auto"/>
            </w:tcBorders>
          </w:tcPr>
          <w:p w:rsidR="000F48AC" w:rsidRDefault="000F48AC" w:rsidP="00BD0062">
            <w:pPr>
              <w:jc w:val="center"/>
              <w:rPr>
                <w:b/>
                <w:bCs/>
                <w:color w:val="000000"/>
              </w:rPr>
            </w:pPr>
          </w:p>
          <w:p w:rsidR="000F48AC" w:rsidRPr="00CB5C58" w:rsidRDefault="000F48AC" w:rsidP="00BD0062">
            <w:pPr>
              <w:jc w:val="center"/>
              <w:rPr>
                <w:b/>
                <w:bCs/>
                <w:color w:val="000000"/>
              </w:rPr>
            </w:pPr>
            <w:r w:rsidRPr="00CB5C58">
              <w:rPr>
                <w:b/>
                <w:bCs/>
                <w:color w:val="000000"/>
              </w:rPr>
              <w:t>Frequency</w:t>
            </w:r>
          </w:p>
        </w:tc>
      </w:tr>
      <w:tr w:rsidR="000F48AC" w:rsidRPr="00CB5C58" w:rsidTr="00EB37AA">
        <w:trPr>
          <w:trHeight w:val="667"/>
        </w:trPr>
        <w:tc>
          <w:tcPr>
            <w:tcW w:w="7758" w:type="dxa"/>
            <w:tcBorders>
              <w:top w:val="single" w:sz="4" w:space="0" w:color="auto"/>
              <w:left w:val="single" w:sz="8" w:space="0" w:color="000000"/>
              <w:bottom w:val="single" w:sz="8" w:space="0" w:color="000000"/>
              <w:right w:val="single" w:sz="8" w:space="0" w:color="000000"/>
            </w:tcBorders>
            <w:vAlign w:val="center"/>
          </w:tcPr>
          <w:p w:rsidR="000F48AC" w:rsidRPr="004B701F" w:rsidRDefault="000F48AC" w:rsidP="00BD0062">
            <w:r w:rsidRPr="004B701F">
              <w:rPr>
                <w:sz w:val="22"/>
                <w:szCs w:val="22"/>
              </w:rPr>
              <w:t>Outreach/Pretreatment</w:t>
            </w:r>
            <w:r>
              <w:rPr>
                <w:sz w:val="22"/>
                <w:szCs w:val="22"/>
              </w:rPr>
              <w:t xml:space="preserve"> Grantees</w:t>
            </w:r>
          </w:p>
        </w:tc>
        <w:tc>
          <w:tcPr>
            <w:tcW w:w="2160" w:type="dxa"/>
            <w:tcBorders>
              <w:top w:val="single" w:sz="4" w:space="0" w:color="auto"/>
              <w:left w:val="single" w:sz="8" w:space="0" w:color="000000"/>
              <w:bottom w:val="single" w:sz="8" w:space="0" w:color="000000"/>
              <w:right w:val="single" w:sz="8" w:space="0" w:color="000000"/>
            </w:tcBorders>
            <w:vAlign w:val="center"/>
          </w:tcPr>
          <w:p w:rsidR="000F48AC" w:rsidRPr="004B701F" w:rsidRDefault="000F48AC" w:rsidP="00BD0062">
            <w:pPr>
              <w:jc w:val="center"/>
            </w:pPr>
            <w:r>
              <w:rPr>
                <w:sz w:val="22"/>
                <w:szCs w:val="22"/>
              </w:rPr>
              <w:t>9</w:t>
            </w:r>
          </w:p>
        </w:tc>
      </w:tr>
      <w:tr w:rsidR="000F48AC" w:rsidRPr="00CB5C58" w:rsidTr="00EB37AA">
        <w:trPr>
          <w:trHeight w:val="601"/>
        </w:trPr>
        <w:tc>
          <w:tcPr>
            <w:tcW w:w="7758" w:type="dxa"/>
            <w:tcBorders>
              <w:top w:val="single" w:sz="8" w:space="0" w:color="000000"/>
              <w:left w:val="single" w:sz="8" w:space="0" w:color="000000"/>
              <w:bottom w:val="single" w:sz="8" w:space="0" w:color="000000"/>
              <w:right w:val="single" w:sz="8" w:space="0" w:color="000000"/>
            </w:tcBorders>
            <w:vAlign w:val="center"/>
          </w:tcPr>
          <w:p w:rsidR="000F48AC" w:rsidRPr="004B701F" w:rsidRDefault="000F48AC" w:rsidP="00BD0062">
            <w:r w:rsidRPr="004B701F">
              <w:rPr>
                <w:sz w:val="22"/>
                <w:szCs w:val="22"/>
              </w:rPr>
              <w:t>Treatment</w:t>
            </w:r>
            <w:r>
              <w:rPr>
                <w:sz w:val="22"/>
                <w:szCs w:val="22"/>
              </w:rPr>
              <w:t xml:space="preserve"> Grantees</w:t>
            </w:r>
          </w:p>
        </w:tc>
        <w:tc>
          <w:tcPr>
            <w:tcW w:w="2160" w:type="dxa"/>
            <w:tcBorders>
              <w:top w:val="single" w:sz="8" w:space="0" w:color="000000"/>
              <w:left w:val="single" w:sz="8" w:space="0" w:color="000000"/>
              <w:bottom w:val="single" w:sz="8" w:space="0" w:color="000000"/>
              <w:right w:val="single" w:sz="8" w:space="0" w:color="000000"/>
            </w:tcBorders>
            <w:vAlign w:val="center"/>
          </w:tcPr>
          <w:p w:rsidR="000F48AC" w:rsidRPr="004B701F" w:rsidRDefault="000F48AC" w:rsidP="00BD0062">
            <w:pPr>
              <w:jc w:val="center"/>
            </w:pPr>
            <w:r w:rsidRPr="004B701F">
              <w:rPr>
                <w:sz w:val="22"/>
                <w:szCs w:val="22"/>
              </w:rPr>
              <w:t>20</w:t>
            </w:r>
          </w:p>
        </w:tc>
      </w:tr>
      <w:tr w:rsidR="000F48AC" w:rsidRPr="00CB5C58" w:rsidTr="00EB37AA">
        <w:trPr>
          <w:trHeight w:val="601"/>
        </w:trPr>
        <w:tc>
          <w:tcPr>
            <w:tcW w:w="7758" w:type="dxa"/>
            <w:tcBorders>
              <w:top w:val="single" w:sz="8" w:space="0" w:color="000000"/>
              <w:left w:val="single" w:sz="8" w:space="0" w:color="000000"/>
              <w:bottom w:val="single" w:sz="8" w:space="0" w:color="000000"/>
              <w:right w:val="single" w:sz="8" w:space="0" w:color="000000"/>
            </w:tcBorders>
            <w:vAlign w:val="center"/>
          </w:tcPr>
          <w:p w:rsidR="000F48AC" w:rsidRPr="004B701F" w:rsidRDefault="000F48AC" w:rsidP="00BD0062">
            <w:r w:rsidRPr="004B701F">
              <w:rPr>
                <w:sz w:val="22"/>
                <w:szCs w:val="22"/>
              </w:rPr>
              <w:t>Both</w:t>
            </w:r>
            <w:r>
              <w:rPr>
                <w:sz w:val="22"/>
                <w:szCs w:val="22"/>
              </w:rPr>
              <w:t xml:space="preserve"> Outreach/Pretreatment and Treatment Grantees</w:t>
            </w:r>
          </w:p>
        </w:tc>
        <w:tc>
          <w:tcPr>
            <w:tcW w:w="2160" w:type="dxa"/>
            <w:tcBorders>
              <w:top w:val="single" w:sz="8" w:space="0" w:color="000000"/>
              <w:left w:val="single" w:sz="8" w:space="0" w:color="000000"/>
              <w:bottom w:val="single" w:sz="8" w:space="0" w:color="000000"/>
              <w:right w:val="single" w:sz="8" w:space="0" w:color="000000"/>
            </w:tcBorders>
            <w:vAlign w:val="center"/>
          </w:tcPr>
          <w:p w:rsidR="000F48AC" w:rsidRPr="004B701F" w:rsidRDefault="000F48AC" w:rsidP="00BD0062">
            <w:pPr>
              <w:jc w:val="center"/>
            </w:pPr>
            <w:r w:rsidRPr="004B701F">
              <w:rPr>
                <w:sz w:val="22"/>
                <w:szCs w:val="22"/>
              </w:rPr>
              <w:t>19</w:t>
            </w:r>
          </w:p>
        </w:tc>
      </w:tr>
    </w:tbl>
    <w:p w:rsidR="000F48AC" w:rsidRPr="0019532A" w:rsidRDefault="000F48AC" w:rsidP="00594529">
      <w:pPr>
        <w:rPr>
          <w:b/>
          <w:bCs/>
          <w:sz w:val="22"/>
          <w:szCs w:val="22"/>
        </w:rPr>
      </w:pPr>
    </w:p>
    <w:p w:rsidR="000F48AC" w:rsidRPr="009121D4" w:rsidRDefault="000F48AC" w:rsidP="00425E3B">
      <w:pPr>
        <w:ind w:left="720"/>
      </w:pPr>
      <w:r w:rsidRPr="009121D4">
        <w:t>Based on a review of their grant applications, it is notable that the 48 Grantees proposed a vast number of different Evidence-Based Practices (EBPs</w:t>
      </w:r>
      <w:r>
        <w:t>) (S</w:t>
      </w:r>
      <w:r w:rsidRPr="009121D4">
        <w:t xml:space="preserve">ee </w:t>
      </w:r>
      <w:r>
        <w:t>Exhibit 4</w:t>
      </w:r>
      <w:r w:rsidRPr="009121D4">
        <w:t>).</w:t>
      </w:r>
      <w:r>
        <w:t xml:space="preserve">  </w:t>
      </w:r>
      <w:r w:rsidRPr="009121D4">
        <w:t>Some Grantee agencies are implementing multiple EBPs and vary widely with regard to mechanisms for tracking fidelity of EBP implementation.</w:t>
      </w:r>
      <w:r>
        <w:t xml:space="preserve">  </w:t>
      </w:r>
      <w:r w:rsidRPr="009121D4">
        <w:t>Further, informal modification of EBPs appears relatively common across the Grantees, which presents a need for further clarification regarding the degree to which implementation of the same EBPs is consistent across the 48 Grantees.</w:t>
      </w:r>
    </w:p>
    <w:p w:rsidR="000F48AC" w:rsidRDefault="000F48AC" w:rsidP="00594529">
      <w:pPr>
        <w:rPr>
          <w:sz w:val="22"/>
          <w:szCs w:val="22"/>
        </w:rPr>
      </w:pPr>
    </w:p>
    <w:tbl>
      <w:tblPr>
        <w:tblW w:w="8640" w:type="dxa"/>
        <w:tblInd w:w="720" w:type="dxa"/>
        <w:tblLook w:val="00A0"/>
      </w:tblPr>
      <w:tblGrid>
        <w:gridCol w:w="6624"/>
        <w:gridCol w:w="2016"/>
      </w:tblGrid>
      <w:tr w:rsidR="000F48AC" w:rsidRPr="004F479F" w:rsidTr="00E16BE4">
        <w:trPr>
          <w:trHeight w:val="315"/>
        </w:trPr>
        <w:tc>
          <w:tcPr>
            <w:tcW w:w="8640" w:type="dxa"/>
            <w:gridSpan w:val="2"/>
          </w:tcPr>
          <w:p w:rsidR="000F48AC" w:rsidRPr="00CB054B" w:rsidRDefault="000F48AC" w:rsidP="00CB054B">
            <w:pPr>
              <w:tabs>
                <w:tab w:val="left" w:pos="180"/>
              </w:tabs>
              <w:ind w:right="288"/>
              <w:rPr>
                <w:b/>
                <w:bCs/>
                <w:color w:val="000000"/>
                <w:sz w:val="22"/>
                <w:szCs w:val="22"/>
              </w:rPr>
            </w:pPr>
            <w:bookmarkStart w:id="14" w:name="_Hlk232818163"/>
            <w:r w:rsidRPr="00B9101F">
              <w:rPr>
                <w:b/>
                <w:bCs/>
                <w:color w:val="000000"/>
              </w:rPr>
              <w:t xml:space="preserve">Exhibit 4. Commonly Seen Practices Across the FY09 TCE-HIV Cohort </w:t>
            </w:r>
          </w:p>
        </w:tc>
      </w:tr>
      <w:tr w:rsidR="000F48AC" w:rsidRPr="003007EC" w:rsidTr="00E16BE4">
        <w:trPr>
          <w:trHeight w:val="667"/>
        </w:trPr>
        <w:tc>
          <w:tcPr>
            <w:tcW w:w="66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F48AC" w:rsidRDefault="000F48AC" w:rsidP="00B9101F">
            <w:pPr>
              <w:jc w:val="center"/>
              <w:rPr>
                <w:sz w:val="22"/>
                <w:szCs w:val="22"/>
              </w:rPr>
            </w:pPr>
            <w:r w:rsidRPr="00D16FDE">
              <w:rPr>
                <w:b/>
                <w:bCs/>
                <w:color w:val="000000"/>
              </w:rPr>
              <w:t>Evidence</w:t>
            </w:r>
            <w:r>
              <w:rPr>
                <w:b/>
                <w:bCs/>
                <w:color w:val="000000"/>
              </w:rPr>
              <w:t>-B</w:t>
            </w:r>
            <w:r w:rsidRPr="00D16FDE">
              <w:rPr>
                <w:b/>
                <w:bCs/>
                <w:color w:val="000000"/>
              </w:rPr>
              <w:t>ased Practice</w:t>
            </w:r>
          </w:p>
        </w:tc>
        <w:tc>
          <w:tcPr>
            <w:tcW w:w="20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F48AC" w:rsidRPr="00A0184E" w:rsidRDefault="000F48AC" w:rsidP="00BD0062">
            <w:pPr>
              <w:jc w:val="center"/>
              <w:rPr>
                <w:sz w:val="22"/>
                <w:szCs w:val="22"/>
              </w:rPr>
            </w:pPr>
            <w:r w:rsidRPr="00D16FDE">
              <w:rPr>
                <w:b/>
                <w:bCs/>
                <w:color w:val="000000"/>
              </w:rPr>
              <w:t>Frequency</w:t>
            </w:r>
            <w:r w:rsidRPr="00CB054B">
              <w:rPr>
                <w:b/>
                <w:bCs/>
                <w:color w:val="000000"/>
              </w:rPr>
              <w:t>*</w:t>
            </w:r>
          </w:p>
        </w:tc>
      </w:tr>
      <w:tr w:rsidR="000F48AC" w:rsidRPr="003007EC" w:rsidTr="00E16BE4">
        <w:trPr>
          <w:trHeight w:val="667"/>
        </w:trPr>
        <w:tc>
          <w:tcPr>
            <w:tcW w:w="6624"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r w:rsidRPr="00A0184E">
              <w:rPr>
                <w:sz w:val="22"/>
                <w:szCs w:val="22"/>
              </w:rPr>
              <w:t>Case Management (including comprehensive case management and medical case management)**</w:t>
            </w:r>
          </w:p>
        </w:tc>
        <w:tc>
          <w:tcPr>
            <w:tcW w:w="2016"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pPr>
              <w:jc w:val="center"/>
            </w:pPr>
            <w:r w:rsidRPr="00A0184E">
              <w:rPr>
                <w:sz w:val="22"/>
                <w:szCs w:val="22"/>
              </w:rPr>
              <w:t>48</w:t>
            </w:r>
          </w:p>
        </w:tc>
      </w:tr>
      <w:tr w:rsidR="000F48AC" w:rsidRPr="003007EC" w:rsidTr="00E16BE4">
        <w:trPr>
          <w:trHeight w:val="538"/>
        </w:trPr>
        <w:tc>
          <w:tcPr>
            <w:tcW w:w="6624"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r w:rsidRPr="00A0184E">
              <w:rPr>
                <w:sz w:val="22"/>
                <w:szCs w:val="22"/>
              </w:rPr>
              <w:t>Matrix Model***</w:t>
            </w:r>
          </w:p>
        </w:tc>
        <w:tc>
          <w:tcPr>
            <w:tcW w:w="2016"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pPr>
              <w:jc w:val="center"/>
            </w:pPr>
            <w:r w:rsidRPr="00A0184E">
              <w:rPr>
                <w:sz w:val="22"/>
                <w:szCs w:val="22"/>
              </w:rPr>
              <w:t>15</w:t>
            </w:r>
          </w:p>
        </w:tc>
      </w:tr>
      <w:tr w:rsidR="000F48AC" w:rsidRPr="003007EC" w:rsidTr="00E16BE4">
        <w:trPr>
          <w:trHeight w:val="430"/>
        </w:trPr>
        <w:tc>
          <w:tcPr>
            <w:tcW w:w="6624"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r w:rsidRPr="00A0184E">
              <w:rPr>
                <w:sz w:val="22"/>
                <w:szCs w:val="22"/>
              </w:rPr>
              <w:t>Motivational Interviewing (MI) / Motivational Enhancement Therapy (MET)****</w:t>
            </w:r>
          </w:p>
        </w:tc>
        <w:tc>
          <w:tcPr>
            <w:tcW w:w="2016"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pPr>
              <w:jc w:val="center"/>
            </w:pPr>
            <w:r w:rsidRPr="00A0184E">
              <w:rPr>
                <w:sz w:val="22"/>
                <w:szCs w:val="22"/>
              </w:rPr>
              <w:t>12</w:t>
            </w:r>
          </w:p>
        </w:tc>
      </w:tr>
      <w:tr w:rsidR="000F48AC" w:rsidRPr="003007EC" w:rsidTr="00E16BE4">
        <w:trPr>
          <w:trHeight w:val="430"/>
        </w:trPr>
        <w:tc>
          <w:tcPr>
            <w:tcW w:w="6624"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r w:rsidRPr="00A0184E">
              <w:rPr>
                <w:sz w:val="22"/>
                <w:szCs w:val="22"/>
              </w:rPr>
              <w:t>Cognitive Behavioral Therapy</w:t>
            </w:r>
          </w:p>
        </w:tc>
        <w:tc>
          <w:tcPr>
            <w:tcW w:w="2016"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pPr>
              <w:jc w:val="center"/>
            </w:pPr>
            <w:r w:rsidRPr="00A0184E">
              <w:rPr>
                <w:sz w:val="22"/>
                <w:szCs w:val="22"/>
              </w:rPr>
              <w:t>8</w:t>
            </w:r>
          </w:p>
        </w:tc>
      </w:tr>
      <w:tr w:rsidR="000F48AC" w:rsidRPr="003007EC" w:rsidTr="00E16BE4">
        <w:trPr>
          <w:trHeight w:val="430"/>
        </w:trPr>
        <w:tc>
          <w:tcPr>
            <w:tcW w:w="6624"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r w:rsidRPr="00A0184E">
              <w:rPr>
                <w:sz w:val="22"/>
                <w:szCs w:val="22"/>
              </w:rPr>
              <w:t>Seeking Safety***</w:t>
            </w:r>
          </w:p>
        </w:tc>
        <w:tc>
          <w:tcPr>
            <w:tcW w:w="2016"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pPr>
              <w:jc w:val="center"/>
            </w:pPr>
            <w:r w:rsidRPr="00A0184E">
              <w:rPr>
                <w:sz w:val="22"/>
                <w:szCs w:val="22"/>
              </w:rPr>
              <w:t>7</w:t>
            </w:r>
          </w:p>
        </w:tc>
      </w:tr>
      <w:tr w:rsidR="000F48AC" w:rsidRPr="003007EC" w:rsidTr="00E16BE4">
        <w:trPr>
          <w:trHeight w:val="430"/>
        </w:trPr>
        <w:tc>
          <w:tcPr>
            <w:tcW w:w="6624"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r w:rsidRPr="00A0184E">
              <w:rPr>
                <w:sz w:val="22"/>
                <w:szCs w:val="22"/>
              </w:rPr>
              <w:t>NIDA Outreach Model</w:t>
            </w:r>
          </w:p>
        </w:tc>
        <w:tc>
          <w:tcPr>
            <w:tcW w:w="2016"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pPr>
              <w:jc w:val="center"/>
            </w:pPr>
            <w:r w:rsidRPr="00A0184E">
              <w:rPr>
                <w:sz w:val="22"/>
                <w:szCs w:val="22"/>
              </w:rPr>
              <w:t>5</w:t>
            </w:r>
          </w:p>
        </w:tc>
      </w:tr>
      <w:tr w:rsidR="000F48AC" w:rsidRPr="003007EC" w:rsidTr="00E16BE4">
        <w:trPr>
          <w:trHeight w:val="430"/>
        </w:trPr>
        <w:tc>
          <w:tcPr>
            <w:tcW w:w="6624"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r w:rsidRPr="00A0184E">
              <w:rPr>
                <w:sz w:val="22"/>
                <w:szCs w:val="22"/>
              </w:rPr>
              <w:t>Integrated Dual Diagnosis Treatment (IDDT)</w:t>
            </w:r>
          </w:p>
        </w:tc>
        <w:tc>
          <w:tcPr>
            <w:tcW w:w="2016"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pPr>
              <w:jc w:val="center"/>
            </w:pPr>
            <w:r w:rsidRPr="00A0184E">
              <w:rPr>
                <w:sz w:val="22"/>
                <w:szCs w:val="22"/>
              </w:rPr>
              <w:t>4</w:t>
            </w:r>
          </w:p>
        </w:tc>
      </w:tr>
      <w:tr w:rsidR="000F48AC" w:rsidRPr="003007EC" w:rsidTr="00E16BE4">
        <w:trPr>
          <w:trHeight w:val="430"/>
        </w:trPr>
        <w:tc>
          <w:tcPr>
            <w:tcW w:w="6624"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r w:rsidRPr="00A0184E">
              <w:rPr>
                <w:sz w:val="22"/>
                <w:szCs w:val="22"/>
              </w:rPr>
              <w:t>Trauma Recovery and Empowerment Model (TREM)/Men's Trauma Recovery and Empowerment Model (MTREM)</w:t>
            </w:r>
          </w:p>
        </w:tc>
        <w:tc>
          <w:tcPr>
            <w:tcW w:w="2016"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pPr>
              <w:jc w:val="center"/>
            </w:pPr>
            <w:r w:rsidRPr="00A0184E">
              <w:rPr>
                <w:sz w:val="22"/>
                <w:szCs w:val="22"/>
              </w:rPr>
              <w:t>3</w:t>
            </w:r>
          </w:p>
        </w:tc>
      </w:tr>
      <w:tr w:rsidR="000F48AC" w:rsidRPr="003007EC" w:rsidTr="00E16BE4">
        <w:trPr>
          <w:trHeight w:val="430"/>
        </w:trPr>
        <w:tc>
          <w:tcPr>
            <w:tcW w:w="6624"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r w:rsidRPr="00A0184E">
              <w:rPr>
                <w:sz w:val="22"/>
                <w:szCs w:val="22"/>
              </w:rPr>
              <w:t>Intensive Outpatient Treatment</w:t>
            </w:r>
          </w:p>
        </w:tc>
        <w:tc>
          <w:tcPr>
            <w:tcW w:w="2016" w:type="dxa"/>
            <w:tcBorders>
              <w:top w:val="single" w:sz="8" w:space="0" w:color="000000"/>
              <w:left w:val="single" w:sz="8" w:space="0" w:color="000000"/>
              <w:bottom w:val="single" w:sz="8" w:space="0" w:color="000000"/>
              <w:right w:val="single" w:sz="8" w:space="0" w:color="000000"/>
            </w:tcBorders>
            <w:vAlign w:val="center"/>
          </w:tcPr>
          <w:p w:rsidR="000F48AC" w:rsidRPr="00A0184E" w:rsidRDefault="000F48AC" w:rsidP="00BD0062">
            <w:pPr>
              <w:jc w:val="center"/>
            </w:pPr>
            <w:r w:rsidRPr="00A0184E">
              <w:rPr>
                <w:sz w:val="22"/>
                <w:szCs w:val="22"/>
              </w:rPr>
              <w:t>3</w:t>
            </w:r>
          </w:p>
        </w:tc>
      </w:tr>
      <w:tr w:rsidR="000F48AC" w:rsidRPr="003007EC" w:rsidTr="00E16BE4">
        <w:trPr>
          <w:trHeight w:val="601"/>
        </w:trPr>
        <w:tc>
          <w:tcPr>
            <w:tcW w:w="8640" w:type="dxa"/>
            <w:gridSpan w:val="2"/>
            <w:tcBorders>
              <w:top w:val="single" w:sz="8" w:space="0" w:color="000000"/>
            </w:tcBorders>
          </w:tcPr>
          <w:p w:rsidR="000F48AC" w:rsidRPr="001D2C34" w:rsidRDefault="000F48AC" w:rsidP="00BD0062">
            <w:pPr>
              <w:rPr>
                <w:sz w:val="18"/>
                <w:szCs w:val="18"/>
              </w:rPr>
            </w:pPr>
            <w:r w:rsidRPr="00B9101F">
              <w:rPr>
                <w:sz w:val="18"/>
                <w:szCs w:val="18"/>
              </w:rPr>
              <w:t xml:space="preserve">*Grantees could implement multiple EBPs, thus these numbers do not add to 48 (i.e., the number of Grantees). </w:t>
            </w:r>
            <w:r>
              <w:rPr>
                <w:sz w:val="18"/>
                <w:szCs w:val="18"/>
              </w:rPr>
              <w:t>Exhibit 4</w:t>
            </w:r>
            <w:r w:rsidRPr="00B9101F">
              <w:rPr>
                <w:sz w:val="18"/>
                <w:szCs w:val="18"/>
              </w:rPr>
              <w:t xml:space="preserve"> reflects only commonly seen EBPs across the cohort (i.e., those reported 3+ or more times across the cohort).</w:t>
            </w:r>
          </w:p>
          <w:p w:rsidR="000F48AC" w:rsidRPr="001D2C34" w:rsidRDefault="000F48AC" w:rsidP="00BD0062">
            <w:pPr>
              <w:rPr>
                <w:sz w:val="18"/>
                <w:szCs w:val="18"/>
              </w:rPr>
            </w:pPr>
            <w:r w:rsidRPr="00B9101F">
              <w:rPr>
                <w:sz w:val="18"/>
                <w:szCs w:val="18"/>
              </w:rPr>
              <w:t>** Case management is considered an EBP by some Grantees and not by others (and some Grantees utilize subtypes of case management, such as strength-based or comprehensive case management). To prevent confusion associated with whether a given Grantee was utilizing some form of case management, the frequency tally represents all Grantees reporting the use of any form of case management.</w:t>
            </w:r>
          </w:p>
          <w:p w:rsidR="000F48AC" w:rsidRPr="001D2C34" w:rsidRDefault="000F48AC" w:rsidP="00BD0062">
            <w:pPr>
              <w:rPr>
                <w:sz w:val="18"/>
                <w:szCs w:val="18"/>
              </w:rPr>
            </w:pPr>
            <w:r w:rsidRPr="00B9101F">
              <w:rPr>
                <w:sz w:val="18"/>
                <w:szCs w:val="18"/>
              </w:rPr>
              <w:t>*** These manualized practices are not implemented in their entirety at all Grantee agencies using the EBP.</w:t>
            </w:r>
          </w:p>
          <w:p w:rsidR="000F48AC" w:rsidRPr="00126D40" w:rsidRDefault="000F48AC" w:rsidP="00CB054B">
            <w:pPr>
              <w:rPr>
                <w:sz w:val="16"/>
                <w:szCs w:val="16"/>
              </w:rPr>
            </w:pPr>
            <w:r>
              <w:rPr>
                <w:sz w:val="16"/>
                <w:szCs w:val="16"/>
              </w:rPr>
              <w:t>*</w:t>
            </w:r>
            <w:r w:rsidRPr="00126D40">
              <w:rPr>
                <w:sz w:val="16"/>
                <w:szCs w:val="16"/>
              </w:rPr>
              <w:t>*</w:t>
            </w:r>
            <w:r>
              <w:rPr>
                <w:sz w:val="16"/>
                <w:szCs w:val="16"/>
              </w:rPr>
              <w:t>**</w:t>
            </w:r>
            <w:r w:rsidRPr="00126D40">
              <w:rPr>
                <w:sz w:val="16"/>
                <w:szCs w:val="16"/>
              </w:rPr>
              <w:t xml:space="preserve"> MI/MET</w:t>
            </w:r>
            <w:r>
              <w:rPr>
                <w:sz w:val="16"/>
                <w:szCs w:val="16"/>
              </w:rPr>
              <w:t xml:space="preserve"> may be underrepresented here because a number of Grantees do not include it as an EBP in their program, despite reporting receiving training and using the practice in site visits and/or their Grantee applications.</w:t>
            </w:r>
          </w:p>
        </w:tc>
      </w:tr>
      <w:bookmarkEnd w:id="14"/>
    </w:tbl>
    <w:p w:rsidR="000F48AC" w:rsidRDefault="000F48AC" w:rsidP="00ED63EB"/>
    <w:p w:rsidR="000F48AC" w:rsidRPr="009520C0" w:rsidRDefault="000F48AC" w:rsidP="00425E3B">
      <w:pPr>
        <w:ind w:left="720"/>
      </w:pPr>
      <w:r w:rsidRPr="009520C0">
        <w:t xml:space="preserve">Based on the complexities of the 48 Grantees due to multiple target populations, varied forms of EBPs (or lack thereof), and multiple programmatic approaches (i.e., outreach/pretreatment, treatment, both), </w:t>
      </w:r>
      <w:r>
        <w:t>there is a</w:t>
      </w:r>
      <w:r w:rsidRPr="009520C0">
        <w:t xml:space="preserve"> need to better understand who they are serving, what programs they are implementing, and what services are being delivered and by whom.</w:t>
      </w:r>
    </w:p>
    <w:p w:rsidR="000F48AC" w:rsidRPr="00DA1351" w:rsidRDefault="000F48AC" w:rsidP="003D66D7"/>
    <w:p w:rsidR="000F48AC" w:rsidRDefault="000F48AC">
      <w:pPr>
        <w:ind w:left="720"/>
      </w:pPr>
      <w:r w:rsidRPr="00A7010F">
        <w:t xml:space="preserve">The Multi-Site Evaluation will be able to address </w:t>
      </w:r>
      <w:r>
        <w:t>specific goals and objectives</w:t>
      </w:r>
      <w:r w:rsidRPr="00A7010F">
        <w:t xml:space="preserve"> and provide SAMH</w:t>
      </w:r>
      <w:r>
        <w:t>S</w:t>
      </w:r>
      <w:r w:rsidRPr="00A7010F">
        <w:t xml:space="preserve">A with valuable </w:t>
      </w:r>
      <w:r>
        <w:t>information</w:t>
      </w:r>
      <w:r w:rsidRPr="00A7010F">
        <w:t xml:space="preserve"> regarding </w:t>
      </w:r>
      <w:r>
        <w:t xml:space="preserve">how the </w:t>
      </w:r>
      <w:r w:rsidRPr="00A7010F">
        <w:t xml:space="preserve">TCE-HIV program is meeting the overall goals of the MAI. Specifically, </w:t>
      </w:r>
      <w:r>
        <w:t xml:space="preserve">the overarching goals and associated objectives of </w:t>
      </w:r>
      <w:r w:rsidRPr="00A7010F">
        <w:t xml:space="preserve">this </w:t>
      </w:r>
      <w:r>
        <w:t xml:space="preserve">formative </w:t>
      </w:r>
      <w:r w:rsidRPr="00A7010F">
        <w:t xml:space="preserve">evaluation </w:t>
      </w:r>
      <w:r>
        <w:t>are as follows</w:t>
      </w:r>
      <w:r w:rsidRPr="00A7010F">
        <w:t>:</w:t>
      </w:r>
    </w:p>
    <w:p w:rsidR="000F48AC" w:rsidRDefault="000F48AC">
      <w:pPr>
        <w:ind w:left="720"/>
      </w:pPr>
    </w:p>
    <w:p w:rsidR="000F48AC" w:rsidRDefault="000F48AC">
      <w:pPr>
        <w:autoSpaceDE w:val="0"/>
        <w:autoSpaceDN w:val="0"/>
        <w:adjustRightInd w:val="0"/>
        <w:ind w:left="720"/>
        <w:rPr>
          <w:i/>
          <w:iCs/>
        </w:rPr>
      </w:pPr>
      <w:r w:rsidRPr="005D2A9F">
        <w:rPr>
          <w:i/>
          <w:iCs/>
        </w:rPr>
        <w:t>Goal #1:</w:t>
      </w:r>
      <w:r>
        <w:rPr>
          <w:i/>
          <w:iCs/>
        </w:rPr>
        <w:t xml:space="preserve">  </w:t>
      </w:r>
      <w:r w:rsidRPr="00BF5E44">
        <w:rPr>
          <w:i/>
          <w:iCs/>
        </w:rPr>
        <w:t xml:space="preserve">To </w:t>
      </w:r>
      <w:r>
        <w:rPr>
          <w:i/>
          <w:iCs/>
        </w:rPr>
        <w:t xml:space="preserve">monitor the </w:t>
      </w:r>
      <w:r w:rsidRPr="00BF5E44">
        <w:rPr>
          <w:i/>
          <w:iCs/>
        </w:rPr>
        <w:t>implementation</w:t>
      </w:r>
      <w:r>
        <w:rPr>
          <w:i/>
          <w:iCs/>
        </w:rPr>
        <w:t xml:space="preserve"> activities</w:t>
      </w:r>
      <w:r w:rsidRPr="00BF5E44">
        <w:rPr>
          <w:i/>
          <w:iCs/>
        </w:rPr>
        <w:t xml:space="preserve"> of the TCE-HIV</w:t>
      </w:r>
      <w:r>
        <w:rPr>
          <w:i/>
          <w:iCs/>
        </w:rPr>
        <w:t xml:space="preserve"> funded</w:t>
      </w:r>
      <w:r w:rsidRPr="00BF5E44">
        <w:rPr>
          <w:i/>
          <w:iCs/>
        </w:rPr>
        <w:t xml:space="preserve"> grantee</w:t>
      </w:r>
      <w:r>
        <w:rPr>
          <w:i/>
          <w:iCs/>
        </w:rPr>
        <w:t>s</w:t>
      </w:r>
      <w:r w:rsidRPr="00BF5E44">
        <w:rPr>
          <w:i/>
          <w:iCs/>
        </w:rPr>
        <w:t xml:space="preserve"> </w:t>
      </w:r>
      <w:r>
        <w:rPr>
          <w:i/>
          <w:iCs/>
        </w:rPr>
        <w:t>including</w:t>
      </w:r>
      <w:r w:rsidRPr="005D2A9F">
        <w:rPr>
          <w:i/>
          <w:iCs/>
        </w:rPr>
        <w:t xml:space="preserve"> their </w:t>
      </w:r>
      <w:r>
        <w:rPr>
          <w:i/>
          <w:iCs/>
        </w:rPr>
        <w:t>EBPs,</w:t>
      </w:r>
      <w:r w:rsidRPr="005D2A9F">
        <w:rPr>
          <w:i/>
          <w:iCs/>
        </w:rPr>
        <w:t xml:space="preserve"> service delivery</w:t>
      </w:r>
      <w:r>
        <w:rPr>
          <w:i/>
          <w:iCs/>
        </w:rPr>
        <w:t>, and contextual factors that facilitate or impede program success.</w:t>
      </w:r>
    </w:p>
    <w:p w:rsidR="000F48AC" w:rsidRDefault="000F48AC" w:rsidP="008D26D9">
      <w:pPr>
        <w:autoSpaceDE w:val="0"/>
        <w:autoSpaceDN w:val="0"/>
        <w:adjustRightInd w:val="0"/>
        <w:rPr>
          <w:i/>
          <w:iCs/>
        </w:rPr>
      </w:pPr>
    </w:p>
    <w:p w:rsidR="000F48AC" w:rsidRDefault="000F48AC">
      <w:pPr>
        <w:ind w:left="1152"/>
      </w:pPr>
      <w:r w:rsidRPr="005D2A9F">
        <w:rPr>
          <w:u w:val="single"/>
        </w:rPr>
        <w:t>Objective #1:</w:t>
      </w:r>
      <w:r>
        <w:t xml:space="preserve"> Conduct semi-structured interviews with each of the grantees’ administrative staff within 3 months of receiving OMB clearance and in the fourth year of program implementation</w:t>
      </w:r>
    </w:p>
    <w:p w:rsidR="000F48AC" w:rsidRDefault="000F48AC">
      <w:pPr>
        <w:ind w:left="1152"/>
      </w:pPr>
    </w:p>
    <w:p w:rsidR="000F48AC" w:rsidRDefault="000F48AC">
      <w:pPr>
        <w:ind w:left="1152"/>
      </w:pPr>
      <w:r w:rsidRPr="005D2A9F">
        <w:rPr>
          <w:u w:val="single"/>
        </w:rPr>
        <w:t>Objective #2:</w:t>
      </w:r>
      <w:r>
        <w:t xml:space="preserve"> Conduct semi-structured interviews with the direct service staff who are engaged in service delivery with clients within 3 months of receiving OMB clearance and in the fourth year of program implementation</w:t>
      </w:r>
      <w:r w:rsidDel="00426EE3">
        <w:t xml:space="preserve"> </w:t>
      </w:r>
    </w:p>
    <w:p w:rsidR="000F48AC" w:rsidRDefault="000F48AC">
      <w:pPr>
        <w:ind w:left="1152"/>
      </w:pPr>
    </w:p>
    <w:p w:rsidR="000F48AC" w:rsidRDefault="000F48AC">
      <w:pPr>
        <w:ind w:left="1152"/>
      </w:pPr>
      <w:r w:rsidRPr="005D2A9F">
        <w:rPr>
          <w:u w:val="single"/>
        </w:rPr>
        <w:t>Objective #3:</w:t>
      </w:r>
      <w:r>
        <w:t xml:space="preserve"> Conduct semi-structured interviews with no more than four grantee partner agencies of  each grantee that are engaged in service delivery to clients within 3 months of receiving OMB clearance and within the fourth year of program implementation</w:t>
      </w:r>
    </w:p>
    <w:p w:rsidR="000F48AC" w:rsidRDefault="000F48AC" w:rsidP="008D26D9"/>
    <w:p w:rsidR="000F48AC" w:rsidRDefault="000F48AC">
      <w:pPr>
        <w:ind w:left="720"/>
        <w:rPr>
          <w:i/>
          <w:iCs/>
        </w:rPr>
      </w:pPr>
      <w:r w:rsidRPr="005D2A9F">
        <w:rPr>
          <w:i/>
          <w:iCs/>
        </w:rPr>
        <w:t xml:space="preserve">Goal #2: Obtain information </w:t>
      </w:r>
      <w:r>
        <w:rPr>
          <w:i/>
          <w:iCs/>
        </w:rPr>
        <w:t xml:space="preserve">on risk behaviors, HIV testing/serostatus, social support, medical and mental health, and motivation for treatment </w:t>
      </w:r>
      <w:r w:rsidRPr="005D2A9F">
        <w:rPr>
          <w:i/>
          <w:iCs/>
        </w:rPr>
        <w:t xml:space="preserve">from clients </w:t>
      </w:r>
      <w:r>
        <w:rPr>
          <w:i/>
          <w:iCs/>
        </w:rPr>
        <w:t>of the TCE-HIV grantees and monitor</w:t>
      </w:r>
      <w:r w:rsidRPr="005D2A9F">
        <w:rPr>
          <w:i/>
          <w:iCs/>
        </w:rPr>
        <w:t xml:space="preserve"> their</w:t>
      </w:r>
      <w:r>
        <w:rPr>
          <w:i/>
          <w:iCs/>
        </w:rPr>
        <w:t xml:space="preserve"> </w:t>
      </w:r>
      <w:r w:rsidRPr="005D2A9F">
        <w:rPr>
          <w:i/>
          <w:iCs/>
        </w:rPr>
        <w:t>satisfaction with services received</w:t>
      </w:r>
      <w:r>
        <w:rPr>
          <w:i/>
          <w:iCs/>
        </w:rPr>
        <w:t xml:space="preserve">. </w:t>
      </w:r>
    </w:p>
    <w:p w:rsidR="000F48AC" w:rsidRDefault="000F48AC" w:rsidP="008D26D9"/>
    <w:p w:rsidR="000F48AC" w:rsidRDefault="000F48AC">
      <w:pPr>
        <w:ind w:left="1152"/>
      </w:pPr>
      <w:r w:rsidRPr="005D2A9F">
        <w:rPr>
          <w:u w:val="single"/>
        </w:rPr>
        <w:t>Objective #</w:t>
      </w:r>
      <w:r>
        <w:rPr>
          <w:u w:val="single"/>
        </w:rPr>
        <w:t>1</w:t>
      </w:r>
      <w:r w:rsidRPr="005D2A9F">
        <w:rPr>
          <w:u w:val="single"/>
        </w:rPr>
        <w:t>:</w:t>
      </w:r>
      <w:r>
        <w:t xml:space="preserve"> Administer a client questionnaire to each client at the same three points (i.e., intake, discharge, 6 months post baseline) that grantees are currently required to submit data to SAMHSA and explore if grantees are achieving program results</w:t>
      </w:r>
    </w:p>
    <w:p w:rsidR="000F48AC" w:rsidRDefault="000F48AC">
      <w:pPr>
        <w:ind w:left="1152"/>
      </w:pPr>
    </w:p>
    <w:p w:rsidR="000F48AC" w:rsidRDefault="000F48AC">
      <w:pPr>
        <w:ind w:left="1152"/>
      </w:pPr>
      <w:r w:rsidRPr="005D2A9F">
        <w:rPr>
          <w:u w:val="single"/>
        </w:rPr>
        <w:t>Objective #</w:t>
      </w:r>
      <w:r>
        <w:rPr>
          <w:u w:val="single"/>
        </w:rPr>
        <w:t>2</w:t>
      </w:r>
      <w:r w:rsidRPr="005D2A9F">
        <w:rPr>
          <w:u w:val="single"/>
        </w:rPr>
        <w:t>:</w:t>
      </w:r>
      <w:r>
        <w:t xml:space="preserve"> Conduct one focus group with no more than 9 clients from each of the 40 treatment grantees to obtain contextual information on client substance abuse treatment experience and satisfaction within 3 months of receiving OMB clearance and in the fourth year of program implementation </w:t>
      </w:r>
    </w:p>
    <w:p w:rsidR="000F48AC" w:rsidRPr="00C00A8A" w:rsidRDefault="000F48AC" w:rsidP="00911549">
      <w:pPr>
        <w:pStyle w:val="bodytext"/>
        <w:spacing w:after="0" w:line="240" w:lineRule="auto"/>
      </w:pPr>
    </w:p>
    <w:p w:rsidR="000F48AC" w:rsidRDefault="000F48AC" w:rsidP="00CC2F07">
      <w:pPr>
        <w:pStyle w:val="bodytext"/>
        <w:spacing w:after="0" w:line="240" w:lineRule="auto"/>
        <w:ind w:left="720"/>
      </w:pPr>
      <w:r w:rsidRPr="00C00A8A">
        <w:t>Th</w:t>
      </w:r>
      <w:r>
        <w:t>is</w:t>
      </w:r>
      <w:r w:rsidRPr="00C00A8A">
        <w:t xml:space="preserve"> Multi-Site Evaluation </w:t>
      </w:r>
      <w:r>
        <w:t xml:space="preserve">is the first TCE-HIV evaluation and </w:t>
      </w:r>
      <w:r w:rsidRPr="00C00A8A">
        <w:t xml:space="preserve">represents the most comprehensive assessment of </w:t>
      </w:r>
      <w:r w:rsidRPr="00AA0E3D">
        <w:t>SAMHSA’s</w:t>
      </w:r>
      <w:r w:rsidRPr="00C00A8A">
        <w:t xml:space="preserve"> TCE-HIV program ever undertaken. Th</w:t>
      </w:r>
      <w:r>
        <w:t>is</w:t>
      </w:r>
      <w:r w:rsidRPr="00C00A8A">
        <w:t xml:space="preserve"> evaluation will allow </w:t>
      </w:r>
      <w:r w:rsidRPr="00AA0E3D">
        <w:t>SAMHSA</w:t>
      </w:r>
      <w:r w:rsidRPr="00C00A8A">
        <w:t xml:space="preserve"> to determine the extent to which the TCE-HIV program has met its objective of expanding and </w:t>
      </w:r>
      <w:r>
        <w:t>enhancing</w:t>
      </w:r>
      <w:r w:rsidRPr="00C00A8A">
        <w:t xml:space="preserve"> substance abuse outreach/pretreatment and treatment services in conjunction with HIV/AIDS services to racial and ethnic minority </w:t>
      </w:r>
      <w:r>
        <w:t>communities.</w:t>
      </w:r>
      <w:r w:rsidRPr="00C00A8A">
        <w:t xml:space="preserve"> </w:t>
      </w:r>
    </w:p>
    <w:p w:rsidR="000F48AC" w:rsidRDefault="000F48AC"/>
    <w:p w:rsidR="000F48AC" w:rsidRDefault="000F48AC">
      <w:pPr>
        <w:numPr>
          <w:ilvl w:val="0"/>
          <w:numId w:val="1"/>
        </w:numPr>
        <w:tabs>
          <w:tab w:val="clear" w:pos="1800"/>
          <w:tab w:val="num" w:pos="720"/>
          <w:tab w:val="num" w:pos="1440"/>
        </w:tabs>
        <w:ind w:left="720" w:firstLine="0"/>
        <w:rPr>
          <w:b/>
          <w:bCs/>
          <w:u w:val="single"/>
        </w:rPr>
      </w:pPr>
      <w:bookmarkStart w:id="15" w:name="_Toc88277951"/>
      <w:bookmarkStart w:id="16" w:name="_Toc131564340"/>
      <w:r w:rsidRPr="002D33C1">
        <w:rPr>
          <w:b/>
          <w:bCs/>
          <w:u w:val="single"/>
        </w:rPr>
        <w:t>Purpose and Use of Information</w:t>
      </w:r>
      <w:bookmarkEnd w:id="15"/>
      <w:bookmarkEnd w:id="16"/>
    </w:p>
    <w:p w:rsidR="000F48AC" w:rsidRDefault="000F48AC" w:rsidP="003D66D7">
      <w:pPr>
        <w:ind w:left="360"/>
      </w:pPr>
    </w:p>
    <w:p w:rsidR="000F48AC" w:rsidRDefault="000F48AC" w:rsidP="00924715">
      <w:pPr>
        <w:ind w:left="720"/>
      </w:pPr>
      <w:r>
        <w:t xml:space="preserve">The purpose of this evaluation </w:t>
      </w:r>
      <w:r w:rsidRPr="004D6522">
        <w:t>is to provide in</w:t>
      </w:r>
      <w:r>
        <w:t>formation</w:t>
      </w:r>
      <w:r w:rsidRPr="004D6522">
        <w:t xml:space="preserve"> </w:t>
      </w:r>
      <w:r>
        <w:t>about</w:t>
      </w:r>
      <w:r w:rsidRPr="004D6522">
        <w:t xml:space="preserve"> the </w:t>
      </w:r>
      <w:r>
        <w:t>implementation activities</w:t>
      </w:r>
      <w:r w:rsidRPr="004D6522">
        <w:t xml:space="preserve"> of </w:t>
      </w:r>
      <w:r>
        <w:t xml:space="preserve">substance abuse outreach/pretreatment and </w:t>
      </w:r>
      <w:r w:rsidRPr="004D6522">
        <w:t>treatment programs offered through SAMH</w:t>
      </w:r>
      <w:r>
        <w:t>S</w:t>
      </w:r>
      <w:r w:rsidRPr="004D6522">
        <w:t xml:space="preserve">A TCE-HIV grant funding, and to </w:t>
      </w:r>
      <w:r>
        <w:t xml:space="preserve">obtain information on the HIV risk behaviors and psychosocial factors of clients </w:t>
      </w:r>
      <w:r w:rsidRPr="004D6522">
        <w:t xml:space="preserve">in racial and ethnic minority </w:t>
      </w:r>
      <w:r>
        <w:t>communities</w:t>
      </w:r>
      <w:r w:rsidRPr="004D6522">
        <w:t>.</w:t>
      </w:r>
      <w:r>
        <w:t xml:space="preserve"> The data collected will be utilized to address the purpose of the Multi-Site Evaluation, which is informed by the CDC Framework for Program Evaluation in Public Health (1999) and described in Section A1, Circumstances of Information Collection. Based on this program evaluation framework, a formative </w:t>
      </w:r>
      <w:r w:rsidRPr="00C141E2">
        <w:t>evaluation effort</w:t>
      </w:r>
      <w:r>
        <w:t xml:space="preserve"> with two primary goals is supported</w:t>
      </w:r>
      <w:r w:rsidRPr="00C141E2">
        <w:t xml:space="preserve">: </w:t>
      </w:r>
    </w:p>
    <w:p w:rsidR="000F48AC" w:rsidRDefault="000F48AC" w:rsidP="00924715">
      <w:pPr>
        <w:ind w:left="720"/>
      </w:pPr>
    </w:p>
    <w:p w:rsidR="000F48AC" w:rsidRDefault="000F48AC" w:rsidP="00924715">
      <w:pPr>
        <w:pStyle w:val="ListParagraph"/>
        <w:numPr>
          <w:ilvl w:val="0"/>
          <w:numId w:val="51"/>
        </w:numPr>
        <w:autoSpaceDE w:val="0"/>
        <w:autoSpaceDN w:val="0"/>
        <w:adjustRightInd w:val="0"/>
      </w:pPr>
      <w:r>
        <w:t xml:space="preserve">Evaluation Goal #1: </w:t>
      </w:r>
      <w:r w:rsidRPr="00D35801">
        <w:t xml:space="preserve">To monitor the implementation activities of the TCE-HIV funded </w:t>
      </w:r>
      <w:r>
        <w:t>G</w:t>
      </w:r>
      <w:r w:rsidRPr="00D35801">
        <w:t>rantees including</w:t>
      </w:r>
      <w:r>
        <w:t xml:space="preserve"> their EBPs, service delivery, and contextual factors that facilitate or impede program success.</w:t>
      </w:r>
    </w:p>
    <w:p w:rsidR="000F48AC" w:rsidRPr="00D35801" w:rsidRDefault="000F48AC" w:rsidP="00924715">
      <w:pPr>
        <w:pStyle w:val="ListParagraph"/>
        <w:numPr>
          <w:ilvl w:val="0"/>
          <w:numId w:val="51"/>
        </w:numPr>
        <w:autoSpaceDE w:val="0"/>
        <w:autoSpaceDN w:val="0"/>
        <w:adjustRightInd w:val="0"/>
      </w:pPr>
      <w:r>
        <w:t xml:space="preserve">Evaluation </w:t>
      </w:r>
      <w:r w:rsidRPr="00D35801">
        <w:t xml:space="preserve">Goal #2: </w:t>
      </w:r>
      <w:r>
        <w:t>To o</w:t>
      </w:r>
      <w:r w:rsidRPr="00D35801">
        <w:t xml:space="preserve">btain information on risk behaviors, HIV testing/serostatus, social support, medical </w:t>
      </w:r>
      <w:r>
        <w:t>and</w:t>
      </w:r>
      <w:r w:rsidRPr="00D35801">
        <w:t xml:space="preserve"> mental health, and motivation for treatment from clients of the TCE-HIV grantees and monitor their satisfaction with services received.</w:t>
      </w:r>
    </w:p>
    <w:p w:rsidR="000F48AC" w:rsidRDefault="000F48AC" w:rsidP="00924715">
      <w:pPr>
        <w:ind w:left="720"/>
      </w:pPr>
    </w:p>
    <w:p w:rsidR="000F48AC" w:rsidRDefault="000F48AC" w:rsidP="00924715">
      <w:pPr>
        <w:ind w:left="720"/>
      </w:pPr>
      <w:r>
        <w:t>Data collected related to the first evaluation goal</w:t>
      </w:r>
      <w:r w:rsidRPr="00C141E2">
        <w:t xml:space="preserve"> will describe the content of Grantees’ interventions and their underlying </w:t>
      </w:r>
      <w:r>
        <w:t>EBPs as well as</w:t>
      </w:r>
      <w:r w:rsidRPr="00C141E2">
        <w:t xml:space="preserve"> provide information about </w:t>
      </w:r>
      <w:r>
        <w:t xml:space="preserve">the </w:t>
      </w:r>
      <w:r w:rsidRPr="00C141E2">
        <w:t xml:space="preserve">TCE-HIV services delivered, who delivered them, how they were delivered, to whom they were delivered, and </w:t>
      </w:r>
      <w:r>
        <w:t>whether</w:t>
      </w:r>
      <w:r w:rsidRPr="00C141E2">
        <w:t xml:space="preserve"> these services modif</w:t>
      </w:r>
      <w:r>
        <w:t>ied</w:t>
      </w:r>
      <w:r w:rsidRPr="00C141E2">
        <w:t xml:space="preserve"> the Grantee’s overall substance abuse treatment service delivery system.</w:t>
      </w:r>
      <w:r>
        <w:t xml:space="preserve"> </w:t>
      </w:r>
      <w:r w:rsidRPr="00C141E2">
        <w:t xml:space="preserve">Consolidating the information on program components across Grantees provides the basis for </w:t>
      </w:r>
      <w:r>
        <w:t xml:space="preserve">identifying </w:t>
      </w:r>
      <w:r w:rsidRPr="00C141E2">
        <w:t xml:space="preserve">commonalities among the diverse programs and populations being served. </w:t>
      </w:r>
      <w:r>
        <w:t>Information related to the second evaluation goal will provide an understanding of the clients being served with regard to their risk behaviors and other conditions and will allow for monitoring of these factors over time</w:t>
      </w:r>
      <w:r w:rsidRPr="0068106D">
        <w:t>.</w:t>
      </w:r>
      <w:r>
        <w:t xml:space="preserve"> </w:t>
      </w:r>
    </w:p>
    <w:p w:rsidR="000F48AC" w:rsidRPr="00C141E2" w:rsidRDefault="000F48AC" w:rsidP="00924715"/>
    <w:p w:rsidR="000F48AC" w:rsidRDefault="000F48AC" w:rsidP="00924715">
      <w:pPr>
        <w:ind w:left="720"/>
      </w:pPr>
      <w:r w:rsidRPr="00C141E2">
        <w:t xml:space="preserve">To address the </w:t>
      </w:r>
      <w:r>
        <w:t>two formative evaluation goals</w:t>
      </w:r>
      <w:r w:rsidRPr="00C141E2">
        <w:t xml:space="preserve">, </w:t>
      </w:r>
      <w:r>
        <w:t xml:space="preserve">data associated with client risk behaviors will be collected </w:t>
      </w:r>
      <w:r w:rsidRPr="00C141E2">
        <w:t xml:space="preserve">continuously </w:t>
      </w:r>
      <w:r>
        <w:t xml:space="preserve">via a </w:t>
      </w:r>
      <w:r w:rsidRPr="00C141E2">
        <w:t>counselor</w:t>
      </w:r>
      <w:r>
        <w:t>-</w:t>
      </w:r>
      <w:r w:rsidRPr="00C141E2">
        <w:t xml:space="preserve">administered </w:t>
      </w:r>
      <w:r>
        <w:t xml:space="preserve">client survey, and program implementation </w:t>
      </w:r>
      <w:r w:rsidRPr="00C141E2">
        <w:t>data collection</w:t>
      </w:r>
      <w:r>
        <w:t xml:space="preserve"> will occur</w:t>
      </w:r>
      <w:r w:rsidRPr="00C141E2">
        <w:t xml:space="preserve"> at two distinct points in time</w:t>
      </w:r>
      <w:r>
        <w:t xml:space="preserve"> through</w:t>
      </w:r>
      <w:r w:rsidRPr="00C141E2">
        <w:t xml:space="preserve"> site visits</w:t>
      </w:r>
      <w:r>
        <w:t xml:space="preserve">. </w:t>
      </w:r>
      <w:r w:rsidRPr="00C141E2">
        <w:t xml:space="preserve">The purpose of the site visits </w:t>
      </w:r>
      <w:r>
        <w:t>is</w:t>
      </w:r>
      <w:r w:rsidRPr="00C141E2">
        <w:t xml:space="preserve"> to observe program processes</w:t>
      </w:r>
      <w:r>
        <w:t xml:space="preserve"> related to project implementation</w:t>
      </w:r>
      <w:r w:rsidRPr="00C141E2">
        <w:t xml:space="preserve">, to conduct semi-structured interviews with project staff and partners/collaborators, </w:t>
      </w:r>
      <w:r>
        <w:t xml:space="preserve">and </w:t>
      </w:r>
      <w:r w:rsidRPr="00C141E2">
        <w:t>to conduct client focus groups</w:t>
      </w:r>
      <w:r>
        <w:t>. The</w:t>
      </w:r>
      <w:r w:rsidRPr="00C141E2">
        <w:t xml:space="preserve"> site visit </w:t>
      </w:r>
      <w:r>
        <w:t>for</w:t>
      </w:r>
      <w:r w:rsidRPr="00C141E2">
        <w:t xml:space="preserve"> the first data collection point (Year </w:t>
      </w:r>
      <w:r>
        <w:t>3</w:t>
      </w:r>
      <w:r w:rsidRPr="00C141E2">
        <w:t>)</w:t>
      </w:r>
      <w:r>
        <w:t xml:space="preserve"> is</w:t>
      </w:r>
      <w:r w:rsidRPr="005B35E4">
        <w:t xml:space="preserve"> designed to capture information </w:t>
      </w:r>
      <w:r>
        <w:t>on and changes to</w:t>
      </w:r>
      <w:r w:rsidRPr="005B35E4">
        <w:t xml:space="preserve"> the specific activities associated with implementation, the staff involved in </w:t>
      </w:r>
      <w:r>
        <w:t xml:space="preserve">program </w:t>
      </w:r>
      <w:r w:rsidRPr="005B35E4">
        <w:t xml:space="preserve">implementation activities, and the amount of time required </w:t>
      </w:r>
      <w:r>
        <w:t>for a client to complete treatment.</w:t>
      </w:r>
      <w:r>
        <w:rPr>
          <w:rFonts w:ascii="Arial" w:hAnsi="Arial" w:cs="Arial"/>
        </w:rPr>
        <w:t xml:space="preserve"> </w:t>
      </w:r>
      <w:r w:rsidRPr="00C141E2">
        <w:t xml:space="preserve">The second </w:t>
      </w:r>
      <w:r>
        <w:t xml:space="preserve">site visit </w:t>
      </w:r>
      <w:r w:rsidRPr="00C141E2">
        <w:t xml:space="preserve">(Year 4) will collect a repeat measure of all data collected during Year </w:t>
      </w:r>
      <w:r>
        <w:t>3</w:t>
      </w:r>
      <w:r w:rsidRPr="00C141E2">
        <w:t xml:space="preserve">. Comparisons </w:t>
      </w:r>
      <w:r>
        <w:t>of the data collected during</w:t>
      </w:r>
      <w:r w:rsidRPr="00C141E2">
        <w:t xml:space="preserve"> the</w:t>
      </w:r>
      <w:r>
        <w:t xml:space="preserve"> Year 3 and Year 4</w:t>
      </w:r>
      <w:r w:rsidRPr="00C141E2">
        <w:t xml:space="preserve"> </w:t>
      </w:r>
      <w:r>
        <w:t>site visit</w:t>
      </w:r>
      <w:r w:rsidRPr="00C141E2">
        <w:t>s will yield information on community</w:t>
      </w:r>
      <w:r>
        <w:t xml:space="preserve"> and </w:t>
      </w:r>
      <w:r w:rsidRPr="00C141E2">
        <w:t>program</w:t>
      </w:r>
      <w:r>
        <w:t xml:space="preserve"> </w:t>
      </w:r>
      <w:r w:rsidRPr="00C141E2">
        <w:t xml:space="preserve">changes as measured </w:t>
      </w:r>
      <w:r>
        <w:t xml:space="preserve">by site visit instruments. </w:t>
      </w:r>
      <w:r w:rsidRPr="00C141E2">
        <w:t xml:space="preserve">Simultaneously, </w:t>
      </w:r>
      <w:r>
        <w:t xml:space="preserve">counselor-administered </w:t>
      </w:r>
      <w:r w:rsidRPr="00C141E2">
        <w:t>client</w:t>
      </w:r>
      <w:r>
        <w:t xml:space="preserve"> questionnaires</w:t>
      </w:r>
      <w:r w:rsidRPr="00C141E2">
        <w:t xml:space="preserve"> will be collected continuously</w:t>
      </w:r>
      <w:r>
        <w:t xml:space="preserve"> to allow for monitoring of</w:t>
      </w:r>
      <w:r w:rsidRPr="00E10B20">
        <w:t xml:space="preserve"> the </w:t>
      </w:r>
      <w:r>
        <w:t xml:space="preserve">key constructs of interest (i.e., HIV risk behaviors, HIV testing/serostatus, social connectedness, quality of life) over time. </w:t>
      </w:r>
      <w:r w:rsidRPr="00C141E2">
        <w:t xml:space="preserve">TCE-HIV counselors will facilitate the completion of the </w:t>
      </w:r>
      <w:r>
        <w:t>c</w:t>
      </w:r>
      <w:r w:rsidRPr="00C141E2">
        <w:t xml:space="preserve">lient </w:t>
      </w:r>
      <w:r>
        <w:t>questionnaire</w:t>
      </w:r>
      <w:r w:rsidRPr="00C141E2">
        <w:t xml:space="preserve"> </w:t>
      </w:r>
      <w:r>
        <w:t xml:space="preserve">for each treatment client </w:t>
      </w:r>
      <w:r w:rsidRPr="00C141E2">
        <w:t xml:space="preserve">at baseline, discharge, and </w:t>
      </w:r>
      <w:r>
        <w:t>6 months</w:t>
      </w:r>
      <w:r w:rsidRPr="00C141E2">
        <w:t xml:space="preserve"> post </w:t>
      </w:r>
      <w:r>
        <w:t>baseline</w:t>
      </w:r>
      <w:r w:rsidRPr="00C141E2">
        <w:t>.</w:t>
      </w:r>
      <w:r>
        <w:t xml:space="preserve"> The client questionnaire will be administered to treatment clients (versus outreach/pretreatment clients) in order to maximize response rates at each of the three data collection points and reduce burden on Grantees staff responsible for collecting the data (see Section B3, Methods to Maximize Response Rates for additional information). </w:t>
      </w:r>
    </w:p>
    <w:p w:rsidR="000F48AC" w:rsidRPr="00C141E2" w:rsidRDefault="000F48AC" w:rsidP="00924715">
      <w:pPr>
        <w:pStyle w:val="bodytext"/>
        <w:spacing w:after="0" w:line="240" w:lineRule="auto"/>
      </w:pPr>
    </w:p>
    <w:p w:rsidR="000F48AC" w:rsidRDefault="000F48AC" w:rsidP="00924715">
      <w:pPr>
        <w:pStyle w:val="bodytext"/>
        <w:spacing w:after="0" w:line="240" w:lineRule="auto"/>
        <w:ind w:left="720"/>
      </w:pPr>
      <w:r>
        <w:rPr>
          <w:b/>
        </w:rPr>
        <w:t xml:space="preserve">Evaluation Goal #1: Program Implementation Activity Data Collection. </w:t>
      </w:r>
      <w:r w:rsidRPr="00C141E2">
        <w:t xml:space="preserve">The evaluation of the </w:t>
      </w:r>
      <w:r>
        <w:t xml:space="preserve">program implementation activities of the </w:t>
      </w:r>
      <w:r w:rsidRPr="00C141E2">
        <w:t>4</w:t>
      </w:r>
      <w:r w:rsidRPr="00772F84">
        <w:t>8</w:t>
      </w:r>
      <w:r w:rsidRPr="00C141E2">
        <w:t xml:space="preserve"> TCE-HIV Grantees will focus on questions related to the service delivery process</w:t>
      </w:r>
      <w:r>
        <w:t xml:space="preserve"> to</w:t>
      </w:r>
      <w:r w:rsidRPr="00C141E2">
        <w:t xml:space="preserve"> determine activities required of Grantees to implement and sustain TCE-HIV services. Specifically, </w:t>
      </w:r>
      <w:r>
        <w:t>these questions</w:t>
      </w:r>
      <w:r w:rsidRPr="00C141E2">
        <w:t xml:space="preserve"> will assess:</w:t>
      </w:r>
    </w:p>
    <w:p w:rsidR="000F48AC" w:rsidRDefault="000F48AC" w:rsidP="00924715">
      <w:pPr>
        <w:pStyle w:val="bodytext"/>
        <w:spacing w:after="0" w:line="240" w:lineRule="auto"/>
        <w:ind w:left="720"/>
      </w:pPr>
    </w:p>
    <w:p w:rsidR="000F48AC" w:rsidRPr="00C141E2" w:rsidRDefault="000F48AC" w:rsidP="00924715">
      <w:pPr>
        <w:pStyle w:val="ListParagraph"/>
        <w:numPr>
          <w:ilvl w:val="0"/>
          <w:numId w:val="10"/>
        </w:numPr>
        <w:tabs>
          <w:tab w:val="clear" w:pos="1440"/>
        </w:tabs>
        <w:ind w:hanging="270"/>
      </w:pPr>
      <w:r w:rsidRPr="00C141E2">
        <w:t>Community/</w:t>
      </w:r>
      <w:r>
        <w:t>c</w:t>
      </w:r>
      <w:r w:rsidRPr="00C141E2">
        <w:t xml:space="preserve">ontextual </w:t>
      </w:r>
      <w:r>
        <w:t>c</w:t>
      </w:r>
      <w:r w:rsidRPr="00C141E2">
        <w:t>onditions</w:t>
      </w:r>
    </w:p>
    <w:p w:rsidR="000F48AC" w:rsidRPr="00C141E2" w:rsidRDefault="000F48AC" w:rsidP="00924715">
      <w:pPr>
        <w:pStyle w:val="ListParagraph"/>
        <w:numPr>
          <w:ilvl w:val="0"/>
          <w:numId w:val="10"/>
        </w:numPr>
        <w:tabs>
          <w:tab w:val="clear" w:pos="1440"/>
        </w:tabs>
        <w:ind w:hanging="270"/>
      </w:pPr>
      <w:r w:rsidRPr="00C141E2">
        <w:t xml:space="preserve">Community </w:t>
      </w:r>
      <w:r>
        <w:t>p</w:t>
      </w:r>
      <w:r w:rsidRPr="00C141E2">
        <w:t>artnerships</w:t>
      </w:r>
    </w:p>
    <w:p w:rsidR="000F48AC" w:rsidRPr="00C141E2" w:rsidRDefault="000F48AC" w:rsidP="00924715">
      <w:pPr>
        <w:pStyle w:val="ListParagraph"/>
        <w:numPr>
          <w:ilvl w:val="0"/>
          <w:numId w:val="10"/>
        </w:numPr>
        <w:tabs>
          <w:tab w:val="clear" w:pos="1440"/>
        </w:tabs>
        <w:ind w:hanging="270"/>
      </w:pPr>
      <w:r w:rsidRPr="00C141E2">
        <w:t xml:space="preserve">Program </w:t>
      </w:r>
      <w:r>
        <w:t>c</w:t>
      </w:r>
      <w:r w:rsidRPr="00C141E2">
        <w:t>haracteristics</w:t>
      </w:r>
    </w:p>
    <w:p w:rsidR="000F48AC" w:rsidRPr="00C141E2" w:rsidRDefault="000F48AC" w:rsidP="00924715">
      <w:pPr>
        <w:pStyle w:val="ListParagraph"/>
        <w:numPr>
          <w:ilvl w:val="0"/>
          <w:numId w:val="10"/>
        </w:numPr>
        <w:tabs>
          <w:tab w:val="clear" w:pos="1440"/>
        </w:tabs>
        <w:ind w:hanging="270"/>
      </w:pPr>
      <w:r w:rsidRPr="00C141E2">
        <w:t xml:space="preserve">System </w:t>
      </w:r>
      <w:r>
        <w:t>r</w:t>
      </w:r>
      <w:r w:rsidRPr="00C141E2">
        <w:t>esources</w:t>
      </w:r>
    </w:p>
    <w:p w:rsidR="000F48AC" w:rsidRPr="00C141E2" w:rsidRDefault="000F48AC" w:rsidP="00924715">
      <w:pPr>
        <w:pStyle w:val="ListParagraph"/>
        <w:numPr>
          <w:ilvl w:val="0"/>
          <w:numId w:val="10"/>
        </w:numPr>
        <w:tabs>
          <w:tab w:val="clear" w:pos="1440"/>
        </w:tabs>
        <w:ind w:hanging="270"/>
      </w:pPr>
      <w:r w:rsidRPr="00C141E2">
        <w:t xml:space="preserve">Grantee </w:t>
      </w:r>
      <w:r>
        <w:t>a</w:t>
      </w:r>
      <w:r w:rsidRPr="00C141E2">
        <w:t xml:space="preserve">ctivities and </w:t>
      </w:r>
      <w:r>
        <w:t>o</w:t>
      </w:r>
      <w:r w:rsidRPr="00C141E2">
        <w:t>perations</w:t>
      </w:r>
    </w:p>
    <w:p w:rsidR="000F48AC" w:rsidRPr="00C141E2" w:rsidRDefault="000F48AC" w:rsidP="00924715">
      <w:pPr>
        <w:pStyle w:val="ListParagraph"/>
        <w:numPr>
          <w:ilvl w:val="0"/>
          <w:numId w:val="10"/>
        </w:numPr>
        <w:tabs>
          <w:tab w:val="clear" w:pos="1440"/>
        </w:tabs>
        <w:ind w:hanging="270"/>
      </w:pPr>
      <w:r w:rsidRPr="00C141E2">
        <w:t xml:space="preserve">Staffing and </w:t>
      </w:r>
      <w:r>
        <w:t>t</w:t>
      </w:r>
      <w:r w:rsidRPr="00C141E2">
        <w:t>raining</w:t>
      </w:r>
    </w:p>
    <w:p w:rsidR="000F48AC" w:rsidRPr="00D167D6" w:rsidRDefault="000F48AC" w:rsidP="00924715">
      <w:pPr>
        <w:pStyle w:val="ListParagraph"/>
        <w:numPr>
          <w:ilvl w:val="0"/>
          <w:numId w:val="10"/>
        </w:numPr>
        <w:tabs>
          <w:tab w:val="clear" w:pos="1440"/>
        </w:tabs>
        <w:ind w:hanging="270"/>
      </w:pPr>
      <w:r w:rsidRPr="00D167D6">
        <w:t xml:space="preserve">Client </w:t>
      </w:r>
      <w:r>
        <w:t>c</w:t>
      </w:r>
      <w:r w:rsidRPr="00D167D6">
        <w:t>onditions</w:t>
      </w:r>
      <w:r>
        <w:t xml:space="preserve"> (e.g., barriers to receiving services) </w:t>
      </w:r>
    </w:p>
    <w:p w:rsidR="000F48AC" w:rsidRPr="00C141E2" w:rsidRDefault="000F48AC" w:rsidP="00924715">
      <w:pPr>
        <w:pStyle w:val="bodytext"/>
        <w:spacing w:after="0" w:line="240" w:lineRule="auto"/>
      </w:pPr>
    </w:p>
    <w:p w:rsidR="000F48AC" w:rsidRDefault="000F48AC" w:rsidP="00924715">
      <w:pPr>
        <w:pStyle w:val="bodytext"/>
        <w:spacing w:after="0" w:line="240" w:lineRule="auto"/>
        <w:ind w:left="720"/>
      </w:pPr>
      <w:r w:rsidRPr="00C141E2">
        <w:t>The semi-structured interviews with project directors, Grantee staff, and community collaborators/partners</w:t>
      </w:r>
      <w:r>
        <w:t xml:space="preserve">, along with client focus groups </w:t>
      </w:r>
      <w:r w:rsidRPr="00C141E2">
        <w:t xml:space="preserve">will provide </w:t>
      </w:r>
      <w:r>
        <w:t xml:space="preserve">the </w:t>
      </w:r>
      <w:r w:rsidRPr="00C141E2">
        <w:t xml:space="preserve">data necessary to </w:t>
      </w:r>
      <w:r>
        <w:t>assess Grantees’ implementation activities</w:t>
      </w:r>
      <w:r w:rsidRPr="00C141E2">
        <w:t xml:space="preserve">. </w:t>
      </w:r>
      <w:r w:rsidRPr="006A4C6E">
        <w:t xml:space="preserve">The following </w:t>
      </w:r>
      <w:r>
        <w:t xml:space="preserve">sections </w:t>
      </w:r>
      <w:r w:rsidRPr="006A4C6E">
        <w:t xml:space="preserve">present a description of the </w:t>
      </w:r>
      <w:r>
        <w:t>implementation activity data collection methodologies.</w:t>
      </w:r>
    </w:p>
    <w:p w:rsidR="000F48AC" w:rsidRPr="00811D21" w:rsidRDefault="000F48AC" w:rsidP="00924715">
      <w:pPr>
        <w:pStyle w:val="bodytext"/>
        <w:spacing w:after="0" w:line="240" w:lineRule="auto"/>
      </w:pPr>
    </w:p>
    <w:p w:rsidR="000F48AC" w:rsidRDefault="000F48AC" w:rsidP="00924715">
      <w:pPr>
        <w:pStyle w:val="bodytext"/>
        <w:spacing w:after="0" w:line="240" w:lineRule="auto"/>
        <w:ind w:left="720"/>
      </w:pPr>
      <w:r w:rsidRPr="00967F3D">
        <w:rPr>
          <w:u w:val="single"/>
        </w:rPr>
        <w:t>Administrat</w:t>
      </w:r>
      <w:r>
        <w:rPr>
          <w:u w:val="single"/>
        </w:rPr>
        <w:t>ive Staff Semi-Structured Interview</w:t>
      </w:r>
      <w:r w:rsidRPr="009015DA">
        <w:rPr>
          <w:u w:val="single"/>
        </w:rPr>
        <w:t>:</w:t>
      </w:r>
      <w:r w:rsidRPr="009015DA">
        <w:t xml:space="preserve"> (See </w:t>
      </w:r>
      <w:r>
        <w:t>Attachment 3 - Document 1.</w:t>
      </w:r>
      <w:r w:rsidRPr="005A7873">
        <w:t>)</w:t>
      </w:r>
      <w:r w:rsidRPr="00967F3D">
        <w:t xml:space="preserve"> The goal of this interview </w:t>
      </w:r>
      <w:r>
        <w:t>is</w:t>
      </w:r>
      <w:r w:rsidRPr="00967F3D">
        <w:t xml:space="preserve"> to collect information regarding the development and changes in TCE-HIV program operations, staffing, training</w:t>
      </w:r>
      <w:r>
        <w:t>,</w:t>
      </w:r>
      <w:r w:rsidRPr="00967F3D">
        <w:t xml:space="preserve"> and </w:t>
      </w:r>
      <w:r>
        <w:t>services</w:t>
      </w:r>
      <w:r w:rsidRPr="00967F3D">
        <w:t xml:space="preserve"> (e.g., outreach-pretreatment and/or treatment activities); to provide improved understanding of program, agency, and community capacity changes that result from TCE-HIV activities; and to </w:t>
      </w:r>
      <w:r>
        <w:t>gather</w:t>
      </w:r>
      <w:r w:rsidRPr="00967F3D">
        <w:t xml:space="preserve"> documentation of changes in the number or nature of partnerships and collaborations both internal and external to the TCE-HIV program agency. </w:t>
      </w:r>
    </w:p>
    <w:p w:rsidR="000F48AC" w:rsidRPr="00967F3D" w:rsidRDefault="000F48AC" w:rsidP="00924715">
      <w:pPr>
        <w:pStyle w:val="bodytext"/>
        <w:spacing w:after="0" w:line="240" w:lineRule="auto"/>
      </w:pPr>
      <w:r>
        <w:tab/>
      </w:r>
    </w:p>
    <w:p w:rsidR="000F48AC" w:rsidRDefault="000F48AC" w:rsidP="00924715">
      <w:pPr>
        <w:pStyle w:val="bodytext"/>
        <w:spacing w:after="0" w:line="240" w:lineRule="auto"/>
        <w:ind w:left="720"/>
      </w:pPr>
      <w:r w:rsidRPr="00967F3D">
        <w:t xml:space="preserve">Individuals who perform administrative tasks related to the TCE-HIV program (e.g., Project Director, Program Manager, and Executive Director) are eligible to </w:t>
      </w:r>
      <w:r>
        <w:t>participate in the semi-structured</w:t>
      </w:r>
      <w:r w:rsidRPr="00967F3D">
        <w:t xml:space="preserve"> interview. It is estimated that one administrative staff member per Grantee site will be interviewed during a given interview session. The administrat</w:t>
      </w:r>
      <w:r>
        <w:t>ive staff</w:t>
      </w:r>
      <w:r w:rsidRPr="00967F3D">
        <w:t xml:space="preserve"> interviews will be conducted </w:t>
      </w:r>
      <w:r w:rsidRPr="00967F3D">
        <w:rPr>
          <w:rFonts w:eastAsia="MS Mincho"/>
        </w:rPr>
        <w:t xml:space="preserve">in two parts. The first part will be conducted with an </w:t>
      </w:r>
      <w:r>
        <w:rPr>
          <w:rFonts w:eastAsia="MS Mincho"/>
        </w:rPr>
        <w:t>e</w:t>
      </w:r>
      <w:r w:rsidRPr="00967F3D">
        <w:rPr>
          <w:rFonts w:eastAsia="MS Mincho"/>
        </w:rPr>
        <w:t xml:space="preserve">xecutive </w:t>
      </w:r>
      <w:r>
        <w:rPr>
          <w:rFonts w:eastAsia="MS Mincho"/>
        </w:rPr>
        <w:t>s</w:t>
      </w:r>
      <w:r w:rsidRPr="00967F3D">
        <w:rPr>
          <w:rFonts w:eastAsia="MS Mincho"/>
        </w:rPr>
        <w:t xml:space="preserve">taff </w:t>
      </w:r>
      <w:r>
        <w:rPr>
          <w:rFonts w:eastAsia="MS Mincho"/>
        </w:rPr>
        <w:t xml:space="preserve">member </w:t>
      </w:r>
      <w:r w:rsidRPr="00967F3D">
        <w:rPr>
          <w:rFonts w:eastAsia="MS Mincho"/>
        </w:rPr>
        <w:t xml:space="preserve">of the agency; and the second part with the Project Director or </w:t>
      </w:r>
      <w:r>
        <w:rPr>
          <w:rFonts w:eastAsia="MS Mincho"/>
        </w:rPr>
        <w:t>Program Manager</w:t>
      </w:r>
      <w:r w:rsidRPr="00967F3D">
        <w:rPr>
          <w:rFonts w:eastAsia="MS Mincho"/>
        </w:rPr>
        <w:t xml:space="preserve"> of the TCE-HIV project.</w:t>
      </w:r>
      <w:r>
        <w:rPr>
          <w:rFonts w:eastAsia="MS Mincho"/>
        </w:rPr>
        <w:t xml:space="preserve"> </w:t>
      </w:r>
      <w:r w:rsidRPr="00967F3D">
        <w:rPr>
          <w:rFonts w:eastAsia="MS Mincho"/>
        </w:rPr>
        <w:t xml:space="preserve">It is likely that one person from the agency </w:t>
      </w:r>
      <w:r>
        <w:rPr>
          <w:rFonts w:eastAsia="MS Mincho"/>
        </w:rPr>
        <w:t xml:space="preserve">may </w:t>
      </w:r>
      <w:r w:rsidRPr="00967F3D">
        <w:rPr>
          <w:rFonts w:eastAsia="MS Mincho"/>
        </w:rPr>
        <w:t xml:space="preserve">fulfill both roles/positions. If this is </w:t>
      </w:r>
      <w:r w:rsidRPr="009015DA">
        <w:rPr>
          <w:rFonts w:eastAsia="MS Mincho"/>
        </w:rPr>
        <w:t xml:space="preserve">the case, the full interview </w:t>
      </w:r>
      <w:r>
        <w:rPr>
          <w:rFonts w:eastAsia="MS Mincho"/>
        </w:rPr>
        <w:t>will</w:t>
      </w:r>
      <w:r w:rsidRPr="009015DA">
        <w:rPr>
          <w:rFonts w:eastAsia="MS Mincho"/>
        </w:rPr>
        <w:t xml:space="preserve"> be conducted with that person.</w:t>
      </w:r>
    </w:p>
    <w:p w:rsidR="000F48AC" w:rsidRPr="009015DA" w:rsidRDefault="000F48AC" w:rsidP="00924715">
      <w:pPr>
        <w:pStyle w:val="bodytext"/>
        <w:spacing w:after="0" w:line="240" w:lineRule="auto"/>
      </w:pPr>
    </w:p>
    <w:p w:rsidR="000F48AC" w:rsidRDefault="000F48AC" w:rsidP="00924715">
      <w:pPr>
        <w:keepNext/>
        <w:ind w:left="720"/>
      </w:pPr>
      <w:r>
        <w:rPr>
          <w:u w:val="single"/>
        </w:rPr>
        <w:t>Direct Services Staff Semi-Structured Interview</w:t>
      </w:r>
      <w:r w:rsidRPr="009015DA">
        <w:rPr>
          <w:u w:val="single"/>
        </w:rPr>
        <w:t>:</w:t>
      </w:r>
      <w:r w:rsidRPr="009015DA">
        <w:t xml:space="preserve"> (See </w:t>
      </w:r>
      <w:r>
        <w:t>Attachment 5 - Document 1</w:t>
      </w:r>
      <w:r w:rsidRPr="005A7873">
        <w:t>.)</w:t>
      </w:r>
      <w:r w:rsidRPr="009015DA">
        <w:t xml:space="preserve"> The goal of this interview will be to collect information </w:t>
      </w:r>
      <w:r>
        <w:t>about</w:t>
      </w:r>
      <w:r w:rsidRPr="009015DA">
        <w:t xml:space="preserve"> the development of outreach/pretreatment and treatment operations/activities and to understand program changes that result from TCE-HIV activities. Individuals from the Grantee organization who have direct contact with clients to perform outreach/pretreatment and treatment</w:t>
      </w:r>
      <w:r>
        <w:t>-</w:t>
      </w:r>
      <w:r w:rsidRPr="009015DA">
        <w:t xml:space="preserve">related tasks will be eligible to </w:t>
      </w:r>
      <w:r>
        <w:t>participate in the semi-structured</w:t>
      </w:r>
      <w:r w:rsidRPr="009015DA">
        <w:t xml:space="preserve"> interview. Administrative staff members and direct </w:t>
      </w:r>
      <w:r>
        <w:t xml:space="preserve">services </w:t>
      </w:r>
      <w:r w:rsidRPr="009015DA">
        <w:t xml:space="preserve">staff members perform different functions in </w:t>
      </w:r>
      <w:r>
        <w:t>G</w:t>
      </w:r>
      <w:r w:rsidRPr="009015DA">
        <w:t xml:space="preserve">rantee organizations and can each provide different </w:t>
      </w:r>
      <w:r>
        <w:t>perspectives</w:t>
      </w:r>
      <w:r w:rsidRPr="009015DA">
        <w:t xml:space="preserve"> on treatment operations/activities within an organization. </w:t>
      </w:r>
      <w:r>
        <w:t>T</w:t>
      </w:r>
      <w:r w:rsidRPr="009015DA">
        <w:t xml:space="preserve">o obtain a balanced set of data, information will be collected from both. Examples of those performing direct service </w:t>
      </w:r>
      <w:r>
        <w:t>activities</w:t>
      </w:r>
      <w:r w:rsidRPr="009015DA">
        <w:t xml:space="preserve"> include outreach workers, </w:t>
      </w:r>
      <w:r>
        <w:t xml:space="preserve">treatment </w:t>
      </w:r>
      <w:r w:rsidRPr="009015DA">
        <w:t xml:space="preserve">counselors, and case managers. It is estimated that more than one direct </w:t>
      </w:r>
      <w:r>
        <w:t xml:space="preserve">services </w:t>
      </w:r>
      <w:r w:rsidRPr="009015DA">
        <w:t xml:space="preserve">staff </w:t>
      </w:r>
      <w:r>
        <w:t xml:space="preserve">member </w:t>
      </w:r>
      <w:r w:rsidRPr="009015DA">
        <w:t>will participate in a given interview session.</w:t>
      </w:r>
    </w:p>
    <w:p w:rsidR="000F48AC" w:rsidRPr="009015DA" w:rsidRDefault="000F48AC" w:rsidP="00924715">
      <w:pPr>
        <w:pStyle w:val="bodytext"/>
        <w:spacing w:after="0" w:line="240" w:lineRule="auto"/>
      </w:pPr>
    </w:p>
    <w:p w:rsidR="000F48AC" w:rsidRDefault="000F48AC" w:rsidP="00924715">
      <w:pPr>
        <w:keepNext/>
        <w:ind w:left="720"/>
      </w:pPr>
      <w:r w:rsidRPr="009015DA">
        <w:rPr>
          <w:u w:val="single"/>
        </w:rPr>
        <w:t>Partner/Collaborator Semi-Structured Interview</w:t>
      </w:r>
      <w:r w:rsidRPr="009015DA">
        <w:t xml:space="preserve">: (See </w:t>
      </w:r>
      <w:r>
        <w:t>Attachment 7 - Document 1</w:t>
      </w:r>
      <w:r w:rsidRPr="005A7873">
        <w:t>.)</w:t>
      </w:r>
      <w:r w:rsidRPr="009015DA">
        <w:t xml:space="preserve"> The goal of this interview will be to collect information regarding the relationship between </w:t>
      </w:r>
      <w:r>
        <w:t xml:space="preserve">community </w:t>
      </w:r>
      <w:r w:rsidRPr="009015DA">
        <w:t>partners</w:t>
      </w:r>
      <w:r>
        <w:t>/collaborators</w:t>
      </w:r>
      <w:r w:rsidRPr="009015DA">
        <w:t xml:space="preserve"> and the TCE-HIV Grantee agency; to document the types of activities and services the partners</w:t>
      </w:r>
      <w:r>
        <w:t>/collaborators</w:t>
      </w:r>
      <w:r w:rsidRPr="009015DA">
        <w:t xml:space="preserve"> provide in </w:t>
      </w:r>
      <w:r>
        <w:t>cooperation</w:t>
      </w:r>
      <w:r w:rsidRPr="009015DA">
        <w:t xml:space="preserve"> with the Grantee; and to assess </w:t>
      </w:r>
      <w:r>
        <w:t>achievement of goals for clients</w:t>
      </w:r>
      <w:r w:rsidRPr="009015DA">
        <w:t xml:space="preserve"> related to collaboration between </w:t>
      </w:r>
      <w:r>
        <w:t xml:space="preserve">the </w:t>
      </w:r>
      <w:r w:rsidRPr="009015DA">
        <w:t>partner</w:t>
      </w:r>
      <w:r>
        <w:t>/collaborator</w:t>
      </w:r>
      <w:r w:rsidRPr="009015DA">
        <w:t xml:space="preserve"> and Grantee agency.</w:t>
      </w:r>
      <w:r>
        <w:t xml:space="preserve"> A p</w:t>
      </w:r>
      <w:r w:rsidRPr="009015DA">
        <w:t xml:space="preserve">artner/collaborator </w:t>
      </w:r>
      <w:r>
        <w:t>is an</w:t>
      </w:r>
      <w:r w:rsidRPr="009015DA">
        <w:t xml:space="preserve"> agenc</w:t>
      </w:r>
      <w:r>
        <w:t>y</w:t>
      </w:r>
      <w:r w:rsidRPr="009015DA">
        <w:t xml:space="preserve"> or organization that provide</w:t>
      </w:r>
      <w:r>
        <w:t>s</w:t>
      </w:r>
      <w:r w:rsidRPr="009015DA">
        <w:t xml:space="preserve"> services and activities related to the TCE-HIV program. It is estimated that </w:t>
      </w:r>
      <w:r>
        <w:t>up to</w:t>
      </w:r>
      <w:r w:rsidRPr="009015DA">
        <w:t xml:space="preserve"> two individuals per community partner</w:t>
      </w:r>
      <w:r>
        <w:t>/collaborator</w:t>
      </w:r>
      <w:r w:rsidRPr="009015DA">
        <w:t xml:space="preserve"> agency will participate in a given interview session.</w:t>
      </w:r>
    </w:p>
    <w:p w:rsidR="000F48AC" w:rsidRPr="00F014D5" w:rsidRDefault="000F48AC" w:rsidP="00924715">
      <w:pPr>
        <w:ind w:left="360"/>
      </w:pPr>
    </w:p>
    <w:p w:rsidR="000F48AC" w:rsidRDefault="000F48AC" w:rsidP="00924715">
      <w:pPr>
        <w:pStyle w:val="bodytext"/>
        <w:spacing w:after="120" w:line="240" w:lineRule="auto"/>
        <w:ind w:left="720"/>
      </w:pPr>
      <w:r w:rsidRPr="009015DA">
        <w:rPr>
          <w:u w:val="single"/>
        </w:rPr>
        <w:t>Client Focus Groups:</w:t>
      </w:r>
      <w:r w:rsidRPr="009015DA">
        <w:t xml:space="preserve"> (See </w:t>
      </w:r>
      <w:r>
        <w:t>Attachment 1a - Document 1</w:t>
      </w:r>
      <w:r w:rsidRPr="005A7873">
        <w:t>.)</w:t>
      </w:r>
      <w:r w:rsidRPr="009015DA">
        <w:rPr>
          <w:color w:val="339966"/>
        </w:rPr>
        <w:t xml:space="preserve"> </w:t>
      </w:r>
      <w:r w:rsidRPr="009015DA">
        <w:t xml:space="preserve">The goal of the </w:t>
      </w:r>
      <w:r>
        <w:t>c</w:t>
      </w:r>
      <w:r w:rsidRPr="009015DA">
        <w:t xml:space="preserve">lient </w:t>
      </w:r>
      <w:r>
        <w:t>f</w:t>
      </w:r>
      <w:r w:rsidRPr="009015DA">
        <w:t xml:space="preserve">ocus </w:t>
      </w:r>
      <w:r>
        <w:t>g</w:t>
      </w:r>
      <w:r w:rsidRPr="009015DA">
        <w:t xml:space="preserve">roup conducted </w:t>
      </w:r>
      <w:r>
        <w:t>during</w:t>
      </w:r>
      <w:r w:rsidRPr="009015DA">
        <w:t xml:space="preserve"> </w:t>
      </w:r>
      <w:r w:rsidRPr="001F4AA1">
        <w:t>TCE-HIV Multi-Site Evaluation site visits will be to collect data from a sub</w:t>
      </w:r>
      <w:r>
        <w:t>set</w:t>
      </w:r>
      <w:r w:rsidRPr="001F4AA1">
        <w:t xml:space="preserve"> of TCE-HIV treatment clients regarding </w:t>
      </w:r>
      <w:r>
        <w:t>their</w:t>
      </w:r>
      <w:r w:rsidRPr="001F4AA1">
        <w:t xml:space="preserve"> </w:t>
      </w:r>
      <w:r>
        <w:t>experiences</w:t>
      </w:r>
      <w:r w:rsidRPr="001F4AA1">
        <w:t xml:space="preserve"> with the treatment program, </w:t>
      </w:r>
      <w:r>
        <w:t xml:space="preserve">including </w:t>
      </w:r>
      <w:r w:rsidRPr="001F4AA1">
        <w:t xml:space="preserve">barriers and facilitators of treatment services, and client-level </w:t>
      </w:r>
      <w:r>
        <w:t>behaviors</w:t>
      </w:r>
      <w:r w:rsidRPr="001F4AA1">
        <w:t xml:space="preserve"> (i.e., substance use/abuse, risk behavior, quality of life). The Multi-Site Evaluation staff will work collaboratively with Grantee staff to identify client focus group participants. Only those clients who have been administered the </w:t>
      </w:r>
      <w:r>
        <w:t>Government Performance and Results Act (</w:t>
      </w:r>
      <w:r w:rsidRPr="001F4AA1">
        <w:t>GPRA</w:t>
      </w:r>
      <w:r>
        <w:t>) Tool</w:t>
      </w:r>
      <w:r w:rsidRPr="001F4AA1">
        <w:t xml:space="preserve"> and who are receiving TCE-HIV funded treatment services will be eligible to participate in the client focus group. Several inclusion and exclusion criteria will be used to ensure client</w:t>
      </w:r>
      <w:r>
        <w:t xml:space="preserve"> focus group </w:t>
      </w:r>
      <w:r w:rsidRPr="001F4AA1">
        <w:t xml:space="preserve">participants are representative of the target audience served by the Grantee. For example, clients </w:t>
      </w:r>
      <w:r>
        <w:t>who</w:t>
      </w:r>
      <w:r w:rsidRPr="001F4AA1">
        <w:t xml:space="preserve"> have been </w:t>
      </w:r>
      <w:r>
        <w:t>receiving services</w:t>
      </w:r>
      <w:r w:rsidRPr="001F4AA1">
        <w:t xml:space="preserve"> for </w:t>
      </w:r>
      <w:r>
        <w:t>fewer</w:t>
      </w:r>
      <w:r w:rsidRPr="001F4AA1">
        <w:t xml:space="preserve"> than 14 days may be unable to share information based on their limited time in </w:t>
      </w:r>
      <w:r>
        <w:t>the program</w:t>
      </w:r>
      <w:r w:rsidRPr="001F4AA1">
        <w:t>. Additionally, the recruitment of clients for the focus groups will strive for a balance in participants with regard to gender and age. A specified list of focus group inclusion and exclusion criteria will be developed and shared with the Grantees to aid in client identification. It is estimated that up to nine clients will participate in</w:t>
      </w:r>
      <w:r w:rsidRPr="00871746">
        <w:t xml:space="preserve"> </w:t>
      </w:r>
      <w:r>
        <w:t>each</w:t>
      </w:r>
      <w:r w:rsidRPr="00871746">
        <w:t xml:space="preserve"> focus group</w:t>
      </w:r>
      <w:r>
        <w:t xml:space="preserve"> session</w:t>
      </w:r>
      <w:r w:rsidRPr="00871746">
        <w:t>.</w:t>
      </w:r>
    </w:p>
    <w:p w:rsidR="000F48AC" w:rsidRDefault="000F48AC" w:rsidP="00924715">
      <w:pPr>
        <w:ind w:left="720"/>
      </w:pPr>
      <w:r>
        <w:rPr>
          <w:b/>
          <w:bCs/>
        </w:rPr>
        <w:t>Evaluation Goal #2: Client Behavior-Related Data Collection.</w:t>
      </w:r>
      <w:r w:rsidRPr="00A000E2">
        <w:rPr>
          <w:b/>
          <w:bCs/>
        </w:rPr>
        <w:t xml:space="preserve"> </w:t>
      </w:r>
      <w:r w:rsidRPr="00A000E2">
        <w:t xml:space="preserve">While the </w:t>
      </w:r>
      <w:r>
        <w:t xml:space="preserve">program implementation data collection activity </w:t>
      </w:r>
      <w:r w:rsidRPr="00A000E2">
        <w:t xml:space="preserve">will produce critically useful descriptive information </w:t>
      </w:r>
      <w:r>
        <w:t>at a community and grantee level about</w:t>
      </w:r>
      <w:r w:rsidRPr="00A000E2">
        <w:t xml:space="preserve"> the TCE-HIV Grantees</w:t>
      </w:r>
      <w:r>
        <w:t>,</w:t>
      </w:r>
      <w:r w:rsidRPr="00A000E2">
        <w:t xml:space="preserve"> how their programs are implemented</w:t>
      </w:r>
      <w:r>
        <w:t>,</w:t>
      </w:r>
      <w:r w:rsidRPr="00A000E2">
        <w:t xml:space="preserve"> and changes through the course of the 5-year funding cycle, the evaluation of </w:t>
      </w:r>
      <w:r>
        <w:t xml:space="preserve">client behaviors for </w:t>
      </w:r>
      <w:r w:rsidRPr="00A000E2">
        <w:t>the 4</w:t>
      </w:r>
      <w:r>
        <w:t>0</w:t>
      </w:r>
      <w:r w:rsidRPr="00A000E2">
        <w:t xml:space="preserve"> treatment Grantees will provide </w:t>
      </w:r>
      <w:r>
        <w:t>an opportunity to identify key risk behaviors for this population and monitor client risk behaviors and other client conditions over time</w:t>
      </w:r>
      <w:r w:rsidRPr="00A000E2">
        <w:t xml:space="preserve">. </w:t>
      </w:r>
    </w:p>
    <w:p w:rsidR="000F48AC" w:rsidRDefault="000F48AC" w:rsidP="00924715"/>
    <w:p w:rsidR="000F48AC" w:rsidRDefault="000F48AC" w:rsidP="00924715">
      <w:pPr>
        <w:ind w:left="720"/>
      </w:pPr>
      <w:r w:rsidRPr="002D33C1">
        <w:t>Specifically</w:t>
      </w:r>
      <w:r>
        <w:t>,</w:t>
      </w:r>
      <w:r w:rsidRPr="002D33C1">
        <w:t xml:space="preserve"> </w:t>
      </w:r>
      <w:r>
        <w:t>client behavior-related data collection activities</w:t>
      </w:r>
      <w:r w:rsidRPr="002D33C1">
        <w:t xml:space="preserve"> will provide </w:t>
      </w:r>
      <w:r>
        <w:t>information</w:t>
      </w:r>
      <w:r w:rsidRPr="002D33C1">
        <w:t xml:space="preserve"> </w:t>
      </w:r>
      <w:r>
        <w:t>about</w:t>
      </w:r>
      <w:r w:rsidRPr="002D33C1">
        <w:t>:</w:t>
      </w:r>
    </w:p>
    <w:p w:rsidR="000F48AC" w:rsidRDefault="000F48AC" w:rsidP="00924715">
      <w:pPr>
        <w:ind w:firstLine="720"/>
      </w:pPr>
    </w:p>
    <w:p w:rsidR="000F48AC" w:rsidRPr="002D33C1" w:rsidRDefault="000F48AC" w:rsidP="00924715">
      <w:pPr>
        <w:numPr>
          <w:ilvl w:val="0"/>
          <w:numId w:val="11"/>
        </w:numPr>
        <w:tabs>
          <w:tab w:val="clear" w:pos="1800"/>
        </w:tabs>
        <w:ind w:left="1620"/>
      </w:pPr>
      <w:r w:rsidRPr="002D33C1">
        <w:t xml:space="preserve">Client </w:t>
      </w:r>
      <w:r>
        <w:t>c</w:t>
      </w:r>
      <w:r w:rsidRPr="002D33C1">
        <w:t>haracteristics</w:t>
      </w:r>
    </w:p>
    <w:p w:rsidR="000F48AC" w:rsidRPr="002D33C1" w:rsidRDefault="000F48AC" w:rsidP="00924715">
      <w:pPr>
        <w:pStyle w:val="ListParagraph"/>
        <w:numPr>
          <w:ilvl w:val="0"/>
          <w:numId w:val="11"/>
        </w:numPr>
        <w:tabs>
          <w:tab w:val="clear" w:pos="1800"/>
        </w:tabs>
        <w:ind w:left="1620"/>
      </w:pPr>
      <w:r w:rsidRPr="002D33C1">
        <w:t xml:space="preserve">HIV </w:t>
      </w:r>
      <w:r>
        <w:t>t</w:t>
      </w:r>
      <w:r w:rsidRPr="002D33C1">
        <w:t xml:space="preserve">esting and </w:t>
      </w:r>
      <w:r>
        <w:t>s</w:t>
      </w:r>
      <w:r w:rsidRPr="002D33C1">
        <w:t>tatus</w:t>
      </w:r>
    </w:p>
    <w:p w:rsidR="000F48AC" w:rsidRPr="002D33C1" w:rsidRDefault="000F48AC" w:rsidP="00924715">
      <w:pPr>
        <w:pStyle w:val="ListParagraph"/>
        <w:numPr>
          <w:ilvl w:val="0"/>
          <w:numId w:val="11"/>
        </w:numPr>
        <w:tabs>
          <w:tab w:val="clear" w:pos="1800"/>
        </w:tabs>
        <w:ind w:left="1620"/>
      </w:pPr>
      <w:r w:rsidRPr="002D33C1">
        <w:t xml:space="preserve">Criminal </w:t>
      </w:r>
      <w:r>
        <w:t>a</w:t>
      </w:r>
      <w:r w:rsidRPr="002D33C1">
        <w:t>ctivity</w:t>
      </w:r>
      <w:r>
        <w:t xml:space="preserve"> (the sole measure is the GPRA Tool)</w:t>
      </w:r>
    </w:p>
    <w:p w:rsidR="000F48AC" w:rsidRPr="002D33C1" w:rsidRDefault="000F48AC" w:rsidP="00924715">
      <w:pPr>
        <w:pStyle w:val="ListParagraph"/>
        <w:numPr>
          <w:ilvl w:val="0"/>
          <w:numId w:val="11"/>
        </w:numPr>
        <w:tabs>
          <w:tab w:val="clear" w:pos="1800"/>
        </w:tabs>
        <w:ind w:left="1620"/>
      </w:pPr>
      <w:r w:rsidRPr="002D33C1">
        <w:t xml:space="preserve">Education and </w:t>
      </w:r>
      <w:r>
        <w:t>h</w:t>
      </w:r>
      <w:r w:rsidRPr="002D33C1">
        <w:t>ousing</w:t>
      </w:r>
      <w:r>
        <w:t xml:space="preserve"> (the sole measure of education is the GPRA Tool)</w:t>
      </w:r>
    </w:p>
    <w:p w:rsidR="000F48AC" w:rsidRPr="002D33C1" w:rsidRDefault="000F48AC" w:rsidP="00924715">
      <w:pPr>
        <w:pStyle w:val="ListParagraph"/>
        <w:numPr>
          <w:ilvl w:val="0"/>
          <w:numId w:val="11"/>
        </w:numPr>
        <w:tabs>
          <w:tab w:val="clear" w:pos="1800"/>
        </w:tabs>
        <w:ind w:left="1620"/>
      </w:pPr>
      <w:r w:rsidRPr="002D33C1">
        <w:t xml:space="preserve">Substance </w:t>
      </w:r>
      <w:r>
        <w:t>abu</w:t>
      </w:r>
      <w:r w:rsidRPr="002D33C1">
        <w:t>se</w:t>
      </w:r>
      <w:r>
        <w:t xml:space="preserve"> (the sole measure is the GPRA Tool)</w:t>
      </w:r>
    </w:p>
    <w:p w:rsidR="000F48AC" w:rsidRDefault="000F48AC" w:rsidP="00924715">
      <w:pPr>
        <w:pStyle w:val="ListParagraph"/>
        <w:numPr>
          <w:ilvl w:val="0"/>
          <w:numId w:val="11"/>
        </w:numPr>
        <w:tabs>
          <w:tab w:val="clear" w:pos="1800"/>
        </w:tabs>
        <w:ind w:left="1620"/>
      </w:pPr>
      <w:r w:rsidRPr="002D33C1">
        <w:t xml:space="preserve">HIV </w:t>
      </w:r>
      <w:r>
        <w:t>risk</w:t>
      </w:r>
      <w:r w:rsidRPr="002D33C1">
        <w:t xml:space="preserve"> </w:t>
      </w:r>
      <w:r>
        <w:t>b</w:t>
      </w:r>
      <w:r w:rsidRPr="002D33C1">
        <w:t>ehavior</w:t>
      </w:r>
    </w:p>
    <w:p w:rsidR="000F48AC" w:rsidRDefault="000F48AC" w:rsidP="00924715">
      <w:pPr>
        <w:pStyle w:val="ListParagraph"/>
        <w:numPr>
          <w:ilvl w:val="0"/>
          <w:numId w:val="11"/>
        </w:numPr>
        <w:tabs>
          <w:tab w:val="clear" w:pos="1800"/>
        </w:tabs>
        <w:ind w:left="1620"/>
      </w:pPr>
      <w:r>
        <w:t>Exposure to s</w:t>
      </w:r>
      <w:r w:rsidRPr="00C141E2">
        <w:t>ervices (</w:t>
      </w:r>
      <w:r>
        <w:t>i.e., d</w:t>
      </w:r>
      <w:r w:rsidRPr="00C141E2">
        <w:t>osage</w:t>
      </w:r>
      <w:r>
        <w:t>; the measure is the GPRA Tool</w:t>
      </w:r>
      <w:r w:rsidRPr="00C141E2">
        <w:t>)</w:t>
      </w:r>
    </w:p>
    <w:p w:rsidR="000F48AC" w:rsidRPr="002D33C1" w:rsidRDefault="000F48AC" w:rsidP="00924715"/>
    <w:p w:rsidR="000F48AC" w:rsidRDefault="000F48AC" w:rsidP="00924715">
      <w:pPr>
        <w:ind w:left="720"/>
      </w:pPr>
      <w:r w:rsidRPr="00A000E2">
        <w:t>The following paragraphs present a description of the client survey</w:t>
      </w:r>
      <w:r>
        <w:t>.</w:t>
      </w:r>
    </w:p>
    <w:p w:rsidR="000F48AC" w:rsidRPr="00A000E2" w:rsidRDefault="000F48AC" w:rsidP="00924715"/>
    <w:p w:rsidR="000F48AC" w:rsidRDefault="000F48AC" w:rsidP="00924715">
      <w:pPr>
        <w:ind w:left="720"/>
      </w:pPr>
      <w:r w:rsidRPr="00A000E2">
        <w:rPr>
          <w:u w:val="single"/>
        </w:rPr>
        <w:t>Client Survey</w:t>
      </w:r>
      <w:r w:rsidRPr="00A000E2">
        <w:t>:</w:t>
      </w:r>
      <w:r>
        <w:t xml:space="preserve"> (See </w:t>
      </w:r>
      <w:r w:rsidRPr="005A7873">
        <w:t xml:space="preserve">Attachment </w:t>
      </w:r>
      <w:r>
        <w:t xml:space="preserve">1a - Documents 2 and 3, Attachment 1b - Document 1.) </w:t>
      </w:r>
      <w:r w:rsidRPr="00A000E2">
        <w:t xml:space="preserve">The goals of the </w:t>
      </w:r>
      <w:r>
        <w:t>c</w:t>
      </w:r>
      <w:r w:rsidRPr="00A000E2">
        <w:t xml:space="preserve">lient </w:t>
      </w:r>
      <w:r>
        <w:t>s</w:t>
      </w:r>
      <w:r w:rsidRPr="00A000E2">
        <w:t xml:space="preserve">urvey are to collect information that will document client HIV </w:t>
      </w:r>
      <w:r>
        <w:t xml:space="preserve">risk </w:t>
      </w:r>
      <w:r w:rsidRPr="00A000E2">
        <w:t xml:space="preserve">behavior and client conditions. </w:t>
      </w:r>
    </w:p>
    <w:p w:rsidR="000F48AC" w:rsidRPr="009015DA" w:rsidRDefault="000F48AC" w:rsidP="00924715"/>
    <w:p w:rsidR="000F48AC" w:rsidRDefault="000F48AC" w:rsidP="00924715">
      <w:pPr>
        <w:ind w:left="720"/>
      </w:pPr>
      <w:r w:rsidRPr="009015DA">
        <w:t xml:space="preserve">The targeted </w:t>
      </w:r>
      <w:r>
        <w:t>audience</w:t>
      </w:r>
      <w:r w:rsidRPr="009015DA">
        <w:t xml:space="preserve"> for the TCE-HIV</w:t>
      </w:r>
      <w:r>
        <w:t xml:space="preserve"> Multi-Site E</w:t>
      </w:r>
      <w:r w:rsidRPr="009015DA">
        <w:t xml:space="preserve">valuation client surveys </w:t>
      </w:r>
      <w:r>
        <w:t>is</w:t>
      </w:r>
      <w:r w:rsidRPr="009015DA">
        <w:t xml:space="preserve"> clients in a treatment program </w:t>
      </w:r>
      <w:r>
        <w:t>administered by the</w:t>
      </w:r>
      <w:r w:rsidRPr="009015DA">
        <w:t xml:space="preserve"> 4</w:t>
      </w:r>
      <w:r>
        <w:t>0</w:t>
      </w:r>
      <w:r w:rsidRPr="009015DA">
        <w:t xml:space="preserve"> Grantee </w:t>
      </w:r>
      <w:r>
        <w:t xml:space="preserve">TCE-HIV </w:t>
      </w:r>
      <w:r w:rsidRPr="009015DA">
        <w:t xml:space="preserve">treatment programs. The client surveys will be administered by Grantee counselors. All </w:t>
      </w:r>
      <w:r>
        <w:t>clients who receive</w:t>
      </w:r>
      <w:r w:rsidRPr="009015DA">
        <w:t xml:space="preserve"> the initial baseline survey (</w:t>
      </w:r>
      <w:r>
        <w:t>Attachment 1a - Document 2</w:t>
      </w:r>
      <w:r w:rsidRPr="005A7873">
        <w:t>)</w:t>
      </w:r>
      <w:r w:rsidRPr="009015DA">
        <w:t xml:space="preserve"> will be asked to complete follow-up survey</w:t>
      </w:r>
      <w:r>
        <w:t>s</w:t>
      </w:r>
      <w:r w:rsidRPr="009015DA">
        <w:t xml:space="preserve"> at discharge (</w:t>
      </w:r>
      <w:r w:rsidRPr="005A7873">
        <w:t>Attachment</w:t>
      </w:r>
      <w:r w:rsidRPr="009015DA">
        <w:t xml:space="preserve"> </w:t>
      </w:r>
      <w:r>
        <w:t>1a - Document 3</w:t>
      </w:r>
      <w:r w:rsidRPr="009015DA">
        <w:t xml:space="preserve">), and at </w:t>
      </w:r>
      <w:r>
        <w:t>6 months</w:t>
      </w:r>
      <w:r w:rsidRPr="009015DA">
        <w:t xml:space="preserve"> post baseline (</w:t>
      </w:r>
      <w:r>
        <w:t>Attachment 1b - Document 1</w:t>
      </w:r>
      <w:r w:rsidRPr="005A7873">
        <w:t>).</w:t>
      </w:r>
      <w:r w:rsidRPr="009015DA" w:rsidDel="00A52F6A">
        <w:t xml:space="preserve"> </w:t>
      </w:r>
      <w:r w:rsidRPr="009015DA">
        <w:t xml:space="preserve">Data collection at the two follow-up points is necessary to </w:t>
      </w:r>
      <w:r>
        <w:t>monitor</w:t>
      </w:r>
      <w:r w:rsidRPr="009015DA">
        <w:t xml:space="preserve"> </w:t>
      </w:r>
      <w:r>
        <w:t>client risk behaviors and other conditions over time</w:t>
      </w:r>
      <w:r w:rsidRPr="009015DA">
        <w:t>.</w:t>
      </w:r>
    </w:p>
    <w:p w:rsidR="000F48AC" w:rsidRPr="00F504C5" w:rsidRDefault="000F48AC" w:rsidP="00924715"/>
    <w:p w:rsidR="000F48AC" w:rsidRDefault="000F48AC" w:rsidP="00924715">
      <w:pPr>
        <w:ind w:left="720"/>
      </w:pPr>
      <w:r>
        <w:t xml:space="preserve">The client survey was developed from a combination of new questions (i.e., Sections A–C, items E13–E25) and from subscales of existing measures (i.e., </w:t>
      </w:r>
      <w:r w:rsidRPr="00F82FD1">
        <w:t xml:space="preserve">Section D, </w:t>
      </w:r>
      <w:r>
        <w:t xml:space="preserve">items </w:t>
      </w:r>
      <w:r w:rsidRPr="00F82FD1">
        <w:t>E1</w:t>
      </w:r>
      <w:r>
        <w:t>–</w:t>
      </w:r>
      <w:r w:rsidRPr="00F82FD1">
        <w:t>E1</w:t>
      </w:r>
      <w:r>
        <w:t>2,</w:t>
      </w:r>
      <w:r w:rsidRPr="00F82FD1">
        <w:t xml:space="preserve"> and Section F</w:t>
      </w:r>
      <w:r>
        <w:t>).</w:t>
      </w:r>
      <w:r w:rsidRPr="00F82FD1">
        <w:t xml:space="preserve"> </w:t>
      </w:r>
      <w:r>
        <w:t>Each subscale was carefully selected to assess the construct of interest yet maintain its ability to be a stand-alone subscale that can be scored separately from the entire measure.</w:t>
      </w:r>
    </w:p>
    <w:p w:rsidR="000F48AC" w:rsidRDefault="000F48AC" w:rsidP="00924715"/>
    <w:p w:rsidR="000F48AC" w:rsidRDefault="000F48AC" w:rsidP="00924715">
      <w:pPr>
        <w:ind w:left="720"/>
      </w:pPr>
      <w:r w:rsidRPr="00F82FD1">
        <w:t>Section D (items D1–D9) on the client survey is from the Social Support subscale questions from the T</w:t>
      </w:r>
      <w:r>
        <w:t xml:space="preserve">exas </w:t>
      </w:r>
      <w:r w:rsidRPr="00F82FD1">
        <w:t>C</w:t>
      </w:r>
      <w:r>
        <w:t xml:space="preserve">hristian </w:t>
      </w:r>
      <w:r w:rsidRPr="00F82FD1">
        <w:t>U</w:t>
      </w:r>
      <w:r>
        <w:t>niversity</w:t>
      </w:r>
      <w:r w:rsidRPr="00F82FD1">
        <w:t xml:space="preserve"> C</w:t>
      </w:r>
      <w:r>
        <w:t xml:space="preserve">lient </w:t>
      </w:r>
      <w:r w:rsidRPr="00F82FD1">
        <w:t>E</w:t>
      </w:r>
      <w:r>
        <w:t xml:space="preserve">valuation of </w:t>
      </w:r>
      <w:r w:rsidRPr="00F82FD1">
        <w:t>S</w:t>
      </w:r>
      <w:r>
        <w:t xml:space="preserve">elf and </w:t>
      </w:r>
      <w:r w:rsidRPr="00F82FD1">
        <w:t>T</w:t>
      </w:r>
      <w:r>
        <w:t>reatment (TCU CEST)</w:t>
      </w:r>
      <w:r w:rsidRPr="00F82FD1">
        <w:t xml:space="preserve">. Questions for </w:t>
      </w:r>
      <w:r>
        <w:t>items</w:t>
      </w:r>
      <w:r w:rsidRPr="00F82FD1">
        <w:t xml:space="preserve"> E1</w:t>
      </w:r>
      <w:r>
        <w:t>–</w:t>
      </w:r>
      <w:r w:rsidRPr="00F82FD1">
        <w:t xml:space="preserve">E12 are the </w:t>
      </w:r>
      <w:r>
        <w:t>d</w:t>
      </w:r>
      <w:r w:rsidRPr="00F82FD1">
        <w:t xml:space="preserve">epression and </w:t>
      </w:r>
      <w:r>
        <w:t>a</w:t>
      </w:r>
      <w:r w:rsidRPr="00F82FD1">
        <w:t>nxiety symptom dimensions from the B</w:t>
      </w:r>
      <w:r>
        <w:t xml:space="preserve">rief </w:t>
      </w:r>
      <w:r w:rsidRPr="00F82FD1">
        <w:t>S</w:t>
      </w:r>
      <w:r>
        <w:t xml:space="preserve">ymptom </w:t>
      </w:r>
      <w:r w:rsidRPr="00F82FD1">
        <w:t>I</w:t>
      </w:r>
      <w:r>
        <w:t>nventory (BSI)</w:t>
      </w:r>
      <w:r w:rsidRPr="00F82FD1">
        <w:t xml:space="preserve">. Section F </w:t>
      </w:r>
      <w:r>
        <w:t>contains</w:t>
      </w:r>
      <w:r w:rsidRPr="00F82FD1">
        <w:t xml:space="preserve"> the Taking Steps subscale questions from the </w:t>
      </w:r>
      <w:r w:rsidRPr="000E24D1">
        <w:t>Stages of Change Readiness and Treatment Eagerness Scale</w:t>
      </w:r>
      <w:r w:rsidRPr="00F82FD1">
        <w:rPr>
          <w:i/>
          <w:iCs/>
        </w:rPr>
        <w:t xml:space="preserve"> </w:t>
      </w:r>
      <w:r>
        <w:t>(</w:t>
      </w:r>
      <w:r w:rsidRPr="00F82FD1">
        <w:t>SOCRATES</w:t>
      </w:r>
      <w:r>
        <w:t>).</w:t>
      </w:r>
      <w:r w:rsidRPr="00F82FD1">
        <w:t xml:space="preserve"> A general description of these existing measures and the reliability and validity information for each subscale can be found below. </w:t>
      </w:r>
    </w:p>
    <w:p w:rsidR="000F48AC" w:rsidRDefault="000F48AC" w:rsidP="00924715">
      <w:pPr>
        <w:ind w:left="720"/>
      </w:pPr>
    </w:p>
    <w:p w:rsidR="000F48AC" w:rsidRDefault="000F48AC" w:rsidP="00924715">
      <w:pPr>
        <w:pStyle w:val="Default"/>
        <w:numPr>
          <w:ilvl w:val="0"/>
          <w:numId w:val="18"/>
        </w:numPr>
        <w:ind w:right="1440"/>
      </w:pPr>
      <w:r w:rsidRPr="0058538A">
        <w:rPr>
          <w:i/>
          <w:iCs/>
        </w:rPr>
        <w:t>Texas Christian University Client Evaluation of Self and Treatment</w:t>
      </w:r>
      <w:r w:rsidRPr="0058538A">
        <w:t xml:space="preserve"> (TCU CEST</w:t>
      </w:r>
      <w:r>
        <w:t xml:space="preserve">; </w:t>
      </w:r>
      <w:r w:rsidRPr="00476C6E">
        <w:t>Texas</w:t>
      </w:r>
      <w:r w:rsidRPr="0058538A">
        <w:t xml:space="preserve"> Christian University, </w:t>
      </w:r>
      <w:r w:rsidRPr="00C65261">
        <w:t>2005</w:t>
      </w:r>
      <w:r w:rsidRPr="0058538A">
        <w:t xml:space="preserve">). The TCU CEST was developed as part of NIDA Grant R37 DA13093, </w:t>
      </w:r>
      <w:r w:rsidRPr="0058538A">
        <w:rPr>
          <w:i/>
          <w:iCs/>
        </w:rPr>
        <w:t>Transferring Drug Abuse Treatment and Assessment Resources</w:t>
      </w:r>
      <w:r w:rsidRPr="0058538A">
        <w:t xml:space="preserve">. The TCU CEST includes a set of assessments that target specific </w:t>
      </w:r>
      <w:r>
        <w:t xml:space="preserve">client </w:t>
      </w:r>
      <w:r w:rsidRPr="0058538A">
        <w:t xml:space="preserve">needs and </w:t>
      </w:r>
      <w:r>
        <w:t xml:space="preserve">the </w:t>
      </w:r>
      <w:r w:rsidRPr="0058538A">
        <w:t>status of clients in different stages of change during treatment.</w:t>
      </w:r>
      <w:r>
        <w:t xml:space="preserve"> </w:t>
      </w:r>
      <w:r w:rsidRPr="0058538A">
        <w:t xml:space="preserve">The coefficient alpha for the Social Support Scale is .84. </w:t>
      </w:r>
    </w:p>
    <w:p w:rsidR="000F48AC" w:rsidRPr="00F82FD1" w:rsidRDefault="000F48AC" w:rsidP="00924715">
      <w:pPr>
        <w:pStyle w:val="Default"/>
        <w:numPr>
          <w:ilvl w:val="0"/>
          <w:numId w:val="18"/>
        </w:numPr>
        <w:ind w:right="1440"/>
      </w:pPr>
      <w:r w:rsidRPr="00F82FD1">
        <w:rPr>
          <w:i/>
          <w:iCs/>
        </w:rPr>
        <w:t>Brief Symptom Inventory</w:t>
      </w:r>
      <w:r w:rsidRPr="009C1D31">
        <w:t xml:space="preserve"> (BSI</w:t>
      </w:r>
      <w:r>
        <w:t xml:space="preserve">; </w:t>
      </w:r>
      <w:r w:rsidRPr="00476C6E">
        <w:t>Derogatis</w:t>
      </w:r>
      <w:r w:rsidRPr="00A01C60">
        <w:t>,</w:t>
      </w:r>
      <w:r>
        <w:t xml:space="preserve"> </w:t>
      </w:r>
      <w:r w:rsidRPr="00C65261">
        <w:t>1993</w:t>
      </w:r>
      <w:r>
        <w:t xml:space="preserve">). The purpose of this measure is to identify </w:t>
      </w:r>
      <w:r w:rsidRPr="00F82FD1">
        <w:t>self-reported</w:t>
      </w:r>
      <w:r>
        <w:t>,</w:t>
      </w:r>
      <w:r w:rsidRPr="00F82FD1">
        <w:t xml:space="preserve"> clinically relevant psychological symptoms in adults. Internal consistency estimates for the two subscales are .85 (depression) and</w:t>
      </w:r>
      <w:r>
        <w:t xml:space="preserve"> </w:t>
      </w:r>
      <w:r w:rsidRPr="00F82FD1">
        <w:t xml:space="preserve">.81 (anxiety). </w:t>
      </w:r>
      <w:r w:rsidRPr="0058538A">
        <w:t xml:space="preserve">Good internal consistency reliability is </w:t>
      </w:r>
      <w:r w:rsidRPr="0058538A">
        <w:rPr>
          <w:color w:val="auto"/>
        </w:rPr>
        <w:t>supported by several other independent studies (</w:t>
      </w:r>
      <w:r w:rsidRPr="00476C6E">
        <w:rPr>
          <w:color w:val="auto"/>
        </w:rPr>
        <w:t>Croog</w:t>
      </w:r>
      <w:r>
        <w:rPr>
          <w:color w:val="auto"/>
        </w:rPr>
        <w:t xml:space="preserve">, Levine, Testa, &amp; Brown, </w:t>
      </w:r>
      <w:r w:rsidRPr="00C65261">
        <w:rPr>
          <w:color w:val="auto"/>
        </w:rPr>
        <w:t>1986</w:t>
      </w:r>
      <w:r w:rsidRPr="0058538A">
        <w:rPr>
          <w:color w:val="auto"/>
        </w:rPr>
        <w:t xml:space="preserve">; </w:t>
      </w:r>
      <w:r w:rsidRPr="00C65261">
        <w:rPr>
          <w:color w:val="auto"/>
        </w:rPr>
        <w:t>Derogatis</w:t>
      </w:r>
      <w:r>
        <w:rPr>
          <w:color w:val="auto"/>
        </w:rPr>
        <w:t xml:space="preserve"> &amp; Coons</w:t>
      </w:r>
      <w:r w:rsidRPr="0058538A">
        <w:rPr>
          <w:color w:val="auto"/>
        </w:rPr>
        <w:t xml:space="preserve">, </w:t>
      </w:r>
      <w:r w:rsidRPr="00C65261">
        <w:rPr>
          <w:color w:val="auto"/>
        </w:rPr>
        <w:t>1993</w:t>
      </w:r>
      <w:r w:rsidRPr="0058538A">
        <w:rPr>
          <w:color w:val="auto"/>
        </w:rPr>
        <w:t xml:space="preserve">). </w:t>
      </w:r>
    </w:p>
    <w:p w:rsidR="000F48AC" w:rsidRDefault="000F48AC" w:rsidP="00924715">
      <w:pPr>
        <w:pStyle w:val="Default"/>
        <w:numPr>
          <w:ilvl w:val="0"/>
          <w:numId w:val="18"/>
        </w:numPr>
        <w:ind w:right="1440"/>
      </w:pPr>
      <w:r w:rsidRPr="00F82FD1">
        <w:rPr>
          <w:i/>
          <w:iCs/>
        </w:rPr>
        <w:t xml:space="preserve">Stages of Change Readiness and Treatment Eagerness Scale </w:t>
      </w:r>
      <w:r w:rsidRPr="00F82FD1">
        <w:t>(SOCRATES</w:t>
      </w:r>
      <w:r>
        <w:t xml:space="preserve">; </w:t>
      </w:r>
      <w:r w:rsidRPr="00C65261">
        <w:t>Miller</w:t>
      </w:r>
      <w:r>
        <w:t xml:space="preserve"> &amp; Tonigan, </w:t>
      </w:r>
      <w:r w:rsidRPr="00C65261">
        <w:t>1997</w:t>
      </w:r>
      <w:r w:rsidRPr="00F82FD1">
        <w:t>). Psychometric analyses reveal the following psychometric characteristics of the Taking Steps scale questions:</w:t>
      </w:r>
    </w:p>
    <w:p w:rsidR="000F48AC" w:rsidRDefault="000F48AC" w:rsidP="00924715">
      <w:pPr>
        <w:pStyle w:val="Default"/>
        <w:ind w:left="1440" w:right="1440"/>
      </w:pPr>
    </w:p>
    <w:p w:rsidR="000F48AC" w:rsidRPr="00F82FD1" w:rsidRDefault="000F48AC" w:rsidP="00924715">
      <w:pPr>
        <w:numPr>
          <w:ilvl w:val="2"/>
          <w:numId w:val="19"/>
        </w:numPr>
        <w:autoSpaceDE w:val="0"/>
        <w:autoSpaceDN w:val="0"/>
        <w:adjustRightInd w:val="0"/>
      </w:pPr>
      <w:r w:rsidRPr="00F82FD1">
        <w:t>Cronbach Alpha</w:t>
      </w:r>
      <w:r>
        <w:t xml:space="preserve"> </w:t>
      </w:r>
      <w:r w:rsidRPr="00F82FD1">
        <w:t xml:space="preserve">= .83 </w:t>
      </w:r>
      <w:r>
        <w:t>–</w:t>
      </w:r>
      <w:r w:rsidRPr="00F82FD1">
        <w:t xml:space="preserve"> .96</w:t>
      </w:r>
    </w:p>
    <w:p w:rsidR="000F48AC" w:rsidRPr="00F82FD1" w:rsidRDefault="000F48AC" w:rsidP="00924715">
      <w:pPr>
        <w:numPr>
          <w:ilvl w:val="2"/>
          <w:numId w:val="19"/>
        </w:numPr>
        <w:autoSpaceDE w:val="0"/>
        <w:autoSpaceDN w:val="0"/>
        <w:adjustRightInd w:val="0"/>
      </w:pPr>
      <w:r w:rsidRPr="00F82FD1">
        <w:t>Intraclass Test-Retest Reliability = .91</w:t>
      </w:r>
    </w:p>
    <w:p w:rsidR="000F48AC" w:rsidRPr="00F82FD1" w:rsidRDefault="000F48AC" w:rsidP="00924715">
      <w:pPr>
        <w:numPr>
          <w:ilvl w:val="2"/>
          <w:numId w:val="19"/>
        </w:numPr>
        <w:autoSpaceDE w:val="0"/>
        <w:autoSpaceDN w:val="0"/>
        <w:adjustRightInd w:val="0"/>
      </w:pPr>
      <w:r w:rsidRPr="00F82FD1">
        <w:t>Pearson Test-Retest Reliability = .93</w:t>
      </w:r>
    </w:p>
    <w:p w:rsidR="000F48AC" w:rsidRDefault="000F48AC" w:rsidP="00924715">
      <w:pPr>
        <w:widowControl w:val="0"/>
        <w:rPr>
          <w:u w:val="single"/>
        </w:rPr>
      </w:pPr>
    </w:p>
    <w:p w:rsidR="000F48AC" w:rsidRDefault="000F48AC" w:rsidP="00B9101F">
      <w:pPr>
        <w:ind w:left="720"/>
      </w:pPr>
      <w:r w:rsidRPr="00DF4362">
        <w:t>Data collected via semi-structured interviews</w:t>
      </w:r>
      <w:r>
        <w:t xml:space="preserve">, client </w:t>
      </w:r>
      <w:r w:rsidRPr="00DF4362">
        <w:t>focus groups</w:t>
      </w:r>
      <w:r>
        <w:t>, and surveys</w:t>
      </w:r>
      <w:r w:rsidRPr="00DF4362">
        <w:t xml:space="preserve"> will </w:t>
      </w:r>
      <w:r>
        <w:t xml:space="preserve">be used to </w:t>
      </w:r>
      <w:r w:rsidRPr="00DF4362">
        <w:t xml:space="preserve">enable </w:t>
      </w:r>
      <w:r w:rsidRPr="00E63C56">
        <w:t>SAMHSA’s</w:t>
      </w:r>
      <w:r w:rsidRPr="00DF4362">
        <w:t xml:space="preserve"> TCE-HIV program to increase its effectiveness in providing substance abuse treatment and HIV services for minority populations. Additionally, </w:t>
      </w:r>
      <w:r>
        <w:t>t</w:t>
      </w:r>
      <w:r w:rsidRPr="00DF4362">
        <w:t xml:space="preserve">he Multi-Site Evaluation will help </w:t>
      </w:r>
      <w:r w:rsidRPr="00E63C56">
        <w:t>SAMHSA</w:t>
      </w:r>
      <w:r w:rsidRPr="00DF4362">
        <w:t xml:space="preserve"> achieve the goals of its TCE-HIV program and the Minority A</w:t>
      </w:r>
      <w:r>
        <w:t>IDS</w:t>
      </w:r>
      <w:r w:rsidRPr="00DF4362">
        <w:t xml:space="preserve"> Initiative (MAI). </w:t>
      </w:r>
    </w:p>
    <w:p w:rsidR="000F48AC" w:rsidRDefault="000F48AC" w:rsidP="00924715">
      <w:r>
        <w:rPr>
          <w:b/>
          <w:bCs/>
        </w:rPr>
        <w:tab/>
      </w:r>
    </w:p>
    <w:p w:rsidR="000F48AC" w:rsidRPr="00DF4362" w:rsidRDefault="000F48AC" w:rsidP="003D66D7">
      <w:pPr>
        <w:tabs>
          <w:tab w:val="left" w:pos="720"/>
        </w:tabs>
        <w:rPr>
          <w:b/>
          <w:bCs/>
        </w:rPr>
      </w:pPr>
      <w:bookmarkStart w:id="17" w:name="_Toc88277952"/>
      <w:bookmarkStart w:id="18" w:name="_Toc131564341"/>
      <w:r>
        <w:rPr>
          <w:b/>
          <w:bCs/>
        </w:rPr>
        <w:tab/>
      </w:r>
      <w:r w:rsidRPr="00DF4362">
        <w:rPr>
          <w:b/>
          <w:bCs/>
        </w:rPr>
        <w:t>3.</w:t>
      </w:r>
      <w:r w:rsidRPr="00DF4362">
        <w:rPr>
          <w:b/>
          <w:bCs/>
        </w:rPr>
        <w:tab/>
      </w:r>
      <w:r w:rsidRPr="00DF4362">
        <w:rPr>
          <w:b/>
          <w:bCs/>
          <w:u w:val="single"/>
        </w:rPr>
        <w:t>Use of Information Technology</w:t>
      </w:r>
      <w:bookmarkEnd w:id="17"/>
      <w:bookmarkEnd w:id="18"/>
    </w:p>
    <w:p w:rsidR="000F48AC" w:rsidRPr="00DF4362" w:rsidRDefault="000F48AC" w:rsidP="003D66D7"/>
    <w:p w:rsidR="000F48AC" w:rsidRDefault="000F48AC">
      <w:pPr>
        <w:ind w:left="720"/>
      </w:pPr>
      <w:r>
        <w:t xml:space="preserve">Data collection for the Multi-Site Evaluation requires the use of information technology to develop an online data collection system. This online system will provide the client survey (i.e., baseline, discharge, and 6 months post baseline) for data entry by Grantee staff. Technology will be used to manage, secure, and store the data to ensure data management control. </w:t>
      </w:r>
    </w:p>
    <w:p w:rsidR="000F48AC" w:rsidRDefault="000F48AC" w:rsidP="008C5AE4"/>
    <w:p w:rsidR="000F48AC" w:rsidRDefault="000F48AC">
      <w:pPr>
        <w:ind w:left="720"/>
      </w:pPr>
      <w:r w:rsidRPr="00B9101F">
        <w:rPr>
          <w:b/>
        </w:rPr>
        <w:t>Client Survey.</w:t>
      </w:r>
      <w:r w:rsidRPr="00DF4362">
        <w:t xml:space="preserve"> Grantee staff will administer the client survey during </w:t>
      </w:r>
      <w:r>
        <w:t xml:space="preserve">a </w:t>
      </w:r>
      <w:r w:rsidRPr="00DF4362">
        <w:t>face-to-face encounter at baseline, discharge</w:t>
      </w:r>
      <w:r>
        <w:t>,</w:t>
      </w:r>
      <w:r w:rsidRPr="00DF4362">
        <w:t xml:space="preserve"> and 6</w:t>
      </w:r>
      <w:r>
        <w:t xml:space="preserve"> </w:t>
      </w:r>
      <w:r w:rsidRPr="00DF4362">
        <w:t xml:space="preserve">months post </w:t>
      </w:r>
      <w:r>
        <w:t>baseline</w:t>
      </w:r>
      <w:r w:rsidRPr="00DF4362">
        <w:t xml:space="preserve">. </w:t>
      </w:r>
      <w:r w:rsidRPr="005E6596">
        <w:t xml:space="preserve">Client survey data will be entered </w:t>
      </w:r>
      <w:r>
        <w:t xml:space="preserve">at the Grantee site </w:t>
      </w:r>
      <w:r w:rsidRPr="005E6596">
        <w:t>into an online system that will be password protected. Each day, the T</w:t>
      </w:r>
      <w:r>
        <w:t>C</w:t>
      </w:r>
      <w:r w:rsidRPr="005E6596">
        <w:t xml:space="preserve">E-HIV evaluation staff will upload the data over a secure network connection directly to a server at JBS headquarters where </w:t>
      </w:r>
      <w:r>
        <w:t>the data</w:t>
      </w:r>
      <w:r w:rsidRPr="005E6596">
        <w:t xml:space="preserve"> will also be encrypted and password protected. Details </w:t>
      </w:r>
      <w:r>
        <w:t>about</w:t>
      </w:r>
      <w:r w:rsidRPr="005E6596">
        <w:t xml:space="preserve"> </w:t>
      </w:r>
      <w:r>
        <w:t>JBS’</w:t>
      </w:r>
      <w:r w:rsidRPr="005E6596">
        <w:t xml:space="preserve"> network security procedures and security protocols are presented in </w:t>
      </w:r>
      <w:r>
        <w:t>Attachment 2a - Document 1</w:t>
      </w:r>
      <w:r w:rsidRPr="005A7873">
        <w:t>.</w:t>
      </w:r>
      <w:r w:rsidRPr="005E6596">
        <w:t xml:space="preserve"> Using protected electronic data is the most secure form of data management because it eliminates the possibility of paper documents being lost by the survey staff or of data being lost in transit or delivered to an incorrect location. However, not all </w:t>
      </w:r>
      <w:r>
        <w:t xml:space="preserve">of </w:t>
      </w:r>
      <w:r w:rsidRPr="005E6596">
        <w:t>the Grantees may be equipped to enter th</w:t>
      </w:r>
      <w:r>
        <w:t>i</w:t>
      </w:r>
      <w:r w:rsidRPr="005E6596">
        <w:t>s data into the online system, in which case</w:t>
      </w:r>
      <w:r>
        <w:t xml:space="preserve"> </w:t>
      </w:r>
      <w:r w:rsidRPr="005E6596">
        <w:t xml:space="preserve">paper copies of the </w:t>
      </w:r>
      <w:r>
        <w:t xml:space="preserve">completed </w:t>
      </w:r>
      <w:r w:rsidRPr="005E6596">
        <w:t>surveys from these Grantees</w:t>
      </w:r>
      <w:r>
        <w:t xml:space="preserve"> will be submitted to JBS only with unique alphanumeric identifiers and the data will be entered into the online system at JBS</w:t>
      </w:r>
      <w:r w:rsidRPr="005E6596">
        <w:t>.</w:t>
      </w:r>
      <w:r>
        <w:t xml:space="preserve"> Paper copies will be stored in a locked file cabinet, with no name or identifying information attached. </w:t>
      </w:r>
    </w:p>
    <w:p w:rsidR="000F48AC" w:rsidRDefault="000F48AC" w:rsidP="00884197"/>
    <w:p w:rsidR="000F48AC" w:rsidRPr="00BB2B86" w:rsidRDefault="000F48AC" w:rsidP="00420B98">
      <w:pPr>
        <w:numPr>
          <w:ilvl w:val="0"/>
          <w:numId w:val="7"/>
        </w:numPr>
        <w:tabs>
          <w:tab w:val="left" w:pos="0"/>
        </w:tabs>
        <w:ind w:hanging="720"/>
        <w:rPr>
          <w:b/>
          <w:bCs/>
        </w:rPr>
      </w:pPr>
      <w:bookmarkStart w:id="19" w:name="_Toc88277953"/>
      <w:bookmarkStart w:id="20" w:name="_Toc131564342"/>
      <w:r w:rsidRPr="00BB2B86">
        <w:rPr>
          <w:b/>
          <w:bCs/>
          <w:u w:val="single"/>
        </w:rPr>
        <w:t>Effort to Identify Duplication</w:t>
      </w:r>
      <w:bookmarkEnd w:id="19"/>
      <w:bookmarkEnd w:id="20"/>
    </w:p>
    <w:p w:rsidR="000F48AC" w:rsidRPr="00F014D5" w:rsidRDefault="000F48AC" w:rsidP="003D66D7">
      <w:pPr>
        <w:tabs>
          <w:tab w:val="left" w:pos="702"/>
        </w:tabs>
        <w:rPr>
          <w:highlight w:val="green"/>
        </w:rPr>
      </w:pPr>
    </w:p>
    <w:p w:rsidR="000F48AC" w:rsidRPr="000B5226" w:rsidRDefault="000F48AC" w:rsidP="000B5226">
      <w:pPr>
        <w:ind w:left="720"/>
        <w:rPr>
          <w:bCs/>
          <w:color w:val="000000"/>
        </w:rPr>
      </w:pPr>
      <w:r w:rsidRPr="00C3522E">
        <w:t>The Multi-Site Evaluation Team has identified items answered through G</w:t>
      </w:r>
      <w:r>
        <w:t>PR</w:t>
      </w:r>
      <w:r w:rsidRPr="00C3522E">
        <w:t xml:space="preserve">A data collection that </w:t>
      </w:r>
      <w:r>
        <w:t>could be used to monitor some of the implementation activities of</w:t>
      </w:r>
      <w:r w:rsidRPr="00C3522E">
        <w:t xml:space="preserve"> the TCE-HIV </w:t>
      </w:r>
      <w:r>
        <w:t>grantees</w:t>
      </w:r>
      <w:r w:rsidRPr="00C3522E">
        <w:t>.</w:t>
      </w:r>
      <w:r w:rsidRPr="00C3522E">
        <w:rPr>
          <w:rFonts w:ascii="Arial" w:hAnsi="Arial" w:cs="Arial"/>
          <w:sz w:val="20"/>
          <w:szCs w:val="20"/>
        </w:rPr>
        <w:t xml:space="preserve"> </w:t>
      </w:r>
      <w:r w:rsidRPr="00350CB5">
        <w:t>It should be noted that</w:t>
      </w:r>
      <w:r>
        <w:t xml:space="preserve"> </w:t>
      </w:r>
      <w:r w:rsidRPr="009065E0">
        <w:rPr>
          <w:color w:val="000000"/>
        </w:rPr>
        <w:t xml:space="preserve">the burden for the GPRA Tool </w:t>
      </w:r>
      <w:r>
        <w:rPr>
          <w:color w:val="000000"/>
        </w:rPr>
        <w:t xml:space="preserve">is approved </w:t>
      </w:r>
      <w:r w:rsidRPr="009065E0">
        <w:rPr>
          <w:color w:val="000000"/>
        </w:rPr>
        <w:t xml:space="preserve">under </w:t>
      </w:r>
      <w:r>
        <w:rPr>
          <w:color w:val="000000"/>
        </w:rPr>
        <w:t>OMB No. 0930-</w:t>
      </w:r>
      <w:r w:rsidRPr="009065E0">
        <w:rPr>
          <w:color w:val="000000"/>
        </w:rPr>
        <w:t>0208</w:t>
      </w:r>
      <w:r>
        <w:rPr>
          <w:color w:val="000000"/>
        </w:rPr>
        <w:t xml:space="preserve">. </w:t>
      </w:r>
      <w:r w:rsidRPr="00C3522E">
        <w:t>To ensure minimal duplication</w:t>
      </w:r>
      <w:r>
        <w:t xml:space="preserve"> and burden on Grantee staff and clients</w:t>
      </w:r>
      <w:r w:rsidRPr="00C3522E">
        <w:t xml:space="preserve">, </w:t>
      </w:r>
      <w:r>
        <w:t xml:space="preserve">the </w:t>
      </w:r>
      <w:r w:rsidRPr="00C3522E">
        <w:t xml:space="preserve">Multi-Site Evaluation </w:t>
      </w:r>
      <w:r>
        <w:t>T</w:t>
      </w:r>
      <w:r w:rsidRPr="00C3522E">
        <w:t xml:space="preserve">eam </w:t>
      </w:r>
      <w:r>
        <w:t>did not include</w:t>
      </w:r>
      <w:r w:rsidRPr="00C3522E">
        <w:t xml:space="preserve"> items </w:t>
      </w:r>
      <w:r>
        <w:t>collected by the GPRA Tool (e.g., demographic information, substance use information) in the client survey</w:t>
      </w:r>
      <w:r w:rsidRPr="00C3522E">
        <w:t>.</w:t>
      </w:r>
      <w:r>
        <w:t xml:space="preserve">  </w:t>
      </w:r>
      <w:r>
        <w:rPr>
          <w:bCs/>
          <w:color w:val="000000"/>
        </w:rPr>
        <w:t>However, b</w:t>
      </w:r>
      <w:r w:rsidRPr="009065E0">
        <w:rPr>
          <w:bCs/>
          <w:color w:val="000000"/>
        </w:rPr>
        <w:t xml:space="preserve">ecause of the nature of the work the </w:t>
      </w:r>
      <w:r>
        <w:rPr>
          <w:bCs/>
          <w:color w:val="000000"/>
        </w:rPr>
        <w:t xml:space="preserve">TCE-HIV </w:t>
      </w:r>
      <w:r w:rsidRPr="009065E0">
        <w:rPr>
          <w:bCs/>
          <w:color w:val="000000"/>
        </w:rPr>
        <w:t>grantees perform in regards to HIV risk prevention, the GPRA Tool does not have the measures that allow for monitoring the grantees and their clients on sexual risk behaviors, HIV testing and HIV serostatus, and motivation for tre</w:t>
      </w:r>
      <w:r>
        <w:rPr>
          <w:bCs/>
          <w:color w:val="000000"/>
        </w:rPr>
        <w:t>atment.</w:t>
      </w:r>
      <w:r w:rsidRPr="009065E0">
        <w:rPr>
          <w:bCs/>
          <w:color w:val="000000"/>
        </w:rPr>
        <w:t xml:space="preserve"> </w:t>
      </w:r>
      <w:r>
        <w:rPr>
          <w:bCs/>
          <w:color w:val="000000"/>
        </w:rPr>
        <w:t>Therefore, the</w:t>
      </w:r>
      <w:r w:rsidRPr="009065E0">
        <w:rPr>
          <w:bCs/>
          <w:color w:val="000000"/>
        </w:rPr>
        <w:t xml:space="preserve"> client survey was developed to monitor grantee program results and capture information regarding client risk behaviors</w:t>
      </w:r>
      <w:r>
        <w:rPr>
          <w:bCs/>
          <w:color w:val="000000"/>
        </w:rPr>
        <w:t xml:space="preserve"> (i.e., sexual risk, HIV testing/serostatus), motivation for treatment)</w:t>
      </w:r>
      <w:r w:rsidRPr="009065E0">
        <w:rPr>
          <w:bCs/>
          <w:color w:val="000000"/>
        </w:rPr>
        <w:t xml:space="preserve">. In this evaluation effort, the GPRA </w:t>
      </w:r>
      <w:r>
        <w:rPr>
          <w:bCs/>
          <w:color w:val="000000"/>
        </w:rPr>
        <w:t>Tool and the client s</w:t>
      </w:r>
      <w:r w:rsidRPr="009065E0">
        <w:rPr>
          <w:bCs/>
          <w:color w:val="000000"/>
        </w:rPr>
        <w:t>urvey will provide stakeholders a better understanding o</w:t>
      </w:r>
      <w:r>
        <w:rPr>
          <w:bCs/>
          <w:color w:val="000000"/>
        </w:rPr>
        <w:t>f</w:t>
      </w:r>
      <w:r w:rsidRPr="009065E0">
        <w:rPr>
          <w:bCs/>
          <w:color w:val="000000"/>
        </w:rPr>
        <w:t xml:space="preserve"> how to enhance services, build program capacity</w:t>
      </w:r>
      <w:r>
        <w:rPr>
          <w:bCs/>
          <w:color w:val="000000"/>
        </w:rPr>
        <w:t>,</w:t>
      </w:r>
      <w:r w:rsidRPr="009065E0">
        <w:rPr>
          <w:bCs/>
          <w:color w:val="000000"/>
        </w:rPr>
        <w:t xml:space="preserve"> and strengthen practice.</w:t>
      </w:r>
      <w:r>
        <w:rPr>
          <w:bCs/>
          <w:color w:val="000000"/>
        </w:rPr>
        <w:t xml:space="preserve"> </w:t>
      </w:r>
      <w:r>
        <w:t xml:space="preserve">Thus, it is important to note that the </w:t>
      </w:r>
      <w:r w:rsidRPr="00C3522E">
        <w:t xml:space="preserve">Multi-Site Evaluation Team </w:t>
      </w:r>
      <w:r>
        <w:t xml:space="preserve">will </w:t>
      </w:r>
      <w:r w:rsidRPr="00261A93">
        <w:rPr>
          <w:color w:val="000000"/>
        </w:rPr>
        <w:t>utilize GPRA me</w:t>
      </w:r>
      <w:r>
        <w:rPr>
          <w:color w:val="000000"/>
        </w:rPr>
        <w:t>asures in conjunction with the client s</w:t>
      </w:r>
      <w:r w:rsidRPr="00261A93">
        <w:rPr>
          <w:color w:val="000000"/>
        </w:rPr>
        <w:t xml:space="preserve">urvey </w:t>
      </w:r>
      <w:r>
        <w:rPr>
          <w:color w:val="000000"/>
        </w:rPr>
        <w:t>to</w:t>
      </w:r>
      <w:r w:rsidRPr="00261A93">
        <w:rPr>
          <w:color w:val="000000"/>
        </w:rPr>
        <w:t xml:space="preserve"> help </w:t>
      </w:r>
      <w:r>
        <w:rPr>
          <w:color w:val="000000"/>
        </w:rPr>
        <w:t>monitor program results</w:t>
      </w:r>
      <w:r w:rsidRPr="00261A93">
        <w:rPr>
          <w:color w:val="000000"/>
        </w:rPr>
        <w:t>.</w:t>
      </w:r>
    </w:p>
    <w:p w:rsidR="000F48AC" w:rsidRDefault="000F48AC">
      <w:pPr>
        <w:ind w:left="720"/>
      </w:pPr>
    </w:p>
    <w:p w:rsidR="000F48AC" w:rsidRDefault="000F48AC">
      <w:pPr>
        <w:ind w:left="720"/>
      </w:pPr>
      <w:r>
        <w:t xml:space="preserve">Because the GPRA data are the key and only measure of client demographics and substance use/abuse data, </w:t>
      </w:r>
      <w:r w:rsidRPr="00E63C56">
        <w:t>SAMHSA</w:t>
      </w:r>
      <w:r>
        <w:t xml:space="preserve"> will provide the Multi-Site Evaluation Team with all</w:t>
      </w:r>
      <w:r w:rsidRPr="00C3522E">
        <w:t xml:space="preserve"> </w:t>
      </w:r>
      <w:r>
        <w:t>cleaned individual-level</w:t>
      </w:r>
      <w:r w:rsidRPr="00C3522E">
        <w:t xml:space="preserve"> TCE-HIV Grantee GPRA data at the three data collection points (i.e., baseline, discharge, </w:t>
      </w:r>
      <w:r>
        <w:t>and 6 months</w:t>
      </w:r>
      <w:r w:rsidRPr="00C3522E">
        <w:t xml:space="preserve"> post baseline). </w:t>
      </w:r>
      <w:r>
        <w:t xml:space="preserve">The </w:t>
      </w:r>
      <w:r w:rsidRPr="00C3522E">
        <w:t>GPRA data items include</w:t>
      </w:r>
      <w:r>
        <w:t>d in this evaluation are</w:t>
      </w:r>
      <w:r w:rsidRPr="00C3522E">
        <w:t>:</w:t>
      </w:r>
    </w:p>
    <w:p w:rsidR="000F48AC" w:rsidRDefault="000F48AC">
      <w:pPr>
        <w:ind w:left="720"/>
      </w:pPr>
    </w:p>
    <w:p w:rsidR="000F48AC" w:rsidRDefault="000F48AC" w:rsidP="0098691D">
      <w:pPr>
        <w:numPr>
          <w:ilvl w:val="0"/>
          <w:numId w:val="21"/>
        </w:numPr>
        <w:tabs>
          <w:tab w:val="left" w:pos="1620"/>
        </w:tabs>
        <w:ind w:left="1620"/>
      </w:pPr>
      <w:r>
        <w:t>Client ID numbers (needed to link GPRA data to TCE-HIV client surveys)</w:t>
      </w:r>
    </w:p>
    <w:p w:rsidR="000F48AC" w:rsidRPr="00C3522E" w:rsidRDefault="000F48AC" w:rsidP="0098691D">
      <w:pPr>
        <w:numPr>
          <w:ilvl w:val="0"/>
          <w:numId w:val="21"/>
        </w:numPr>
        <w:tabs>
          <w:tab w:val="left" w:pos="1620"/>
        </w:tabs>
        <w:ind w:left="1620"/>
      </w:pPr>
      <w:r w:rsidRPr="00C3522E">
        <w:t>Client demographics</w:t>
      </w:r>
      <w:r>
        <w:t xml:space="preserve"> (i.e., gender, ethnicity, race, date of birth)</w:t>
      </w:r>
    </w:p>
    <w:p w:rsidR="000F48AC" w:rsidRPr="00C3522E" w:rsidRDefault="000F48AC" w:rsidP="00D87992">
      <w:pPr>
        <w:numPr>
          <w:ilvl w:val="0"/>
          <w:numId w:val="21"/>
        </w:numPr>
        <w:tabs>
          <w:tab w:val="left" w:pos="1620"/>
        </w:tabs>
        <w:ind w:left="1620"/>
      </w:pPr>
      <w:r w:rsidRPr="00C3522E">
        <w:t>Client substance use/abuse</w:t>
      </w:r>
    </w:p>
    <w:p w:rsidR="000F48AC" w:rsidRPr="00C3522E" w:rsidRDefault="000F48AC" w:rsidP="00D87992">
      <w:pPr>
        <w:numPr>
          <w:ilvl w:val="0"/>
          <w:numId w:val="21"/>
        </w:numPr>
        <w:tabs>
          <w:tab w:val="left" w:pos="1620"/>
        </w:tabs>
        <w:ind w:left="1620"/>
      </w:pPr>
      <w:r w:rsidRPr="00C3522E">
        <w:t>Family living conditions</w:t>
      </w:r>
    </w:p>
    <w:p w:rsidR="000F48AC" w:rsidRPr="00C3522E" w:rsidRDefault="000F48AC" w:rsidP="00D87992">
      <w:pPr>
        <w:numPr>
          <w:ilvl w:val="0"/>
          <w:numId w:val="21"/>
        </w:numPr>
        <w:tabs>
          <w:tab w:val="left" w:pos="1620"/>
        </w:tabs>
        <w:ind w:left="1620"/>
      </w:pPr>
      <w:r w:rsidRPr="00C3522E">
        <w:t>Education, employment, and income</w:t>
      </w:r>
    </w:p>
    <w:p w:rsidR="000F48AC" w:rsidRPr="00C3522E" w:rsidRDefault="000F48AC" w:rsidP="00D87992">
      <w:pPr>
        <w:numPr>
          <w:ilvl w:val="0"/>
          <w:numId w:val="21"/>
        </w:numPr>
        <w:tabs>
          <w:tab w:val="left" w:pos="1620"/>
        </w:tabs>
        <w:ind w:left="1620"/>
      </w:pPr>
      <w:r w:rsidRPr="00C3522E">
        <w:t>Crime and criminal justice status</w:t>
      </w:r>
    </w:p>
    <w:p w:rsidR="000F48AC" w:rsidRPr="00C3522E" w:rsidRDefault="000F48AC" w:rsidP="00D87992">
      <w:pPr>
        <w:numPr>
          <w:ilvl w:val="0"/>
          <w:numId w:val="21"/>
        </w:numPr>
        <w:tabs>
          <w:tab w:val="left" w:pos="1620"/>
        </w:tabs>
        <w:ind w:left="1620"/>
      </w:pPr>
      <w:r w:rsidRPr="00C3522E">
        <w:t xml:space="preserve">Mental and physical health </w:t>
      </w:r>
    </w:p>
    <w:p w:rsidR="000F48AC" w:rsidRPr="00C3522E" w:rsidRDefault="000F48AC" w:rsidP="00D87992">
      <w:pPr>
        <w:numPr>
          <w:ilvl w:val="0"/>
          <w:numId w:val="21"/>
        </w:numPr>
        <w:tabs>
          <w:tab w:val="left" w:pos="1620"/>
        </w:tabs>
        <w:ind w:left="1620"/>
      </w:pPr>
      <w:r w:rsidRPr="00C3522E">
        <w:t>Social connectedness.</w:t>
      </w:r>
    </w:p>
    <w:p w:rsidR="000F48AC" w:rsidRDefault="000F48AC">
      <w:pPr>
        <w:ind w:left="720"/>
      </w:pPr>
    </w:p>
    <w:p w:rsidR="000F48AC" w:rsidRDefault="000F48AC">
      <w:pPr>
        <w:ind w:left="720"/>
      </w:pPr>
      <w:r>
        <w:t xml:space="preserve">Grantees will be asked to use the client GPRA identification number on the client survey at the three data collection points so the client surveys can be linked to the GPRA data, which contains demographics, substance use/substance abuse, and </w:t>
      </w:r>
      <w:r w:rsidRPr="00D41572">
        <w:t xml:space="preserve">other constructs (e.g., social connectedness, </w:t>
      </w:r>
      <w:r>
        <w:t>family living conditions</w:t>
      </w:r>
      <w:r w:rsidRPr="00D41572">
        <w:t xml:space="preserve">, employment) that are needed to </w:t>
      </w:r>
      <w:r>
        <w:t xml:space="preserve">fully </w:t>
      </w:r>
      <w:r w:rsidRPr="00D41572">
        <w:t xml:space="preserve">answer the </w:t>
      </w:r>
      <w:r>
        <w:t>TCE-HIV Multi-Site E</w:t>
      </w:r>
      <w:r w:rsidRPr="00D41572">
        <w:t>valuation questions.</w:t>
      </w:r>
      <w:r>
        <w:t xml:space="preserve">  </w:t>
      </w:r>
    </w:p>
    <w:p w:rsidR="000F48AC" w:rsidRPr="00FB4E68" w:rsidRDefault="000F48AC" w:rsidP="00E76098"/>
    <w:p w:rsidR="000F48AC" w:rsidRDefault="000F48AC">
      <w:pPr>
        <w:ind w:firstLine="720"/>
        <w:rPr>
          <w:b/>
          <w:bCs/>
        </w:rPr>
      </w:pPr>
      <w:bookmarkStart w:id="21" w:name="_Toc88277954"/>
      <w:bookmarkStart w:id="22" w:name="_Toc131564343"/>
      <w:r w:rsidRPr="00FB4E68">
        <w:rPr>
          <w:b/>
          <w:bCs/>
        </w:rPr>
        <w:t>5.</w:t>
      </w:r>
      <w:r w:rsidRPr="00FB4E68">
        <w:rPr>
          <w:b/>
          <w:bCs/>
        </w:rPr>
        <w:tab/>
      </w:r>
      <w:r w:rsidRPr="00FB4E68">
        <w:rPr>
          <w:b/>
          <w:bCs/>
          <w:u w:val="single"/>
        </w:rPr>
        <w:t>Involvement of Small Entities</w:t>
      </w:r>
      <w:bookmarkEnd w:id="21"/>
      <w:bookmarkEnd w:id="22"/>
    </w:p>
    <w:p w:rsidR="000F48AC" w:rsidRPr="00933EB0" w:rsidRDefault="000F48AC" w:rsidP="003D66D7"/>
    <w:p w:rsidR="000F48AC" w:rsidRDefault="000F48AC" w:rsidP="009A09B6">
      <w:pPr>
        <w:ind w:left="720"/>
      </w:pPr>
      <w:r w:rsidRPr="00E14DC5">
        <w:t xml:space="preserve">As part of their TCE-HIV grant requirements, Grantees </w:t>
      </w:r>
      <w:r>
        <w:t>are required to participate in the data collection activities of the</w:t>
      </w:r>
      <w:r w:rsidRPr="004D6522">
        <w:t xml:space="preserve"> </w:t>
      </w:r>
      <w:r>
        <w:t>M</w:t>
      </w:r>
      <w:r w:rsidRPr="004D6522">
        <w:t>ulti-</w:t>
      </w:r>
      <w:r>
        <w:t>S</w:t>
      </w:r>
      <w:r w:rsidRPr="004D6522">
        <w:t xml:space="preserve">ite </w:t>
      </w:r>
      <w:r>
        <w:t>E</w:t>
      </w:r>
      <w:r w:rsidRPr="004D6522">
        <w:t>valuation.</w:t>
      </w:r>
      <w:r>
        <w:t xml:space="preserve"> Client participation in data collection activities is voluntary and access to treatment services is not based on participation in the Multi-Site Evaluation. </w:t>
      </w:r>
      <w:r w:rsidRPr="00933EB0">
        <w:t>It is likely that many of the project’s respondents will be from relatively small treatment programs.</w:t>
      </w:r>
      <w:r>
        <w:t xml:space="preserve"> </w:t>
      </w:r>
      <w:r w:rsidRPr="00933EB0">
        <w:t>Information collection for this study is not anticipated to have a significant impact on the individuals or on the programs or practices with which respondents may be affiliated.</w:t>
      </w:r>
      <w:r>
        <w:t xml:space="preserve"> </w:t>
      </w:r>
    </w:p>
    <w:p w:rsidR="000F48AC" w:rsidRDefault="000F48AC">
      <w:pPr>
        <w:ind w:left="720"/>
      </w:pPr>
    </w:p>
    <w:p w:rsidR="000F48AC" w:rsidRPr="005F0A03" w:rsidRDefault="000F48AC">
      <w:pPr>
        <w:ind w:left="720"/>
      </w:pPr>
      <w:r w:rsidRPr="00933EB0">
        <w:t>The information to be obtained from respondents is the minimum necessary to achieve the objectives of the evaluation; however, completion of survey instruments, participation in focus groups, and/or participation in semi-structured interviews will likely induce burden.</w:t>
      </w:r>
      <w:r>
        <w:t xml:space="preserve"> </w:t>
      </w:r>
      <w:r w:rsidRPr="00933EB0">
        <w:t>To reduce this burden, every attempt will be made to move respondents quickly through questions.</w:t>
      </w:r>
      <w:r>
        <w:t xml:space="preserve"> </w:t>
      </w:r>
      <w:r w:rsidRPr="00933EB0">
        <w:t xml:space="preserve">For example, a screener question will be used in the </w:t>
      </w:r>
      <w:r>
        <w:t xml:space="preserve">client </w:t>
      </w:r>
      <w:r w:rsidRPr="00933EB0">
        <w:t xml:space="preserve">survey that asks about </w:t>
      </w:r>
      <w:r>
        <w:t>previous testing with HIV positive results</w:t>
      </w:r>
      <w:r w:rsidRPr="00933EB0">
        <w:t>. If the respondent indicates that he/she has no</w:t>
      </w:r>
      <w:r>
        <w:t>t previously tested HIV positive</w:t>
      </w:r>
      <w:r w:rsidRPr="00933EB0">
        <w:t>, th</w:t>
      </w:r>
      <w:r>
        <w:t>e</w:t>
      </w:r>
      <w:r w:rsidRPr="00933EB0">
        <w:t xml:space="preserve"> </w:t>
      </w:r>
      <w:r>
        <w:t>interviewer</w:t>
      </w:r>
      <w:r w:rsidRPr="00933EB0">
        <w:t xml:space="preserve"> </w:t>
      </w:r>
      <w:r>
        <w:t>will</w:t>
      </w:r>
      <w:r w:rsidRPr="00933EB0">
        <w:t xml:space="preserve"> skip to the next category.</w:t>
      </w:r>
      <w:r>
        <w:rPr>
          <w:color w:val="0000FF"/>
        </w:rPr>
        <w:t xml:space="preserve"> </w:t>
      </w:r>
    </w:p>
    <w:p w:rsidR="000F48AC" w:rsidRDefault="000F48AC" w:rsidP="003D66D7">
      <w:pPr>
        <w:rPr>
          <w:b/>
          <w:bCs/>
        </w:rPr>
      </w:pPr>
      <w:bookmarkStart w:id="23" w:name="_Toc88277955"/>
      <w:bookmarkStart w:id="24" w:name="_Toc131564344"/>
    </w:p>
    <w:p w:rsidR="000F48AC" w:rsidRDefault="000F48AC">
      <w:pPr>
        <w:ind w:firstLine="720"/>
        <w:rPr>
          <w:b/>
          <w:bCs/>
        </w:rPr>
      </w:pPr>
      <w:r w:rsidRPr="00500690">
        <w:rPr>
          <w:b/>
          <w:bCs/>
        </w:rPr>
        <w:t>6.</w:t>
      </w:r>
      <w:r w:rsidRPr="00500690">
        <w:rPr>
          <w:b/>
          <w:bCs/>
        </w:rPr>
        <w:tab/>
      </w:r>
      <w:r w:rsidRPr="00500690">
        <w:rPr>
          <w:b/>
          <w:bCs/>
          <w:u w:val="single"/>
        </w:rPr>
        <w:t xml:space="preserve">Consequences </w:t>
      </w:r>
      <w:r>
        <w:rPr>
          <w:b/>
          <w:bCs/>
          <w:u w:val="single"/>
        </w:rPr>
        <w:t>i</w:t>
      </w:r>
      <w:r w:rsidRPr="00500690">
        <w:rPr>
          <w:b/>
          <w:bCs/>
          <w:u w:val="single"/>
        </w:rPr>
        <w:t xml:space="preserve">f Information </w:t>
      </w:r>
      <w:r>
        <w:rPr>
          <w:b/>
          <w:bCs/>
          <w:u w:val="single"/>
        </w:rPr>
        <w:t xml:space="preserve">Is </w:t>
      </w:r>
      <w:r w:rsidRPr="00500690">
        <w:rPr>
          <w:b/>
          <w:bCs/>
          <w:u w:val="single"/>
        </w:rPr>
        <w:t>Collected Less Frequently</w:t>
      </w:r>
      <w:bookmarkStart w:id="25" w:name="_Toc131564345"/>
      <w:bookmarkEnd w:id="23"/>
      <w:bookmarkEnd w:id="24"/>
    </w:p>
    <w:p w:rsidR="000F48AC" w:rsidRDefault="000F48AC" w:rsidP="003D66D7">
      <w:pPr>
        <w:rPr>
          <w:u w:val="single"/>
        </w:rPr>
      </w:pPr>
    </w:p>
    <w:p w:rsidR="000F48AC" w:rsidRDefault="000F48AC">
      <w:pPr>
        <w:ind w:left="720"/>
      </w:pPr>
      <w:r w:rsidRPr="00C05CC8">
        <w:t xml:space="preserve">During this 5-year </w:t>
      </w:r>
      <w:r>
        <w:t>M</w:t>
      </w:r>
      <w:r w:rsidRPr="00C05CC8">
        <w:t>ulti-</w:t>
      </w:r>
      <w:r>
        <w:t>S</w:t>
      </w:r>
      <w:r w:rsidRPr="00C05CC8">
        <w:t xml:space="preserve">ite </w:t>
      </w:r>
      <w:r>
        <w:t>E</w:t>
      </w:r>
      <w:r w:rsidRPr="00C05CC8">
        <w:t>valuation</w:t>
      </w:r>
      <w:r>
        <w:t xml:space="preserve">, the frequency of data collection from the Grantees and the clients they serve is held to the minimum necessary to meet the needs of the evaluation goals and objectives. Data will be collected in year 3 and year 4 to assess changes in the community- and program-level activities that will be monitored. Similarly, the information collection points for the client survey (i.e., baseline, discharge, 6 months post baseline) are designed to coincide with GPRA data collection. </w:t>
      </w:r>
    </w:p>
    <w:p w:rsidR="000F48AC" w:rsidRDefault="000F48AC" w:rsidP="003D66D7"/>
    <w:p w:rsidR="000F48AC" w:rsidRDefault="000F48AC">
      <w:pPr>
        <w:ind w:left="720"/>
      </w:pPr>
      <w:r w:rsidRPr="00B9101F">
        <w:rPr>
          <w:b/>
        </w:rPr>
        <w:t>Client Survey</w:t>
      </w:r>
      <w:bookmarkEnd w:id="25"/>
      <w:r w:rsidRPr="00B9101F">
        <w:rPr>
          <w:b/>
        </w:rPr>
        <w:t>.</w:t>
      </w:r>
      <w:r w:rsidRPr="00500690">
        <w:t xml:space="preserve"> Client surveys will be administered to each client </w:t>
      </w:r>
      <w:r>
        <w:t xml:space="preserve">who have been administered a GPRA Tool and is </w:t>
      </w:r>
      <w:r w:rsidRPr="00500690">
        <w:t>receiving treatment from the 4</w:t>
      </w:r>
      <w:r>
        <w:t>0</w:t>
      </w:r>
      <w:r w:rsidRPr="00500690">
        <w:t xml:space="preserve"> treatment Grantees. All clients completing the survey at baseline will also complete the survey at discharge from treatment, and 6</w:t>
      </w:r>
      <w:r>
        <w:t xml:space="preserve"> </w:t>
      </w:r>
      <w:r w:rsidRPr="00500690">
        <w:t xml:space="preserve">months following </w:t>
      </w:r>
      <w:r>
        <w:t>baseline to mirror the GPRA Tool administration</w:t>
      </w:r>
      <w:r w:rsidRPr="00500690">
        <w:t>. Data collection at discharge and 6</w:t>
      </w:r>
      <w:r>
        <w:t xml:space="preserve"> </w:t>
      </w:r>
      <w:r w:rsidRPr="00500690">
        <w:t xml:space="preserve">months following </w:t>
      </w:r>
      <w:r>
        <w:t>baseline</w:t>
      </w:r>
      <w:r w:rsidRPr="00500690">
        <w:t xml:space="preserve"> </w:t>
      </w:r>
      <w:r>
        <w:t>will be used</w:t>
      </w:r>
      <w:r w:rsidRPr="00500690">
        <w:t xml:space="preserve"> to </w:t>
      </w:r>
      <w:r>
        <w:t xml:space="preserve">monitor change in client </w:t>
      </w:r>
      <w:r w:rsidRPr="00500690">
        <w:t xml:space="preserve">HIV </w:t>
      </w:r>
      <w:r>
        <w:t>risk</w:t>
      </w:r>
      <w:r w:rsidRPr="00500690">
        <w:t xml:space="preserve"> behaviors, social support, and quality of life</w:t>
      </w:r>
      <w:r>
        <w:t xml:space="preserve"> indicators.  </w:t>
      </w:r>
      <w:r w:rsidRPr="00500690">
        <w:t xml:space="preserve">Waiting until 6 months after </w:t>
      </w:r>
      <w:r>
        <w:t>baseline</w:t>
      </w:r>
      <w:r w:rsidRPr="00500690">
        <w:t xml:space="preserve"> from treatment services allows </w:t>
      </w:r>
      <w:r>
        <w:t>ample</w:t>
      </w:r>
      <w:r w:rsidRPr="00500690">
        <w:t xml:space="preserve"> time </w:t>
      </w:r>
      <w:r>
        <w:t xml:space="preserve">for monitoring </w:t>
      </w:r>
      <w:r w:rsidRPr="00500690">
        <w:t xml:space="preserve">changes in </w:t>
      </w:r>
      <w:r>
        <w:t>risk</w:t>
      </w:r>
      <w:r w:rsidRPr="00500690">
        <w:t xml:space="preserve"> behavior</w:t>
      </w:r>
      <w:r>
        <w:t>s</w:t>
      </w:r>
      <w:r w:rsidRPr="00500690">
        <w:t xml:space="preserve"> and/or </w:t>
      </w:r>
      <w:r>
        <w:t>quality of life conditions</w:t>
      </w:r>
      <w:r w:rsidRPr="00500690">
        <w:t xml:space="preserve">. Alternatively, waiting more than 6 months jeopardizes the validity of the </w:t>
      </w:r>
      <w:r>
        <w:t>information obtained because</w:t>
      </w:r>
      <w:r w:rsidRPr="00500690">
        <w:t xml:space="preserve"> self-reported data become less accurate</w:t>
      </w:r>
      <w:r>
        <w:t xml:space="preserve"> as time passes</w:t>
      </w:r>
      <w:r w:rsidRPr="00500690">
        <w:t xml:space="preserve">. Moreover, follow-up response rates, especially among </w:t>
      </w:r>
      <w:r>
        <w:t>many</w:t>
      </w:r>
      <w:r w:rsidRPr="00500690">
        <w:t xml:space="preserve"> of the population</w:t>
      </w:r>
      <w:r>
        <w:t>s</w:t>
      </w:r>
      <w:r w:rsidRPr="00500690">
        <w:t xml:space="preserve"> to which TCE-HIV is being delivered, decrease over time. </w:t>
      </w:r>
    </w:p>
    <w:p w:rsidR="000F48AC" w:rsidRPr="00500690" w:rsidRDefault="000F48AC" w:rsidP="003D66D7">
      <w:bookmarkStart w:id="26" w:name="_Toc131564346"/>
    </w:p>
    <w:bookmarkEnd w:id="26"/>
    <w:p w:rsidR="000F48AC" w:rsidRDefault="000F48AC">
      <w:pPr>
        <w:ind w:left="720"/>
      </w:pPr>
      <w:r w:rsidRPr="00B9101F">
        <w:rPr>
          <w:b/>
        </w:rPr>
        <w:t>Semi-Structured Interviews.</w:t>
      </w:r>
      <w:r>
        <w:rPr>
          <w:b/>
        </w:rPr>
        <w:t xml:space="preserve"> </w:t>
      </w:r>
      <w:r w:rsidRPr="00500690">
        <w:t>The semi-structured interviews will be administered to staff and partners/collaborators from each of the 4</w:t>
      </w:r>
      <w:r w:rsidRPr="00A02EF3">
        <w:t>8</w:t>
      </w:r>
      <w:r w:rsidRPr="00500690">
        <w:t xml:space="preserve"> TCE-HIV Grantees during site visits conducted in</w:t>
      </w:r>
      <w:r>
        <w:t xml:space="preserve"> </w:t>
      </w:r>
      <w:r w:rsidRPr="00500690">
        <w:t xml:space="preserve">Year </w:t>
      </w:r>
      <w:r>
        <w:t>3</w:t>
      </w:r>
      <w:r w:rsidRPr="00500690">
        <w:t xml:space="preserve">. To </w:t>
      </w:r>
      <w:r>
        <w:t>monitor changes in implementation activities</w:t>
      </w:r>
      <w:r w:rsidRPr="00500690">
        <w:t xml:space="preserve"> of TCE-HIV </w:t>
      </w:r>
      <w:r>
        <w:t>program</w:t>
      </w:r>
      <w:r w:rsidRPr="00500690">
        <w:t xml:space="preserve">s, </w:t>
      </w:r>
      <w:r>
        <w:t>evaluation staff</w:t>
      </w:r>
      <w:r w:rsidRPr="00500690">
        <w:t xml:space="preserve"> will compare baseline measures with the same indicators approximately </w:t>
      </w:r>
      <w:r>
        <w:t>16</w:t>
      </w:r>
      <w:r w:rsidRPr="00500690">
        <w:t xml:space="preserve"> months (Year 4) after </w:t>
      </w:r>
      <w:r>
        <w:t>the</w:t>
      </w:r>
      <w:r w:rsidRPr="00500690">
        <w:t xml:space="preserve"> initial measurement. Comparisons </w:t>
      </w:r>
      <w:r>
        <w:t>between</w:t>
      </w:r>
      <w:r w:rsidRPr="00500690">
        <w:t xml:space="preserve"> these time points will yield information on community, program, and </w:t>
      </w:r>
      <w:r>
        <w:t>staff</w:t>
      </w:r>
      <w:r w:rsidRPr="00500690">
        <w:t xml:space="preserve"> changes as measured at </w:t>
      </w:r>
      <w:r>
        <w:t>Year 3 and Year 4.</w:t>
      </w:r>
      <w:r w:rsidRPr="00500690" w:rsidDel="00FC1915">
        <w:t xml:space="preserve"> </w:t>
      </w:r>
      <w:r w:rsidRPr="00500690">
        <w:t xml:space="preserve">Collecting follow-up data at </w:t>
      </w:r>
      <w:r>
        <w:t>16</w:t>
      </w:r>
      <w:r w:rsidRPr="00500690">
        <w:t xml:space="preserve"> months after the Year </w:t>
      </w:r>
      <w:r>
        <w:t>3</w:t>
      </w:r>
      <w:r w:rsidRPr="00500690">
        <w:t xml:space="preserve"> site visit is optimal for producing useful comparison data, as community and programmatic level changes </w:t>
      </w:r>
      <w:r>
        <w:t xml:space="preserve">may </w:t>
      </w:r>
      <w:r w:rsidRPr="00500690">
        <w:t xml:space="preserve">be manifested within the </w:t>
      </w:r>
      <w:r>
        <w:t>16</w:t>
      </w:r>
      <w:r w:rsidRPr="00500690">
        <w:t xml:space="preserve"> month cycle</w:t>
      </w:r>
      <w:r w:rsidRPr="000746F1">
        <w:t xml:space="preserve">. Alternatively, if the information is collected after more than </w:t>
      </w:r>
      <w:r>
        <w:t>16</w:t>
      </w:r>
      <w:r w:rsidRPr="000746F1">
        <w:t xml:space="preserve"> months, the </w:t>
      </w:r>
      <w:r>
        <w:t xml:space="preserve">resultant </w:t>
      </w:r>
      <w:r w:rsidRPr="000746F1">
        <w:t xml:space="preserve">shortened period for data analysis may result in a lack of important information for </w:t>
      </w:r>
      <w:r w:rsidRPr="00E63C56">
        <w:t>SAMHSA</w:t>
      </w:r>
      <w:r w:rsidRPr="000746F1">
        <w:t xml:space="preserve"> on how best to understand the community and contextual conditions in which the TCE-HIV programs exist and provide services.</w:t>
      </w:r>
    </w:p>
    <w:p w:rsidR="000F48AC" w:rsidRPr="00500690" w:rsidRDefault="000F48AC" w:rsidP="003D66D7"/>
    <w:p w:rsidR="000F48AC" w:rsidRDefault="000F48AC">
      <w:pPr>
        <w:ind w:left="720"/>
      </w:pPr>
      <w:r w:rsidRPr="00B9101F">
        <w:rPr>
          <w:b/>
        </w:rPr>
        <w:t>Client Focus Groups.</w:t>
      </w:r>
      <w:r w:rsidRPr="00500690">
        <w:t xml:space="preserve"> Focus groups will be conducted</w:t>
      </w:r>
      <w:r w:rsidRPr="00B01327">
        <w:t xml:space="preserve"> </w:t>
      </w:r>
      <w:r w:rsidRPr="00500690">
        <w:t xml:space="preserve">during </w:t>
      </w:r>
      <w:r>
        <w:t xml:space="preserve">site visits in </w:t>
      </w:r>
      <w:r w:rsidRPr="00500690">
        <w:t xml:space="preserve">Year </w:t>
      </w:r>
      <w:r>
        <w:t xml:space="preserve">3 and Year 4 with a subset of treatment clients at </w:t>
      </w:r>
      <w:r w:rsidRPr="00500690">
        <w:t>each of the 4</w:t>
      </w:r>
      <w:r>
        <w:t>0</w:t>
      </w:r>
      <w:r w:rsidRPr="00500690">
        <w:t xml:space="preserve"> treatment Grantee</w:t>
      </w:r>
      <w:r>
        <w:t xml:space="preserve">s. </w:t>
      </w:r>
      <w:r w:rsidRPr="00500690">
        <w:t xml:space="preserve">The goals of the </w:t>
      </w:r>
      <w:r>
        <w:t>c</w:t>
      </w:r>
      <w:r w:rsidRPr="00500690">
        <w:t xml:space="preserve">lient </w:t>
      </w:r>
      <w:r>
        <w:t>f</w:t>
      </w:r>
      <w:r w:rsidRPr="00500690">
        <w:t xml:space="preserve">ocus </w:t>
      </w:r>
      <w:r>
        <w:t>g</w:t>
      </w:r>
      <w:r w:rsidRPr="00500690">
        <w:t xml:space="preserve">roups are to gather information about client substance abuse treatment history, client behavior (i.e., substance use/abuse, risk behavior, quality of life), client perception of social support, </w:t>
      </w:r>
      <w:r>
        <w:t xml:space="preserve">and </w:t>
      </w:r>
      <w:r w:rsidRPr="00500690">
        <w:t xml:space="preserve">client satisfaction with the TCE-HIV program. </w:t>
      </w:r>
    </w:p>
    <w:p w:rsidR="000F48AC" w:rsidRPr="00F014D5" w:rsidRDefault="000F48AC" w:rsidP="003D66D7"/>
    <w:p w:rsidR="000F48AC" w:rsidRPr="00736721" w:rsidRDefault="000F48AC">
      <w:pPr>
        <w:ind w:left="720"/>
      </w:pPr>
      <w:r>
        <w:t>No technical or legal barriers to reduce burden exist if information is collected less frequently.</w:t>
      </w:r>
    </w:p>
    <w:p w:rsidR="000F48AC" w:rsidRPr="00F014D5" w:rsidRDefault="000F48AC" w:rsidP="003D66D7"/>
    <w:p w:rsidR="000F48AC" w:rsidRDefault="000F48AC">
      <w:pPr>
        <w:ind w:firstLine="720"/>
        <w:rPr>
          <w:b/>
          <w:bCs/>
        </w:rPr>
      </w:pPr>
      <w:bookmarkStart w:id="27" w:name="_Toc88277956"/>
      <w:bookmarkStart w:id="28" w:name="_Toc131564347"/>
      <w:r w:rsidRPr="00C141E2">
        <w:rPr>
          <w:b/>
          <w:bCs/>
        </w:rPr>
        <w:t>7.</w:t>
      </w:r>
      <w:r w:rsidRPr="00C141E2">
        <w:rPr>
          <w:b/>
          <w:bCs/>
        </w:rPr>
        <w:tab/>
      </w:r>
      <w:r w:rsidRPr="00C141E2">
        <w:rPr>
          <w:b/>
          <w:bCs/>
          <w:u w:val="single"/>
        </w:rPr>
        <w:t>Consistency with the Guidelines in 5 CFR 1320.5</w:t>
      </w:r>
      <w:bookmarkEnd w:id="27"/>
      <w:bookmarkEnd w:id="28"/>
      <w:r w:rsidRPr="00C141E2">
        <w:rPr>
          <w:b/>
          <w:bCs/>
          <w:u w:val="single"/>
        </w:rPr>
        <w:t>(d)(2)</w:t>
      </w:r>
    </w:p>
    <w:p w:rsidR="000F48AC" w:rsidRPr="00C141E2" w:rsidRDefault="000F48AC" w:rsidP="003D66D7"/>
    <w:p w:rsidR="000F48AC" w:rsidRDefault="000F48AC">
      <w:pPr>
        <w:ind w:firstLine="720"/>
      </w:pPr>
      <w:r w:rsidRPr="00C141E2">
        <w:t>This information collection fully complies with the guidelines in 5 CFR 1320.5(d)(2)</w:t>
      </w:r>
      <w:r>
        <w:t xml:space="preserve">. </w:t>
      </w:r>
    </w:p>
    <w:p w:rsidR="000F48AC" w:rsidRPr="00F014D5" w:rsidRDefault="000F48AC" w:rsidP="003D66D7">
      <w:bookmarkStart w:id="29" w:name="_Toc88277957"/>
      <w:bookmarkStart w:id="30" w:name="_Toc131564348"/>
    </w:p>
    <w:p w:rsidR="000F48AC" w:rsidRDefault="000F48AC">
      <w:pPr>
        <w:ind w:firstLine="720"/>
        <w:rPr>
          <w:b/>
          <w:bCs/>
        </w:rPr>
      </w:pPr>
      <w:r w:rsidRPr="00C141E2">
        <w:rPr>
          <w:b/>
          <w:bCs/>
        </w:rPr>
        <w:t>8.</w:t>
      </w:r>
      <w:r w:rsidRPr="00C141E2">
        <w:rPr>
          <w:b/>
          <w:bCs/>
        </w:rPr>
        <w:tab/>
      </w:r>
      <w:r w:rsidRPr="00C141E2">
        <w:rPr>
          <w:b/>
          <w:bCs/>
          <w:u w:val="single"/>
        </w:rPr>
        <w:t>Consultation Outside the Agency</w:t>
      </w:r>
      <w:bookmarkEnd w:id="29"/>
      <w:bookmarkEnd w:id="30"/>
    </w:p>
    <w:p w:rsidR="000F48AC" w:rsidRPr="00C141E2" w:rsidRDefault="000F48AC" w:rsidP="003D66D7"/>
    <w:p w:rsidR="000F48AC" w:rsidRDefault="000F48AC">
      <w:pPr>
        <w:ind w:left="720"/>
      </w:pPr>
      <w:r w:rsidRPr="00C141E2">
        <w:t xml:space="preserve">The notice required by 5 CFR1320.8(d) was published in the </w:t>
      </w:r>
      <w:r w:rsidRPr="00C141E2">
        <w:rPr>
          <w:i/>
          <w:iCs/>
        </w:rPr>
        <w:t>Federal Register</w:t>
      </w:r>
      <w:r w:rsidRPr="00C141E2">
        <w:t xml:space="preserve"> on </w:t>
      </w:r>
      <w:r w:rsidRPr="00772BF8">
        <w:t>October 23,</w:t>
      </w:r>
      <w:r>
        <w:rPr>
          <w:rFonts w:ascii="Arial" w:hAnsi="Arial" w:cs="Arial"/>
          <w:sz w:val="20"/>
          <w:szCs w:val="20"/>
        </w:rPr>
        <w:t xml:space="preserve"> </w:t>
      </w:r>
      <w:r w:rsidRPr="00772BF8">
        <w:t>2009 (74 FR 54830-54831).</w:t>
      </w:r>
      <w:r w:rsidRPr="00610005">
        <w:rPr>
          <w:rFonts w:ascii="Arial" w:hAnsi="Arial" w:cs="Arial"/>
          <w:sz w:val="20"/>
          <w:szCs w:val="20"/>
        </w:rPr>
        <w:t xml:space="preserve"> </w:t>
      </w:r>
      <w:r w:rsidRPr="00C141E2">
        <w:t xml:space="preserve">No comments were received in response to this notice. </w:t>
      </w:r>
    </w:p>
    <w:p w:rsidR="000F48AC" w:rsidRPr="00C141E2" w:rsidRDefault="000F48AC" w:rsidP="003D66D7">
      <w:r>
        <w:tab/>
      </w:r>
    </w:p>
    <w:p w:rsidR="000F48AC" w:rsidRDefault="000F48AC">
      <w:pPr>
        <w:ind w:left="720"/>
      </w:pPr>
      <w:r w:rsidRPr="00C141E2">
        <w:t xml:space="preserve">SAMHSA has made extensive use of experts in the area of </w:t>
      </w:r>
      <w:r w:rsidRPr="004772FF">
        <w:t>substance abuse and HIV/AIDS</w:t>
      </w:r>
      <w:r>
        <w:rPr>
          <w:color w:val="FF0000"/>
        </w:rPr>
        <w:t xml:space="preserve"> </w:t>
      </w:r>
      <w:r w:rsidRPr="00C141E2">
        <w:t xml:space="preserve">research to provide guidance on the design of the </w:t>
      </w:r>
      <w:r>
        <w:t>M</w:t>
      </w:r>
      <w:r w:rsidRPr="00C141E2">
        <w:t>ulti-</w:t>
      </w:r>
      <w:r>
        <w:t>S</w:t>
      </w:r>
      <w:r w:rsidRPr="00C141E2">
        <w:t xml:space="preserve">ite </w:t>
      </w:r>
      <w:r>
        <w:t>E</w:t>
      </w:r>
      <w:r w:rsidRPr="00C141E2">
        <w:t xml:space="preserve">valuation. An expert panel meeting was held </w:t>
      </w:r>
      <w:r w:rsidRPr="004772FF">
        <w:t>November</w:t>
      </w:r>
      <w:r>
        <w:t xml:space="preserve"> 17–18</w:t>
      </w:r>
      <w:r w:rsidRPr="004772FF">
        <w:t>, 2008</w:t>
      </w:r>
      <w:r>
        <w:t>,</w:t>
      </w:r>
      <w:r w:rsidRPr="00C141E2">
        <w:t xml:space="preserve"> to review various aspects of the </w:t>
      </w:r>
      <w:r>
        <w:t>M</w:t>
      </w:r>
      <w:r w:rsidRPr="00C141E2">
        <w:t>ulti-</w:t>
      </w:r>
      <w:r>
        <w:t>S</w:t>
      </w:r>
      <w:r w:rsidRPr="00C141E2">
        <w:t xml:space="preserve">ite </w:t>
      </w:r>
      <w:r>
        <w:t>E</w:t>
      </w:r>
      <w:r w:rsidRPr="00C141E2">
        <w:t xml:space="preserve">valuation, including the evaluation plan, data collection procedures, methods, and literature review. The list of experts </w:t>
      </w:r>
      <w:r>
        <w:t xml:space="preserve">who participated </w:t>
      </w:r>
      <w:r w:rsidRPr="00C141E2">
        <w:t xml:space="preserve">is provided in Exhibit </w:t>
      </w:r>
      <w:r>
        <w:t>5</w:t>
      </w:r>
      <w:r w:rsidRPr="00C141E2">
        <w:t xml:space="preserve">. </w:t>
      </w:r>
    </w:p>
    <w:p w:rsidR="000F48AC" w:rsidRDefault="000F48AC">
      <w:bookmarkStart w:id="31" w:name="_Toc93987695"/>
      <w:bookmarkStart w:id="32" w:name="_Toc131566256"/>
      <w:r>
        <w:br w:type="page"/>
      </w:r>
    </w:p>
    <w:p w:rsidR="000F48AC" w:rsidRDefault="000F48AC"/>
    <w:p w:rsidR="000F48AC" w:rsidRPr="00B9101F" w:rsidRDefault="000F48AC" w:rsidP="00B9101F">
      <w:pPr>
        <w:ind w:left="720"/>
        <w:rPr>
          <w:b/>
          <w:bCs/>
        </w:rPr>
      </w:pPr>
      <w:r w:rsidRPr="00B9101F">
        <w:rPr>
          <w:b/>
          <w:bCs/>
        </w:rPr>
        <w:t>Exhibit 5</w:t>
      </w:r>
      <w:r>
        <w:rPr>
          <w:b/>
          <w:bCs/>
        </w:rPr>
        <w:t>.</w:t>
      </w:r>
      <w:r w:rsidRPr="00B9101F">
        <w:rPr>
          <w:b/>
          <w:bCs/>
        </w:rPr>
        <w:t xml:space="preserve"> Expert Panel Members</w:t>
      </w:r>
      <w:bookmarkEnd w:id="31"/>
      <w:bookmarkEnd w:id="32"/>
    </w:p>
    <w:tbl>
      <w:tblPr>
        <w:tblW w:w="8640" w:type="dxa"/>
        <w:tblInd w:w="72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CellMar>
          <w:left w:w="86" w:type="dxa"/>
          <w:right w:w="86" w:type="dxa"/>
        </w:tblCellMar>
        <w:tblLook w:val="0000"/>
      </w:tblPr>
      <w:tblGrid>
        <w:gridCol w:w="2406"/>
        <w:gridCol w:w="3449"/>
        <w:gridCol w:w="2785"/>
      </w:tblGrid>
      <w:tr w:rsidR="000F48AC" w:rsidRPr="008425BD" w:rsidTr="00EB37AA">
        <w:trPr>
          <w:cantSplit/>
          <w:tblHeader/>
        </w:trPr>
        <w:tc>
          <w:tcPr>
            <w:tcW w:w="2590" w:type="dxa"/>
            <w:tcBorders>
              <w:top w:val="double" w:sz="6" w:space="0" w:color="auto"/>
            </w:tcBorders>
            <w:vAlign w:val="bottom"/>
          </w:tcPr>
          <w:p w:rsidR="000F48AC" w:rsidRPr="008425BD" w:rsidRDefault="000F48AC" w:rsidP="006C7FE5">
            <w:pPr>
              <w:jc w:val="center"/>
              <w:rPr>
                <w:sz w:val="16"/>
                <w:szCs w:val="16"/>
              </w:rPr>
            </w:pPr>
            <w:r w:rsidRPr="008425BD">
              <w:rPr>
                <w:b/>
                <w:bCs/>
                <w:sz w:val="16"/>
                <w:szCs w:val="16"/>
              </w:rPr>
              <w:t>Expert</w:t>
            </w:r>
          </w:p>
        </w:tc>
        <w:tc>
          <w:tcPr>
            <w:tcW w:w="3720" w:type="dxa"/>
            <w:tcBorders>
              <w:top w:val="double" w:sz="6" w:space="0" w:color="auto"/>
            </w:tcBorders>
            <w:vAlign w:val="bottom"/>
          </w:tcPr>
          <w:p w:rsidR="000F48AC" w:rsidRPr="008425BD" w:rsidRDefault="000F48AC" w:rsidP="006C7FE5">
            <w:pPr>
              <w:jc w:val="center"/>
              <w:rPr>
                <w:sz w:val="16"/>
                <w:szCs w:val="16"/>
              </w:rPr>
            </w:pPr>
            <w:r w:rsidRPr="008425BD">
              <w:rPr>
                <w:b/>
                <w:bCs/>
                <w:sz w:val="16"/>
                <w:szCs w:val="16"/>
              </w:rPr>
              <w:t>Affiliation</w:t>
            </w:r>
          </w:p>
        </w:tc>
        <w:tc>
          <w:tcPr>
            <w:tcW w:w="3000" w:type="dxa"/>
            <w:tcBorders>
              <w:top w:val="double" w:sz="6" w:space="0" w:color="auto"/>
            </w:tcBorders>
            <w:vAlign w:val="bottom"/>
          </w:tcPr>
          <w:p w:rsidR="000F48AC" w:rsidRPr="008425BD" w:rsidRDefault="000F48AC" w:rsidP="006C7FE5">
            <w:pPr>
              <w:jc w:val="center"/>
              <w:rPr>
                <w:sz w:val="16"/>
                <w:szCs w:val="16"/>
              </w:rPr>
            </w:pPr>
            <w:r w:rsidRPr="008425BD">
              <w:rPr>
                <w:b/>
                <w:bCs/>
                <w:sz w:val="16"/>
                <w:szCs w:val="16"/>
              </w:rPr>
              <w:t>Contact Information</w:t>
            </w:r>
          </w:p>
        </w:tc>
      </w:tr>
      <w:tr w:rsidR="000F48AC" w:rsidRPr="008425BD" w:rsidTr="00EB37AA">
        <w:trPr>
          <w:cantSplit/>
        </w:trPr>
        <w:tc>
          <w:tcPr>
            <w:tcW w:w="2590" w:type="dxa"/>
          </w:tcPr>
          <w:p w:rsidR="000F48AC" w:rsidRPr="008425BD" w:rsidRDefault="000F48AC" w:rsidP="00255E03">
            <w:pPr>
              <w:rPr>
                <w:sz w:val="16"/>
                <w:szCs w:val="16"/>
              </w:rPr>
            </w:pPr>
            <w:r w:rsidRPr="008425BD">
              <w:rPr>
                <w:sz w:val="16"/>
                <w:szCs w:val="16"/>
              </w:rPr>
              <w:t>Faye Belgrave, PhD</w:t>
            </w:r>
          </w:p>
          <w:p w:rsidR="000F48AC" w:rsidRPr="008425BD" w:rsidRDefault="000F48AC" w:rsidP="003D66D7">
            <w:pPr>
              <w:rPr>
                <w:sz w:val="16"/>
                <w:szCs w:val="16"/>
              </w:rPr>
            </w:pPr>
          </w:p>
        </w:tc>
        <w:tc>
          <w:tcPr>
            <w:tcW w:w="3720" w:type="dxa"/>
          </w:tcPr>
          <w:p w:rsidR="000F48AC" w:rsidRPr="008425BD" w:rsidRDefault="000F48AC" w:rsidP="003D66D7">
            <w:pPr>
              <w:rPr>
                <w:sz w:val="16"/>
                <w:szCs w:val="16"/>
              </w:rPr>
            </w:pPr>
            <w:r w:rsidRPr="008425BD">
              <w:rPr>
                <w:sz w:val="16"/>
                <w:szCs w:val="16"/>
              </w:rPr>
              <w:t xml:space="preserve">Director, Center for Cultural Experiences in Prevention </w:t>
            </w:r>
            <w:r w:rsidRPr="008425BD">
              <w:rPr>
                <w:sz w:val="16"/>
                <w:szCs w:val="16"/>
              </w:rPr>
              <w:br/>
              <w:t>Virginia Commonwealth University</w:t>
            </w:r>
            <w:r w:rsidRPr="008425BD">
              <w:rPr>
                <w:sz w:val="16"/>
                <w:szCs w:val="16"/>
              </w:rPr>
              <w:br/>
              <w:t>College of Humanities and Sciences</w:t>
            </w:r>
            <w:r w:rsidRPr="008425BD">
              <w:rPr>
                <w:sz w:val="16"/>
                <w:szCs w:val="16"/>
              </w:rPr>
              <w:br/>
              <w:t>Department of Psychology</w:t>
            </w:r>
            <w:r w:rsidRPr="008425BD">
              <w:rPr>
                <w:sz w:val="16"/>
                <w:szCs w:val="16"/>
              </w:rPr>
              <w:br/>
              <w:t>806 West Franklin Street</w:t>
            </w:r>
            <w:r w:rsidRPr="008425BD">
              <w:rPr>
                <w:sz w:val="16"/>
                <w:szCs w:val="16"/>
              </w:rPr>
              <w:br/>
              <w:t>Richmond, VA 23284-2018</w:t>
            </w:r>
          </w:p>
        </w:tc>
        <w:tc>
          <w:tcPr>
            <w:tcW w:w="3000" w:type="dxa"/>
          </w:tcPr>
          <w:p w:rsidR="000F48AC" w:rsidRPr="008425BD" w:rsidRDefault="000F48AC" w:rsidP="00255E03">
            <w:pPr>
              <w:rPr>
                <w:sz w:val="16"/>
                <w:szCs w:val="16"/>
              </w:rPr>
            </w:pPr>
            <w:r w:rsidRPr="008425BD">
              <w:rPr>
                <w:sz w:val="16"/>
                <w:szCs w:val="16"/>
              </w:rPr>
              <w:t>Phone: 804-827-3908</w:t>
            </w:r>
            <w:r w:rsidRPr="008425BD">
              <w:rPr>
                <w:sz w:val="16"/>
                <w:szCs w:val="16"/>
              </w:rPr>
              <w:br/>
              <w:t xml:space="preserve">E-mail: </w:t>
            </w:r>
            <w:hyperlink r:id="rId8" w:history="1">
              <w:r w:rsidRPr="008425BD">
                <w:rPr>
                  <w:rStyle w:val="Hyperlink"/>
                  <w:color w:val="auto"/>
                  <w:sz w:val="16"/>
                  <w:szCs w:val="16"/>
                  <w:u w:val="none"/>
                </w:rPr>
                <w:t>fzbelgra@vcu.edu</w:t>
              </w:r>
            </w:hyperlink>
          </w:p>
          <w:p w:rsidR="000F48AC" w:rsidRPr="008425BD" w:rsidRDefault="000F48AC" w:rsidP="003D66D7">
            <w:pPr>
              <w:rPr>
                <w:sz w:val="16"/>
                <w:szCs w:val="16"/>
              </w:rPr>
            </w:pPr>
          </w:p>
        </w:tc>
      </w:tr>
      <w:tr w:rsidR="000F48AC" w:rsidRPr="008425BD" w:rsidTr="00EB37AA">
        <w:trPr>
          <w:cantSplit/>
        </w:trPr>
        <w:tc>
          <w:tcPr>
            <w:tcW w:w="2590" w:type="dxa"/>
          </w:tcPr>
          <w:p w:rsidR="000F48AC" w:rsidRPr="008425BD" w:rsidRDefault="000F48AC" w:rsidP="003D66D7">
            <w:pPr>
              <w:rPr>
                <w:sz w:val="16"/>
                <w:szCs w:val="16"/>
              </w:rPr>
            </w:pPr>
            <w:r w:rsidRPr="008425BD">
              <w:rPr>
                <w:sz w:val="16"/>
                <w:szCs w:val="16"/>
              </w:rPr>
              <w:t>Benjamin Bowser, PhD</w:t>
            </w:r>
          </w:p>
        </w:tc>
        <w:tc>
          <w:tcPr>
            <w:tcW w:w="3720" w:type="dxa"/>
          </w:tcPr>
          <w:p w:rsidR="000F48AC" w:rsidRPr="008425BD" w:rsidRDefault="000F48AC" w:rsidP="003D66D7">
            <w:pPr>
              <w:rPr>
                <w:sz w:val="16"/>
                <w:szCs w:val="16"/>
              </w:rPr>
            </w:pPr>
            <w:r w:rsidRPr="008425BD">
              <w:rPr>
                <w:sz w:val="16"/>
                <w:szCs w:val="16"/>
              </w:rPr>
              <w:t>Interim Dean, California State University, East Bay</w:t>
            </w:r>
            <w:r w:rsidRPr="008425BD">
              <w:rPr>
                <w:sz w:val="16"/>
                <w:szCs w:val="16"/>
              </w:rPr>
              <w:br/>
              <w:t>3103 Meiklejohn Hall</w:t>
            </w:r>
            <w:r w:rsidRPr="008425BD">
              <w:rPr>
                <w:sz w:val="16"/>
                <w:szCs w:val="16"/>
              </w:rPr>
              <w:br/>
              <w:t>Hayward, CA 94542</w:t>
            </w:r>
          </w:p>
        </w:tc>
        <w:tc>
          <w:tcPr>
            <w:tcW w:w="3000" w:type="dxa"/>
          </w:tcPr>
          <w:p w:rsidR="000F48AC" w:rsidRPr="008425BD" w:rsidRDefault="000F48AC" w:rsidP="003D66D7">
            <w:pPr>
              <w:rPr>
                <w:sz w:val="16"/>
                <w:szCs w:val="16"/>
                <w:lang w:val="fr-FR"/>
              </w:rPr>
            </w:pPr>
            <w:r w:rsidRPr="008425BD">
              <w:rPr>
                <w:sz w:val="16"/>
                <w:szCs w:val="16"/>
                <w:lang w:val="fr-FR"/>
              </w:rPr>
              <w:t>Phone:</w:t>
            </w:r>
            <w:r w:rsidRPr="008425BD">
              <w:rPr>
                <w:sz w:val="16"/>
                <w:szCs w:val="16"/>
                <w:lang w:val="fr-FR"/>
              </w:rPr>
              <w:tab/>
              <w:t>510-885-3173</w:t>
            </w:r>
            <w:r w:rsidRPr="008425BD">
              <w:rPr>
                <w:sz w:val="16"/>
                <w:szCs w:val="16"/>
                <w:lang w:val="fr-FR"/>
              </w:rPr>
              <w:br/>
              <w:t>Fax: 510-885-2390</w:t>
            </w:r>
          </w:p>
          <w:p w:rsidR="000F48AC" w:rsidRPr="008425BD" w:rsidRDefault="000F48AC" w:rsidP="003D66D7">
            <w:pPr>
              <w:rPr>
                <w:sz w:val="16"/>
                <w:szCs w:val="16"/>
                <w:lang w:val="fr-FR"/>
              </w:rPr>
            </w:pPr>
            <w:r w:rsidRPr="008425BD">
              <w:rPr>
                <w:sz w:val="16"/>
                <w:szCs w:val="16"/>
                <w:lang w:val="fr-FR"/>
              </w:rPr>
              <w:t xml:space="preserve">E-mail: </w:t>
            </w:r>
            <w:hyperlink r:id="rId9" w:history="1">
              <w:r w:rsidRPr="008425BD">
                <w:rPr>
                  <w:rStyle w:val="Hyperlink"/>
                  <w:color w:val="auto"/>
                  <w:sz w:val="16"/>
                  <w:szCs w:val="16"/>
                  <w:u w:val="none"/>
                  <w:lang w:val="fr-FR"/>
                </w:rPr>
                <w:t>benjamin.bowser@csueastbay.edu</w:t>
              </w:r>
            </w:hyperlink>
          </w:p>
        </w:tc>
      </w:tr>
      <w:tr w:rsidR="000F48AC" w:rsidRPr="008425BD" w:rsidTr="00EB37AA">
        <w:trPr>
          <w:cantSplit/>
        </w:trPr>
        <w:tc>
          <w:tcPr>
            <w:tcW w:w="2590" w:type="dxa"/>
          </w:tcPr>
          <w:p w:rsidR="000F48AC" w:rsidRPr="008425BD" w:rsidRDefault="000F48AC" w:rsidP="00D34CBF">
            <w:pPr>
              <w:rPr>
                <w:sz w:val="16"/>
                <w:szCs w:val="16"/>
              </w:rPr>
            </w:pPr>
            <w:r w:rsidRPr="008425BD">
              <w:rPr>
                <w:sz w:val="16"/>
                <w:szCs w:val="16"/>
              </w:rPr>
              <w:t>Karen Corsi, ScD</w:t>
            </w:r>
          </w:p>
          <w:p w:rsidR="000F48AC" w:rsidRPr="008425BD" w:rsidRDefault="000F48AC" w:rsidP="003D66D7">
            <w:pPr>
              <w:rPr>
                <w:sz w:val="16"/>
                <w:szCs w:val="16"/>
              </w:rPr>
            </w:pPr>
          </w:p>
        </w:tc>
        <w:tc>
          <w:tcPr>
            <w:tcW w:w="3720" w:type="dxa"/>
          </w:tcPr>
          <w:p w:rsidR="000F48AC" w:rsidRPr="008425BD" w:rsidRDefault="000F48AC" w:rsidP="003D66D7">
            <w:pPr>
              <w:rPr>
                <w:sz w:val="16"/>
                <w:szCs w:val="16"/>
              </w:rPr>
            </w:pPr>
            <w:r w:rsidRPr="008425BD">
              <w:rPr>
                <w:sz w:val="16"/>
                <w:szCs w:val="16"/>
              </w:rPr>
              <w:t xml:space="preserve">University of Colorado Medical School––Project Safe </w:t>
            </w:r>
            <w:r w:rsidRPr="008425BD">
              <w:rPr>
                <w:sz w:val="16"/>
                <w:szCs w:val="16"/>
              </w:rPr>
              <w:br/>
              <w:t>1741 Vine St.</w:t>
            </w:r>
            <w:r w:rsidRPr="008425BD">
              <w:rPr>
                <w:sz w:val="16"/>
                <w:szCs w:val="16"/>
              </w:rPr>
              <w:br/>
              <w:t>Denver, CO 80206</w:t>
            </w:r>
          </w:p>
        </w:tc>
        <w:tc>
          <w:tcPr>
            <w:tcW w:w="3000" w:type="dxa"/>
          </w:tcPr>
          <w:p w:rsidR="000F48AC" w:rsidRPr="008425BD" w:rsidRDefault="000F48AC" w:rsidP="003D66D7">
            <w:pPr>
              <w:rPr>
                <w:sz w:val="16"/>
                <w:szCs w:val="16"/>
                <w:lang w:val="fr-FR"/>
              </w:rPr>
            </w:pPr>
            <w:r w:rsidRPr="008425BD">
              <w:rPr>
                <w:sz w:val="16"/>
                <w:szCs w:val="16"/>
                <w:lang w:val="fr-FR"/>
              </w:rPr>
              <w:t>Phone: 303-315-0951</w:t>
            </w:r>
            <w:r w:rsidRPr="008425BD">
              <w:rPr>
                <w:sz w:val="16"/>
                <w:szCs w:val="16"/>
                <w:lang w:val="fr-FR"/>
              </w:rPr>
              <w:br/>
              <w:t>Fax: 303-316-7697</w:t>
            </w:r>
            <w:r w:rsidRPr="008425BD">
              <w:rPr>
                <w:sz w:val="16"/>
                <w:szCs w:val="16"/>
                <w:lang w:val="fr-FR"/>
              </w:rPr>
              <w:br/>
              <w:t xml:space="preserve">E-mail: </w:t>
            </w:r>
            <w:hyperlink r:id="rId10" w:history="1">
              <w:r w:rsidRPr="008425BD">
                <w:rPr>
                  <w:rStyle w:val="Hyperlink"/>
                  <w:color w:val="auto"/>
                  <w:sz w:val="16"/>
                  <w:szCs w:val="16"/>
                  <w:u w:val="none"/>
                  <w:lang w:val="fr-FR"/>
                </w:rPr>
                <w:t>karen.corsi@uchsc.edu</w:t>
              </w:r>
            </w:hyperlink>
          </w:p>
        </w:tc>
      </w:tr>
      <w:tr w:rsidR="000F48AC" w:rsidRPr="008425BD" w:rsidTr="00EB37AA">
        <w:trPr>
          <w:cantSplit/>
        </w:trPr>
        <w:tc>
          <w:tcPr>
            <w:tcW w:w="2590" w:type="dxa"/>
          </w:tcPr>
          <w:p w:rsidR="000F48AC" w:rsidRPr="008425BD" w:rsidRDefault="000F48AC" w:rsidP="00A42C74">
            <w:pPr>
              <w:rPr>
                <w:sz w:val="16"/>
                <w:szCs w:val="16"/>
              </w:rPr>
            </w:pPr>
            <w:r w:rsidRPr="008425BD">
              <w:rPr>
                <w:sz w:val="16"/>
                <w:szCs w:val="16"/>
              </w:rPr>
              <w:t>Chinazo Cunningham, MD</w:t>
            </w:r>
          </w:p>
          <w:p w:rsidR="000F48AC" w:rsidRPr="008425BD" w:rsidRDefault="000F48AC" w:rsidP="003D66D7">
            <w:pPr>
              <w:rPr>
                <w:sz w:val="16"/>
                <w:szCs w:val="16"/>
              </w:rPr>
            </w:pPr>
          </w:p>
        </w:tc>
        <w:tc>
          <w:tcPr>
            <w:tcW w:w="3720" w:type="dxa"/>
          </w:tcPr>
          <w:p w:rsidR="000F48AC" w:rsidRPr="008425BD" w:rsidRDefault="000F48AC" w:rsidP="003D66D7">
            <w:pPr>
              <w:rPr>
                <w:sz w:val="16"/>
                <w:szCs w:val="16"/>
              </w:rPr>
            </w:pPr>
            <w:r w:rsidRPr="008425BD">
              <w:rPr>
                <w:sz w:val="16"/>
                <w:szCs w:val="16"/>
              </w:rPr>
              <w:t>Clinical Faculty, Residency</w:t>
            </w:r>
            <w:r w:rsidRPr="008425BD">
              <w:rPr>
                <w:sz w:val="16"/>
                <w:szCs w:val="16"/>
              </w:rPr>
              <w:br/>
              <w:t xml:space="preserve">Program in Social Internal Medicine and Primary Care    </w:t>
            </w:r>
            <w:r w:rsidRPr="008425BD">
              <w:rPr>
                <w:sz w:val="16"/>
                <w:szCs w:val="16"/>
              </w:rPr>
              <w:br/>
              <w:t>Montefiore Medical Center</w:t>
            </w:r>
            <w:r w:rsidRPr="008425BD">
              <w:rPr>
                <w:sz w:val="16"/>
                <w:szCs w:val="16"/>
              </w:rPr>
              <w:br/>
              <w:t>111 East 210th Street</w:t>
            </w:r>
            <w:r w:rsidRPr="008425BD">
              <w:rPr>
                <w:sz w:val="16"/>
                <w:szCs w:val="16"/>
              </w:rPr>
              <w:br/>
              <w:t>Bronx, NY 10467</w:t>
            </w:r>
          </w:p>
        </w:tc>
        <w:tc>
          <w:tcPr>
            <w:tcW w:w="3000" w:type="dxa"/>
          </w:tcPr>
          <w:p w:rsidR="000F48AC" w:rsidRPr="008425BD" w:rsidRDefault="000F48AC" w:rsidP="00A42C74">
            <w:pPr>
              <w:rPr>
                <w:sz w:val="16"/>
                <w:szCs w:val="16"/>
              </w:rPr>
            </w:pPr>
            <w:r w:rsidRPr="008425BD">
              <w:rPr>
                <w:sz w:val="16"/>
                <w:szCs w:val="16"/>
              </w:rPr>
              <w:t xml:space="preserve">E-mail: </w:t>
            </w:r>
            <w:hyperlink r:id="rId11" w:history="1">
              <w:r w:rsidRPr="008425BD">
                <w:rPr>
                  <w:rStyle w:val="Hyperlink"/>
                  <w:color w:val="auto"/>
                  <w:sz w:val="16"/>
                  <w:szCs w:val="16"/>
                  <w:u w:val="none"/>
                </w:rPr>
                <w:t>ccunning@montefiore.org</w:t>
              </w:r>
            </w:hyperlink>
          </w:p>
          <w:p w:rsidR="000F48AC" w:rsidRPr="008425BD" w:rsidRDefault="000F48AC" w:rsidP="003D66D7">
            <w:pPr>
              <w:rPr>
                <w:sz w:val="16"/>
                <w:szCs w:val="16"/>
              </w:rPr>
            </w:pPr>
          </w:p>
        </w:tc>
      </w:tr>
      <w:tr w:rsidR="000F48AC" w:rsidRPr="008425BD" w:rsidTr="00EB37AA">
        <w:trPr>
          <w:cantSplit/>
        </w:trPr>
        <w:tc>
          <w:tcPr>
            <w:tcW w:w="2590" w:type="dxa"/>
          </w:tcPr>
          <w:p w:rsidR="000F48AC" w:rsidRPr="008425BD" w:rsidRDefault="000F48AC" w:rsidP="00A42C74">
            <w:pPr>
              <w:rPr>
                <w:sz w:val="16"/>
                <w:szCs w:val="16"/>
              </w:rPr>
            </w:pPr>
            <w:r w:rsidRPr="008425BD">
              <w:rPr>
                <w:sz w:val="16"/>
                <w:szCs w:val="16"/>
              </w:rPr>
              <w:t>Agatha Eke, PhD</w:t>
            </w:r>
          </w:p>
          <w:p w:rsidR="000F48AC" w:rsidRPr="008425BD" w:rsidRDefault="000F48AC" w:rsidP="003D66D7">
            <w:pPr>
              <w:rPr>
                <w:sz w:val="16"/>
                <w:szCs w:val="16"/>
              </w:rPr>
            </w:pPr>
          </w:p>
        </w:tc>
        <w:tc>
          <w:tcPr>
            <w:tcW w:w="3720" w:type="dxa"/>
          </w:tcPr>
          <w:p w:rsidR="000F48AC" w:rsidRPr="008425BD" w:rsidRDefault="000F48AC" w:rsidP="00A42C74">
            <w:pPr>
              <w:rPr>
                <w:sz w:val="16"/>
                <w:szCs w:val="16"/>
              </w:rPr>
            </w:pPr>
            <w:r w:rsidRPr="008425BD">
              <w:rPr>
                <w:sz w:val="16"/>
                <w:szCs w:val="16"/>
              </w:rPr>
              <w:t>Centers for Disease Control and Prevention</w:t>
            </w:r>
          </w:p>
          <w:p w:rsidR="000F48AC" w:rsidRPr="008425BD" w:rsidRDefault="000F48AC" w:rsidP="00A42C74">
            <w:pPr>
              <w:rPr>
                <w:sz w:val="16"/>
                <w:szCs w:val="16"/>
              </w:rPr>
            </w:pPr>
            <w:r w:rsidRPr="008425BD">
              <w:rPr>
                <w:sz w:val="16"/>
                <w:szCs w:val="16"/>
              </w:rPr>
              <w:t xml:space="preserve">1600 Clifton Rd., NE </w:t>
            </w:r>
          </w:p>
          <w:p w:rsidR="000F48AC" w:rsidRPr="008425BD" w:rsidRDefault="000F48AC" w:rsidP="003D66D7">
            <w:pPr>
              <w:rPr>
                <w:sz w:val="16"/>
                <w:szCs w:val="16"/>
              </w:rPr>
            </w:pPr>
            <w:r w:rsidRPr="008425BD">
              <w:rPr>
                <w:sz w:val="16"/>
                <w:szCs w:val="16"/>
              </w:rPr>
              <w:t>Mailstop E-37</w:t>
            </w:r>
            <w:r w:rsidRPr="008425BD">
              <w:rPr>
                <w:sz w:val="16"/>
                <w:szCs w:val="16"/>
              </w:rPr>
              <w:br/>
              <w:t xml:space="preserve">Atlanta, GA 30333 </w:t>
            </w:r>
          </w:p>
        </w:tc>
        <w:tc>
          <w:tcPr>
            <w:tcW w:w="3000" w:type="dxa"/>
          </w:tcPr>
          <w:p w:rsidR="000F48AC" w:rsidRPr="008425BD" w:rsidRDefault="000F48AC" w:rsidP="00A42C74">
            <w:pPr>
              <w:rPr>
                <w:color w:val="000000"/>
                <w:sz w:val="16"/>
                <w:szCs w:val="16"/>
              </w:rPr>
            </w:pPr>
            <w:r w:rsidRPr="008425BD">
              <w:rPr>
                <w:sz w:val="16"/>
                <w:szCs w:val="16"/>
              </w:rPr>
              <w:t xml:space="preserve">Phone: </w:t>
            </w:r>
            <w:r w:rsidRPr="008425BD">
              <w:rPr>
                <w:color w:val="000000"/>
                <w:sz w:val="16"/>
                <w:szCs w:val="16"/>
              </w:rPr>
              <w:t>404-639-1906</w:t>
            </w:r>
          </w:p>
          <w:p w:rsidR="000F48AC" w:rsidRPr="008425BD" w:rsidRDefault="000F48AC" w:rsidP="00A42C74">
            <w:pPr>
              <w:rPr>
                <w:sz w:val="16"/>
                <w:szCs w:val="16"/>
                <w:lang w:val="fr-FR"/>
              </w:rPr>
            </w:pPr>
            <w:r w:rsidRPr="008425BD">
              <w:rPr>
                <w:color w:val="000000"/>
                <w:sz w:val="16"/>
                <w:szCs w:val="16"/>
                <w:lang w:val="fr-FR"/>
              </w:rPr>
              <w:t>Fax: 404-639-1950</w:t>
            </w:r>
          </w:p>
          <w:p w:rsidR="000F48AC" w:rsidRPr="008425BD" w:rsidRDefault="000F48AC" w:rsidP="00A42C74">
            <w:pPr>
              <w:rPr>
                <w:sz w:val="16"/>
                <w:szCs w:val="16"/>
                <w:lang w:val="fr-FR"/>
              </w:rPr>
            </w:pPr>
            <w:r w:rsidRPr="008425BD">
              <w:rPr>
                <w:sz w:val="16"/>
                <w:szCs w:val="16"/>
                <w:lang w:val="fr-FR"/>
              </w:rPr>
              <w:t xml:space="preserve">E-mail: </w:t>
            </w:r>
            <w:hyperlink r:id="rId12" w:history="1">
              <w:r w:rsidRPr="008425BD">
                <w:rPr>
                  <w:rStyle w:val="Hyperlink"/>
                  <w:color w:val="auto"/>
                  <w:sz w:val="16"/>
                  <w:szCs w:val="16"/>
                  <w:u w:val="none"/>
                  <w:lang w:val="fr-FR"/>
                </w:rPr>
                <w:t>aeke@cdc.gov</w:t>
              </w:r>
            </w:hyperlink>
          </w:p>
          <w:p w:rsidR="000F48AC" w:rsidRPr="008425BD" w:rsidRDefault="000F48AC" w:rsidP="003D66D7">
            <w:pPr>
              <w:rPr>
                <w:sz w:val="16"/>
                <w:szCs w:val="16"/>
                <w:lang w:val="fr-FR"/>
              </w:rPr>
            </w:pPr>
          </w:p>
        </w:tc>
      </w:tr>
      <w:tr w:rsidR="000F48AC" w:rsidRPr="008425BD" w:rsidTr="00EB37AA">
        <w:trPr>
          <w:cantSplit/>
        </w:trPr>
        <w:tc>
          <w:tcPr>
            <w:tcW w:w="2590" w:type="dxa"/>
          </w:tcPr>
          <w:p w:rsidR="000F48AC" w:rsidRPr="008425BD" w:rsidRDefault="000F48AC" w:rsidP="00A42C74">
            <w:pPr>
              <w:rPr>
                <w:sz w:val="16"/>
                <w:szCs w:val="16"/>
              </w:rPr>
            </w:pPr>
            <w:r w:rsidRPr="008425BD">
              <w:rPr>
                <w:sz w:val="16"/>
                <w:szCs w:val="16"/>
              </w:rPr>
              <w:t>Jeffrey Friedman, MA</w:t>
            </w:r>
          </w:p>
          <w:p w:rsidR="000F48AC" w:rsidRPr="008425BD" w:rsidRDefault="000F48AC" w:rsidP="003D66D7">
            <w:pPr>
              <w:rPr>
                <w:sz w:val="16"/>
                <w:szCs w:val="16"/>
              </w:rPr>
            </w:pPr>
          </w:p>
        </w:tc>
        <w:tc>
          <w:tcPr>
            <w:tcW w:w="3720" w:type="dxa"/>
          </w:tcPr>
          <w:p w:rsidR="000F48AC" w:rsidRPr="008425BD" w:rsidRDefault="000F48AC" w:rsidP="003D66D7">
            <w:pPr>
              <w:rPr>
                <w:sz w:val="16"/>
                <w:szCs w:val="16"/>
              </w:rPr>
            </w:pPr>
            <w:r w:rsidRPr="008425BD">
              <w:rPr>
                <w:sz w:val="16"/>
                <w:szCs w:val="16"/>
              </w:rPr>
              <w:t>Long Island Association for AIDS Care</w:t>
            </w:r>
            <w:r w:rsidRPr="008425BD">
              <w:rPr>
                <w:sz w:val="16"/>
                <w:szCs w:val="16"/>
              </w:rPr>
              <w:br/>
              <w:t xml:space="preserve">60 Adams Ave. </w:t>
            </w:r>
            <w:r w:rsidRPr="008425BD">
              <w:rPr>
                <w:sz w:val="16"/>
                <w:szCs w:val="16"/>
              </w:rPr>
              <w:br/>
              <w:t>Hauppauge, NY 11788</w:t>
            </w:r>
          </w:p>
        </w:tc>
        <w:tc>
          <w:tcPr>
            <w:tcW w:w="3000" w:type="dxa"/>
          </w:tcPr>
          <w:p w:rsidR="000F48AC" w:rsidRPr="008425BD" w:rsidRDefault="000F48AC" w:rsidP="003D66D7">
            <w:pPr>
              <w:rPr>
                <w:sz w:val="16"/>
                <w:szCs w:val="16"/>
              </w:rPr>
            </w:pPr>
            <w:r w:rsidRPr="008425BD">
              <w:rPr>
                <w:sz w:val="16"/>
                <w:szCs w:val="16"/>
              </w:rPr>
              <w:t>Phone: 631-385-2451</w:t>
            </w:r>
          </w:p>
          <w:p w:rsidR="000F48AC" w:rsidRPr="008425BD" w:rsidRDefault="000F48AC" w:rsidP="003D66D7">
            <w:pPr>
              <w:rPr>
                <w:sz w:val="16"/>
                <w:szCs w:val="16"/>
              </w:rPr>
            </w:pPr>
            <w:r w:rsidRPr="008425BD">
              <w:rPr>
                <w:sz w:val="16"/>
                <w:szCs w:val="16"/>
              </w:rPr>
              <w:t xml:space="preserve">E-mail: </w:t>
            </w:r>
            <w:hyperlink r:id="rId13" w:history="1">
              <w:r w:rsidRPr="008425BD">
                <w:rPr>
                  <w:rStyle w:val="Hyperlink"/>
                  <w:color w:val="auto"/>
                  <w:sz w:val="16"/>
                  <w:szCs w:val="16"/>
                  <w:u w:val="none"/>
                </w:rPr>
                <w:t>jfriedman@liaac.com</w:t>
              </w:r>
            </w:hyperlink>
          </w:p>
        </w:tc>
      </w:tr>
      <w:tr w:rsidR="000F48AC" w:rsidRPr="008425BD" w:rsidTr="00EB37AA">
        <w:trPr>
          <w:cantSplit/>
        </w:trPr>
        <w:tc>
          <w:tcPr>
            <w:tcW w:w="2590" w:type="dxa"/>
          </w:tcPr>
          <w:p w:rsidR="000F48AC" w:rsidRPr="008425BD" w:rsidRDefault="000F48AC" w:rsidP="00B17824">
            <w:pPr>
              <w:rPr>
                <w:sz w:val="16"/>
                <w:szCs w:val="16"/>
              </w:rPr>
            </w:pPr>
            <w:r w:rsidRPr="008425BD">
              <w:rPr>
                <w:sz w:val="16"/>
                <w:szCs w:val="16"/>
              </w:rPr>
              <w:t>Robert Fullilove, EdD</w:t>
            </w:r>
          </w:p>
          <w:p w:rsidR="000F48AC" w:rsidRPr="008425BD" w:rsidRDefault="000F48AC" w:rsidP="003D66D7">
            <w:pPr>
              <w:rPr>
                <w:sz w:val="16"/>
                <w:szCs w:val="16"/>
              </w:rPr>
            </w:pPr>
          </w:p>
        </w:tc>
        <w:tc>
          <w:tcPr>
            <w:tcW w:w="3720" w:type="dxa"/>
          </w:tcPr>
          <w:p w:rsidR="000F48AC" w:rsidRPr="008425BD" w:rsidRDefault="000F48AC" w:rsidP="00B17824">
            <w:pPr>
              <w:rPr>
                <w:sz w:val="16"/>
                <w:szCs w:val="16"/>
              </w:rPr>
            </w:pPr>
            <w:r w:rsidRPr="008425BD">
              <w:rPr>
                <w:sz w:val="16"/>
                <w:szCs w:val="16"/>
              </w:rPr>
              <w:t xml:space="preserve">Associate Dean, Community and Minority Affairs </w:t>
            </w:r>
          </w:p>
          <w:p w:rsidR="000F48AC" w:rsidRPr="008425BD" w:rsidRDefault="000F48AC" w:rsidP="00B17824">
            <w:pPr>
              <w:rPr>
                <w:sz w:val="16"/>
                <w:szCs w:val="16"/>
              </w:rPr>
            </w:pPr>
            <w:r w:rsidRPr="008425BD">
              <w:rPr>
                <w:sz w:val="16"/>
                <w:szCs w:val="16"/>
              </w:rPr>
              <w:t>Professor, Clinical Sociomedical Sciences</w:t>
            </w:r>
            <w:r w:rsidRPr="008425BD">
              <w:rPr>
                <w:sz w:val="16"/>
                <w:szCs w:val="16"/>
              </w:rPr>
              <w:br/>
              <w:t>Co-Director, Community Research Group</w:t>
            </w:r>
          </w:p>
          <w:p w:rsidR="000F48AC" w:rsidRPr="008425BD" w:rsidRDefault="000F48AC" w:rsidP="003D66D7">
            <w:pPr>
              <w:rPr>
                <w:sz w:val="16"/>
                <w:szCs w:val="16"/>
              </w:rPr>
            </w:pPr>
            <w:r w:rsidRPr="008425BD">
              <w:rPr>
                <w:sz w:val="16"/>
                <w:szCs w:val="16"/>
              </w:rPr>
              <w:t>Columbia University</w:t>
            </w:r>
            <w:r w:rsidRPr="008425BD">
              <w:rPr>
                <w:sz w:val="16"/>
                <w:szCs w:val="16"/>
              </w:rPr>
              <w:br/>
              <w:t>Mailman School of Public Health</w:t>
            </w:r>
            <w:r w:rsidRPr="008425BD">
              <w:rPr>
                <w:sz w:val="16"/>
                <w:szCs w:val="16"/>
              </w:rPr>
              <w:br/>
              <w:t xml:space="preserve">722 West 168th Street </w:t>
            </w:r>
            <w:r w:rsidRPr="008425BD">
              <w:rPr>
                <w:sz w:val="16"/>
                <w:szCs w:val="16"/>
              </w:rPr>
              <w:br/>
              <w:t>New York, NY 10032</w:t>
            </w:r>
          </w:p>
        </w:tc>
        <w:tc>
          <w:tcPr>
            <w:tcW w:w="3000" w:type="dxa"/>
          </w:tcPr>
          <w:p w:rsidR="000F48AC" w:rsidRPr="008425BD" w:rsidRDefault="000F48AC" w:rsidP="003D66D7">
            <w:pPr>
              <w:rPr>
                <w:sz w:val="16"/>
                <w:szCs w:val="16"/>
              </w:rPr>
            </w:pPr>
            <w:r w:rsidRPr="008425BD">
              <w:rPr>
                <w:sz w:val="16"/>
                <w:szCs w:val="16"/>
              </w:rPr>
              <w:t>Phone: 212-305-4734</w:t>
            </w:r>
            <w:r w:rsidRPr="008425BD">
              <w:rPr>
                <w:sz w:val="16"/>
                <w:szCs w:val="16"/>
              </w:rPr>
              <w:br/>
              <w:t xml:space="preserve">E-mail: </w:t>
            </w:r>
            <w:hyperlink r:id="rId14" w:history="1">
              <w:r w:rsidRPr="008425BD">
                <w:rPr>
                  <w:rStyle w:val="Hyperlink"/>
                  <w:color w:val="auto"/>
                  <w:sz w:val="16"/>
                  <w:szCs w:val="16"/>
                  <w:u w:val="none"/>
                </w:rPr>
                <w:t>ref5@columbia.edu</w:t>
              </w:r>
            </w:hyperlink>
          </w:p>
        </w:tc>
      </w:tr>
      <w:tr w:rsidR="000F48AC" w:rsidRPr="008425BD" w:rsidTr="00EB37AA">
        <w:trPr>
          <w:cantSplit/>
        </w:trPr>
        <w:tc>
          <w:tcPr>
            <w:tcW w:w="2590" w:type="dxa"/>
          </w:tcPr>
          <w:p w:rsidR="000F48AC" w:rsidRPr="008425BD" w:rsidRDefault="000F48AC" w:rsidP="003D66D7">
            <w:pPr>
              <w:rPr>
                <w:sz w:val="16"/>
                <w:szCs w:val="16"/>
              </w:rPr>
            </w:pPr>
            <w:r w:rsidRPr="008425BD">
              <w:rPr>
                <w:sz w:val="16"/>
                <w:szCs w:val="16"/>
              </w:rPr>
              <w:t>Vincent Guilamo-Ramos, PhD</w:t>
            </w:r>
          </w:p>
        </w:tc>
        <w:tc>
          <w:tcPr>
            <w:tcW w:w="3720" w:type="dxa"/>
          </w:tcPr>
          <w:p w:rsidR="000F48AC" w:rsidRPr="008425BD" w:rsidRDefault="000F48AC" w:rsidP="00B17824">
            <w:pPr>
              <w:rPr>
                <w:sz w:val="16"/>
                <w:szCs w:val="16"/>
              </w:rPr>
            </w:pPr>
            <w:r w:rsidRPr="008425BD">
              <w:rPr>
                <w:sz w:val="16"/>
                <w:szCs w:val="16"/>
              </w:rPr>
              <w:t xml:space="preserve">Columbia University, Associate Professor, School of Social Work   </w:t>
            </w:r>
          </w:p>
          <w:p w:rsidR="000F48AC" w:rsidRPr="008425BD" w:rsidRDefault="000F48AC" w:rsidP="00B17824">
            <w:pPr>
              <w:rPr>
                <w:sz w:val="16"/>
                <w:szCs w:val="16"/>
              </w:rPr>
            </w:pPr>
            <w:r w:rsidRPr="008425BD">
              <w:rPr>
                <w:sz w:val="16"/>
                <w:szCs w:val="16"/>
              </w:rPr>
              <w:t xml:space="preserve">1255 Amsterdam Avenue          </w:t>
            </w:r>
          </w:p>
          <w:p w:rsidR="000F48AC" w:rsidRPr="008425BD" w:rsidRDefault="000F48AC" w:rsidP="00B17824">
            <w:pPr>
              <w:rPr>
                <w:sz w:val="16"/>
                <w:szCs w:val="16"/>
              </w:rPr>
            </w:pPr>
            <w:r w:rsidRPr="008425BD">
              <w:rPr>
                <w:sz w:val="16"/>
                <w:szCs w:val="16"/>
              </w:rPr>
              <w:t xml:space="preserve">New York, NY 10027 </w:t>
            </w:r>
          </w:p>
        </w:tc>
        <w:tc>
          <w:tcPr>
            <w:tcW w:w="3000" w:type="dxa"/>
          </w:tcPr>
          <w:p w:rsidR="000F48AC" w:rsidRPr="008425BD" w:rsidRDefault="000F48AC" w:rsidP="00B17824">
            <w:pPr>
              <w:rPr>
                <w:sz w:val="16"/>
                <w:szCs w:val="16"/>
                <w:lang w:val="fr-FR"/>
              </w:rPr>
            </w:pPr>
            <w:r w:rsidRPr="008425BD">
              <w:rPr>
                <w:sz w:val="16"/>
                <w:szCs w:val="16"/>
                <w:lang w:val="fr-FR"/>
              </w:rPr>
              <w:t>Phone: 212-851-1659</w:t>
            </w:r>
            <w:r w:rsidRPr="008425BD">
              <w:rPr>
                <w:sz w:val="16"/>
                <w:szCs w:val="16"/>
                <w:lang w:val="fr-FR"/>
              </w:rPr>
              <w:br/>
              <w:t>Fax: 212-851-2206</w:t>
            </w:r>
            <w:r w:rsidRPr="008425BD">
              <w:rPr>
                <w:sz w:val="16"/>
                <w:szCs w:val="16"/>
                <w:lang w:val="fr-FR"/>
              </w:rPr>
              <w:br/>
              <w:t>E-mail:</w:t>
            </w:r>
            <w:r w:rsidRPr="008425BD">
              <w:rPr>
                <w:sz w:val="16"/>
                <w:szCs w:val="16"/>
                <w:lang w:val="fr-FR"/>
              </w:rPr>
              <w:tab/>
              <w:t xml:space="preserve"> </w:t>
            </w:r>
            <w:hyperlink r:id="rId15" w:history="1">
              <w:r w:rsidRPr="008425BD">
                <w:rPr>
                  <w:rStyle w:val="Hyperlink"/>
                  <w:color w:val="auto"/>
                  <w:sz w:val="16"/>
                  <w:szCs w:val="16"/>
                  <w:u w:val="none"/>
                  <w:lang w:val="fr-FR"/>
                </w:rPr>
                <w:t>rg650@columbia.edu</w:t>
              </w:r>
            </w:hyperlink>
          </w:p>
          <w:p w:rsidR="000F48AC" w:rsidRPr="008425BD" w:rsidRDefault="000F48AC" w:rsidP="003D66D7">
            <w:pPr>
              <w:rPr>
                <w:sz w:val="16"/>
                <w:szCs w:val="16"/>
                <w:lang w:val="fr-FR"/>
              </w:rPr>
            </w:pPr>
          </w:p>
        </w:tc>
      </w:tr>
      <w:tr w:rsidR="000F48AC" w:rsidRPr="008425BD" w:rsidTr="00EB37AA">
        <w:trPr>
          <w:cantSplit/>
        </w:trPr>
        <w:tc>
          <w:tcPr>
            <w:tcW w:w="2590" w:type="dxa"/>
          </w:tcPr>
          <w:p w:rsidR="000F48AC" w:rsidRPr="008425BD" w:rsidRDefault="000F48AC" w:rsidP="00DC65B1">
            <w:pPr>
              <w:rPr>
                <w:sz w:val="16"/>
                <w:szCs w:val="16"/>
              </w:rPr>
            </w:pPr>
            <w:r w:rsidRPr="008425BD">
              <w:rPr>
                <w:sz w:val="16"/>
                <w:szCs w:val="16"/>
              </w:rPr>
              <w:t>Lena Lundgren, PhD</w:t>
            </w:r>
          </w:p>
          <w:p w:rsidR="000F48AC" w:rsidRPr="008425BD" w:rsidRDefault="000F48AC" w:rsidP="003D66D7">
            <w:pPr>
              <w:rPr>
                <w:sz w:val="16"/>
                <w:szCs w:val="16"/>
              </w:rPr>
            </w:pPr>
          </w:p>
        </w:tc>
        <w:tc>
          <w:tcPr>
            <w:tcW w:w="3720" w:type="dxa"/>
          </w:tcPr>
          <w:p w:rsidR="000F48AC" w:rsidRPr="008425BD" w:rsidRDefault="000F48AC" w:rsidP="003D66D7">
            <w:pPr>
              <w:rPr>
                <w:sz w:val="16"/>
                <w:szCs w:val="16"/>
              </w:rPr>
            </w:pPr>
            <w:r w:rsidRPr="008425BD">
              <w:rPr>
                <w:sz w:val="16"/>
                <w:szCs w:val="16"/>
              </w:rPr>
              <w:t xml:space="preserve">Boston University Center for Addictions Research and Services </w:t>
            </w:r>
            <w:r w:rsidRPr="008425BD">
              <w:rPr>
                <w:sz w:val="16"/>
                <w:szCs w:val="16"/>
              </w:rPr>
              <w:br/>
              <w:t>232 Bay State Road, 4th Floor</w:t>
            </w:r>
            <w:r w:rsidRPr="008425BD">
              <w:rPr>
                <w:sz w:val="16"/>
                <w:szCs w:val="16"/>
              </w:rPr>
              <w:br/>
              <w:t>Boston, Massachusetts 02215</w:t>
            </w:r>
          </w:p>
        </w:tc>
        <w:tc>
          <w:tcPr>
            <w:tcW w:w="3000" w:type="dxa"/>
          </w:tcPr>
          <w:p w:rsidR="000F48AC" w:rsidRPr="008425BD" w:rsidRDefault="000F48AC" w:rsidP="00DC65B1">
            <w:pPr>
              <w:rPr>
                <w:sz w:val="16"/>
                <w:szCs w:val="16"/>
                <w:lang w:val="fr-FR"/>
              </w:rPr>
            </w:pPr>
            <w:r w:rsidRPr="008425BD">
              <w:rPr>
                <w:sz w:val="16"/>
                <w:szCs w:val="16"/>
                <w:lang w:val="fr-FR"/>
              </w:rPr>
              <w:t xml:space="preserve">Phone: 617-353-7222 </w:t>
            </w:r>
          </w:p>
          <w:p w:rsidR="000F48AC" w:rsidRPr="008425BD" w:rsidRDefault="000F48AC" w:rsidP="00DC65B1">
            <w:pPr>
              <w:rPr>
                <w:sz w:val="16"/>
                <w:szCs w:val="16"/>
                <w:lang w:val="fr-FR"/>
              </w:rPr>
            </w:pPr>
            <w:r w:rsidRPr="008425BD">
              <w:rPr>
                <w:sz w:val="16"/>
                <w:szCs w:val="16"/>
                <w:lang w:val="fr-FR"/>
              </w:rPr>
              <w:t>Fax: 617-358-2368</w:t>
            </w:r>
            <w:r w:rsidRPr="008425BD">
              <w:rPr>
                <w:sz w:val="16"/>
                <w:szCs w:val="16"/>
                <w:lang w:val="fr-FR"/>
              </w:rPr>
              <w:br/>
              <w:t xml:space="preserve">E-mail: </w:t>
            </w:r>
            <w:hyperlink r:id="rId16" w:history="1">
              <w:r w:rsidRPr="008425BD">
                <w:rPr>
                  <w:rStyle w:val="Hyperlink"/>
                  <w:color w:val="auto"/>
                  <w:sz w:val="16"/>
                  <w:szCs w:val="16"/>
                  <w:u w:val="none"/>
                  <w:lang w:val="fr-FR"/>
                </w:rPr>
                <w:t>llundgre@bu.edu</w:t>
              </w:r>
            </w:hyperlink>
          </w:p>
        </w:tc>
      </w:tr>
      <w:tr w:rsidR="000F48AC" w:rsidRPr="008425BD" w:rsidTr="00EB37AA">
        <w:trPr>
          <w:cantSplit/>
        </w:trPr>
        <w:tc>
          <w:tcPr>
            <w:tcW w:w="2590" w:type="dxa"/>
          </w:tcPr>
          <w:p w:rsidR="000F48AC" w:rsidRPr="008425BD" w:rsidRDefault="000F48AC" w:rsidP="00DC65B1">
            <w:pPr>
              <w:rPr>
                <w:sz w:val="16"/>
                <w:szCs w:val="16"/>
              </w:rPr>
            </w:pPr>
            <w:r w:rsidRPr="008425BD">
              <w:rPr>
                <w:sz w:val="16"/>
                <w:szCs w:val="16"/>
              </w:rPr>
              <w:t>Jacques Normand, PhD</w:t>
            </w:r>
          </w:p>
          <w:p w:rsidR="000F48AC" w:rsidRPr="008425BD" w:rsidRDefault="000F48AC" w:rsidP="003D66D7">
            <w:pPr>
              <w:rPr>
                <w:sz w:val="16"/>
                <w:szCs w:val="16"/>
              </w:rPr>
            </w:pPr>
          </w:p>
        </w:tc>
        <w:tc>
          <w:tcPr>
            <w:tcW w:w="3720" w:type="dxa"/>
          </w:tcPr>
          <w:p w:rsidR="000F48AC" w:rsidRPr="008425BD" w:rsidRDefault="000F48AC" w:rsidP="003D66D7">
            <w:pPr>
              <w:rPr>
                <w:sz w:val="16"/>
                <w:szCs w:val="16"/>
              </w:rPr>
            </w:pPr>
            <w:r w:rsidRPr="008425BD">
              <w:rPr>
                <w:sz w:val="16"/>
                <w:szCs w:val="16"/>
              </w:rPr>
              <w:t xml:space="preserve">Director, AIDS Research Program, National Institute on Drug Abuse (NIDA) </w:t>
            </w:r>
          </w:p>
          <w:p w:rsidR="000F48AC" w:rsidRPr="008425BD" w:rsidRDefault="000F48AC" w:rsidP="003D66D7">
            <w:pPr>
              <w:rPr>
                <w:sz w:val="16"/>
                <w:szCs w:val="16"/>
              </w:rPr>
            </w:pPr>
            <w:r w:rsidRPr="008425BD">
              <w:rPr>
                <w:sz w:val="16"/>
                <w:szCs w:val="16"/>
              </w:rPr>
              <w:t xml:space="preserve">6001 Executive Boulevard </w:t>
            </w:r>
          </w:p>
          <w:p w:rsidR="000F48AC" w:rsidRPr="008425BD" w:rsidRDefault="000F48AC" w:rsidP="003D66D7">
            <w:pPr>
              <w:rPr>
                <w:sz w:val="16"/>
                <w:szCs w:val="16"/>
              </w:rPr>
            </w:pPr>
            <w:r w:rsidRPr="008425BD">
              <w:rPr>
                <w:sz w:val="16"/>
                <w:szCs w:val="16"/>
              </w:rPr>
              <w:t>Bethesda, MD 20892</w:t>
            </w:r>
          </w:p>
        </w:tc>
        <w:tc>
          <w:tcPr>
            <w:tcW w:w="3000" w:type="dxa"/>
          </w:tcPr>
          <w:p w:rsidR="000F48AC" w:rsidRPr="008425BD" w:rsidRDefault="000F48AC" w:rsidP="003D66D7">
            <w:pPr>
              <w:rPr>
                <w:sz w:val="16"/>
                <w:szCs w:val="16"/>
                <w:lang w:val="fr-FR"/>
              </w:rPr>
            </w:pPr>
            <w:r w:rsidRPr="008425BD">
              <w:rPr>
                <w:sz w:val="16"/>
                <w:szCs w:val="16"/>
                <w:lang w:val="fr-FR"/>
              </w:rPr>
              <w:t xml:space="preserve">Phone: 301-402-1919 </w:t>
            </w:r>
          </w:p>
          <w:p w:rsidR="000F48AC" w:rsidRPr="008425BD" w:rsidRDefault="000F48AC" w:rsidP="003D66D7">
            <w:pPr>
              <w:rPr>
                <w:sz w:val="16"/>
                <w:szCs w:val="16"/>
                <w:lang w:val="fr-FR"/>
              </w:rPr>
            </w:pPr>
            <w:r w:rsidRPr="008425BD">
              <w:rPr>
                <w:sz w:val="16"/>
                <w:szCs w:val="16"/>
                <w:lang w:val="fr-FR"/>
              </w:rPr>
              <w:t xml:space="preserve">E-mail: </w:t>
            </w:r>
            <w:hyperlink r:id="rId17" w:history="1">
              <w:r w:rsidRPr="008425BD">
                <w:rPr>
                  <w:rStyle w:val="Hyperlink"/>
                  <w:color w:val="auto"/>
                  <w:sz w:val="16"/>
                  <w:szCs w:val="16"/>
                  <w:u w:val="none"/>
                  <w:lang w:val="fr-FR"/>
                </w:rPr>
                <w:t>jnormand@nida.nih.gov</w:t>
              </w:r>
            </w:hyperlink>
          </w:p>
        </w:tc>
      </w:tr>
      <w:tr w:rsidR="000F48AC" w:rsidRPr="008425BD" w:rsidTr="00EB37AA">
        <w:trPr>
          <w:cantSplit/>
        </w:trPr>
        <w:tc>
          <w:tcPr>
            <w:tcW w:w="2590" w:type="dxa"/>
          </w:tcPr>
          <w:p w:rsidR="000F48AC" w:rsidRPr="008425BD" w:rsidRDefault="000F48AC" w:rsidP="0070279E">
            <w:pPr>
              <w:pStyle w:val="BodyText0"/>
              <w:rPr>
                <w:sz w:val="16"/>
                <w:szCs w:val="16"/>
              </w:rPr>
            </w:pPr>
            <w:r w:rsidRPr="008425BD">
              <w:rPr>
                <w:sz w:val="16"/>
                <w:szCs w:val="16"/>
              </w:rPr>
              <w:t>Sybil Ward, AA</w:t>
            </w:r>
          </w:p>
          <w:p w:rsidR="000F48AC" w:rsidRPr="008425BD" w:rsidRDefault="000F48AC" w:rsidP="0070279E">
            <w:pPr>
              <w:jc w:val="right"/>
              <w:rPr>
                <w:sz w:val="16"/>
                <w:szCs w:val="16"/>
              </w:rPr>
            </w:pPr>
          </w:p>
        </w:tc>
        <w:tc>
          <w:tcPr>
            <w:tcW w:w="3720" w:type="dxa"/>
          </w:tcPr>
          <w:p w:rsidR="000F48AC" w:rsidRPr="008425BD" w:rsidRDefault="000F48AC" w:rsidP="0070279E">
            <w:pPr>
              <w:rPr>
                <w:sz w:val="16"/>
                <w:szCs w:val="16"/>
              </w:rPr>
            </w:pPr>
            <w:r w:rsidRPr="008425BD">
              <w:rPr>
                <w:sz w:val="16"/>
                <w:szCs w:val="16"/>
              </w:rPr>
              <w:t xml:space="preserve">Jefferson Comprehensive Care System   </w:t>
            </w:r>
            <w:r w:rsidRPr="008425BD">
              <w:rPr>
                <w:sz w:val="16"/>
                <w:szCs w:val="16"/>
              </w:rPr>
              <w:br/>
              <w:t>2020 W. 3rd Street, Suite 201</w:t>
            </w:r>
            <w:r w:rsidRPr="008425BD">
              <w:rPr>
                <w:sz w:val="16"/>
                <w:szCs w:val="16"/>
              </w:rPr>
              <w:br/>
              <w:t>Little Rock, AR 72205</w:t>
            </w:r>
          </w:p>
        </w:tc>
        <w:tc>
          <w:tcPr>
            <w:tcW w:w="3000" w:type="dxa"/>
          </w:tcPr>
          <w:p w:rsidR="000F48AC" w:rsidRPr="008425BD" w:rsidRDefault="000F48AC" w:rsidP="0070279E">
            <w:pPr>
              <w:rPr>
                <w:sz w:val="16"/>
                <w:szCs w:val="16"/>
                <w:lang w:val="fr-FR"/>
              </w:rPr>
            </w:pPr>
            <w:r w:rsidRPr="008425BD">
              <w:rPr>
                <w:sz w:val="16"/>
                <w:szCs w:val="16"/>
                <w:lang w:val="fr-FR"/>
              </w:rPr>
              <w:t xml:space="preserve">Phone: 501-663-7166 </w:t>
            </w:r>
            <w:r w:rsidRPr="008425BD">
              <w:rPr>
                <w:sz w:val="16"/>
                <w:szCs w:val="16"/>
                <w:lang w:val="fr-FR"/>
              </w:rPr>
              <w:br/>
              <w:t xml:space="preserve">E-mail: </w:t>
            </w:r>
            <w:hyperlink r:id="rId18" w:history="1">
              <w:r w:rsidRPr="008425BD">
                <w:rPr>
                  <w:rStyle w:val="Hyperlink"/>
                  <w:color w:val="auto"/>
                  <w:sz w:val="16"/>
                  <w:szCs w:val="16"/>
                  <w:u w:val="none"/>
                  <w:lang w:val="fr-FR"/>
                </w:rPr>
                <w:t>sybilwardjccsi@comcast.net</w:t>
              </w:r>
            </w:hyperlink>
          </w:p>
        </w:tc>
      </w:tr>
      <w:tr w:rsidR="000F48AC" w:rsidRPr="008425BD" w:rsidTr="00EB37AA">
        <w:trPr>
          <w:cantSplit/>
        </w:trPr>
        <w:tc>
          <w:tcPr>
            <w:tcW w:w="2590" w:type="dxa"/>
          </w:tcPr>
          <w:p w:rsidR="000F48AC" w:rsidRPr="008425BD" w:rsidRDefault="000F48AC" w:rsidP="00760C2C">
            <w:pPr>
              <w:rPr>
                <w:sz w:val="16"/>
                <w:szCs w:val="16"/>
              </w:rPr>
            </w:pPr>
            <w:r w:rsidRPr="008425BD">
              <w:rPr>
                <w:sz w:val="16"/>
                <w:szCs w:val="16"/>
              </w:rPr>
              <w:t>Chyvette Williams, PhD</w:t>
            </w:r>
          </w:p>
          <w:p w:rsidR="000F48AC" w:rsidRPr="008425BD" w:rsidRDefault="000F48AC" w:rsidP="00DC65B1">
            <w:pPr>
              <w:pStyle w:val="BodyText0"/>
              <w:rPr>
                <w:sz w:val="16"/>
                <w:szCs w:val="16"/>
              </w:rPr>
            </w:pPr>
          </w:p>
        </w:tc>
        <w:tc>
          <w:tcPr>
            <w:tcW w:w="3720" w:type="dxa"/>
          </w:tcPr>
          <w:p w:rsidR="000F48AC" w:rsidRPr="008425BD" w:rsidRDefault="000F48AC" w:rsidP="00760C2C">
            <w:pPr>
              <w:rPr>
                <w:sz w:val="16"/>
                <w:szCs w:val="16"/>
              </w:rPr>
            </w:pPr>
            <w:r w:rsidRPr="008425BD">
              <w:rPr>
                <w:sz w:val="16"/>
                <w:szCs w:val="16"/>
              </w:rPr>
              <w:t>Assistant Professor</w:t>
            </w:r>
            <w:r w:rsidRPr="008425BD">
              <w:rPr>
                <w:sz w:val="16"/>
                <w:szCs w:val="16"/>
              </w:rPr>
              <w:br/>
              <w:t>Health and Policy Administration</w:t>
            </w:r>
            <w:r w:rsidRPr="008425BD">
              <w:rPr>
                <w:sz w:val="16"/>
                <w:szCs w:val="16"/>
              </w:rPr>
              <w:br/>
              <w:t>School of Public Health (MC 923)</w:t>
            </w:r>
            <w:r w:rsidRPr="008425BD">
              <w:rPr>
                <w:sz w:val="16"/>
                <w:szCs w:val="16"/>
              </w:rPr>
              <w:br/>
              <w:t>University of Illinois at Chicago</w:t>
            </w:r>
            <w:r w:rsidRPr="008425BD">
              <w:rPr>
                <w:sz w:val="16"/>
                <w:szCs w:val="16"/>
              </w:rPr>
              <w:br/>
              <w:t>1603 W. Taylor Street</w:t>
            </w:r>
          </w:p>
          <w:p w:rsidR="000F48AC" w:rsidRPr="008425BD" w:rsidRDefault="000F48AC" w:rsidP="00760C2C">
            <w:pPr>
              <w:jc w:val="both"/>
              <w:rPr>
                <w:sz w:val="16"/>
                <w:szCs w:val="16"/>
              </w:rPr>
            </w:pPr>
            <w:r w:rsidRPr="008425BD">
              <w:rPr>
                <w:sz w:val="16"/>
                <w:szCs w:val="16"/>
              </w:rPr>
              <w:t>Chicago, IL 60612</w:t>
            </w:r>
          </w:p>
        </w:tc>
        <w:tc>
          <w:tcPr>
            <w:tcW w:w="3000" w:type="dxa"/>
          </w:tcPr>
          <w:p w:rsidR="000F48AC" w:rsidRPr="008425BD" w:rsidRDefault="000F48AC" w:rsidP="003D66D7">
            <w:pPr>
              <w:rPr>
                <w:sz w:val="16"/>
                <w:szCs w:val="16"/>
                <w:lang w:val="fr-FR"/>
              </w:rPr>
            </w:pPr>
            <w:r w:rsidRPr="008425BD">
              <w:rPr>
                <w:sz w:val="16"/>
                <w:szCs w:val="16"/>
                <w:lang w:val="fr-FR"/>
              </w:rPr>
              <w:t>Phone: 312-355-5299</w:t>
            </w:r>
          </w:p>
          <w:p w:rsidR="000F48AC" w:rsidRPr="008425BD" w:rsidRDefault="000F48AC" w:rsidP="00760C2C">
            <w:pPr>
              <w:rPr>
                <w:sz w:val="16"/>
                <w:szCs w:val="16"/>
                <w:lang w:val="fr-FR"/>
              </w:rPr>
            </w:pPr>
            <w:r w:rsidRPr="008425BD">
              <w:rPr>
                <w:sz w:val="16"/>
                <w:szCs w:val="16"/>
                <w:lang w:val="fr-FR"/>
              </w:rPr>
              <w:t xml:space="preserve">E-mail: </w:t>
            </w:r>
            <w:hyperlink r:id="rId19" w:history="1">
              <w:r w:rsidRPr="008425BD">
                <w:rPr>
                  <w:rStyle w:val="Hyperlink"/>
                  <w:color w:val="auto"/>
                  <w:sz w:val="16"/>
                  <w:szCs w:val="16"/>
                  <w:u w:val="none"/>
                  <w:lang w:val="fr-FR"/>
                </w:rPr>
                <w:t>chevy@uic.edu</w:t>
              </w:r>
            </w:hyperlink>
          </w:p>
          <w:p w:rsidR="000F48AC" w:rsidRPr="008425BD" w:rsidRDefault="000F48AC" w:rsidP="003D66D7">
            <w:pPr>
              <w:rPr>
                <w:sz w:val="16"/>
                <w:szCs w:val="16"/>
                <w:lang w:val="fr-FR"/>
              </w:rPr>
            </w:pPr>
          </w:p>
        </w:tc>
      </w:tr>
      <w:tr w:rsidR="000F48AC" w:rsidRPr="008425BD" w:rsidTr="00EB37AA">
        <w:trPr>
          <w:cantSplit/>
        </w:trPr>
        <w:tc>
          <w:tcPr>
            <w:tcW w:w="2590" w:type="dxa"/>
          </w:tcPr>
          <w:p w:rsidR="000F48AC" w:rsidRPr="008425BD" w:rsidRDefault="000F48AC" w:rsidP="00760C2C">
            <w:pPr>
              <w:rPr>
                <w:sz w:val="16"/>
                <w:szCs w:val="16"/>
              </w:rPr>
            </w:pPr>
            <w:r w:rsidRPr="008425BD">
              <w:rPr>
                <w:sz w:val="16"/>
                <w:szCs w:val="16"/>
              </w:rPr>
              <w:t>Nickolas Zaller, PhD</w:t>
            </w:r>
          </w:p>
          <w:p w:rsidR="000F48AC" w:rsidRPr="008425BD" w:rsidRDefault="000F48AC" w:rsidP="003D66D7">
            <w:pPr>
              <w:rPr>
                <w:sz w:val="16"/>
                <w:szCs w:val="16"/>
              </w:rPr>
            </w:pPr>
          </w:p>
        </w:tc>
        <w:tc>
          <w:tcPr>
            <w:tcW w:w="3720" w:type="dxa"/>
          </w:tcPr>
          <w:p w:rsidR="000F48AC" w:rsidRPr="008425BD" w:rsidRDefault="000F48AC" w:rsidP="003D66D7">
            <w:pPr>
              <w:rPr>
                <w:sz w:val="16"/>
                <w:szCs w:val="16"/>
              </w:rPr>
            </w:pPr>
            <w:r w:rsidRPr="008425BD">
              <w:rPr>
                <w:sz w:val="16"/>
                <w:szCs w:val="16"/>
              </w:rPr>
              <w:t>The Miriam Hospital Immunology Center</w:t>
            </w:r>
            <w:r w:rsidRPr="008425BD">
              <w:rPr>
                <w:sz w:val="16"/>
                <w:szCs w:val="16"/>
              </w:rPr>
              <w:br/>
              <w:t>164 Summit Ave</w:t>
            </w:r>
            <w:r w:rsidRPr="008425BD">
              <w:rPr>
                <w:sz w:val="16"/>
                <w:szCs w:val="16"/>
              </w:rPr>
              <w:br/>
              <w:t>RISE/CFAR Building</w:t>
            </w:r>
            <w:r w:rsidRPr="008425BD">
              <w:rPr>
                <w:sz w:val="16"/>
                <w:szCs w:val="16"/>
              </w:rPr>
              <w:br/>
              <w:t>Providence, RI 02096</w:t>
            </w:r>
          </w:p>
        </w:tc>
        <w:tc>
          <w:tcPr>
            <w:tcW w:w="3000" w:type="dxa"/>
          </w:tcPr>
          <w:p w:rsidR="000F48AC" w:rsidRPr="008425BD" w:rsidRDefault="000F48AC" w:rsidP="003D66D7">
            <w:pPr>
              <w:rPr>
                <w:sz w:val="16"/>
                <w:szCs w:val="16"/>
              </w:rPr>
            </w:pPr>
            <w:r w:rsidRPr="008425BD">
              <w:rPr>
                <w:sz w:val="16"/>
                <w:szCs w:val="16"/>
              </w:rPr>
              <w:t>Phone: 401-793-4875</w:t>
            </w:r>
            <w:r w:rsidRPr="008425BD">
              <w:rPr>
                <w:sz w:val="16"/>
                <w:szCs w:val="16"/>
              </w:rPr>
              <w:br/>
              <w:t xml:space="preserve">E-mail:  </w:t>
            </w:r>
            <w:hyperlink r:id="rId20" w:history="1">
              <w:r w:rsidRPr="008425BD">
                <w:rPr>
                  <w:rStyle w:val="Hyperlink"/>
                  <w:color w:val="auto"/>
                  <w:sz w:val="16"/>
                  <w:szCs w:val="16"/>
                  <w:u w:val="none"/>
                </w:rPr>
                <w:t>nzaller@lifespan.org</w:t>
              </w:r>
            </w:hyperlink>
          </w:p>
        </w:tc>
      </w:tr>
    </w:tbl>
    <w:p w:rsidR="000F48AC" w:rsidRPr="000746F1" w:rsidRDefault="000F48AC" w:rsidP="00543169">
      <w:pPr>
        <w:autoSpaceDE w:val="0"/>
        <w:autoSpaceDN w:val="0"/>
        <w:adjustRightInd w:val="0"/>
      </w:pPr>
    </w:p>
    <w:p w:rsidR="000F48AC" w:rsidRDefault="000F48AC">
      <w:r>
        <w:br w:type="page"/>
      </w:r>
    </w:p>
    <w:p w:rsidR="000F48AC" w:rsidRDefault="000F48AC" w:rsidP="00833291">
      <w:pPr>
        <w:ind w:left="720"/>
      </w:pPr>
      <w:r>
        <w:t xml:space="preserve">A smaller </w:t>
      </w:r>
      <w:r>
        <w:rPr>
          <w:color w:val="000000"/>
        </w:rPr>
        <w:t>Project Working Group (</w:t>
      </w:r>
      <w:r w:rsidRPr="00543169">
        <w:rPr>
          <w:color w:val="000000"/>
        </w:rPr>
        <w:t>PWG</w:t>
      </w:r>
      <w:r>
        <w:rPr>
          <w:color w:val="000000"/>
        </w:rPr>
        <w:t>)</w:t>
      </w:r>
      <w:r w:rsidRPr="00543169">
        <w:rPr>
          <w:color w:val="000000"/>
        </w:rPr>
        <w:t xml:space="preserve"> </w:t>
      </w:r>
      <w:r>
        <w:rPr>
          <w:color w:val="000000"/>
        </w:rPr>
        <w:t xml:space="preserve">was convened </w:t>
      </w:r>
      <w:r w:rsidRPr="00543169">
        <w:rPr>
          <w:color w:val="000000"/>
        </w:rPr>
        <w:t xml:space="preserve">to advise and provide recommendations to </w:t>
      </w:r>
      <w:r w:rsidRPr="007F286F">
        <w:t>SAMHSA</w:t>
      </w:r>
      <w:r w:rsidRPr="00543169">
        <w:rPr>
          <w:color w:val="000000"/>
        </w:rPr>
        <w:t xml:space="preserve"> and the </w:t>
      </w:r>
      <w:r>
        <w:rPr>
          <w:color w:val="000000"/>
        </w:rPr>
        <w:t>Multi-Site</w:t>
      </w:r>
      <w:r w:rsidRPr="00543169">
        <w:rPr>
          <w:color w:val="000000"/>
        </w:rPr>
        <w:t xml:space="preserve"> Evaluation Team on all phases of the TCE-HIV </w:t>
      </w:r>
      <w:r>
        <w:rPr>
          <w:color w:val="000000"/>
        </w:rPr>
        <w:t>M</w:t>
      </w:r>
      <w:r w:rsidRPr="00543169">
        <w:rPr>
          <w:color w:val="000000"/>
        </w:rPr>
        <w:t>ulti-</w:t>
      </w:r>
      <w:r>
        <w:rPr>
          <w:color w:val="000000"/>
        </w:rPr>
        <w:t>S</w:t>
      </w:r>
      <w:r w:rsidRPr="00543169">
        <w:rPr>
          <w:color w:val="000000"/>
        </w:rPr>
        <w:t xml:space="preserve">ite </w:t>
      </w:r>
      <w:r>
        <w:rPr>
          <w:color w:val="000000"/>
        </w:rPr>
        <w:t>E</w:t>
      </w:r>
      <w:r w:rsidRPr="00543169">
        <w:rPr>
          <w:color w:val="000000"/>
        </w:rPr>
        <w:t xml:space="preserve">valuation </w:t>
      </w:r>
      <w:r>
        <w:rPr>
          <w:color w:val="000000"/>
        </w:rPr>
        <w:t>including</w:t>
      </w:r>
      <w:r w:rsidRPr="00543169">
        <w:rPr>
          <w:color w:val="000000"/>
        </w:rPr>
        <w:t xml:space="preserve"> the design, instrumentation development, implementation, </w:t>
      </w:r>
      <w:r>
        <w:rPr>
          <w:color w:val="000000"/>
        </w:rPr>
        <w:t xml:space="preserve">and </w:t>
      </w:r>
      <w:r w:rsidRPr="00543169">
        <w:rPr>
          <w:color w:val="000000"/>
        </w:rPr>
        <w:t>an</w:t>
      </w:r>
      <w:r w:rsidRPr="009015DA">
        <w:rPr>
          <w:color w:val="000000"/>
        </w:rPr>
        <w:t xml:space="preserve">alysis. As a result of PWG consultation and feedback, data collection instruments </w:t>
      </w:r>
      <w:r>
        <w:rPr>
          <w:color w:val="000000"/>
        </w:rPr>
        <w:t>were</w:t>
      </w:r>
      <w:r w:rsidRPr="009015DA">
        <w:rPr>
          <w:color w:val="000000"/>
        </w:rPr>
        <w:t xml:space="preserve"> revised. See </w:t>
      </w:r>
      <w:r>
        <w:rPr>
          <w:color w:val="000000"/>
        </w:rPr>
        <w:t>Attachment 2a - Document 2</w:t>
      </w:r>
      <w:r w:rsidRPr="009015DA">
        <w:rPr>
          <w:color w:val="000000"/>
        </w:rPr>
        <w:t xml:space="preserve"> for </w:t>
      </w:r>
      <w:r>
        <w:rPr>
          <w:color w:val="000000"/>
        </w:rPr>
        <w:t xml:space="preserve">a </w:t>
      </w:r>
      <w:r w:rsidRPr="009015DA">
        <w:rPr>
          <w:color w:val="000000"/>
        </w:rPr>
        <w:t xml:space="preserve">summary of PWG feedback and revisions made to instruments. The scope and </w:t>
      </w:r>
      <w:r w:rsidRPr="009937BF">
        <w:rPr>
          <w:rStyle w:val="Emphasis"/>
          <w:i w:val="0"/>
          <w:iCs w:val="0"/>
          <w:color w:val="000000"/>
        </w:rPr>
        <w:t>purpose</w:t>
      </w:r>
      <w:r w:rsidRPr="009015DA">
        <w:rPr>
          <w:color w:val="000000"/>
        </w:rPr>
        <w:t xml:space="preserve"> of the</w:t>
      </w:r>
      <w:r w:rsidRPr="00543169">
        <w:rPr>
          <w:color w:val="000000"/>
        </w:rPr>
        <w:t xml:space="preserve"> </w:t>
      </w:r>
      <w:r w:rsidRPr="006C7FE5">
        <w:rPr>
          <w:rStyle w:val="Emphasis"/>
          <w:i w:val="0"/>
          <w:iCs w:val="0"/>
          <w:color w:val="000000"/>
        </w:rPr>
        <w:t>PWG</w:t>
      </w:r>
      <w:r w:rsidRPr="00543169">
        <w:rPr>
          <w:color w:val="000000"/>
        </w:rPr>
        <w:t xml:space="preserve"> will evolve in response to the changing needs of the project as the evaluation is implemented and the </w:t>
      </w:r>
      <w:r>
        <w:rPr>
          <w:color w:val="000000"/>
        </w:rPr>
        <w:t>Multi-Site Evaluation Team</w:t>
      </w:r>
      <w:r w:rsidRPr="00543169">
        <w:rPr>
          <w:color w:val="000000"/>
        </w:rPr>
        <w:t xml:space="preserve"> engages in data collection, management</w:t>
      </w:r>
      <w:r>
        <w:rPr>
          <w:color w:val="000000"/>
        </w:rPr>
        <w:t>,</w:t>
      </w:r>
      <w:r w:rsidRPr="00543169">
        <w:rPr>
          <w:color w:val="000000"/>
        </w:rPr>
        <w:t xml:space="preserve"> and analysis.</w:t>
      </w:r>
      <w:r>
        <w:t xml:space="preserve"> </w:t>
      </w:r>
      <w:r w:rsidRPr="00543169">
        <w:t>The PWG will meet frequently (i.e., quarterly) during the initial phase of the evaluation project</w:t>
      </w:r>
      <w:r>
        <w:t xml:space="preserve"> </w:t>
      </w:r>
      <w:r w:rsidRPr="00543169">
        <w:t>and will meet as needed during the implementation</w:t>
      </w:r>
      <w:r>
        <w:t>,</w:t>
      </w:r>
      <w:r w:rsidRPr="00543169">
        <w:t xml:space="preserve"> analysis</w:t>
      </w:r>
      <w:r>
        <w:t>,</w:t>
      </w:r>
      <w:r w:rsidRPr="00543169">
        <w:t xml:space="preserve"> </w:t>
      </w:r>
      <w:r>
        <w:t xml:space="preserve">and reporting </w:t>
      </w:r>
      <w:r w:rsidRPr="00543169">
        <w:t>phase</w:t>
      </w:r>
      <w:r>
        <w:t>s</w:t>
      </w:r>
      <w:r w:rsidRPr="00543169">
        <w:t>.</w:t>
      </w:r>
    </w:p>
    <w:p w:rsidR="000F48AC" w:rsidRDefault="000F48AC" w:rsidP="00543169"/>
    <w:p w:rsidR="000F48AC" w:rsidRDefault="000F48AC" w:rsidP="00D87992">
      <w:pPr>
        <w:ind w:left="720"/>
      </w:pPr>
      <w:r w:rsidRPr="00543169">
        <w:t xml:space="preserve">The PWG is an interdisciplinary group of Federal staff, the </w:t>
      </w:r>
      <w:r>
        <w:t>Multi-Site Evaluation</w:t>
      </w:r>
      <w:r w:rsidRPr="00543169">
        <w:t xml:space="preserve"> Team, and external consultants (i.e., evaluators and researchers) who can provide a broad perspective on various evaluation</w:t>
      </w:r>
      <w:r>
        <w:t>-</w:t>
      </w:r>
      <w:r w:rsidRPr="00543169">
        <w:t xml:space="preserve">related tasks. The PWG members have expertise in substance abuse treatment and prevention issues, HIV testing and prevention, program implementation, minority populations, and program evaluation. The </w:t>
      </w:r>
      <w:r>
        <w:t>list of PWG</w:t>
      </w:r>
      <w:r w:rsidRPr="00543169">
        <w:t xml:space="preserve"> </w:t>
      </w:r>
      <w:r>
        <w:t>members is provided in Exhibit 6.</w:t>
      </w:r>
    </w:p>
    <w:p w:rsidR="000F48AC" w:rsidRDefault="000F48AC"/>
    <w:p w:rsidR="000F48AC" w:rsidRDefault="000F48AC">
      <w:r>
        <w:br w:type="page"/>
      </w:r>
    </w:p>
    <w:p w:rsidR="000F48AC" w:rsidRDefault="000F48AC"/>
    <w:p w:rsidR="000F48AC" w:rsidRPr="00B9101F" w:rsidRDefault="000F48AC" w:rsidP="00B9101F">
      <w:pPr>
        <w:ind w:left="720"/>
        <w:rPr>
          <w:b/>
          <w:bCs/>
        </w:rPr>
      </w:pPr>
      <w:r w:rsidRPr="00B9101F">
        <w:rPr>
          <w:b/>
          <w:bCs/>
        </w:rPr>
        <w:t>Exhibit 6</w:t>
      </w:r>
      <w:r>
        <w:rPr>
          <w:b/>
          <w:bCs/>
        </w:rPr>
        <w:t>.</w:t>
      </w:r>
      <w:r w:rsidRPr="00B9101F">
        <w:rPr>
          <w:b/>
          <w:bCs/>
        </w:rPr>
        <w:t xml:space="preserve"> Project Working Group Members</w:t>
      </w:r>
    </w:p>
    <w:tbl>
      <w:tblPr>
        <w:tblW w:w="8640" w:type="dxa"/>
        <w:tblInd w:w="72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CellMar>
          <w:left w:w="86" w:type="dxa"/>
          <w:right w:w="14" w:type="dxa"/>
        </w:tblCellMar>
        <w:tblLook w:val="0000"/>
      </w:tblPr>
      <w:tblGrid>
        <w:gridCol w:w="1976"/>
        <w:gridCol w:w="3420"/>
        <w:gridCol w:w="3244"/>
      </w:tblGrid>
      <w:tr w:rsidR="000F48AC" w:rsidRPr="008425BD" w:rsidTr="00B120B0">
        <w:trPr>
          <w:cantSplit/>
          <w:tblHeader/>
        </w:trPr>
        <w:tc>
          <w:tcPr>
            <w:tcW w:w="1976" w:type="dxa"/>
            <w:tcBorders>
              <w:top w:val="double" w:sz="6" w:space="0" w:color="auto"/>
            </w:tcBorders>
            <w:vAlign w:val="bottom"/>
          </w:tcPr>
          <w:p w:rsidR="000F48AC" w:rsidRPr="008425BD" w:rsidRDefault="000F48AC" w:rsidP="006C7FE5">
            <w:pPr>
              <w:jc w:val="center"/>
              <w:rPr>
                <w:b/>
                <w:bCs/>
                <w:sz w:val="18"/>
                <w:szCs w:val="18"/>
              </w:rPr>
            </w:pPr>
            <w:r w:rsidRPr="008425BD">
              <w:rPr>
                <w:b/>
                <w:bCs/>
                <w:sz w:val="18"/>
                <w:szCs w:val="18"/>
              </w:rPr>
              <w:t>Member</w:t>
            </w:r>
          </w:p>
        </w:tc>
        <w:tc>
          <w:tcPr>
            <w:tcW w:w="3420" w:type="dxa"/>
            <w:tcBorders>
              <w:top w:val="double" w:sz="6" w:space="0" w:color="auto"/>
            </w:tcBorders>
            <w:vAlign w:val="bottom"/>
          </w:tcPr>
          <w:p w:rsidR="000F48AC" w:rsidRPr="008425BD" w:rsidRDefault="000F48AC" w:rsidP="006C7FE5">
            <w:pPr>
              <w:jc w:val="center"/>
              <w:rPr>
                <w:sz w:val="18"/>
                <w:szCs w:val="18"/>
              </w:rPr>
            </w:pPr>
            <w:r w:rsidRPr="008425BD">
              <w:rPr>
                <w:b/>
                <w:bCs/>
                <w:sz w:val="18"/>
                <w:szCs w:val="18"/>
              </w:rPr>
              <w:t>Affiliation</w:t>
            </w:r>
          </w:p>
        </w:tc>
        <w:tc>
          <w:tcPr>
            <w:tcW w:w="3244" w:type="dxa"/>
            <w:tcBorders>
              <w:top w:val="double" w:sz="6" w:space="0" w:color="auto"/>
            </w:tcBorders>
            <w:vAlign w:val="bottom"/>
          </w:tcPr>
          <w:p w:rsidR="000F48AC" w:rsidRPr="008425BD" w:rsidRDefault="000F48AC" w:rsidP="006C7FE5">
            <w:pPr>
              <w:jc w:val="center"/>
              <w:rPr>
                <w:sz w:val="18"/>
                <w:szCs w:val="18"/>
              </w:rPr>
            </w:pPr>
            <w:r w:rsidRPr="008425BD">
              <w:rPr>
                <w:b/>
                <w:bCs/>
                <w:sz w:val="18"/>
                <w:szCs w:val="18"/>
              </w:rPr>
              <w:t>Contact Information</w:t>
            </w:r>
          </w:p>
        </w:tc>
      </w:tr>
      <w:tr w:rsidR="000F48AC" w:rsidRPr="008425BD" w:rsidTr="00B120B0">
        <w:trPr>
          <w:cantSplit/>
        </w:trPr>
        <w:tc>
          <w:tcPr>
            <w:tcW w:w="1976" w:type="dxa"/>
          </w:tcPr>
          <w:p w:rsidR="000F48AC" w:rsidRPr="008425BD" w:rsidRDefault="000F48AC" w:rsidP="006F6EA0">
            <w:pPr>
              <w:rPr>
                <w:sz w:val="18"/>
                <w:szCs w:val="18"/>
              </w:rPr>
            </w:pPr>
            <w:r w:rsidRPr="008425BD">
              <w:rPr>
                <w:sz w:val="18"/>
                <w:szCs w:val="18"/>
              </w:rPr>
              <w:t>Ravinia Hayes-Cozier</w:t>
            </w:r>
          </w:p>
        </w:tc>
        <w:tc>
          <w:tcPr>
            <w:tcW w:w="3420" w:type="dxa"/>
          </w:tcPr>
          <w:p w:rsidR="000F48AC" w:rsidRPr="008425BD" w:rsidRDefault="000F48AC" w:rsidP="006F6EA0">
            <w:pPr>
              <w:rPr>
                <w:sz w:val="18"/>
                <w:szCs w:val="18"/>
              </w:rPr>
            </w:pPr>
            <w:r w:rsidRPr="008425BD">
              <w:rPr>
                <w:sz w:val="18"/>
                <w:szCs w:val="18"/>
              </w:rPr>
              <w:t>National Minority AIDS Council</w:t>
            </w:r>
          </w:p>
          <w:p w:rsidR="000F48AC" w:rsidRPr="008425BD" w:rsidRDefault="000F48AC" w:rsidP="006F6EA0">
            <w:pPr>
              <w:autoSpaceDE w:val="0"/>
              <w:autoSpaceDN w:val="0"/>
              <w:adjustRightInd w:val="0"/>
              <w:rPr>
                <w:sz w:val="18"/>
                <w:szCs w:val="18"/>
              </w:rPr>
            </w:pPr>
            <w:r w:rsidRPr="008425BD">
              <w:rPr>
                <w:sz w:val="18"/>
                <w:szCs w:val="18"/>
              </w:rPr>
              <w:t>Director of Government Relations and Public Policy</w:t>
            </w:r>
          </w:p>
          <w:p w:rsidR="000F48AC" w:rsidRPr="008425BD" w:rsidRDefault="000F48AC" w:rsidP="006F6EA0">
            <w:pPr>
              <w:autoSpaceDE w:val="0"/>
              <w:autoSpaceDN w:val="0"/>
              <w:adjustRightInd w:val="0"/>
              <w:rPr>
                <w:sz w:val="18"/>
                <w:szCs w:val="18"/>
              </w:rPr>
            </w:pPr>
            <w:r w:rsidRPr="008425BD">
              <w:rPr>
                <w:sz w:val="18"/>
                <w:szCs w:val="18"/>
              </w:rPr>
              <w:t>1931 13</w:t>
            </w:r>
            <w:r w:rsidRPr="008425BD">
              <w:rPr>
                <w:sz w:val="18"/>
                <w:szCs w:val="18"/>
                <w:vertAlign w:val="superscript"/>
              </w:rPr>
              <w:t>th</w:t>
            </w:r>
            <w:r w:rsidRPr="008425BD">
              <w:rPr>
                <w:sz w:val="18"/>
                <w:szCs w:val="18"/>
              </w:rPr>
              <w:t xml:space="preserve"> St. NW</w:t>
            </w:r>
          </w:p>
          <w:p w:rsidR="000F48AC" w:rsidRPr="008425BD" w:rsidRDefault="000F48AC" w:rsidP="006F6EA0">
            <w:pPr>
              <w:autoSpaceDE w:val="0"/>
              <w:autoSpaceDN w:val="0"/>
              <w:adjustRightInd w:val="0"/>
              <w:rPr>
                <w:sz w:val="18"/>
                <w:szCs w:val="18"/>
              </w:rPr>
            </w:pPr>
            <w:r w:rsidRPr="008425BD">
              <w:rPr>
                <w:sz w:val="18"/>
                <w:szCs w:val="18"/>
              </w:rPr>
              <w:t>Washington, DC 20009-4432</w:t>
            </w:r>
          </w:p>
        </w:tc>
        <w:tc>
          <w:tcPr>
            <w:tcW w:w="3244" w:type="dxa"/>
          </w:tcPr>
          <w:p w:rsidR="000F48AC" w:rsidRPr="008425BD" w:rsidRDefault="000F48AC" w:rsidP="006F6EA0">
            <w:pPr>
              <w:rPr>
                <w:sz w:val="18"/>
                <w:szCs w:val="18"/>
              </w:rPr>
            </w:pPr>
            <w:r w:rsidRPr="008425BD">
              <w:rPr>
                <w:sz w:val="18"/>
                <w:szCs w:val="18"/>
              </w:rPr>
              <w:t>Phone: 202-483-6622 ext. 308</w:t>
            </w:r>
          </w:p>
          <w:p w:rsidR="000F48AC" w:rsidRPr="008425BD" w:rsidRDefault="000F48AC" w:rsidP="006F6EA0">
            <w:pPr>
              <w:rPr>
                <w:sz w:val="18"/>
                <w:szCs w:val="18"/>
              </w:rPr>
            </w:pPr>
            <w:r w:rsidRPr="008425BD">
              <w:rPr>
                <w:sz w:val="18"/>
                <w:szCs w:val="18"/>
              </w:rPr>
              <w:t>Fax: 202-483-1135</w:t>
            </w:r>
          </w:p>
          <w:p w:rsidR="000F48AC" w:rsidRPr="008425BD" w:rsidRDefault="000F48AC" w:rsidP="006F6EA0">
            <w:pPr>
              <w:rPr>
                <w:sz w:val="18"/>
                <w:szCs w:val="18"/>
              </w:rPr>
            </w:pPr>
            <w:r w:rsidRPr="008425BD">
              <w:rPr>
                <w:sz w:val="18"/>
                <w:szCs w:val="18"/>
              </w:rPr>
              <w:t>E-mail: rhayescozier@nmac.org</w:t>
            </w:r>
          </w:p>
        </w:tc>
      </w:tr>
      <w:tr w:rsidR="000F48AC" w:rsidRPr="008425BD" w:rsidTr="00B120B0">
        <w:trPr>
          <w:cantSplit/>
        </w:trPr>
        <w:tc>
          <w:tcPr>
            <w:tcW w:w="1976" w:type="dxa"/>
          </w:tcPr>
          <w:p w:rsidR="000F48AC" w:rsidRPr="008425BD" w:rsidRDefault="000F48AC" w:rsidP="006F6EA0">
            <w:pPr>
              <w:rPr>
                <w:sz w:val="18"/>
                <w:szCs w:val="18"/>
              </w:rPr>
            </w:pPr>
            <w:r w:rsidRPr="008425BD">
              <w:rPr>
                <w:sz w:val="18"/>
                <w:szCs w:val="18"/>
              </w:rPr>
              <w:t>Jim Derzon, PhD</w:t>
            </w:r>
          </w:p>
        </w:tc>
        <w:tc>
          <w:tcPr>
            <w:tcW w:w="3420" w:type="dxa"/>
          </w:tcPr>
          <w:p w:rsidR="000F48AC" w:rsidRPr="008425BD" w:rsidRDefault="000F48AC" w:rsidP="006F6EA0">
            <w:pPr>
              <w:rPr>
                <w:sz w:val="18"/>
                <w:szCs w:val="18"/>
              </w:rPr>
            </w:pPr>
            <w:r w:rsidRPr="008425BD">
              <w:rPr>
                <w:sz w:val="18"/>
                <w:szCs w:val="18"/>
              </w:rPr>
              <w:t>Battelle Memorial Institute</w:t>
            </w:r>
          </w:p>
          <w:p w:rsidR="000F48AC" w:rsidRPr="008425BD" w:rsidRDefault="000F48AC" w:rsidP="006F6EA0">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sz w:val="18"/>
                <w:szCs w:val="18"/>
                <w:lang w:val="fr-FR"/>
              </w:rPr>
            </w:pPr>
            <w:r w:rsidRPr="008425BD">
              <w:rPr>
                <w:sz w:val="18"/>
                <w:szCs w:val="18"/>
              </w:rPr>
              <w:t>Task Lead for Quantitative Analysis</w:t>
            </w:r>
            <w:r w:rsidRPr="008425BD">
              <w:rPr>
                <w:sz w:val="18"/>
                <w:szCs w:val="18"/>
                <w:lang w:val="fr-FR"/>
              </w:rPr>
              <w:t xml:space="preserve"> </w:t>
            </w:r>
          </w:p>
          <w:p w:rsidR="000F48AC" w:rsidRPr="008425BD" w:rsidRDefault="000F48AC" w:rsidP="006F6EA0">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sz w:val="18"/>
                <w:szCs w:val="18"/>
                <w:lang w:val="fr-FR"/>
              </w:rPr>
            </w:pPr>
            <w:r w:rsidRPr="008425BD">
              <w:rPr>
                <w:sz w:val="18"/>
                <w:szCs w:val="18"/>
                <w:lang w:val="fr-FR"/>
              </w:rPr>
              <w:t>2101 Wilson Boulevard Suite 800</w:t>
            </w:r>
          </w:p>
          <w:p w:rsidR="000F48AC" w:rsidRPr="008425BD" w:rsidRDefault="000F48AC" w:rsidP="006F6EA0">
            <w:pPr>
              <w:rPr>
                <w:sz w:val="18"/>
                <w:szCs w:val="18"/>
              </w:rPr>
            </w:pPr>
            <w:r w:rsidRPr="008425BD">
              <w:rPr>
                <w:sz w:val="18"/>
                <w:szCs w:val="18"/>
                <w:lang w:val="fr-FR"/>
              </w:rPr>
              <w:t>Arlington, VA 22201-3008</w:t>
            </w:r>
          </w:p>
        </w:tc>
        <w:tc>
          <w:tcPr>
            <w:tcW w:w="3244" w:type="dxa"/>
          </w:tcPr>
          <w:p w:rsidR="000F48AC" w:rsidRPr="008425BD" w:rsidRDefault="000F48AC" w:rsidP="006F6EA0">
            <w:pPr>
              <w:rPr>
                <w:sz w:val="18"/>
                <w:szCs w:val="18"/>
                <w:lang w:val="fr-FR"/>
              </w:rPr>
            </w:pPr>
            <w:r w:rsidRPr="008425BD">
              <w:rPr>
                <w:sz w:val="18"/>
                <w:szCs w:val="18"/>
                <w:lang w:val="fr-FR"/>
              </w:rPr>
              <w:t>Phone: 703-248-1640</w:t>
            </w:r>
          </w:p>
          <w:p w:rsidR="000F48AC" w:rsidRPr="008425BD" w:rsidRDefault="000F48AC" w:rsidP="006F6EA0">
            <w:pPr>
              <w:rPr>
                <w:sz w:val="18"/>
                <w:szCs w:val="18"/>
                <w:lang w:val="fr-FR"/>
              </w:rPr>
            </w:pPr>
            <w:r w:rsidRPr="008425BD">
              <w:rPr>
                <w:sz w:val="18"/>
                <w:szCs w:val="18"/>
                <w:lang w:val="fr-FR"/>
              </w:rPr>
              <w:t>Fax: 703-527-5640</w:t>
            </w:r>
          </w:p>
          <w:p w:rsidR="000F48AC" w:rsidRPr="008425BD" w:rsidRDefault="000F48AC" w:rsidP="006F6EA0">
            <w:pPr>
              <w:rPr>
                <w:sz w:val="18"/>
                <w:szCs w:val="18"/>
                <w:lang w:val="fr-FR"/>
              </w:rPr>
            </w:pPr>
            <w:r w:rsidRPr="008425BD">
              <w:rPr>
                <w:sz w:val="18"/>
                <w:szCs w:val="18"/>
                <w:lang w:val="fr-FR"/>
              </w:rPr>
              <w:t>E-mail: Derzonj@battelle.org</w:t>
            </w:r>
          </w:p>
        </w:tc>
      </w:tr>
      <w:tr w:rsidR="000F48AC" w:rsidRPr="008425BD" w:rsidTr="00B120B0">
        <w:trPr>
          <w:cantSplit/>
        </w:trPr>
        <w:tc>
          <w:tcPr>
            <w:tcW w:w="1976" w:type="dxa"/>
          </w:tcPr>
          <w:p w:rsidR="000F48AC" w:rsidRPr="008425BD" w:rsidRDefault="000F48AC" w:rsidP="006F6EA0">
            <w:pPr>
              <w:rPr>
                <w:sz w:val="18"/>
                <w:szCs w:val="18"/>
              </w:rPr>
            </w:pPr>
            <w:r w:rsidRPr="008425BD">
              <w:rPr>
                <w:sz w:val="18"/>
                <w:szCs w:val="18"/>
              </w:rPr>
              <w:t>Colin Flynn</w:t>
            </w:r>
          </w:p>
        </w:tc>
        <w:tc>
          <w:tcPr>
            <w:tcW w:w="3420" w:type="dxa"/>
          </w:tcPr>
          <w:p w:rsidR="000F48AC" w:rsidRPr="008425BD" w:rsidRDefault="000F48AC" w:rsidP="006F6EA0">
            <w:pPr>
              <w:rPr>
                <w:sz w:val="18"/>
                <w:szCs w:val="18"/>
              </w:rPr>
            </w:pPr>
            <w:r w:rsidRPr="008425BD">
              <w:rPr>
                <w:sz w:val="18"/>
                <w:szCs w:val="18"/>
              </w:rPr>
              <w:t>Department of Health and Mental Hygiene</w:t>
            </w:r>
          </w:p>
          <w:p w:rsidR="000F48AC" w:rsidRPr="008425BD" w:rsidRDefault="000F48AC" w:rsidP="006F6EA0">
            <w:pPr>
              <w:rPr>
                <w:sz w:val="18"/>
                <w:szCs w:val="18"/>
              </w:rPr>
            </w:pPr>
            <w:r w:rsidRPr="008425BD">
              <w:rPr>
                <w:sz w:val="18"/>
                <w:szCs w:val="18"/>
              </w:rPr>
              <w:t>Chief, Center for HIV Surveillance and Epidemiology</w:t>
            </w:r>
          </w:p>
          <w:p w:rsidR="000F48AC" w:rsidRPr="008425BD" w:rsidRDefault="000F48AC" w:rsidP="006F6EA0">
            <w:pPr>
              <w:rPr>
                <w:sz w:val="18"/>
                <w:szCs w:val="18"/>
              </w:rPr>
            </w:pPr>
            <w:r w:rsidRPr="008425BD">
              <w:rPr>
                <w:sz w:val="18"/>
                <w:szCs w:val="18"/>
              </w:rPr>
              <w:t>500 North Calvert St.</w:t>
            </w:r>
          </w:p>
          <w:p w:rsidR="000F48AC" w:rsidRPr="008425BD" w:rsidRDefault="000F48AC" w:rsidP="006F6EA0">
            <w:pPr>
              <w:rPr>
                <w:sz w:val="18"/>
                <w:szCs w:val="18"/>
              </w:rPr>
            </w:pPr>
            <w:r w:rsidRPr="008425BD">
              <w:rPr>
                <w:sz w:val="18"/>
                <w:szCs w:val="18"/>
              </w:rPr>
              <w:t>Shillman Building, 5</w:t>
            </w:r>
            <w:r w:rsidRPr="008425BD">
              <w:rPr>
                <w:sz w:val="18"/>
                <w:szCs w:val="18"/>
                <w:vertAlign w:val="superscript"/>
              </w:rPr>
              <w:t>th</w:t>
            </w:r>
            <w:r w:rsidRPr="008425BD">
              <w:rPr>
                <w:sz w:val="18"/>
                <w:szCs w:val="18"/>
              </w:rPr>
              <w:t xml:space="preserve"> Floor</w:t>
            </w:r>
          </w:p>
          <w:p w:rsidR="000F48AC" w:rsidRPr="008425BD" w:rsidRDefault="000F48AC" w:rsidP="006F6EA0">
            <w:pPr>
              <w:rPr>
                <w:sz w:val="18"/>
                <w:szCs w:val="18"/>
              </w:rPr>
            </w:pPr>
            <w:r w:rsidRPr="008425BD">
              <w:rPr>
                <w:sz w:val="18"/>
                <w:szCs w:val="18"/>
              </w:rPr>
              <w:t>Baltimore, MD 21202</w:t>
            </w:r>
          </w:p>
        </w:tc>
        <w:tc>
          <w:tcPr>
            <w:tcW w:w="3244" w:type="dxa"/>
          </w:tcPr>
          <w:p w:rsidR="000F48AC" w:rsidRPr="008425BD" w:rsidRDefault="000F48AC" w:rsidP="006F6EA0">
            <w:pPr>
              <w:rPr>
                <w:sz w:val="18"/>
                <w:szCs w:val="18"/>
                <w:lang w:val="fr-FR"/>
              </w:rPr>
            </w:pPr>
            <w:r w:rsidRPr="008425BD">
              <w:rPr>
                <w:sz w:val="18"/>
                <w:szCs w:val="18"/>
                <w:lang w:val="fr-FR"/>
              </w:rPr>
              <w:t>Phone: 410-767-5050</w:t>
            </w:r>
          </w:p>
          <w:p w:rsidR="000F48AC" w:rsidRPr="008425BD" w:rsidRDefault="000F48AC" w:rsidP="006F6EA0">
            <w:pPr>
              <w:rPr>
                <w:sz w:val="18"/>
                <w:szCs w:val="18"/>
                <w:lang w:val="fr-FR"/>
              </w:rPr>
            </w:pPr>
            <w:r w:rsidRPr="008425BD">
              <w:rPr>
                <w:sz w:val="18"/>
                <w:szCs w:val="18"/>
                <w:lang w:val="fr-FR"/>
              </w:rPr>
              <w:t>Fax: 410-767-6489</w:t>
            </w:r>
          </w:p>
          <w:p w:rsidR="000F48AC" w:rsidRPr="008425BD" w:rsidRDefault="000F48AC" w:rsidP="006F6EA0">
            <w:pPr>
              <w:rPr>
                <w:sz w:val="18"/>
                <w:szCs w:val="18"/>
                <w:lang w:val="fr-FR"/>
              </w:rPr>
            </w:pPr>
            <w:r w:rsidRPr="008425BD">
              <w:rPr>
                <w:sz w:val="18"/>
                <w:szCs w:val="18"/>
                <w:lang w:val="fr-FR"/>
              </w:rPr>
              <w:t>E-mail: flynnc@dhmh.state.md.us</w:t>
            </w:r>
          </w:p>
        </w:tc>
      </w:tr>
      <w:tr w:rsidR="000F48AC" w:rsidRPr="008425BD" w:rsidTr="00B120B0">
        <w:trPr>
          <w:cantSplit/>
        </w:trPr>
        <w:tc>
          <w:tcPr>
            <w:tcW w:w="1976" w:type="dxa"/>
          </w:tcPr>
          <w:p w:rsidR="000F48AC" w:rsidRPr="008425BD" w:rsidRDefault="000F48AC" w:rsidP="006F6EA0">
            <w:pPr>
              <w:rPr>
                <w:sz w:val="18"/>
                <w:szCs w:val="18"/>
              </w:rPr>
            </w:pPr>
            <w:r w:rsidRPr="008425BD">
              <w:rPr>
                <w:sz w:val="18"/>
                <w:szCs w:val="18"/>
              </w:rPr>
              <w:t>Vincent Guilamo-Ramos, PhD</w:t>
            </w:r>
          </w:p>
        </w:tc>
        <w:tc>
          <w:tcPr>
            <w:tcW w:w="3420" w:type="dxa"/>
          </w:tcPr>
          <w:p w:rsidR="000F48AC" w:rsidRPr="008425BD" w:rsidRDefault="000F48AC" w:rsidP="006F6EA0">
            <w:pPr>
              <w:rPr>
                <w:sz w:val="18"/>
                <w:szCs w:val="18"/>
              </w:rPr>
            </w:pPr>
            <w:r w:rsidRPr="008425BD">
              <w:rPr>
                <w:sz w:val="18"/>
                <w:szCs w:val="18"/>
              </w:rPr>
              <w:t xml:space="preserve">Columbia University, Associate Professor, School of Social Work   </w:t>
            </w:r>
          </w:p>
          <w:p w:rsidR="000F48AC" w:rsidRPr="008425BD" w:rsidRDefault="000F48AC" w:rsidP="006F6EA0">
            <w:pPr>
              <w:rPr>
                <w:sz w:val="18"/>
                <w:szCs w:val="18"/>
              </w:rPr>
            </w:pPr>
            <w:r w:rsidRPr="008425BD">
              <w:rPr>
                <w:sz w:val="18"/>
                <w:szCs w:val="18"/>
              </w:rPr>
              <w:t xml:space="preserve">1255 Amsterdam Avenue          </w:t>
            </w:r>
          </w:p>
          <w:p w:rsidR="000F48AC" w:rsidRPr="008425BD" w:rsidRDefault="000F48AC" w:rsidP="006F6EA0">
            <w:pPr>
              <w:rPr>
                <w:sz w:val="18"/>
                <w:szCs w:val="18"/>
              </w:rPr>
            </w:pPr>
            <w:r w:rsidRPr="008425BD">
              <w:rPr>
                <w:sz w:val="18"/>
                <w:szCs w:val="18"/>
              </w:rPr>
              <w:t xml:space="preserve">New York, NY 10027 </w:t>
            </w:r>
          </w:p>
        </w:tc>
        <w:tc>
          <w:tcPr>
            <w:tcW w:w="3244" w:type="dxa"/>
          </w:tcPr>
          <w:p w:rsidR="000F48AC" w:rsidRPr="008425BD" w:rsidRDefault="000F48AC" w:rsidP="006F6EA0">
            <w:pPr>
              <w:rPr>
                <w:sz w:val="18"/>
                <w:szCs w:val="18"/>
                <w:lang w:val="fr-FR"/>
              </w:rPr>
            </w:pPr>
            <w:r w:rsidRPr="008425BD">
              <w:rPr>
                <w:sz w:val="18"/>
                <w:szCs w:val="18"/>
                <w:lang w:val="fr-FR"/>
              </w:rPr>
              <w:t>Phone: 212-851-1659</w:t>
            </w:r>
            <w:r w:rsidRPr="008425BD">
              <w:rPr>
                <w:sz w:val="18"/>
                <w:szCs w:val="18"/>
                <w:lang w:val="fr-FR"/>
              </w:rPr>
              <w:br/>
              <w:t>Fax: 212-851-2206</w:t>
            </w:r>
            <w:r w:rsidRPr="008425BD">
              <w:rPr>
                <w:sz w:val="18"/>
                <w:szCs w:val="18"/>
                <w:lang w:val="fr-FR"/>
              </w:rPr>
              <w:br/>
              <w:t>E-mail:</w:t>
            </w:r>
            <w:r w:rsidRPr="008425BD">
              <w:rPr>
                <w:sz w:val="18"/>
                <w:szCs w:val="18"/>
                <w:lang w:val="fr-FR"/>
              </w:rPr>
              <w:tab/>
              <w:t xml:space="preserve"> </w:t>
            </w:r>
            <w:hyperlink r:id="rId21" w:history="1">
              <w:r w:rsidRPr="008425BD">
                <w:rPr>
                  <w:rStyle w:val="Hyperlink"/>
                  <w:color w:val="auto"/>
                  <w:sz w:val="18"/>
                  <w:szCs w:val="18"/>
                  <w:u w:val="none"/>
                  <w:lang w:val="fr-FR"/>
                </w:rPr>
                <w:t>rg650@columbia.edu</w:t>
              </w:r>
            </w:hyperlink>
          </w:p>
          <w:p w:rsidR="000F48AC" w:rsidRPr="008425BD" w:rsidRDefault="000F48AC" w:rsidP="006F6EA0">
            <w:pPr>
              <w:rPr>
                <w:sz w:val="18"/>
                <w:szCs w:val="18"/>
                <w:lang w:val="fr-FR"/>
              </w:rPr>
            </w:pPr>
          </w:p>
        </w:tc>
      </w:tr>
      <w:tr w:rsidR="000F48AC" w:rsidRPr="008425BD" w:rsidTr="00B120B0">
        <w:trPr>
          <w:cantSplit/>
        </w:trPr>
        <w:tc>
          <w:tcPr>
            <w:tcW w:w="1976" w:type="dxa"/>
          </w:tcPr>
          <w:p w:rsidR="000F48AC" w:rsidRPr="008425BD" w:rsidRDefault="000F48AC" w:rsidP="006F6EA0">
            <w:pPr>
              <w:rPr>
                <w:sz w:val="18"/>
                <w:szCs w:val="18"/>
              </w:rPr>
            </w:pPr>
            <w:r w:rsidRPr="008425BD">
              <w:rPr>
                <w:sz w:val="18"/>
                <w:szCs w:val="18"/>
              </w:rPr>
              <w:t>Susan Hayashi, PhD</w:t>
            </w:r>
          </w:p>
        </w:tc>
        <w:tc>
          <w:tcPr>
            <w:tcW w:w="3420" w:type="dxa"/>
          </w:tcPr>
          <w:p w:rsidR="000F48AC" w:rsidRPr="008425BD" w:rsidRDefault="000F48AC" w:rsidP="006F6EA0">
            <w:pPr>
              <w:pStyle w:val="HTMLAddress"/>
              <w:rPr>
                <w:i w:val="0"/>
                <w:iCs w:val="0"/>
                <w:sz w:val="18"/>
                <w:szCs w:val="18"/>
              </w:rPr>
            </w:pPr>
            <w:r w:rsidRPr="008425BD">
              <w:rPr>
                <w:i w:val="0"/>
                <w:iCs w:val="0"/>
                <w:sz w:val="18"/>
                <w:szCs w:val="18"/>
              </w:rPr>
              <w:t>JBS International, Inc.</w:t>
            </w:r>
          </w:p>
          <w:p w:rsidR="000F48AC" w:rsidRPr="008425BD" w:rsidRDefault="000F48AC" w:rsidP="006F6EA0">
            <w:pPr>
              <w:pStyle w:val="HTMLAddress"/>
              <w:rPr>
                <w:i w:val="0"/>
                <w:iCs w:val="0"/>
                <w:sz w:val="18"/>
                <w:szCs w:val="18"/>
              </w:rPr>
            </w:pPr>
            <w:r w:rsidRPr="008425BD">
              <w:rPr>
                <w:i w:val="0"/>
                <w:iCs w:val="0"/>
                <w:sz w:val="18"/>
                <w:szCs w:val="18"/>
              </w:rPr>
              <w:t>Vice President</w:t>
            </w:r>
          </w:p>
          <w:p w:rsidR="000F48AC" w:rsidRPr="008425BD" w:rsidRDefault="000F48AC" w:rsidP="006F6EA0">
            <w:pPr>
              <w:pStyle w:val="HTMLAddress"/>
              <w:rPr>
                <w:i w:val="0"/>
                <w:iCs w:val="0"/>
                <w:sz w:val="18"/>
                <w:szCs w:val="18"/>
              </w:rPr>
            </w:pPr>
            <w:r w:rsidRPr="008425BD">
              <w:rPr>
                <w:i w:val="0"/>
                <w:iCs w:val="0"/>
                <w:sz w:val="18"/>
                <w:szCs w:val="18"/>
              </w:rPr>
              <w:t>5515 Security Lane, Suite 800</w:t>
            </w:r>
            <w:r w:rsidRPr="008425BD">
              <w:rPr>
                <w:i w:val="0"/>
                <w:iCs w:val="0"/>
                <w:sz w:val="18"/>
                <w:szCs w:val="18"/>
              </w:rPr>
              <w:br/>
              <w:t>North Bethesda, MD 20852-5007</w:t>
            </w:r>
          </w:p>
        </w:tc>
        <w:tc>
          <w:tcPr>
            <w:tcW w:w="3244" w:type="dxa"/>
          </w:tcPr>
          <w:p w:rsidR="000F48AC" w:rsidRPr="008425BD" w:rsidRDefault="000F48AC" w:rsidP="006F6EA0">
            <w:pPr>
              <w:pStyle w:val="HTMLAddress"/>
              <w:rPr>
                <w:i w:val="0"/>
                <w:iCs w:val="0"/>
                <w:sz w:val="18"/>
                <w:szCs w:val="18"/>
              </w:rPr>
            </w:pPr>
            <w:r w:rsidRPr="008425BD">
              <w:rPr>
                <w:i w:val="0"/>
                <w:iCs w:val="0"/>
                <w:sz w:val="18"/>
                <w:szCs w:val="18"/>
              </w:rPr>
              <w:t>Phone: 301-495-1080 ext. 4588</w:t>
            </w:r>
          </w:p>
          <w:p w:rsidR="000F48AC" w:rsidRPr="008425BD" w:rsidRDefault="000F48AC" w:rsidP="006F6EA0">
            <w:pPr>
              <w:pStyle w:val="HTMLAddress"/>
              <w:rPr>
                <w:i w:val="0"/>
                <w:iCs w:val="0"/>
                <w:sz w:val="18"/>
                <w:szCs w:val="18"/>
              </w:rPr>
            </w:pPr>
            <w:r w:rsidRPr="008425BD">
              <w:rPr>
                <w:i w:val="0"/>
                <w:iCs w:val="0"/>
                <w:sz w:val="18"/>
                <w:szCs w:val="18"/>
              </w:rPr>
              <w:t>Fax: 301-587-4352</w:t>
            </w:r>
          </w:p>
          <w:p w:rsidR="000F48AC" w:rsidRPr="008425BD" w:rsidRDefault="000F48AC" w:rsidP="006F6EA0">
            <w:pPr>
              <w:pStyle w:val="HTMLAddress"/>
              <w:rPr>
                <w:i w:val="0"/>
                <w:iCs w:val="0"/>
                <w:sz w:val="18"/>
                <w:szCs w:val="18"/>
              </w:rPr>
            </w:pPr>
            <w:r w:rsidRPr="008425BD">
              <w:rPr>
                <w:i w:val="0"/>
                <w:iCs w:val="0"/>
                <w:sz w:val="18"/>
                <w:szCs w:val="18"/>
              </w:rPr>
              <w:t>E-mail: shayashi@jbsinternational.com</w:t>
            </w:r>
          </w:p>
          <w:p w:rsidR="000F48AC" w:rsidRPr="008425BD" w:rsidRDefault="000F48AC" w:rsidP="006F6EA0">
            <w:pPr>
              <w:rPr>
                <w:sz w:val="18"/>
                <w:szCs w:val="18"/>
              </w:rPr>
            </w:pPr>
          </w:p>
        </w:tc>
      </w:tr>
      <w:tr w:rsidR="000F48AC" w:rsidRPr="008425BD" w:rsidTr="00B120B0">
        <w:trPr>
          <w:cantSplit/>
        </w:trPr>
        <w:tc>
          <w:tcPr>
            <w:tcW w:w="1976" w:type="dxa"/>
          </w:tcPr>
          <w:p w:rsidR="000F48AC" w:rsidRPr="008425BD" w:rsidRDefault="000F48AC" w:rsidP="006F6EA0">
            <w:pPr>
              <w:rPr>
                <w:sz w:val="18"/>
                <w:szCs w:val="18"/>
              </w:rPr>
            </w:pPr>
            <w:r w:rsidRPr="008425BD">
              <w:rPr>
                <w:sz w:val="18"/>
                <w:szCs w:val="18"/>
              </w:rPr>
              <w:t>Warren Hewitt, MS</w:t>
            </w:r>
          </w:p>
        </w:tc>
        <w:tc>
          <w:tcPr>
            <w:tcW w:w="3420" w:type="dxa"/>
          </w:tcPr>
          <w:p w:rsidR="000F48AC" w:rsidRPr="008425BD" w:rsidRDefault="000F48AC" w:rsidP="006F6EA0">
            <w:pPr>
              <w:rPr>
                <w:sz w:val="18"/>
                <w:szCs w:val="18"/>
              </w:rPr>
            </w:pPr>
            <w:r w:rsidRPr="008425BD">
              <w:rPr>
                <w:sz w:val="18"/>
                <w:szCs w:val="18"/>
              </w:rPr>
              <w:t>SAMHSA/CSAT</w:t>
            </w:r>
          </w:p>
          <w:p w:rsidR="000F48AC" w:rsidRPr="008425BD" w:rsidRDefault="000F48AC" w:rsidP="006F6EA0">
            <w:pPr>
              <w:rPr>
                <w:sz w:val="18"/>
                <w:szCs w:val="18"/>
              </w:rPr>
            </w:pPr>
            <w:r w:rsidRPr="008425BD">
              <w:rPr>
                <w:sz w:val="18"/>
                <w:szCs w:val="18"/>
              </w:rPr>
              <w:t>AIDS Coordinator</w:t>
            </w:r>
          </w:p>
          <w:p w:rsidR="000F48AC" w:rsidRPr="008425BD" w:rsidRDefault="000F48AC" w:rsidP="006F6EA0">
            <w:pPr>
              <w:rPr>
                <w:sz w:val="18"/>
                <w:szCs w:val="18"/>
              </w:rPr>
            </w:pPr>
            <w:r w:rsidRPr="008425BD">
              <w:rPr>
                <w:sz w:val="18"/>
                <w:szCs w:val="18"/>
              </w:rPr>
              <w:t>1 Choke Cherry Rd</w:t>
            </w:r>
          </w:p>
          <w:p w:rsidR="000F48AC" w:rsidRPr="008425BD" w:rsidRDefault="000F48AC" w:rsidP="006F6EA0">
            <w:pPr>
              <w:rPr>
                <w:sz w:val="18"/>
                <w:szCs w:val="18"/>
              </w:rPr>
            </w:pPr>
            <w:r w:rsidRPr="008425BD">
              <w:rPr>
                <w:sz w:val="18"/>
                <w:szCs w:val="18"/>
              </w:rPr>
              <w:t>Rockville, MD 20857</w:t>
            </w:r>
          </w:p>
        </w:tc>
        <w:tc>
          <w:tcPr>
            <w:tcW w:w="3244" w:type="dxa"/>
          </w:tcPr>
          <w:p w:rsidR="000F48AC" w:rsidRPr="008425BD" w:rsidRDefault="000F48AC" w:rsidP="006F6EA0">
            <w:pPr>
              <w:rPr>
                <w:sz w:val="18"/>
                <w:szCs w:val="18"/>
                <w:lang w:val="fr-FR"/>
              </w:rPr>
            </w:pPr>
            <w:r w:rsidRPr="008425BD">
              <w:rPr>
                <w:sz w:val="18"/>
                <w:szCs w:val="18"/>
                <w:lang w:val="fr-FR"/>
              </w:rPr>
              <w:t>Phone: 240-276-1616</w:t>
            </w:r>
          </w:p>
          <w:p w:rsidR="000F48AC" w:rsidRPr="008425BD" w:rsidRDefault="000F48AC" w:rsidP="006F6EA0">
            <w:pPr>
              <w:rPr>
                <w:sz w:val="18"/>
                <w:szCs w:val="18"/>
                <w:lang w:val="fr-FR"/>
              </w:rPr>
            </w:pPr>
            <w:r w:rsidRPr="008425BD">
              <w:rPr>
                <w:sz w:val="18"/>
                <w:szCs w:val="18"/>
                <w:lang w:val="fr-FR"/>
              </w:rPr>
              <w:t>Fax: 240-276-1670</w:t>
            </w:r>
          </w:p>
          <w:p w:rsidR="000F48AC" w:rsidRPr="008425BD" w:rsidRDefault="000F48AC" w:rsidP="006F6EA0">
            <w:pPr>
              <w:rPr>
                <w:sz w:val="18"/>
                <w:szCs w:val="18"/>
                <w:lang w:val="fr-FR"/>
              </w:rPr>
            </w:pPr>
            <w:r w:rsidRPr="008425BD">
              <w:rPr>
                <w:sz w:val="18"/>
                <w:szCs w:val="18"/>
                <w:lang w:val="fr-FR"/>
              </w:rPr>
              <w:t>E-mail: Warren.hewitt@samhsa.hhs.gov</w:t>
            </w:r>
          </w:p>
          <w:p w:rsidR="000F48AC" w:rsidRPr="008425BD" w:rsidRDefault="000F48AC" w:rsidP="006F6EA0">
            <w:pPr>
              <w:rPr>
                <w:sz w:val="18"/>
                <w:szCs w:val="18"/>
                <w:lang w:val="fr-FR"/>
              </w:rPr>
            </w:pPr>
          </w:p>
        </w:tc>
      </w:tr>
      <w:tr w:rsidR="000F48AC" w:rsidRPr="008425BD" w:rsidTr="00B120B0">
        <w:trPr>
          <w:cantSplit/>
        </w:trPr>
        <w:tc>
          <w:tcPr>
            <w:tcW w:w="1976" w:type="dxa"/>
          </w:tcPr>
          <w:p w:rsidR="000F48AC" w:rsidRPr="008425BD" w:rsidRDefault="000F48AC" w:rsidP="006F6EA0">
            <w:pPr>
              <w:rPr>
                <w:sz w:val="18"/>
                <w:szCs w:val="18"/>
              </w:rPr>
            </w:pPr>
            <w:r w:rsidRPr="008425BD">
              <w:rPr>
                <w:sz w:val="18"/>
                <w:szCs w:val="18"/>
              </w:rPr>
              <w:t>Kevin Hylton, PhD</w:t>
            </w:r>
          </w:p>
        </w:tc>
        <w:tc>
          <w:tcPr>
            <w:tcW w:w="3420" w:type="dxa"/>
          </w:tcPr>
          <w:p w:rsidR="000F48AC" w:rsidRPr="008425BD" w:rsidRDefault="000F48AC" w:rsidP="00D27002">
            <w:pPr>
              <w:rPr>
                <w:sz w:val="18"/>
                <w:szCs w:val="18"/>
              </w:rPr>
            </w:pPr>
            <w:r w:rsidRPr="008425BD">
              <w:rPr>
                <w:sz w:val="18"/>
                <w:szCs w:val="18"/>
              </w:rPr>
              <w:t>Alliances for Quality Education, Inc.</w:t>
            </w:r>
            <w:r w:rsidRPr="008425BD">
              <w:rPr>
                <w:sz w:val="18"/>
                <w:szCs w:val="18"/>
              </w:rPr>
              <w:br/>
              <w:t>TCE-HIV Multi-Site Evaluation Deputy Project Director</w:t>
            </w:r>
            <w:r w:rsidRPr="008425BD">
              <w:rPr>
                <w:sz w:val="18"/>
                <w:szCs w:val="18"/>
              </w:rPr>
              <w:br/>
              <w:t xml:space="preserve">8181 Professional Place, Suite 110 </w:t>
            </w:r>
            <w:r w:rsidRPr="008425BD">
              <w:rPr>
                <w:sz w:val="18"/>
                <w:szCs w:val="18"/>
              </w:rPr>
              <w:br/>
              <w:t>Landover, Maryland 20785</w:t>
            </w:r>
          </w:p>
        </w:tc>
        <w:tc>
          <w:tcPr>
            <w:tcW w:w="3244" w:type="dxa"/>
          </w:tcPr>
          <w:p w:rsidR="000F48AC" w:rsidRPr="008425BD" w:rsidRDefault="000F48AC" w:rsidP="006F6EA0">
            <w:pPr>
              <w:rPr>
                <w:sz w:val="18"/>
                <w:szCs w:val="18"/>
                <w:lang w:val="fr-FR"/>
              </w:rPr>
            </w:pPr>
            <w:r w:rsidRPr="008425BD">
              <w:rPr>
                <w:sz w:val="18"/>
                <w:szCs w:val="18"/>
                <w:lang w:val="fr-FR"/>
              </w:rPr>
              <w:t xml:space="preserve">Phone: 301-583-8424 </w:t>
            </w:r>
            <w:r w:rsidRPr="008425BD">
              <w:rPr>
                <w:sz w:val="18"/>
                <w:szCs w:val="18"/>
                <w:lang w:val="fr-FR"/>
              </w:rPr>
              <w:br/>
              <w:t>Fax: 301-583-8422</w:t>
            </w:r>
          </w:p>
          <w:p w:rsidR="000F48AC" w:rsidRPr="008425BD" w:rsidRDefault="000F48AC" w:rsidP="006F6EA0">
            <w:pPr>
              <w:rPr>
                <w:sz w:val="18"/>
                <w:szCs w:val="18"/>
                <w:lang w:val="fr-FR"/>
              </w:rPr>
            </w:pPr>
            <w:r w:rsidRPr="008425BD">
              <w:rPr>
                <w:sz w:val="18"/>
                <w:szCs w:val="18"/>
                <w:lang w:val="fr-FR"/>
              </w:rPr>
              <w:t xml:space="preserve">E-mail: khylton@aqe-inc.com </w:t>
            </w:r>
          </w:p>
        </w:tc>
      </w:tr>
      <w:tr w:rsidR="000F48AC" w:rsidRPr="008425BD" w:rsidTr="00B120B0">
        <w:trPr>
          <w:cantSplit/>
        </w:trPr>
        <w:tc>
          <w:tcPr>
            <w:tcW w:w="1976" w:type="dxa"/>
          </w:tcPr>
          <w:p w:rsidR="000F48AC" w:rsidRPr="008425BD" w:rsidRDefault="000F48AC" w:rsidP="006F6EA0">
            <w:pPr>
              <w:rPr>
                <w:sz w:val="18"/>
                <w:szCs w:val="18"/>
              </w:rPr>
            </w:pPr>
            <w:r w:rsidRPr="008425BD">
              <w:rPr>
                <w:sz w:val="18"/>
                <w:szCs w:val="18"/>
              </w:rPr>
              <w:t>Jennifer Kasten, PhD</w:t>
            </w:r>
          </w:p>
        </w:tc>
        <w:tc>
          <w:tcPr>
            <w:tcW w:w="3420" w:type="dxa"/>
          </w:tcPr>
          <w:p w:rsidR="000F48AC" w:rsidRPr="008425BD" w:rsidRDefault="000F48AC" w:rsidP="006F6EA0">
            <w:pPr>
              <w:pStyle w:val="HTMLAddress"/>
              <w:rPr>
                <w:i w:val="0"/>
                <w:iCs w:val="0"/>
                <w:sz w:val="18"/>
                <w:szCs w:val="18"/>
              </w:rPr>
            </w:pPr>
            <w:r w:rsidRPr="008425BD">
              <w:rPr>
                <w:i w:val="0"/>
                <w:iCs w:val="0"/>
                <w:sz w:val="18"/>
                <w:szCs w:val="18"/>
              </w:rPr>
              <w:t>JBS International, Inc.</w:t>
            </w:r>
          </w:p>
          <w:p w:rsidR="000F48AC" w:rsidRPr="008425BD" w:rsidRDefault="000F48AC" w:rsidP="006F6EA0">
            <w:pPr>
              <w:rPr>
                <w:sz w:val="18"/>
                <w:szCs w:val="18"/>
              </w:rPr>
            </w:pPr>
            <w:r w:rsidRPr="008425BD">
              <w:rPr>
                <w:sz w:val="18"/>
                <w:szCs w:val="18"/>
              </w:rPr>
              <w:t>TCE-HIV Multi-Site Evaluation Lead</w:t>
            </w:r>
          </w:p>
          <w:p w:rsidR="000F48AC" w:rsidRPr="008425BD" w:rsidRDefault="000F48AC" w:rsidP="006F6EA0">
            <w:pPr>
              <w:rPr>
                <w:sz w:val="18"/>
                <w:szCs w:val="18"/>
              </w:rPr>
            </w:pPr>
            <w:r w:rsidRPr="008425BD">
              <w:rPr>
                <w:sz w:val="18"/>
                <w:szCs w:val="18"/>
              </w:rPr>
              <w:t>5515 Security Lane, Suite 800</w:t>
            </w:r>
            <w:r w:rsidRPr="008425BD">
              <w:rPr>
                <w:sz w:val="18"/>
                <w:szCs w:val="18"/>
              </w:rPr>
              <w:br/>
              <w:t>North Bethesda, MD 20852-5007</w:t>
            </w:r>
          </w:p>
        </w:tc>
        <w:tc>
          <w:tcPr>
            <w:tcW w:w="3244" w:type="dxa"/>
          </w:tcPr>
          <w:p w:rsidR="000F48AC" w:rsidRPr="008425BD" w:rsidRDefault="000F48AC" w:rsidP="006F6EA0">
            <w:pPr>
              <w:rPr>
                <w:sz w:val="18"/>
                <w:szCs w:val="18"/>
                <w:lang w:val="fr-FR"/>
              </w:rPr>
            </w:pPr>
            <w:r w:rsidRPr="008425BD">
              <w:rPr>
                <w:sz w:val="18"/>
                <w:szCs w:val="18"/>
                <w:lang w:val="fr-FR"/>
              </w:rPr>
              <w:t>Phone: 240-645-4145</w:t>
            </w:r>
          </w:p>
          <w:p w:rsidR="000F48AC" w:rsidRPr="008425BD" w:rsidRDefault="000F48AC" w:rsidP="006F6EA0">
            <w:pPr>
              <w:rPr>
                <w:sz w:val="18"/>
                <w:szCs w:val="18"/>
                <w:lang w:val="fr-FR"/>
              </w:rPr>
            </w:pPr>
            <w:r w:rsidRPr="008425BD">
              <w:rPr>
                <w:sz w:val="18"/>
                <w:szCs w:val="18"/>
                <w:lang w:val="fr-FR"/>
              </w:rPr>
              <w:t>Fax: 301-495-1080</w:t>
            </w:r>
          </w:p>
          <w:p w:rsidR="000F48AC" w:rsidRPr="008425BD" w:rsidRDefault="000F48AC" w:rsidP="006F6EA0">
            <w:pPr>
              <w:rPr>
                <w:sz w:val="18"/>
                <w:szCs w:val="18"/>
                <w:lang w:val="fr-FR"/>
              </w:rPr>
            </w:pPr>
            <w:r w:rsidRPr="008425BD">
              <w:rPr>
                <w:sz w:val="18"/>
                <w:szCs w:val="18"/>
                <w:lang w:val="fr-FR"/>
              </w:rPr>
              <w:t xml:space="preserve">E-mail: jkasten@jbsinternational.com </w:t>
            </w:r>
          </w:p>
        </w:tc>
      </w:tr>
      <w:tr w:rsidR="000F48AC" w:rsidRPr="008425BD" w:rsidTr="00B120B0">
        <w:trPr>
          <w:cantSplit/>
        </w:trPr>
        <w:tc>
          <w:tcPr>
            <w:tcW w:w="1976" w:type="dxa"/>
          </w:tcPr>
          <w:p w:rsidR="000F48AC" w:rsidRPr="008425BD" w:rsidRDefault="000F48AC">
            <w:pPr>
              <w:rPr>
                <w:sz w:val="18"/>
                <w:szCs w:val="18"/>
              </w:rPr>
            </w:pPr>
            <w:r w:rsidRPr="008425BD">
              <w:rPr>
                <w:sz w:val="18"/>
                <w:szCs w:val="18"/>
              </w:rPr>
              <w:t>Resa Matthew, PhD</w:t>
            </w:r>
          </w:p>
        </w:tc>
        <w:tc>
          <w:tcPr>
            <w:tcW w:w="3420" w:type="dxa"/>
          </w:tcPr>
          <w:p w:rsidR="000F48AC" w:rsidRPr="008425BD" w:rsidRDefault="000F48AC">
            <w:pPr>
              <w:pStyle w:val="HTMLAddress"/>
              <w:rPr>
                <w:i w:val="0"/>
                <w:iCs w:val="0"/>
                <w:sz w:val="18"/>
                <w:szCs w:val="18"/>
              </w:rPr>
            </w:pPr>
            <w:r w:rsidRPr="008425BD">
              <w:rPr>
                <w:i w:val="0"/>
                <w:iCs w:val="0"/>
                <w:sz w:val="18"/>
                <w:szCs w:val="18"/>
              </w:rPr>
              <w:t>JBS International, Inc.</w:t>
            </w:r>
          </w:p>
          <w:p w:rsidR="000F48AC" w:rsidRPr="008425BD" w:rsidRDefault="000F48AC">
            <w:pPr>
              <w:rPr>
                <w:sz w:val="18"/>
                <w:szCs w:val="18"/>
              </w:rPr>
            </w:pPr>
            <w:r w:rsidRPr="008425BD">
              <w:rPr>
                <w:sz w:val="18"/>
                <w:szCs w:val="18"/>
              </w:rPr>
              <w:t>TCE-HIV Multi-Site Evaluation Project Director</w:t>
            </w:r>
          </w:p>
          <w:p w:rsidR="000F48AC" w:rsidRPr="008425BD" w:rsidRDefault="000F48AC">
            <w:pPr>
              <w:rPr>
                <w:sz w:val="18"/>
                <w:szCs w:val="18"/>
              </w:rPr>
            </w:pPr>
            <w:r w:rsidRPr="008425BD">
              <w:rPr>
                <w:sz w:val="18"/>
                <w:szCs w:val="18"/>
              </w:rPr>
              <w:t>5515 Security Lane, Suite 800</w:t>
            </w:r>
            <w:r w:rsidRPr="008425BD">
              <w:rPr>
                <w:sz w:val="18"/>
                <w:szCs w:val="18"/>
              </w:rPr>
              <w:br/>
              <w:t>North Bethesda, MD 20852-5007</w:t>
            </w:r>
          </w:p>
        </w:tc>
        <w:tc>
          <w:tcPr>
            <w:tcW w:w="3244" w:type="dxa"/>
          </w:tcPr>
          <w:p w:rsidR="000F48AC" w:rsidRPr="008425BD" w:rsidRDefault="000F48AC">
            <w:pPr>
              <w:rPr>
                <w:sz w:val="18"/>
                <w:szCs w:val="18"/>
                <w:lang w:val="fr-FR"/>
              </w:rPr>
            </w:pPr>
            <w:r w:rsidRPr="008425BD">
              <w:rPr>
                <w:sz w:val="18"/>
                <w:szCs w:val="18"/>
                <w:lang w:val="fr-FR"/>
              </w:rPr>
              <w:t>Phone: 240-645-4608</w:t>
            </w:r>
          </w:p>
          <w:p w:rsidR="000F48AC" w:rsidRPr="008425BD" w:rsidRDefault="000F48AC">
            <w:pPr>
              <w:rPr>
                <w:sz w:val="18"/>
                <w:szCs w:val="18"/>
                <w:lang w:val="fr-FR"/>
              </w:rPr>
            </w:pPr>
            <w:r w:rsidRPr="008425BD">
              <w:rPr>
                <w:sz w:val="18"/>
                <w:szCs w:val="18"/>
                <w:lang w:val="fr-FR"/>
              </w:rPr>
              <w:t>Fax: 301-495-1080</w:t>
            </w:r>
          </w:p>
          <w:p w:rsidR="000F48AC" w:rsidRPr="008425BD" w:rsidRDefault="000F48AC">
            <w:pPr>
              <w:rPr>
                <w:sz w:val="18"/>
                <w:szCs w:val="18"/>
                <w:lang w:val="fr-FR"/>
              </w:rPr>
            </w:pPr>
            <w:r w:rsidRPr="008425BD">
              <w:rPr>
                <w:sz w:val="18"/>
                <w:szCs w:val="18"/>
                <w:lang w:val="fr-FR"/>
              </w:rPr>
              <w:t xml:space="preserve">E-mail: rmatthew@jbsinternational.com </w:t>
            </w:r>
          </w:p>
        </w:tc>
      </w:tr>
      <w:tr w:rsidR="000F48AC" w:rsidRPr="008425BD" w:rsidTr="00B120B0">
        <w:trPr>
          <w:cantSplit/>
        </w:trPr>
        <w:tc>
          <w:tcPr>
            <w:tcW w:w="1976" w:type="dxa"/>
          </w:tcPr>
          <w:p w:rsidR="000F48AC" w:rsidRPr="008425BD" w:rsidRDefault="000F48AC">
            <w:pPr>
              <w:rPr>
                <w:sz w:val="18"/>
                <w:szCs w:val="18"/>
              </w:rPr>
            </w:pPr>
            <w:r w:rsidRPr="008425BD">
              <w:rPr>
                <w:sz w:val="18"/>
                <w:szCs w:val="18"/>
              </w:rPr>
              <w:t>Naomi Tomoyasu, PhD</w:t>
            </w:r>
          </w:p>
        </w:tc>
        <w:tc>
          <w:tcPr>
            <w:tcW w:w="3420" w:type="dxa"/>
          </w:tcPr>
          <w:p w:rsidR="000F48AC" w:rsidRPr="008425BD" w:rsidRDefault="000F48AC">
            <w:pPr>
              <w:rPr>
                <w:sz w:val="18"/>
                <w:szCs w:val="18"/>
              </w:rPr>
            </w:pPr>
            <w:r w:rsidRPr="008425BD">
              <w:rPr>
                <w:sz w:val="18"/>
                <w:szCs w:val="18"/>
              </w:rPr>
              <w:t>SAMHSA/ CSAT</w:t>
            </w:r>
          </w:p>
          <w:p w:rsidR="000F48AC" w:rsidRPr="008425BD" w:rsidRDefault="000F48AC">
            <w:pPr>
              <w:rPr>
                <w:sz w:val="18"/>
                <w:szCs w:val="18"/>
              </w:rPr>
            </w:pPr>
            <w:r w:rsidRPr="008425BD">
              <w:rPr>
                <w:sz w:val="18"/>
                <w:szCs w:val="18"/>
              </w:rPr>
              <w:t>Branch Chief</w:t>
            </w:r>
          </w:p>
          <w:p w:rsidR="000F48AC" w:rsidRPr="008425BD" w:rsidRDefault="000F48AC">
            <w:pPr>
              <w:rPr>
                <w:sz w:val="18"/>
                <w:szCs w:val="18"/>
              </w:rPr>
            </w:pPr>
            <w:r w:rsidRPr="008425BD">
              <w:rPr>
                <w:sz w:val="18"/>
                <w:szCs w:val="18"/>
              </w:rPr>
              <w:t>1 Choke Cherry Rd</w:t>
            </w:r>
          </w:p>
          <w:p w:rsidR="000F48AC" w:rsidRPr="008425BD" w:rsidRDefault="000F48AC">
            <w:pPr>
              <w:rPr>
                <w:sz w:val="18"/>
                <w:szCs w:val="18"/>
              </w:rPr>
            </w:pPr>
            <w:r w:rsidRPr="008425BD">
              <w:rPr>
                <w:sz w:val="18"/>
                <w:szCs w:val="18"/>
              </w:rPr>
              <w:t>Rockville, MD 20857</w:t>
            </w:r>
          </w:p>
        </w:tc>
        <w:tc>
          <w:tcPr>
            <w:tcW w:w="3244" w:type="dxa"/>
          </w:tcPr>
          <w:p w:rsidR="000F48AC" w:rsidRPr="008425BD" w:rsidRDefault="000F48AC">
            <w:pPr>
              <w:rPr>
                <w:sz w:val="18"/>
                <w:szCs w:val="18"/>
                <w:lang w:val="fr-FR"/>
              </w:rPr>
            </w:pPr>
            <w:r w:rsidRPr="008425BD">
              <w:rPr>
                <w:sz w:val="18"/>
                <w:szCs w:val="18"/>
                <w:lang w:val="fr-FR"/>
              </w:rPr>
              <w:t>Phone: 240-276-1613</w:t>
            </w:r>
          </w:p>
          <w:p w:rsidR="000F48AC" w:rsidRPr="008425BD" w:rsidRDefault="000F48AC">
            <w:pPr>
              <w:rPr>
                <w:sz w:val="18"/>
                <w:szCs w:val="18"/>
                <w:lang w:val="fr-FR"/>
              </w:rPr>
            </w:pPr>
            <w:r w:rsidRPr="008425BD">
              <w:rPr>
                <w:sz w:val="18"/>
                <w:szCs w:val="18"/>
                <w:lang w:val="fr-FR"/>
              </w:rPr>
              <w:t>E-mail: Naomi.tomoyasu@samhsa.hhs.gov</w:t>
            </w:r>
          </w:p>
          <w:p w:rsidR="000F48AC" w:rsidRPr="008425BD" w:rsidRDefault="000F48AC">
            <w:pPr>
              <w:rPr>
                <w:sz w:val="18"/>
                <w:szCs w:val="18"/>
                <w:lang w:val="fr-FR"/>
              </w:rPr>
            </w:pPr>
          </w:p>
        </w:tc>
      </w:tr>
      <w:tr w:rsidR="000F48AC" w:rsidRPr="008425BD" w:rsidTr="00B120B0">
        <w:trPr>
          <w:cantSplit/>
        </w:trPr>
        <w:tc>
          <w:tcPr>
            <w:tcW w:w="1976" w:type="dxa"/>
          </w:tcPr>
          <w:p w:rsidR="000F48AC" w:rsidRPr="008425BD" w:rsidRDefault="000F48AC">
            <w:pPr>
              <w:rPr>
                <w:sz w:val="18"/>
                <w:szCs w:val="18"/>
              </w:rPr>
            </w:pPr>
            <w:r w:rsidRPr="008425BD">
              <w:rPr>
                <w:sz w:val="18"/>
                <w:szCs w:val="18"/>
              </w:rPr>
              <w:t>Willie Tompkins, PhD</w:t>
            </w:r>
          </w:p>
        </w:tc>
        <w:tc>
          <w:tcPr>
            <w:tcW w:w="3420" w:type="dxa"/>
          </w:tcPr>
          <w:p w:rsidR="000F48AC" w:rsidRPr="008425BD" w:rsidRDefault="000F48AC">
            <w:pPr>
              <w:rPr>
                <w:sz w:val="18"/>
                <w:szCs w:val="18"/>
              </w:rPr>
            </w:pPr>
            <w:r w:rsidRPr="008425BD">
              <w:rPr>
                <w:sz w:val="18"/>
                <w:szCs w:val="18"/>
              </w:rPr>
              <w:t>SAMHSA/CSAT</w:t>
            </w:r>
          </w:p>
          <w:p w:rsidR="000F48AC" w:rsidRPr="008425BD" w:rsidRDefault="000F48AC">
            <w:pPr>
              <w:rPr>
                <w:sz w:val="18"/>
                <w:szCs w:val="18"/>
              </w:rPr>
            </w:pPr>
            <w:r w:rsidRPr="008425BD">
              <w:rPr>
                <w:sz w:val="18"/>
                <w:szCs w:val="18"/>
              </w:rPr>
              <w:t>Government Project Officer</w:t>
            </w:r>
          </w:p>
          <w:p w:rsidR="000F48AC" w:rsidRPr="008425BD" w:rsidRDefault="000F48AC">
            <w:pPr>
              <w:rPr>
                <w:sz w:val="18"/>
                <w:szCs w:val="18"/>
              </w:rPr>
            </w:pPr>
            <w:r w:rsidRPr="008425BD">
              <w:rPr>
                <w:sz w:val="18"/>
                <w:szCs w:val="18"/>
              </w:rPr>
              <w:t>1 Choke Cherry Rd</w:t>
            </w:r>
          </w:p>
          <w:p w:rsidR="000F48AC" w:rsidRPr="008425BD" w:rsidRDefault="000F48AC">
            <w:pPr>
              <w:rPr>
                <w:sz w:val="18"/>
                <w:szCs w:val="18"/>
              </w:rPr>
            </w:pPr>
            <w:r w:rsidRPr="008425BD">
              <w:rPr>
                <w:sz w:val="18"/>
                <w:szCs w:val="18"/>
              </w:rPr>
              <w:t>Rockville, MD 20857</w:t>
            </w:r>
          </w:p>
        </w:tc>
        <w:tc>
          <w:tcPr>
            <w:tcW w:w="3244" w:type="dxa"/>
          </w:tcPr>
          <w:p w:rsidR="000F48AC" w:rsidRPr="008425BD" w:rsidRDefault="000F48AC">
            <w:pPr>
              <w:rPr>
                <w:sz w:val="18"/>
                <w:szCs w:val="18"/>
                <w:lang w:val="fr-FR"/>
              </w:rPr>
            </w:pPr>
            <w:r w:rsidRPr="008425BD">
              <w:rPr>
                <w:sz w:val="18"/>
                <w:szCs w:val="18"/>
                <w:lang w:val="fr-FR"/>
              </w:rPr>
              <w:t>Phone: 240-276-2899</w:t>
            </w:r>
          </w:p>
          <w:p w:rsidR="000F48AC" w:rsidRPr="008425BD" w:rsidRDefault="000F48AC">
            <w:pPr>
              <w:rPr>
                <w:sz w:val="18"/>
                <w:szCs w:val="18"/>
                <w:lang w:val="fr-FR"/>
              </w:rPr>
            </w:pPr>
            <w:r w:rsidRPr="008425BD">
              <w:rPr>
                <w:sz w:val="18"/>
                <w:szCs w:val="18"/>
                <w:lang w:val="fr-FR"/>
              </w:rPr>
              <w:t>E-mail: willie.tompkins@samhsa.hhs.gov</w:t>
            </w:r>
          </w:p>
          <w:p w:rsidR="000F48AC" w:rsidRPr="008425BD" w:rsidRDefault="000F48AC">
            <w:pPr>
              <w:rPr>
                <w:sz w:val="18"/>
                <w:szCs w:val="18"/>
                <w:lang w:val="fr-FR"/>
              </w:rPr>
            </w:pPr>
          </w:p>
        </w:tc>
      </w:tr>
      <w:tr w:rsidR="000F48AC" w:rsidRPr="008425BD" w:rsidTr="00B120B0">
        <w:trPr>
          <w:cantSplit/>
        </w:trPr>
        <w:tc>
          <w:tcPr>
            <w:tcW w:w="1976" w:type="dxa"/>
          </w:tcPr>
          <w:p w:rsidR="000F48AC" w:rsidRPr="008425BD" w:rsidRDefault="000F48AC">
            <w:pPr>
              <w:rPr>
                <w:sz w:val="18"/>
                <w:szCs w:val="18"/>
              </w:rPr>
            </w:pPr>
            <w:r w:rsidRPr="008425BD">
              <w:rPr>
                <w:sz w:val="18"/>
                <w:szCs w:val="18"/>
              </w:rPr>
              <w:t>Ping Yu, PhD</w:t>
            </w:r>
          </w:p>
        </w:tc>
        <w:tc>
          <w:tcPr>
            <w:tcW w:w="3420" w:type="dxa"/>
          </w:tcPr>
          <w:p w:rsidR="000F48AC" w:rsidRPr="008425BD" w:rsidRDefault="000F48AC">
            <w:pPr>
              <w:rPr>
                <w:sz w:val="18"/>
                <w:szCs w:val="18"/>
              </w:rPr>
            </w:pPr>
            <w:r w:rsidRPr="008425BD">
              <w:rPr>
                <w:sz w:val="18"/>
                <w:szCs w:val="18"/>
              </w:rPr>
              <w:t>Battelle Memorial Institute</w:t>
            </w:r>
          </w:p>
          <w:p w:rsidR="000F48AC" w:rsidRPr="008425BD" w:rsidRDefault="000F48AC">
            <w:pPr>
              <w:rPr>
                <w:sz w:val="18"/>
                <w:szCs w:val="18"/>
              </w:rPr>
            </w:pPr>
            <w:r w:rsidRPr="008425BD">
              <w:rPr>
                <w:sz w:val="18"/>
                <w:szCs w:val="18"/>
              </w:rPr>
              <w:t>TCE-HIV Multi-Site Evaluation Subcontract Director/Co-PI</w:t>
            </w:r>
          </w:p>
          <w:p w:rsidR="000F48AC" w:rsidRPr="008425BD" w:rsidRDefault="000F48AC">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sz w:val="18"/>
                <w:szCs w:val="18"/>
                <w:lang w:val="fr-FR"/>
              </w:rPr>
            </w:pPr>
            <w:r w:rsidRPr="008425BD">
              <w:rPr>
                <w:sz w:val="18"/>
                <w:szCs w:val="18"/>
                <w:lang w:val="fr-FR"/>
              </w:rPr>
              <w:t>2101 Wilson Boulevard Suite 800</w:t>
            </w:r>
          </w:p>
          <w:p w:rsidR="000F48AC" w:rsidRPr="008425BD" w:rsidRDefault="000F48AC">
            <w:pPr>
              <w:rPr>
                <w:sz w:val="18"/>
                <w:szCs w:val="18"/>
                <w:lang w:val="fr-FR"/>
              </w:rPr>
            </w:pPr>
            <w:r w:rsidRPr="008425BD">
              <w:rPr>
                <w:sz w:val="18"/>
                <w:szCs w:val="18"/>
                <w:lang w:val="fr-FR"/>
              </w:rPr>
              <w:t>Arlington, VA 22201-3008</w:t>
            </w:r>
          </w:p>
        </w:tc>
        <w:tc>
          <w:tcPr>
            <w:tcW w:w="3244" w:type="dxa"/>
          </w:tcPr>
          <w:p w:rsidR="000F48AC" w:rsidRPr="008425BD" w:rsidRDefault="000F48AC">
            <w:pPr>
              <w:rPr>
                <w:sz w:val="18"/>
                <w:szCs w:val="18"/>
                <w:lang w:val="fr-FR"/>
              </w:rPr>
            </w:pPr>
            <w:r w:rsidRPr="008425BD">
              <w:rPr>
                <w:sz w:val="18"/>
                <w:szCs w:val="18"/>
                <w:lang w:val="fr-FR"/>
              </w:rPr>
              <w:t xml:space="preserve">Phone: 703-875-2981 </w:t>
            </w:r>
          </w:p>
          <w:p w:rsidR="000F48AC" w:rsidRPr="008425BD" w:rsidRDefault="000F48AC">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sz w:val="18"/>
                <w:szCs w:val="18"/>
                <w:lang w:val="fr-FR"/>
              </w:rPr>
            </w:pPr>
            <w:r w:rsidRPr="008425BD">
              <w:rPr>
                <w:sz w:val="18"/>
                <w:szCs w:val="18"/>
                <w:lang w:val="fr-FR"/>
              </w:rPr>
              <w:t>Fax: 703-527-5640</w:t>
            </w:r>
          </w:p>
          <w:p w:rsidR="000F48AC" w:rsidRPr="008425BD" w:rsidRDefault="000F48AC">
            <w:pPr>
              <w:rPr>
                <w:sz w:val="18"/>
                <w:szCs w:val="18"/>
                <w:lang w:val="fr-FR"/>
              </w:rPr>
            </w:pPr>
            <w:r w:rsidRPr="008425BD">
              <w:rPr>
                <w:sz w:val="18"/>
                <w:szCs w:val="18"/>
                <w:lang w:val="fr-FR"/>
              </w:rPr>
              <w:t>E-mail: Yup@battelle.org</w:t>
            </w:r>
          </w:p>
        </w:tc>
      </w:tr>
    </w:tbl>
    <w:p w:rsidR="000F48AC" w:rsidRPr="004744AC" w:rsidRDefault="000F48AC" w:rsidP="00543169">
      <w:pPr>
        <w:rPr>
          <w:b/>
          <w:bCs/>
          <w:lang w:val="fr-FR"/>
        </w:rPr>
      </w:pPr>
    </w:p>
    <w:p w:rsidR="000F48AC" w:rsidRDefault="000F48AC" w:rsidP="00B67C5F">
      <w:pPr>
        <w:ind w:left="720"/>
      </w:pPr>
      <w:r w:rsidRPr="00CB7D29">
        <w:t>Additional consultation was sought from TCE-HIV Grantees and representative respondents during pilot site visits conducted October</w:t>
      </w:r>
      <w:r>
        <w:t>–</w:t>
      </w:r>
      <w:r w:rsidRPr="00CB7D29">
        <w:t xml:space="preserve">December 2009. The visits provided the Multi-Site Evaluation </w:t>
      </w:r>
      <w:r>
        <w:t>T</w:t>
      </w:r>
      <w:r w:rsidRPr="00CB7D29">
        <w:t>eam with feedback and comments regarding data collection instruments and processes.</w:t>
      </w:r>
      <w:r>
        <w:rPr>
          <w:color w:val="339966"/>
        </w:rPr>
        <w:t xml:space="preserve"> </w:t>
      </w:r>
      <w:r>
        <w:rPr>
          <w:color w:val="000000"/>
        </w:rPr>
        <w:t xml:space="preserve">As a result of the consultation and feedback, data collection instruments were revised. </w:t>
      </w:r>
      <w:r w:rsidRPr="009015DA">
        <w:rPr>
          <w:color w:val="000000"/>
        </w:rPr>
        <w:t xml:space="preserve">See </w:t>
      </w:r>
      <w:r w:rsidRPr="005A7873">
        <w:t xml:space="preserve">Attachment </w:t>
      </w:r>
      <w:r>
        <w:t xml:space="preserve">4 - Document 1 </w:t>
      </w:r>
      <w:r w:rsidRPr="009015DA">
        <w:rPr>
          <w:color w:val="000000"/>
        </w:rPr>
        <w:t>for</w:t>
      </w:r>
      <w:r>
        <w:rPr>
          <w:color w:val="000000"/>
        </w:rPr>
        <w:t xml:space="preserve"> a summary of pilot site visit feedback and revisions made to instruments. </w:t>
      </w:r>
      <w:r w:rsidRPr="00543169">
        <w:t xml:space="preserve">The </w:t>
      </w:r>
      <w:r>
        <w:t>list of TCE-HIV Grantee consultants is provided in Exhibit 7.</w:t>
      </w:r>
    </w:p>
    <w:p w:rsidR="000F48AC" w:rsidRPr="00736721" w:rsidRDefault="000F48AC">
      <w:pPr>
        <w:rPr>
          <w:b/>
          <w:bCs/>
        </w:rPr>
      </w:pPr>
    </w:p>
    <w:p w:rsidR="000F48AC" w:rsidRDefault="000F48AC" w:rsidP="00B9101F">
      <w:pPr>
        <w:ind w:left="720"/>
        <w:rPr>
          <w:b/>
          <w:bCs/>
        </w:rPr>
      </w:pPr>
      <w:r w:rsidRPr="00D27002">
        <w:rPr>
          <w:b/>
          <w:bCs/>
        </w:rPr>
        <w:t xml:space="preserve">Exhibit </w:t>
      </w:r>
      <w:r>
        <w:rPr>
          <w:b/>
          <w:bCs/>
        </w:rPr>
        <w:t>7.</w:t>
      </w:r>
      <w:r w:rsidRPr="00D27002">
        <w:rPr>
          <w:b/>
          <w:bCs/>
        </w:rPr>
        <w:t xml:space="preserve"> TCE-HIV Grantee Consultants</w:t>
      </w:r>
    </w:p>
    <w:tbl>
      <w:tblPr>
        <w:tblW w:w="8640" w:type="dxa"/>
        <w:tblInd w:w="72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CellMar>
          <w:left w:w="86" w:type="dxa"/>
          <w:right w:w="86" w:type="dxa"/>
        </w:tblCellMar>
        <w:tblLook w:val="0000"/>
      </w:tblPr>
      <w:tblGrid>
        <w:gridCol w:w="2345"/>
        <w:gridCol w:w="3483"/>
        <w:gridCol w:w="2812"/>
      </w:tblGrid>
      <w:tr w:rsidR="000F48AC" w:rsidRPr="00C141E2" w:rsidTr="00EB37AA">
        <w:trPr>
          <w:cantSplit/>
          <w:tblHeader/>
        </w:trPr>
        <w:tc>
          <w:tcPr>
            <w:tcW w:w="2500" w:type="dxa"/>
            <w:tcBorders>
              <w:top w:val="double" w:sz="6" w:space="0" w:color="auto"/>
            </w:tcBorders>
            <w:vAlign w:val="bottom"/>
          </w:tcPr>
          <w:p w:rsidR="000F48AC" w:rsidRDefault="000F48AC">
            <w:pPr>
              <w:ind w:left="4"/>
              <w:jc w:val="center"/>
              <w:rPr>
                <w:b/>
                <w:bCs/>
              </w:rPr>
            </w:pPr>
            <w:r w:rsidRPr="00C53ACD">
              <w:rPr>
                <w:b/>
                <w:bCs/>
              </w:rPr>
              <w:t>Consultant</w:t>
            </w:r>
          </w:p>
        </w:tc>
        <w:tc>
          <w:tcPr>
            <w:tcW w:w="3720" w:type="dxa"/>
            <w:tcBorders>
              <w:top w:val="double" w:sz="6" w:space="0" w:color="auto"/>
            </w:tcBorders>
            <w:vAlign w:val="bottom"/>
          </w:tcPr>
          <w:p w:rsidR="000F48AC" w:rsidRDefault="000F48AC">
            <w:pPr>
              <w:ind w:left="4"/>
              <w:jc w:val="center"/>
            </w:pPr>
            <w:r w:rsidRPr="00C141E2">
              <w:rPr>
                <w:b/>
                <w:bCs/>
              </w:rPr>
              <w:t>Affiliation</w:t>
            </w:r>
          </w:p>
        </w:tc>
        <w:tc>
          <w:tcPr>
            <w:tcW w:w="3000" w:type="dxa"/>
            <w:tcBorders>
              <w:top w:val="double" w:sz="6" w:space="0" w:color="auto"/>
            </w:tcBorders>
            <w:vAlign w:val="bottom"/>
          </w:tcPr>
          <w:p w:rsidR="000F48AC" w:rsidRDefault="000F48AC">
            <w:pPr>
              <w:ind w:left="4"/>
              <w:jc w:val="center"/>
            </w:pPr>
            <w:r w:rsidRPr="00C141E2">
              <w:rPr>
                <w:b/>
                <w:bCs/>
              </w:rPr>
              <w:t>Contact Information</w:t>
            </w:r>
          </w:p>
        </w:tc>
      </w:tr>
      <w:tr w:rsidR="000F48AC" w:rsidRPr="00933C0B" w:rsidTr="00EB37AA">
        <w:trPr>
          <w:cantSplit/>
        </w:trPr>
        <w:tc>
          <w:tcPr>
            <w:tcW w:w="2500" w:type="dxa"/>
          </w:tcPr>
          <w:p w:rsidR="000F48AC" w:rsidRPr="00E16BE4" w:rsidRDefault="000F48AC">
            <w:pPr>
              <w:ind w:left="4"/>
              <w:rPr>
                <w:sz w:val="22"/>
                <w:szCs w:val="22"/>
              </w:rPr>
            </w:pPr>
            <w:r w:rsidRPr="00B9101F">
              <w:rPr>
                <w:sz w:val="22"/>
                <w:szCs w:val="22"/>
              </w:rPr>
              <w:t>Carla Hewitt</w:t>
            </w:r>
          </w:p>
        </w:tc>
        <w:tc>
          <w:tcPr>
            <w:tcW w:w="3720" w:type="dxa"/>
          </w:tcPr>
          <w:p w:rsidR="000F48AC" w:rsidRPr="00E16BE4" w:rsidRDefault="000F48AC">
            <w:pPr>
              <w:autoSpaceDE w:val="0"/>
              <w:autoSpaceDN w:val="0"/>
              <w:adjustRightInd w:val="0"/>
              <w:ind w:left="4"/>
              <w:rPr>
                <w:sz w:val="22"/>
                <w:szCs w:val="22"/>
              </w:rPr>
            </w:pPr>
            <w:r w:rsidRPr="00B9101F">
              <w:rPr>
                <w:sz w:val="22"/>
                <w:szCs w:val="22"/>
              </w:rPr>
              <w:t>Safe Haven</w:t>
            </w:r>
          </w:p>
          <w:p w:rsidR="000F48AC" w:rsidRPr="00E16BE4" w:rsidRDefault="000F48AC">
            <w:pPr>
              <w:autoSpaceDE w:val="0"/>
              <w:autoSpaceDN w:val="0"/>
              <w:adjustRightInd w:val="0"/>
              <w:ind w:left="4"/>
              <w:rPr>
                <w:sz w:val="22"/>
                <w:szCs w:val="22"/>
              </w:rPr>
            </w:pPr>
            <w:r w:rsidRPr="00B9101F">
              <w:rPr>
                <w:sz w:val="22"/>
                <w:szCs w:val="22"/>
              </w:rPr>
              <w:t>1140 North Capital St, NW</w:t>
            </w:r>
          </w:p>
          <w:p w:rsidR="000F48AC" w:rsidRPr="00E16BE4" w:rsidRDefault="000F48AC">
            <w:pPr>
              <w:autoSpaceDE w:val="0"/>
              <w:autoSpaceDN w:val="0"/>
              <w:adjustRightInd w:val="0"/>
              <w:ind w:left="4"/>
              <w:rPr>
                <w:sz w:val="22"/>
                <w:szCs w:val="22"/>
              </w:rPr>
            </w:pPr>
            <w:r w:rsidRPr="00B9101F">
              <w:rPr>
                <w:sz w:val="22"/>
                <w:szCs w:val="22"/>
              </w:rPr>
              <w:t>Washington, DC 20018</w:t>
            </w:r>
          </w:p>
        </w:tc>
        <w:tc>
          <w:tcPr>
            <w:tcW w:w="3000" w:type="dxa"/>
          </w:tcPr>
          <w:p w:rsidR="000F48AC" w:rsidRPr="00E16BE4" w:rsidRDefault="000F48AC">
            <w:pPr>
              <w:ind w:left="4"/>
              <w:rPr>
                <w:sz w:val="22"/>
                <w:szCs w:val="22"/>
                <w:lang w:val="fr-FR"/>
              </w:rPr>
            </w:pPr>
            <w:r w:rsidRPr="00B9101F">
              <w:rPr>
                <w:sz w:val="22"/>
                <w:szCs w:val="22"/>
                <w:lang w:val="fr-FR"/>
              </w:rPr>
              <w:t xml:space="preserve">Phone: </w:t>
            </w:r>
            <w:r w:rsidRPr="00B9101F">
              <w:rPr>
                <w:color w:val="000000"/>
                <w:sz w:val="22"/>
                <w:szCs w:val="22"/>
                <w:lang w:val="fr-FR"/>
              </w:rPr>
              <w:t>202-589-1505</w:t>
            </w:r>
          </w:p>
          <w:p w:rsidR="000F48AC" w:rsidRPr="00E16BE4" w:rsidRDefault="000F48AC">
            <w:pPr>
              <w:ind w:left="4"/>
              <w:rPr>
                <w:sz w:val="22"/>
                <w:szCs w:val="22"/>
                <w:lang w:val="fr-FR"/>
              </w:rPr>
            </w:pPr>
            <w:r w:rsidRPr="00B9101F">
              <w:rPr>
                <w:sz w:val="22"/>
                <w:szCs w:val="22"/>
                <w:lang w:val="fr-FR"/>
              </w:rPr>
              <w:t>E-mail: chewitt@safehaven.org</w:t>
            </w:r>
          </w:p>
        </w:tc>
      </w:tr>
      <w:tr w:rsidR="000F48AC" w:rsidRPr="00933C0B" w:rsidTr="00EB37AA">
        <w:trPr>
          <w:cantSplit/>
        </w:trPr>
        <w:tc>
          <w:tcPr>
            <w:tcW w:w="2500" w:type="dxa"/>
          </w:tcPr>
          <w:p w:rsidR="000F48AC" w:rsidRPr="00E16BE4" w:rsidRDefault="000F48AC">
            <w:pPr>
              <w:ind w:left="4"/>
              <w:rPr>
                <w:sz w:val="22"/>
                <w:szCs w:val="22"/>
              </w:rPr>
            </w:pPr>
            <w:r w:rsidRPr="00B9101F">
              <w:rPr>
                <w:sz w:val="22"/>
                <w:szCs w:val="22"/>
              </w:rPr>
              <w:t>Basha Silverman, MA</w:t>
            </w:r>
          </w:p>
        </w:tc>
        <w:tc>
          <w:tcPr>
            <w:tcW w:w="3720" w:type="dxa"/>
          </w:tcPr>
          <w:p w:rsidR="000F48AC" w:rsidRPr="00E16BE4" w:rsidRDefault="000F48AC">
            <w:pPr>
              <w:ind w:left="4"/>
              <w:rPr>
                <w:sz w:val="22"/>
                <w:szCs w:val="22"/>
              </w:rPr>
            </w:pPr>
            <w:r w:rsidRPr="00B9101F">
              <w:rPr>
                <w:sz w:val="22"/>
                <w:szCs w:val="22"/>
              </w:rPr>
              <w:t>Brandywine Counseling</w:t>
            </w:r>
          </w:p>
          <w:p w:rsidR="000F48AC" w:rsidRPr="00E16BE4" w:rsidRDefault="000F48AC">
            <w:pPr>
              <w:ind w:left="4"/>
              <w:rPr>
                <w:sz w:val="22"/>
                <w:szCs w:val="22"/>
              </w:rPr>
            </w:pPr>
            <w:r w:rsidRPr="00B9101F">
              <w:rPr>
                <w:sz w:val="22"/>
                <w:szCs w:val="22"/>
              </w:rPr>
              <w:t>2713 Lancaster Avenue</w:t>
            </w:r>
          </w:p>
          <w:p w:rsidR="000F48AC" w:rsidRPr="00E16BE4" w:rsidRDefault="000F48AC">
            <w:pPr>
              <w:ind w:left="4"/>
              <w:rPr>
                <w:sz w:val="22"/>
                <w:szCs w:val="22"/>
              </w:rPr>
            </w:pPr>
            <w:r w:rsidRPr="00B9101F">
              <w:rPr>
                <w:sz w:val="22"/>
                <w:szCs w:val="22"/>
              </w:rPr>
              <w:t>Wilmington, DE 19805</w:t>
            </w:r>
          </w:p>
        </w:tc>
        <w:tc>
          <w:tcPr>
            <w:tcW w:w="3000" w:type="dxa"/>
          </w:tcPr>
          <w:p w:rsidR="000F48AC" w:rsidRPr="00E16BE4" w:rsidRDefault="000F48AC">
            <w:pPr>
              <w:ind w:left="4"/>
              <w:rPr>
                <w:sz w:val="22"/>
                <w:szCs w:val="22"/>
                <w:lang w:val="fr-FR"/>
              </w:rPr>
            </w:pPr>
            <w:r w:rsidRPr="00B9101F">
              <w:rPr>
                <w:sz w:val="22"/>
                <w:szCs w:val="22"/>
                <w:lang w:val="fr-FR"/>
              </w:rPr>
              <w:t>Phone: 302-656-2348</w:t>
            </w:r>
          </w:p>
          <w:p w:rsidR="000F48AC" w:rsidRPr="00E16BE4" w:rsidRDefault="000F48AC">
            <w:pPr>
              <w:ind w:left="4"/>
              <w:rPr>
                <w:sz w:val="22"/>
                <w:szCs w:val="22"/>
                <w:lang w:val="fr-FR"/>
              </w:rPr>
            </w:pPr>
            <w:r w:rsidRPr="00B9101F">
              <w:rPr>
                <w:sz w:val="22"/>
                <w:szCs w:val="22"/>
                <w:lang w:val="fr-FR"/>
              </w:rPr>
              <w:t>Fax: 302-656-0746</w:t>
            </w:r>
          </w:p>
          <w:p w:rsidR="000F48AC" w:rsidRPr="00E16BE4" w:rsidRDefault="000F48AC">
            <w:pPr>
              <w:ind w:left="4"/>
              <w:rPr>
                <w:sz w:val="22"/>
                <w:szCs w:val="22"/>
                <w:lang w:val="fr-FR"/>
              </w:rPr>
            </w:pPr>
            <w:r w:rsidRPr="00B9101F">
              <w:rPr>
                <w:sz w:val="22"/>
                <w:szCs w:val="22"/>
                <w:lang w:val="fr-FR"/>
              </w:rPr>
              <w:t>E-mail: bsilverman@gmail.com</w:t>
            </w:r>
          </w:p>
        </w:tc>
      </w:tr>
      <w:tr w:rsidR="000F48AC" w:rsidRPr="00933C0B" w:rsidTr="00EB37AA">
        <w:trPr>
          <w:cantSplit/>
        </w:trPr>
        <w:tc>
          <w:tcPr>
            <w:tcW w:w="2500" w:type="dxa"/>
          </w:tcPr>
          <w:p w:rsidR="000F48AC" w:rsidRPr="00E16BE4" w:rsidRDefault="000F48AC">
            <w:pPr>
              <w:ind w:left="4"/>
              <w:rPr>
                <w:sz w:val="22"/>
                <w:szCs w:val="22"/>
              </w:rPr>
            </w:pPr>
            <w:r w:rsidRPr="00B9101F">
              <w:rPr>
                <w:sz w:val="22"/>
                <w:szCs w:val="22"/>
              </w:rPr>
              <w:t>Jim May, PhD</w:t>
            </w:r>
          </w:p>
        </w:tc>
        <w:tc>
          <w:tcPr>
            <w:tcW w:w="3720" w:type="dxa"/>
          </w:tcPr>
          <w:p w:rsidR="000F48AC" w:rsidRPr="00E16BE4" w:rsidRDefault="000F48AC">
            <w:pPr>
              <w:ind w:left="4"/>
              <w:rPr>
                <w:sz w:val="22"/>
                <w:szCs w:val="22"/>
              </w:rPr>
            </w:pPr>
            <w:r w:rsidRPr="00B9101F">
              <w:rPr>
                <w:sz w:val="22"/>
                <w:szCs w:val="22"/>
              </w:rPr>
              <w:t>Richmond Behavioral Health Authority</w:t>
            </w:r>
          </w:p>
          <w:p w:rsidR="000F48AC" w:rsidRPr="00E16BE4" w:rsidRDefault="000F48AC">
            <w:pPr>
              <w:ind w:left="4"/>
              <w:rPr>
                <w:sz w:val="22"/>
                <w:szCs w:val="22"/>
              </w:rPr>
            </w:pPr>
            <w:r w:rsidRPr="00B9101F">
              <w:rPr>
                <w:sz w:val="22"/>
                <w:szCs w:val="22"/>
              </w:rPr>
              <w:t>107 South Street</w:t>
            </w:r>
          </w:p>
          <w:p w:rsidR="000F48AC" w:rsidRPr="00E16BE4" w:rsidRDefault="000F48AC">
            <w:pPr>
              <w:ind w:left="4"/>
              <w:rPr>
                <w:sz w:val="22"/>
                <w:szCs w:val="22"/>
              </w:rPr>
            </w:pPr>
            <w:r w:rsidRPr="00B9101F">
              <w:rPr>
                <w:sz w:val="22"/>
                <w:szCs w:val="22"/>
              </w:rPr>
              <w:t>Richmond, VA 23219</w:t>
            </w:r>
          </w:p>
        </w:tc>
        <w:tc>
          <w:tcPr>
            <w:tcW w:w="3000" w:type="dxa"/>
          </w:tcPr>
          <w:p w:rsidR="000F48AC" w:rsidRPr="00E16BE4" w:rsidRDefault="000F48AC">
            <w:pPr>
              <w:ind w:left="4"/>
              <w:rPr>
                <w:sz w:val="22"/>
                <w:szCs w:val="22"/>
                <w:lang w:val="fr-FR"/>
              </w:rPr>
            </w:pPr>
            <w:r w:rsidRPr="00B9101F">
              <w:rPr>
                <w:sz w:val="22"/>
                <w:szCs w:val="22"/>
                <w:lang w:val="fr-FR"/>
              </w:rPr>
              <w:t>Phone: 804-819-4202</w:t>
            </w:r>
          </w:p>
          <w:p w:rsidR="000F48AC" w:rsidRPr="00E16BE4" w:rsidRDefault="000F48AC">
            <w:pPr>
              <w:ind w:left="4"/>
              <w:rPr>
                <w:sz w:val="22"/>
                <w:szCs w:val="22"/>
                <w:lang w:val="fr-FR"/>
              </w:rPr>
            </w:pPr>
            <w:r w:rsidRPr="00B9101F">
              <w:rPr>
                <w:sz w:val="22"/>
                <w:szCs w:val="22"/>
                <w:lang w:val="fr-FR"/>
              </w:rPr>
              <w:t>Fax: 804-819-8783</w:t>
            </w:r>
          </w:p>
          <w:p w:rsidR="000F48AC" w:rsidRPr="00E16BE4" w:rsidRDefault="000F48AC">
            <w:pPr>
              <w:ind w:left="4"/>
              <w:rPr>
                <w:sz w:val="22"/>
                <w:szCs w:val="22"/>
                <w:lang w:val="fr-FR"/>
              </w:rPr>
            </w:pPr>
            <w:r w:rsidRPr="00B9101F">
              <w:rPr>
                <w:sz w:val="22"/>
                <w:szCs w:val="22"/>
                <w:lang w:val="fr-FR"/>
              </w:rPr>
              <w:t>E-mail: jmay@rbha.org</w:t>
            </w:r>
          </w:p>
        </w:tc>
      </w:tr>
    </w:tbl>
    <w:p w:rsidR="000F48AC" w:rsidRPr="00B04C61" w:rsidRDefault="000F48AC" w:rsidP="003D66D7">
      <w:pPr>
        <w:rPr>
          <w:b/>
          <w:bCs/>
          <w:lang w:val="fr-FR"/>
        </w:rPr>
      </w:pPr>
    </w:p>
    <w:p w:rsidR="000F48AC" w:rsidRDefault="000F48AC" w:rsidP="00B9101F">
      <w:pPr>
        <w:keepNext/>
        <w:keepLines/>
        <w:ind w:firstLine="720"/>
      </w:pPr>
      <w:r w:rsidRPr="001E1C8C">
        <w:rPr>
          <w:b/>
          <w:bCs/>
        </w:rPr>
        <w:t>9.</w:t>
      </w:r>
      <w:r w:rsidRPr="001E1C8C">
        <w:rPr>
          <w:b/>
          <w:bCs/>
        </w:rPr>
        <w:tab/>
      </w:r>
      <w:r w:rsidRPr="001E1C8C">
        <w:rPr>
          <w:b/>
          <w:bCs/>
          <w:u w:val="single"/>
        </w:rPr>
        <w:t>Payment to Respondents</w:t>
      </w:r>
      <w:bookmarkStart w:id="33" w:name="_Toc131564350"/>
    </w:p>
    <w:p w:rsidR="000F48AC" w:rsidRDefault="000F48AC" w:rsidP="00B9101F">
      <w:pPr>
        <w:keepNext/>
        <w:keepLines/>
      </w:pPr>
    </w:p>
    <w:p w:rsidR="000F48AC" w:rsidRDefault="000F48AC" w:rsidP="00B9101F">
      <w:pPr>
        <w:keepNext/>
        <w:keepLines/>
        <w:ind w:left="720"/>
      </w:pPr>
      <w:r>
        <w:t xml:space="preserve">In keeping with the Office for Human Research Protections (OHRP) guidelines, </w:t>
      </w:r>
      <w:r w:rsidRPr="000D5845">
        <w:t>compensating research subjects in exchange for their participation is a common and, in general, acceptable practice.</w:t>
      </w:r>
      <w:r>
        <w:t xml:space="preserve">  </w:t>
      </w:r>
      <w:r w:rsidRPr="000D5845">
        <w:t>Further, compensation for participation in research should be just or fair.</w:t>
      </w:r>
      <w:r>
        <w:t xml:space="preserve"> </w:t>
      </w:r>
    </w:p>
    <w:p w:rsidR="000F48AC" w:rsidRDefault="000F48AC" w:rsidP="007C7B7A">
      <w:pPr>
        <w:ind w:left="720"/>
      </w:pPr>
    </w:p>
    <w:p w:rsidR="000F48AC" w:rsidRDefault="000F48AC" w:rsidP="00B44206">
      <w:pPr>
        <w:ind w:left="720"/>
      </w:pPr>
      <w:r w:rsidRPr="001427D9">
        <w:t xml:space="preserve">Although participation in the focus groups is voluntary, </w:t>
      </w:r>
      <w:r>
        <w:t>participants</w:t>
      </w:r>
      <w:r w:rsidRPr="001427D9">
        <w:t xml:space="preserve"> are likely to perceive a time cost and burden associated with their participation.</w:t>
      </w:r>
      <w:r>
        <w:t xml:space="preserve"> </w:t>
      </w:r>
      <w:r w:rsidRPr="005C5A1E">
        <w:t>Thus</w:t>
      </w:r>
      <w:r>
        <w:t>,</w:t>
      </w:r>
      <w:r w:rsidRPr="005C5A1E">
        <w:t xml:space="preserve"> for the </w:t>
      </w:r>
      <w:r>
        <w:t>c</w:t>
      </w:r>
      <w:r w:rsidRPr="005C5A1E">
        <w:t xml:space="preserve">lient </w:t>
      </w:r>
      <w:r>
        <w:t>f</w:t>
      </w:r>
      <w:r w:rsidRPr="005C5A1E">
        <w:t xml:space="preserve">ocus </w:t>
      </w:r>
      <w:r>
        <w:t>g</w:t>
      </w:r>
      <w:r w:rsidRPr="005C5A1E">
        <w:t xml:space="preserve">roups, participants will be compensated for an hour of their time. </w:t>
      </w:r>
      <w:r w:rsidRPr="00BB2B86">
        <w:t xml:space="preserve">Cash equivalent </w:t>
      </w:r>
      <w:r>
        <w:t>compensation</w:t>
      </w:r>
      <w:r w:rsidRPr="00BB2B86">
        <w:t xml:space="preserve"> will be offered in lieu of cash payments.</w:t>
      </w:r>
      <w:r>
        <w:t xml:space="preserve"> </w:t>
      </w:r>
      <w:r w:rsidRPr="001E1C8C">
        <w:t xml:space="preserve">Gift cards </w:t>
      </w:r>
      <w:r>
        <w:t xml:space="preserve">($20) from major stores (e.g., Walmart™, Target™) </w:t>
      </w:r>
      <w:r w:rsidRPr="001E1C8C">
        <w:t xml:space="preserve">will be used </w:t>
      </w:r>
      <w:r>
        <w:t>for remuneration</w:t>
      </w:r>
      <w:r w:rsidRPr="001E1C8C">
        <w:t xml:space="preserve"> for treatment clients to participate in the focus groups</w:t>
      </w:r>
      <w:r w:rsidRPr="006C7FE5">
        <w:t xml:space="preserve">. </w:t>
      </w:r>
    </w:p>
    <w:p w:rsidR="000F48AC" w:rsidRDefault="000F48AC" w:rsidP="007C7B7A">
      <w:pPr>
        <w:pStyle w:val="BodyText2"/>
        <w:keepNext/>
        <w:spacing w:after="0" w:line="240" w:lineRule="auto"/>
        <w:ind w:left="720"/>
      </w:pPr>
    </w:p>
    <w:p w:rsidR="000F48AC" w:rsidRDefault="000F48AC" w:rsidP="007C7B7A">
      <w:pPr>
        <w:pStyle w:val="BodyText2"/>
        <w:keepNext/>
        <w:spacing w:after="0" w:line="240" w:lineRule="auto"/>
        <w:ind w:left="720"/>
      </w:pPr>
      <w:r>
        <w:t>I</w:t>
      </w:r>
      <w:r w:rsidRPr="004C2EDD">
        <w:t xml:space="preserve">n studies of considerable duration or that involve multiple </w:t>
      </w:r>
      <w:r>
        <w:t xml:space="preserve">participant </w:t>
      </w:r>
      <w:r w:rsidRPr="004C2EDD">
        <w:t>interactions or interventions, such as this formative evaluation, OHRP recommends that payment be prorated for the time of participation in the study rather than delayed until study completion, because the latter could unduly influence a participant’s decision to exercise his or her right to withdraw at any time. For example, if the study is conducted over a period of 6 months, there might be a monthly or bimonthly payment.</w:t>
      </w:r>
      <w:r>
        <w:t xml:space="preserve">  Similarly, compensation (as part of this formative evaluation) for the client surveys </w:t>
      </w:r>
      <w:r w:rsidRPr="00BB2B86">
        <w:t>will be provided to clients in a tiered structure with a $10 gift card provided at baseline, $15 gift card at discharge, and $20 gift card at 6</w:t>
      </w:r>
      <w:r>
        <w:t xml:space="preserve"> </w:t>
      </w:r>
      <w:r w:rsidRPr="00BB2B86">
        <w:t>month</w:t>
      </w:r>
      <w:r>
        <w:t>s</w:t>
      </w:r>
      <w:r w:rsidRPr="00BB2B86">
        <w:t xml:space="preserve"> post baseline.</w:t>
      </w:r>
      <w:r>
        <w:t xml:space="preserve"> </w:t>
      </w:r>
      <w:r w:rsidRPr="004C2EDD">
        <w:t xml:space="preserve">As with the focus groups, </w:t>
      </w:r>
      <w:r>
        <w:t>c</w:t>
      </w:r>
      <w:r w:rsidRPr="00BB2B86">
        <w:t xml:space="preserve">ash equivalent </w:t>
      </w:r>
      <w:r>
        <w:t>compensation</w:t>
      </w:r>
      <w:r w:rsidRPr="00BB2B86">
        <w:t xml:space="preserve"> will be offered in lieu of cash payments. Gift cards from </w:t>
      </w:r>
      <w:r>
        <w:t xml:space="preserve">major stores (e.g., </w:t>
      </w:r>
      <w:r w:rsidRPr="00BB2B86">
        <w:t>Wal</w:t>
      </w:r>
      <w:r>
        <w:t>m</w:t>
      </w:r>
      <w:r w:rsidRPr="00BB2B86">
        <w:t>art</w:t>
      </w:r>
      <w:r>
        <w:t>™,</w:t>
      </w:r>
      <w:r w:rsidRPr="00BB2B86">
        <w:t xml:space="preserve"> Target</w:t>
      </w:r>
      <w:r>
        <w:t>™)</w:t>
      </w:r>
      <w:r w:rsidRPr="00BB2B86">
        <w:t xml:space="preserve"> will be used </w:t>
      </w:r>
      <w:r>
        <w:t>for compensation</w:t>
      </w:r>
      <w:r w:rsidRPr="00BB2B86">
        <w:t xml:space="preserve"> for treatment clients to complete the client survey at baseline, discharge, and 6</w:t>
      </w:r>
      <w:r>
        <w:t xml:space="preserve"> </w:t>
      </w:r>
      <w:r w:rsidRPr="00BB2B86">
        <w:t>month</w:t>
      </w:r>
      <w:r>
        <w:t>s</w:t>
      </w:r>
      <w:r w:rsidRPr="00BB2B86">
        <w:t xml:space="preserve"> post baseline.</w:t>
      </w:r>
      <w:r>
        <w:t xml:space="preserve">  </w:t>
      </w:r>
    </w:p>
    <w:p w:rsidR="000F48AC" w:rsidRDefault="000F48AC" w:rsidP="007C7B7A">
      <w:pPr>
        <w:ind w:left="720"/>
      </w:pPr>
    </w:p>
    <w:p w:rsidR="000F48AC" w:rsidRPr="001B1726" w:rsidRDefault="000F48AC" w:rsidP="007C7B7A">
      <w:pPr>
        <w:ind w:left="720"/>
        <w:rPr>
          <w:color w:val="000000"/>
        </w:rPr>
      </w:pPr>
      <w:r>
        <w:t xml:space="preserve">The literature suggests compensation to substance abuse treatment clients is more likely to improve their engagement in the informed consent process and increase their follow-up rates.  In support, </w:t>
      </w:r>
      <w:r>
        <w:rPr>
          <w:color w:val="000000"/>
        </w:rPr>
        <w:t>empirical studies of substance abuse treatment clients tested the effects of varying levels of compensation on research retention, participant perceptions of coercion, and self-reported substance use behavior. In the first study, participants enrolled at intake to substance abuse treatment were randomized to receive $10, $40, or $70 via cash or gift card (Festinger, Marlowe, Croft, Dugosh</w:t>
      </w:r>
      <w:r w:rsidRPr="00927DEE">
        <w:rPr>
          <w:color w:val="000000"/>
        </w:rPr>
        <w:t>, Mastro</w:t>
      </w:r>
      <w:r>
        <w:rPr>
          <w:color w:val="000000"/>
        </w:rPr>
        <w:t xml:space="preserve"> et al., </w:t>
      </w:r>
      <w:r w:rsidRPr="00C65261">
        <w:rPr>
          <w:color w:val="000000"/>
        </w:rPr>
        <w:t>2005</w:t>
      </w:r>
      <w:r>
        <w:rPr>
          <w:color w:val="000000"/>
        </w:rPr>
        <w:t xml:space="preserve">). In the second study, participants were randomized to receive $70, $100, $130, or $160 (Festinger, Marlowe, Dugosh, Croft, &amp; Arabia, </w:t>
      </w:r>
      <w:r w:rsidRPr="00C65261">
        <w:rPr>
          <w:color w:val="000000"/>
        </w:rPr>
        <w:t>2008</w:t>
      </w:r>
      <w:r>
        <w:rPr>
          <w:color w:val="000000"/>
        </w:rPr>
        <w:t>). At 6 months follow-up, participants in both studies were more likely to return for follow-up when offered cash incentives from the higher end of the scale. There were no significant differences among any of the groups in terms of new substance use, perceived levels of coercion (which was generally low), or satisfaction with research (which was generally high). Client compensation also improves participant engagement in the informed consent process. In a study of 31 drug court participants, Festinger and colleagues (</w:t>
      </w:r>
      <w:r w:rsidRPr="00C65261">
        <w:rPr>
          <w:color w:val="000000"/>
        </w:rPr>
        <w:t>2009</w:t>
      </w:r>
      <w:r>
        <w:rPr>
          <w:color w:val="000000"/>
        </w:rPr>
        <w:t>) randomized participants to either an incentivized or standard consent process. Participants were notified that they would be quizzed on details of the consent information within 2 weeks of enrollment. Following quiz administration, members of the incentivized group ($5 per correct answer, up to $75) recalled 65 percent of the consent information versus 42 percent recall in the standard group. The authors posit that monetary incentives may motivate participants to pay better attention to the consent process, and is possibly a more effective mechanism for improving recall.</w:t>
      </w:r>
    </w:p>
    <w:p w:rsidR="000F48AC" w:rsidRDefault="000F48AC" w:rsidP="007C7B7A">
      <w:pPr>
        <w:ind w:left="720"/>
      </w:pPr>
    </w:p>
    <w:p w:rsidR="000F48AC" w:rsidRDefault="000F48AC" w:rsidP="007C7B7A">
      <w:pPr>
        <w:ind w:left="720"/>
        <w:rPr>
          <w:color w:val="000000"/>
        </w:rPr>
      </w:pPr>
      <w:r>
        <w:rPr>
          <w:color w:val="000000"/>
        </w:rPr>
        <w:t>SAMHSA and the Multi-Site Evaluation Team are committed to maintaining the highest standards for this Multi-Site Evaluation, and reliance on empiric evidence suggests that our proposed client compensation strategy for this evaluation is effective in improving client engagement in the consent and follow-up processes. Removing client compensation from the proposed evaluation could potentially jeopardize the process to fully engage clients in the consent process and yield high response rates.</w:t>
      </w:r>
    </w:p>
    <w:p w:rsidR="000F48AC" w:rsidRDefault="000F48AC" w:rsidP="007C7B7A">
      <w:pPr>
        <w:ind w:left="720"/>
        <w:rPr>
          <w:color w:val="000000"/>
        </w:rPr>
      </w:pPr>
    </w:p>
    <w:p w:rsidR="000F48AC" w:rsidRDefault="000F48AC" w:rsidP="00940293">
      <w:pPr>
        <w:rPr>
          <w:b/>
          <w:bCs/>
        </w:rPr>
      </w:pPr>
      <w:bookmarkStart w:id="34" w:name="_Toc131564352"/>
      <w:bookmarkStart w:id="35" w:name="_Toc88277959"/>
      <w:bookmarkEnd w:id="33"/>
      <w:r w:rsidRPr="003A06F2">
        <w:rPr>
          <w:b/>
          <w:bCs/>
        </w:rPr>
        <w:t>10.</w:t>
      </w:r>
      <w:r w:rsidRPr="003A06F2">
        <w:rPr>
          <w:b/>
          <w:bCs/>
        </w:rPr>
        <w:tab/>
      </w:r>
      <w:r w:rsidRPr="003A06F2">
        <w:rPr>
          <w:b/>
          <w:bCs/>
          <w:u w:val="single"/>
        </w:rPr>
        <w:t>Assurance of Confidentiality</w:t>
      </w:r>
      <w:bookmarkEnd w:id="34"/>
      <w:r w:rsidRPr="003A06F2">
        <w:rPr>
          <w:b/>
          <w:bCs/>
        </w:rPr>
        <w:t xml:space="preserve"> </w:t>
      </w:r>
      <w:bookmarkEnd w:id="35"/>
    </w:p>
    <w:p w:rsidR="000F48AC" w:rsidRPr="003A06F2" w:rsidRDefault="000F48AC" w:rsidP="003D66D7"/>
    <w:p w:rsidR="000F48AC" w:rsidRDefault="000F48AC">
      <w:pPr>
        <w:ind w:left="720"/>
      </w:pPr>
      <w:r w:rsidRPr="00307947">
        <w:t>JBS</w:t>
      </w:r>
      <w:r>
        <w:t>’</w:t>
      </w:r>
      <w:r w:rsidRPr="00307947">
        <w:t xml:space="preserve"> Institutional Review Board (IRB) </w:t>
      </w:r>
      <w:r>
        <w:t xml:space="preserve">application has been approved </w:t>
      </w:r>
      <w:r w:rsidRPr="002D4FF2">
        <w:t>(JBS IRB # RM10-001)</w:t>
      </w:r>
      <w:r>
        <w:t xml:space="preserve"> (Attachment 2b – Document 5),</w:t>
      </w:r>
      <w:r w:rsidRPr="002D4FF2">
        <w:t xml:space="preserve"> </w:t>
      </w:r>
      <w:r>
        <w:t xml:space="preserve">which </w:t>
      </w:r>
      <w:r w:rsidRPr="00307947">
        <w:t>ensure</w:t>
      </w:r>
      <w:r>
        <w:t>s</w:t>
      </w:r>
      <w:r w:rsidRPr="00307947">
        <w:t xml:space="preserve"> </w:t>
      </w:r>
      <w:r>
        <w:t>the Multi-Site Evaluation Team</w:t>
      </w:r>
      <w:r w:rsidRPr="00307947">
        <w:t xml:space="preserve"> meet corporate, industry, and society standards to protect study participants. This </w:t>
      </w:r>
      <w:r>
        <w:t>approval</w:t>
      </w:r>
      <w:r w:rsidRPr="00307947">
        <w:t xml:space="preserve"> ensure</w:t>
      </w:r>
      <w:r>
        <w:t>s</w:t>
      </w:r>
      <w:r w:rsidRPr="00307947">
        <w:t xml:space="preserve"> compliance with the spirit and the letter of regulations from </w:t>
      </w:r>
      <w:r>
        <w:t>the Department of Health and Human Services (</w:t>
      </w:r>
      <w:r w:rsidRPr="00307947">
        <w:t>DHHS</w:t>
      </w:r>
      <w:r>
        <w:t>)</w:t>
      </w:r>
      <w:r w:rsidRPr="00307947">
        <w:t xml:space="preserve"> governing such projects. </w:t>
      </w:r>
      <w:r>
        <w:t xml:space="preserve">JBS’ </w:t>
      </w:r>
      <w:r w:rsidRPr="00307947">
        <w:t xml:space="preserve">systems and procedures for collecting and processing data </w:t>
      </w:r>
      <w:r>
        <w:t>are</w:t>
      </w:r>
      <w:r w:rsidRPr="00307947">
        <w:t xml:space="preserve"> designed to help ensure the </w:t>
      </w:r>
      <w:r>
        <w:t>privacy,</w:t>
      </w:r>
      <w:r w:rsidRPr="00307947">
        <w:t xml:space="preserve"> </w:t>
      </w:r>
      <w:r>
        <w:t xml:space="preserve">to the extent of the law, </w:t>
      </w:r>
      <w:r w:rsidRPr="00307947">
        <w:t xml:space="preserve">of study participants and the data they provide. Documents with data about Grantees or individual clients will be identified by an assigned study </w:t>
      </w:r>
      <w:r>
        <w:t xml:space="preserve">alpha numeric </w:t>
      </w:r>
      <w:r w:rsidRPr="00307947">
        <w:t>identification number.</w:t>
      </w:r>
      <w:bookmarkStart w:id="36" w:name="_Toc131564353"/>
      <w:r w:rsidRPr="00307947">
        <w:t xml:space="preserve"> </w:t>
      </w:r>
    </w:p>
    <w:p w:rsidR="000F48AC" w:rsidRPr="009D244B" w:rsidRDefault="000F48AC" w:rsidP="003D66D7"/>
    <w:bookmarkEnd w:id="36"/>
    <w:p w:rsidR="000F48AC" w:rsidRDefault="000F48AC">
      <w:pPr>
        <w:ind w:left="720"/>
      </w:pPr>
      <w:r>
        <w:t xml:space="preserve">Grantees have been approved to administer the GPRA Tool, thus informed consent is in place for Grantee staff to collect GPRA Tool data. The collection of GPRA data was cleared under </w:t>
      </w:r>
      <w:r>
        <w:rPr>
          <w:color w:val="000000"/>
        </w:rPr>
        <w:t>OMB No. 0930-</w:t>
      </w:r>
      <w:r w:rsidRPr="009065E0">
        <w:rPr>
          <w:color w:val="000000"/>
        </w:rPr>
        <w:t>0208</w:t>
      </w:r>
      <w:r>
        <w:t xml:space="preserve">. </w:t>
      </w:r>
      <w:r w:rsidRPr="009D244B">
        <w:t xml:space="preserve">After completing </w:t>
      </w:r>
      <w:r>
        <w:t>GPRA</w:t>
      </w:r>
      <w:r w:rsidRPr="009D244B">
        <w:t xml:space="preserve"> data collection</w:t>
      </w:r>
      <w:r>
        <w:t>,</w:t>
      </w:r>
      <w:r w:rsidRPr="009D244B">
        <w:t xml:space="preserve"> Grantee staff who deliver TCE-HIV services will</w:t>
      </w:r>
      <w:r>
        <w:t xml:space="preserve"> then</w:t>
      </w:r>
      <w:r w:rsidRPr="009D244B">
        <w:t xml:space="preserve"> briefly explain </w:t>
      </w:r>
      <w:r>
        <w:t xml:space="preserve">to the client </w:t>
      </w:r>
      <w:r w:rsidRPr="009D244B">
        <w:t>the reason for an additional survey, describe the survey length</w:t>
      </w:r>
      <w:r>
        <w:t>,</w:t>
      </w:r>
      <w:r w:rsidRPr="009D244B">
        <w:t xml:space="preserve"> and</w:t>
      </w:r>
      <w:r>
        <w:t xml:space="preserve"> explain the process. Grantee staff members will tell the clients that it is not mandatory that they be administered the client survey and that their treatment will not be affected if they decline to complete the survey. If clients agree to participate, the Grantee staff will provide an Information Sheet which they will read/present to the client as part of the survey administration. The Information Sheet provides pertinent information about the administration, risks, and benefits of the client survey. However, it is advised that Grantees also follow local and/or State requirements related to client informed consent. T</w:t>
      </w:r>
      <w:r w:rsidRPr="009D244B">
        <w:t xml:space="preserve">he process </w:t>
      </w:r>
      <w:r>
        <w:t>for</w:t>
      </w:r>
      <w:r w:rsidRPr="009D244B">
        <w:t xml:space="preserve"> administering the client survey is designed to protect </w:t>
      </w:r>
      <w:r>
        <w:t>privacy</w:t>
      </w:r>
      <w:r w:rsidRPr="009D244B">
        <w:t>, reduce client discomfort and burden, and ensure the collection of quality data.</w:t>
      </w:r>
    </w:p>
    <w:p w:rsidR="000F48AC" w:rsidRPr="009D244B" w:rsidRDefault="000F48AC" w:rsidP="003D66D7"/>
    <w:p w:rsidR="000F48AC" w:rsidRDefault="000F48AC">
      <w:pPr>
        <w:ind w:left="720"/>
      </w:pPr>
      <w:r w:rsidRPr="009D244B">
        <w:t xml:space="preserve">The </w:t>
      </w:r>
      <w:r>
        <w:t xml:space="preserve">client survey </w:t>
      </w:r>
      <w:r w:rsidRPr="009D244B">
        <w:t xml:space="preserve">will include the OMB approval expiration date, the statement of survey burden, and the statement that the </w:t>
      </w:r>
      <w:r>
        <w:t>evaluation</w:t>
      </w:r>
      <w:r w:rsidRPr="009D244B">
        <w:t xml:space="preserve"> is </w:t>
      </w:r>
      <w:r>
        <w:t>f</w:t>
      </w:r>
      <w:r w:rsidRPr="009D244B">
        <w:t xml:space="preserve">ederally sponsored. </w:t>
      </w:r>
      <w:r w:rsidRPr="005E6596">
        <w:t xml:space="preserve">Grantee staff </w:t>
      </w:r>
      <w:r>
        <w:t>will administer the survey to the</w:t>
      </w:r>
      <w:r w:rsidRPr="005E6596">
        <w:t xml:space="preserve"> client</w:t>
      </w:r>
      <w:r>
        <w:t xml:space="preserve"> </w:t>
      </w:r>
      <w:r w:rsidRPr="005E6596">
        <w:t>in a private location</w:t>
      </w:r>
      <w:r>
        <w:t xml:space="preserve"> (e.g., an office) </w:t>
      </w:r>
      <w:r w:rsidRPr="005E6596">
        <w:t xml:space="preserve">to ensure </w:t>
      </w:r>
      <w:r>
        <w:t>privacy</w:t>
      </w:r>
      <w:r w:rsidRPr="005E6596">
        <w:t>.</w:t>
      </w:r>
      <w:r>
        <w:t xml:space="preserve"> Staff will read each question and the list of responses for questions to clients and record their answers. </w:t>
      </w:r>
    </w:p>
    <w:p w:rsidR="000F48AC" w:rsidRPr="005E6596" w:rsidRDefault="000F48AC" w:rsidP="003D66D7"/>
    <w:p w:rsidR="000F48AC" w:rsidRDefault="000F48AC">
      <w:pPr>
        <w:ind w:left="720"/>
      </w:pPr>
      <w:r w:rsidRPr="005E6596">
        <w:t>Client survey data will be entered</w:t>
      </w:r>
      <w:r>
        <w:t xml:space="preserve"> at the Grantee site</w:t>
      </w:r>
      <w:r w:rsidRPr="005E6596">
        <w:t xml:space="preserve"> into a </w:t>
      </w:r>
      <w:r>
        <w:t>password-</w:t>
      </w:r>
      <w:r w:rsidRPr="005E6596">
        <w:t>protected online system. Each day, the T</w:t>
      </w:r>
      <w:r>
        <w:t>C</w:t>
      </w:r>
      <w:r w:rsidRPr="005E6596">
        <w:t xml:space="preserve">E-HIV evaluation staff will upload the data over a secure network connection directly to a server at JBS headquarters where </w:t>
      </w:r>
      <w:r>
        <w:t>the data</w:t>
      </w:r>
      <w:r w:rsidRPr="005E6596">
        <w:t xml:space="preserve"> will also be encrypted and password protected. However, not all the Grantees may be equipped to enter th</w:t>
      </w:r>
      <w:r>
        <w:t>i</w:t>
      </w:r>
      <w:r w:rsidRPr="005E6596">
        <w:t>s data into the online system, in which case</w:t>
      </w:r>
      <w:r>
        <w:t xml:space="preserve"> </w:t>
      </w:r>
      <w:r w:rsidRPr="005E6596">
        <w:t xml:space="preserve">paper copies of the surveys </w:t>
      </w:r>
      <w:r>
        <w:t xml:space="preserve">with only alpha numeric identifiers (i.e., GPRA identification numbers) </w:t>
      </w:r>
      <w:r w:rsidRPr="005E6596">
        <w:t>from these Grantees</w:t>
      </w:r>
      <w:r>
        <w:t xml:space="preserve"> will be provided and entered onsite at JBS</w:t>
      </w:r>
      <w:r w:rsidRPr="005E6596">
        <w:t>.</w:t>
      </w:r>
      <w:r>
        <w:t xml:space="preserve"> Any paper copies will be stored in a locked file cabinet, with no name/identifying information attached. </w:t>
      </w:r>
    </w:p>
    <w:p w:rsidR="000F48AC" w:rsidRPr="005E6596" w:rsidRDefault="000F48AC" w:rsidP="003D66D7"/>
    <w:p w:rsidR="000F48AC" w:rsidRDefault="000F48AC">
      <w:pPr>
        <w:ind w:left="720"/>
      </w:pPr>
      <w:r w:rsidRPr="005E6596">
        <w:t xml:space="preserve">The TCE-HIV Multi-Site Evaluation staff will use passwords to safeguard project directories and analysis files containing completed survey data to ensure that there is no inadvertent disclosure of study data. Multi-Site Evaluation </w:t>
      </w:r>
      <w:r>
        <w:t xml:space="preserve">Team </w:t>
      </w:r>
      <w:r w:rsidRPr="005E6596">
        <w:t xml:space="preserve">staff also will be trained on handling sensitive data and the importance of </w:t>
      </w:r>
      <w:r>
        <w:t>privacy</w:t>
      </w:r>
      <w:r w:rsidRPr="005E6596">
        <w:t>.</w:t>
      </w:r>
      <w:r>
        <w:t xml:space="preserve"> As a further precautionary measure, the data being collected will have no identifying information that can be linked back to the client.</w:t>
      </w:r>
      <w:r w:rsidRPr="005E6596">
        <w:t xml:space="preserve"> In keeping with 45 CFR 46, Protection of Human Subjects</w:t>
      </w:r>
      <w:r>
        <w:t xml:space="preserve"> (Attachment </w:t>
      </w:r>
      <w:r w:rsidRPr="005A7873">
        <w:t>2</w:t>
      </w:r>
      <w:r>
        <w:t>a - Document 3</w:t>
      </w:r>
      <w:r w:rsidRPr="005A7873">
        <w:t>),</w:t>
      </w:r>
      <w:r>
        <w:t xml:space="preserve"> </w:t>
      </w:r>
      <w:r w:rsidRPr="005E6596">
        <w:t xml:space="preserve">the TCE-HIV procedures for data collection, consent, and data maintenance are formulated to protect respondents’ rights and the </w:t>
      </w:r>
      <w:r>
        <w:t>privacy</w:t>
      </w:r>
      <w:r w:rsidRPr="005E6596">
        <w:t xml:space="preserve"> of information collected. </w:t>
      </w:r>
    </w:p>
    <w:p w:rsidR="000F48AC" w:rsidRPr="005E6596" w:rsidRDefault="000F48AC" w:rsidP="00F70A0A">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0F48AC" w:rsidRDefault="000F48AC">
      <w:pPr>
        <w:ind w:left="720"/>
      </w:pPr>
      <w:r w:rsidRPr="005E6596">
        <w:t xml:space="preserve">Data from the TCE-HIV client surveys will be kept strictly </w:t>
      </w:r>
      <w:r>
        <w:t>private to the extent of the law</w:t>
      </w:r>
      <w:r w:rsidRPr="005E6596">
        <w:t xml:space="preserve"> in compliance with the Privacy Act of 1974 (5 U.S.C. 552a</w:t>
      </w:r>
      <w:r>
        <w:t xml:space="preserve">; </w:t>
      </w:r>
      <w:r w:rsidRPr="005A7873">
        <w:t>At</w:t>
      </w:r>
      <w:r>
        <w:t>tachment 2b - Document 1</w:t>
      </w:r>
      <w:r w:rsidRPr="005A7873">
        <w:t>.)</w:t>
      </w:r>
      <w:r w:rsidRPr="005E6596">
        <w:t xml:space="preserve"> The </w:t>
      </w:r>
      <w:r>
        <w:t xml:space="preserve">privacy </w:t>
      </w:r>
      <w:r w:rsidRPr="005E6596">
        <w:t>of data records will be explained to all respondents during the consent process.</w:t>
      </w:r>
      <w:r>
        <w:t xml:space="preserve"> Limits to privacy (e.g., </w:t>
      </w:r>
      <w:r>
        <w:rPr>
          <w:color w:val="000000"/>
        </w:rPr>
        <w:t>notifying authorities to protect study participants or someone else from serious harm, including child abuse/neglect)</w:t>
      </w:r>
      <w:r>
        <w:t xml:space="preserve"> will be explained. </w:t>
      </w:r>
    </w:p>
    <w:p w:rsidR="000F48AC" w:rsidRPr="005E6596" w:rsidRDefault="000F48AC" w:rsidP="009D244B"/>
    <w:p w:rsidR="000F48AC" w:rsidRDefault="000F48AC">
      <w:pPr>
        <w:ind w:left="720"/>
      </w:pPr>
      <w:r w:rsidRPr="005E6596">
        <w:t>For clients providing information in the client focus group</w:t>
      </w:r>
      <w:r>
        <w:t>s</w:t>
      </w:r>
      <w:r w:rsidRPr="005E6596">
        <w:t>, the responses will be</w:t>
      </w:r>
      <w:r>
        <w:t xml:space="preserve"> kept private</w:t>
      </w:r>
      <w:r w:rsidRPr="005E6596">
        <w:t>; that is, no identifying information will be linked with the information provided</w:t>
      </w:r>
      <w:r>
        <w:t xml:space="preserve"> and the information will be reported in aggregate</w:t>
      </w:r>
      <w:r w:rsidRPr="005E6596">
        <w:t>.</w:t>
      </w:r>
      <w:r>
        <w:t xml:space="preserve"> </w:t>
      </w:r>
      <w:r w:rsidRPr="005E6596">
        <w:t xml:space="preserve">This </w:t>
      </w:r>
      <w:r>
        <w:t>de-</w:t>
      </w:r>
      <w:r w:rsidRPr="005E6596">
        <w:t xml:space="preserve">identification process will extend to semi-structured interviews completed by </w:t>
      </w:r>
      <w:r>
        <w:t>p</w:t>
      </w:r>
      <w:r w:rsidRPr="005E6596">
        <w:t xml:space="preserve">roject </w:t>
      </w:r>
      <w:r>
        <w:t>d</w:t>
      </w:r>
      <w:r w:rsidRPr="005E6596">
        <w:t xml:space="preserve">irectors, Grantee staff, and </w:t>
      </w:r>
      <w:r>
        <w:t>partners/</w:t>
      </w:r>
      <w:r w:rsidRPr="005E6596">
        <w:t>collaborators.</w:t>
      </w:r>
      <w:r>
        <w:t xml:space="preserve"> Any direct quotes that are used in reporting will not be attributed directly to the speaker, but will be credited only as an interview or focus group participant comment. </w:t>
      </w:r>
    </w:p>
    <w:p w:rsidR="000F48AC" w:rsidRPr="0004366D" w:rsidRDefault="000F48AC" w:rsidP="003D66D7">
      <w:bookmarkStart w:id="37" w:name="_Toc88277960"/>
      <w:bookmarkStart w:id="38" w:name="_Toc131564355"/>
    </w:p>
    <w:p w:rsidR="000F48AC" w:rsidRDefault="000F48AC">
      <w:pPr>
        <w:ind w:firstLine="720"/>
        <w:rPr>
          <w:b/>
          <w:bCs/>
        </w:rPr>
      </w:pPr>
      <w:r w:rsidRPr="00FF0973">
        <w:rPr>
          <w:b/>
          <w:bCs/>
        </w:rPr>
        <w:t>11.</w:t>
      </w:r>
      <w:r w:rsidRPr="00FF0973">
        <w:rPr>
          <w:b/>
          <w:bCs/>
        </w:rPr>
        <w:tab/>
      </w:r>
      <w:r w:rsidRPr="00FF0973">
        <w:rPr>
          <w:b/>
          <w:bCs/>
          <w:u w:val="single"/>
        </w:rPr>
        <w:t xml:space="preserve">Questions of a Sensitive </w:t>
      </w:r>
      <w:bookmarkEnd w:id="37"/>
      <w:r w:rsidRPr="00FF0973">
        <w:rPr>
          <w:b/>
          <w:bCs/>
          <w:u w:val="single"/>
        </w:rPr>
        <w:t>Nature</w:t>
      </w:r>
      <w:bookmarkEnd w:id="38"/>
    </w:p>
    <w:p w:rsidR="000F48AC" w:rsidRPr="00FF0973" w:rsidRDefault="000F48AC" w:rsidP="003D66D7">
      <w:bookmarkStart w:id="39" w:name="_Toc131564356"/>
    </w:p>
    <w:p w:rsidR="000F48AC" w:rsidRDefault="000F48AC">
      <w:pPr>
        <w:ind w:left="720"/>
      </w:pPr>
      <w:r w:rsidRPr="00B9101F">
        <w:rPr>
          <w:b/>
        </w:rPr>
        <w:t>Client Survey</w:t>
      </w:r>
      <w:bookmarkEnd w:id="39"/>
      <w:r w:rsidRPr="00B9101F">
        <w:rPr>
          <w:b/>
        </w:rPr>
        <w:t>s and Client Focus Groups.</w:t>
      </w:r>
      <w:r w:rsidRPr="00A34629">
        <w:t xml:space="preserve"> The TCE-HIV client surveys and focus groups, by necessity, will collect sensitive information (e.g., substance use, mental health, and other health and social risk factors) because th</w:t>
      </w:r>
      <w:r>
        <w:t>is information is</w:t>
      </w:r>
      <w:r w:rsidRPr="00A34629">
        <w:t xml:space="preserve"> of interest to SAMHSA. Sensitive information of this nature is always regarded as highly </w:t>
      </w:r>
      <w:r w:rsidRPr="00F361A7">
        <w:t xml:space="preserve">private and </w:t>
      </w:r>
      <w:r w:rsidRPr="00A34629">
        <w:t>clients</w:t>
      </w:r>
      <w:r>
        <w:t>’ privacy</w:t>
      </w:r>
      <w:r w:rsidRPr="00A34629">
        <w:t xml:space="preserve"> in federally assisted treatment programs is assured through strict adherence to </w:t>
      </w:r>
      <w:r>
        <w:t>the statute (42 U.S.C. §290dd.2) and regulation (42 C.F.R. Part 2) regarding confidentiality of Alcohol and Drug Abuse Patient Records</w:t>
      </w:r>
      <w:r w:rsidRPr="00A34629">
        <w:t>.</w:t>
      </w:r>
      <w:r>
        <w:t xml:space="preserve"> A Certificate of Confidentiality has been issued by </w:t>
      </w:r>
      <w:r w:rsidRPr="00A34629">
        <w:t>SAMHSA</w:t>
      </w:r>
      <w:r>
        <w:t xml:space="preserve"> (Attachment 2b – Document 6). The Certificate </w:t>
      </w:r>
      <w:r w:rsidRPr="00A34629">
        <w:t xml:space="preserve">is designed to protect identifiable research information from forced or compelled exposure. The </w:t>
      </w:r>
      <w:r w:rsidRPr="00792C9F">
        <w:t>Certificate of Confidentiality</w:t>
      </w:r>
      <w:r w:rsidRPr="00A34629">
        <w:t xml:space="preserve"> </w:t>
      </w:r>
      <w:r>
        <w:t xml:space="preserve">is designed to </w:t>
      </w:r>
      <w:r w:rsidRPr="00A34629">
        <w:t xml:space="preserve">protect the investigators from being forced, even under a court order or subpoena, to release information that could identify </w:t>
      </w:r>
      <w:r>
        <w:t>survey or focus group participants</w:t>
      </w:r>
      <w:r w:rsidRPr="00A34629">
        <w:t xml:space="preserve">. However, </w:t>
      </w:r>
      <w:r>
        <w:t>the TCE-HIV Multi-Site Evaluation Team</w:t>
      </w:r>
      <w:r w:rsidRPr="00A34629">
        <w:t xml:space="preserve"> may release identifying information in some circumstances. For example, </w:t>
      </w:r>
      <w:r>
        <w:t>the team</w:t>
      </w:r>
      <w:r w:rsidRPr="00A34629">
        <w:t xml:space="preserve"> may disclose medical information in cases of medical necessity, or take steps (including notifying authorities) to protect </w:t>
      </w:r>
      <w:r>
        <w:t>participants</w:t>
      </w:r>
      <w:r w:rsidRPr="00A34629">
        <w:t xml:space="preserve"> or someone else from serious harm, including child abuse/neglect. The Multi-Site Evaluation </w:t>
      </w:r>
      <w:r>
        <w:t>T</w:t>
      </w:r>
      <w:r w:rsidRPr="00A34629">
        <w:t xml:space="preserve">eam will also ensure that additional appropriate mechanisms and procedures are in place to protect the </w:t>
      </w:r>
      <w:r>
        <w:t xml:space="preserve">privacy </w:t>
      </w:r>
      <w:r w:rsidRPr="00A34629">
        <w:t xml:space="preserve">of the identifiable information to be obtained in the evaluation. </w:t>
      </w:r>
    </w:p>
    <w:p w:rsidR="000F48AC" w:rsidRPr="00A34629" w:rsidRDefault="000F48AC" w:rsidP="003D66D7"/>
    <w:p w:rsidR="000F48AC" w:rsidRDefault="000F48AC">
      <w:pPr>
        <w:ind w:left="720"/>
        <w:rPr>
          <w:u w:val="single"/>
        </w:rPr>
      </w:pPr>
      <w:r w:rsidRPr="00A34629">
        <w:t>Respondents will be informed about the purpose of the data collection and that responding to all questions is voluntary. They will be assured that they may stop taking the survey at any time</w:t>
      </w:r>
      <w:r>
        <w:t xml:space="preserve"> or discontinue participation in the client focus group</w:t>
      </w:r>
      <w:r w:rsidRPr="00A34629">
        <w:t xml:space="preserve">. In addition, specific assurances will be provided to respondents concerning the safety and protection of data collected from them. </w:t>
      </w:r>
    </w:p>
    <w:p w:rsidR="000F48AC" w:rsidRPr="00FF0973" w:rsidRDefault="000F48AC" w:rsidP="003D66D7">
      <w:bookmarkStart w:id="40" w:name="_Toc131564357"/>
    </w:p>
    <w:bookmarkEnd w:id="40"/>
    <w:p w:rsidR="000F48AC" w:rsidRDefault="000F48AC">
      <w:pPr>
        <w:ind w:left="720"/>
      </w:pPr>
      <w:r w:rsidRPr="00B9101F">
        <w:rPr>
          <w:b/>
        </w:rPr>
        <w:t xml:space="preserve">Administrative </w:t>
      </w:r>
      <w:r>
        <w:rPr>
          <w:b/>
        </w:rPr>
        <w:t>Staff Semi-Structured Interview</w:t>
      </w:r>
      <w:r w:rsidRPr="00B9101F">
        <w:rPr>
          <w:b/>
        </w:rPr>
        <w:t>.</w:t>
      </w:r>
      <w:r>
        <w:t xml:space="preserve"> </w:t>
      </w:r>
      <w:r w:rsidRPr="00FF0973">
        <w:t xml:space="preserve">No sensitive information will be collected from </w:t>
      </w:r>
      <w:r>
        <w:t>those i</w:t>
      </w:r>
      <w:r w:rsidRPr="00967F3D">
        <w:t xml:space="preserve">ndividuals who perform administrative tasks related to the TCE-HIV program (e.g., </w:t>
      </w:r>
      <w:r>
        <w:t>p</w:t>
      </w:r>
      <w:r w:rsidRPr="00967F3D">
        <w:t xml:space="preserve">roject </w:t>
      </w:r>
      <w:r>
        <w:t>d</w:t>
      </w:r>
      <w:r w:rsidRPr="00967F3D">
        <w:t xml:space="preserve">irector, </w:t>
      </w:r>
      <w:r>
        <w:t>p</w:t>
      </w:r>
      <w:r w:rsidRPr="00967F3D">
        <w:t xml:space="preserve">rogram </w:t>
      </w:r>
      <w:r>
        <w:t>m</w:t>
      </w:r>
      <w:r w:rsidRPr="00967F3D">
        <w:t xml:space="preserve">anager, and </w:t>
      </w:r>
      <w:r>
        <w:t>e</w:t>
      </w:r>
      <w:r w:rsidRPr="00967F3D">
        <w:t xml:space="preserve">xecutive </w:t>
      </w:r>
      <w:r>
        <w:t>d</w:t>
      </w:r>
      <w:r w:rsidRPr="00967F3D">
        <w:t>irector)</w:t>
      </w:r>
      <w:r w:rsidRPr="00FF0973">
        <w:t xml:space="preserve">. The interview staff of the Multi-Site Evaluation </w:t>
      </w:r>
      <w:r>
        <w:t>T</w:t>
      </w:r>
      <w:r w:rsidRPr="00FF0973">
        <w:t>eam will obtain signed consent for participation in the interview data collection. Respondents will be informed about the purpose of the data collection</w:t>
      </w:r>
      <w:r>
        <w:t>.</w:t>
      </w:r>
      <w:r w:rsidRPr="00FF0973">
        <w:t xml:space="preserve"> In addition, specific assurances will be provided to respondents concerning the safety and protection of data collected from them. </w:t>
      </w:r>
    </w:p>
    <w:p w:rsidR="000F48AC" w:rsidRDefault="000F48AC" w:rsidP="003D66D7"/>
    <w:p w:rsidR="000F48AC" w:rsidRDefault="000F48AC">
      <w:pPr>
        <w:ind w:left="720"/>
      </w:pPr>
      <w:r w:rsidRPr="00B9101F">
        <w:rPr>
          <w:b/>
        </w:rPr>
        <w:t>Direct Services St</w:t>
      </w:r>
      <w:r>
        <w:rPr>
          <w:b/>
        </w:rPr>
        <w:t>aff Semi-Structured Interview</w:t>
      </w:r>
      <w:r w:rsidRPr="00B9101F">
        <w:rPr>
          <w:b/>
        </w:rPr>
        <w:t>.</w:t>
      </w:r>
      <w:r>
        <w:t xml:space="preserve"> </w:t>
      </w:r>
      <w:r w:rsidRPr="00FF0973">
        <w:t>No sensitive information will be collected from</w:t>
      </w:r>
      <w:r>
        <w:t xml:space="preserve"> </w:t>
      </w:r>
      <w:r w:rsidRPr="009015DA">
        <w:t xml:space="preserve">direct </w:t>
      </w:r>
      <w:r>
        <w:t xml:space="preserve">services </w:t>
      </w:r>
      <w:r w:rsidRPr="009015DA">
        <w:t>staff members (e.g., outreach workers, counselors)</w:t>
      </w:r>
      <w:r>
        <w:t xml:space="preserve">. </w:t>
      </w:r>
      <w:r w:rsidRPr="00FF0973">
        <w:t xml:space="preserve">The interview staff of the Multi-Site Evaluation </w:t>
      </w:r>
      <w:r>
        <w:t>T</w:t>
      </w:r>
      <w:r w:rsidRPr="00FF0973">
        <w:t>eam will obtain signed consent for participation in the interview data collection. Respondents will be informed about the purpose of the data collection</w:t>
      </w:r>
      <w:r>
        <w:t>.</w:t>
      </w:r>
      <w:r w:rsidRPr="00FF0973">
        <w:t xml:space="preserve"> In addition, specific assurances will be provided to respondents concerning the safety and protection of data collected from them. </w:t>
      </w:r>
    </w:p>
    <w:p w:rsidR="000F48AC" w:rsidRDefault="000F48AC" w:rsidP="003D66D7">
      <w:pPr>
        <w:rPr>
          <w:u w:val="single"/>
        </w:rPr>
      </w:pPr>
    </w:p>
    <w:p w:rsidR="000F48AC" w:rsidRDefault="000F48AC">
      <w:pPr>
        <w:ind w:left="720"/>
        <w:rPr>
          <w:u w:val="single"/>
        </w:rPr>
      </w:pPr>
      <w:r w:rsidRPr="00B9101F">
        <w:rPr>
          <w:b/>
        </w:rPr>
        <w:t>Partner/Collaborator Semi-Structured Interviews.</w:t>
      </w:r>
      <w:r w:rsidRPr="00255F07">
        <w:t xml:space="preserve"> </w:t>
      </w:r>
      <w:r w:rsidRPr="00FF0973">
        <w:t>No sensitive information will be collected from</w:t>
      </w:r>
      <w:r>
        <w:t xml:space="preserve"> partner/collaborator (e.g., </w:t>
      </w:r>
      <w:r w:rsidRPr="009015DA">
        <w:t>agencies or organizations that provide services and activities related to the TCE-HIV program</w:t>
      </w:r>
      <w:r>
        <w:t xml:space="preserve">). </w:t>
      </w:r>
      <w:r w:rsidRPr="00FF0973">
        <w:t xml:space="preserve">The interview staff of the Multi-Site Evaluation </w:t>
      </w:r>
      <w:r>
        <w:t>T</w:t>
      </w:r>
      <w:r w:rsidRPr="00FF0973">
        <w:t>eam will obtain signed consent for participation in the interview data collection. Respondents will be informed about the purpose of the data collection</w:t>
      </w:r>
      <w:r>
        <w:t>.</w:t>
      </w:r>
      <w:r w:rsidRPr="00FF0973">
        <w:t xml:space="preserve"> In addition, specific assurances will be provided to respondents concerning the safety and protection of data collected from them.</w:t>
      </w:r>
    </w:p>
    <w:p w:rsidR="000F48AC" w:rsidRPr="009A1E41" w:rsidRDefault="000F48AC" w:rsidP="003D66D7">
      <w:bookmarkStart w:id="41" w:name="_Toc88277961"/>
      <w:bookmarkStart w:id="42" w:name="_Toc131564358"/>
    </w:p>
    <w:p w:rsidR="000F48AC" w:rsidRDefault="000F48AC">
      <w:pPr>
        <w:ind w:firstLine="720"/>
        <w:rPr>
          <w:b/>
          <w:bCs/>
          <w:u w:val="single"/>
        </w:rPr>
      </w:pPr>
      <w:bookmarkStart w:id="43" w:name="_Toc88277990"/>
      <w:bookmarkEnd w:id="41"/>
      <w:bookmarkEnd w:id="42"/>
      <w:r w:rsidRPr="0099072B">
        <w:rPr>
          <w:b/>
          <w:bCs/>
        </w:rPr>
        <w:t>12.</w:t>
      </w:r>
      <w:r w:rsidRPr="0099072B">
        <w:rPr>
          <w:b/>
          <w:bCs/>
        </w:rPr>
        <w:tab/>
      </w:r>
      <w:r w:rsidRPr="0099072B">
        <w:rPr>
          <w:b/>
          <w:bCs/>
          <w:u w:val="single"/>
        </w:rPr>
        <w:t xml:space="preserve">Estimates of </w:t>
      </w:r>
      <w:r>
        <w:rPr>
          <w:b/>
          <w:bCs/>
          <w:u w:val="single"/>
        </w:rPr>
        <w:t>Total</w:t>
      </w:r>
      <w:r w:rsidRPr="0099072B">
        <w:rPr>
          <w:b/>
          <w:bCs/>
          <w:u w:val="single"/>
        </w:rPr>
        <w:t xml:space="preserve"> Hour Burden</w:t>
      </w:r>
    </w:p>
    <w:p w:rsidR="000F48AC" w:rsidRPr="0099072B" w:rsidRDefault="000F48AC" w:rsidP="009A09B6">
      <w:pPr>
        <w:rPr>
          <w:b/>
          <w:bCs/>
        </w:rPr>
      </w:pPr>
    </w:p>
    <w:p w:rsidR="000F48AC" w:rsidRDefault="000F48AC" w:rsidP="009A09B6">
      <w:pPr>
        <w:ind w:left="720"/>
      </w:pPr>
      <w:r w:rsidRPr="007C58FE">
        <w:rPr>
          <w:b/>
          <w:bCs/>
        </w:rPr>
        <w:t xml:space="preserve">Estimate </w:t>
      </w:r>
      <w:r>
        <w:rPr>
          <w:b/>
          <w:bCs/>
        </w:rPr>
        <w:t xml:space="preserve">of </w:t>
      </w:r>
      <w:r w:rsidRPr="007C58FE">
        <w:rPr>
          <w:b/>
          <w:bCs/>
        </w:rPr>
        <w:t xml:space="preserve">the </w:t>
      </w:r>
      <w:r>
        <w:rPr>
          <w:b/>
          <w:bCs/>
        </w:rPr>
        <w:t>Total Hour Burden of the Collection of Information from C</w:t>
      </w:r>
      <w:r w:rsidRPr="007C58FE">
        <w:rPr>
          <w:b/>
          <w:bCs/>
        </w:rPr>
        <w:t>lients.</w:t>
      </w:r>
      <w:r w:rsidRPr="007C58FE">
        <w:t xml:space="preserve"> The total client sample size for the TCE Multi-site data collection effort is estimated to be a maximum of </w:t>
      </w:r>
      <w:r>
        <w:t>2,400</w:t>
      </w:r>
      <w:r w:rsidRPr="007C58FE">
        <w:t xml:space="preserve"> adult respondents (</w:t>
      </w:r>
      <w:r>
        <w:t>i</w:t>
      </w:r>
      <w:r w:rsidRPr="007C58FE">
        <w:t>.</w:t>
      </w:r>
      <w:r>
        <w:t>e</w:t>
      </w:r>
      <w:r w:rsidRPr="007C58FE">
        <w:t>., age</w:t>
      </w:r>
      <w:r>
        <w:t>s</w:t>
      </w:r>
      <w:r w:rsidRPr="007C58FE">
        <w:t xml:space="preserve"> 18 and over). The baseline survey is expected to have a response rate of 100</w:t>
      </w:r>
      <w:r>
        <w:t xml:space="preserve"> percent</w:t>
      </w:r>
      <w:r w:rsidRPr="007C58FE">
        <w:t xml:space="preserve">, resulting in </w:t>
      </w:r>
      <w:r>
        <w:t>2,400</w:t>
      </w:r>
      <w:r w:rsidRPr="007C58FE">
        <w:t xml:space="preserve"> respondents completing the baseline survey. The discharge survey is </w:t>
      </w:r>
      <w:r>
        <w:t xml:space="preserve">also </w:t>
      </w:r>
      <w:r w:rsidRPr="007C58FE">
        <w:t>expected to have a response rate of 10</w:t>
      </w:r>
      <w:r>
        <w:t>0 percent</w:t>
      </w:r>
      <w:r w:rsidRPr="007C58FE">
        <w:t xml:space="preserve"> resulting in </w:t>
      </w:r>
      <w:r>
        <w:t>2,400</w:t>
      </w:r>
      <w:r w:rsidRPr="007C58FE">
        <w:t xml:space="preserve"> respondents completing the discharge survey.</w:t>
      </w:r>
      <w:r w:rsidRPr="007C58FE">
        <w:rPr>
          <w:color w:val="0000FF"/>
        </w:rPr>
        <w:t xml:space="preserve"> </w:t>
      </w:r>
      <w:r w:rsidRPr="007C58FE">
        <w:t>The set goal response rate for the 6</w:t>
      </w:r>
      <w:r>
        <w:t>-</w:t>
      </w:r>
      <w:r w:rsidRPr="007C58FE">
        <w:t>month</w:t>
      </w:r>
      <w:r>
        <w:t>s</w:t>
      </w:r>
      <w:r w:rsidRPr="007C58FE">
        <w:t xml:space="preserve"> post</w:t>
      </w:r>
      <w:r>
        <w:t xml:space="preserve"> </w:t>
      </w:r>
      <w:r w:rsidRPr="007C58FE">
        <w:t>baseline survey is 80</w:t>
      </w:r>
      <w:r>
        <w:t xml:space="preserve"> percent</w:t>
      </w:r>
      <w:r w:rsidRPr="007C58FE">
        <w:t xml:space="preserve"> of the baseline sample, resulting in </w:t>
      </w:r>
      <w:r>
        <w:t>1,920</w:t>
      </w:r>
      <w:r w:rsidRPr="007C58FE">
        <w:t xml:space="preserve"> respondents</w:t>
      </w:r>
      <w:r>
        <w:t xml:space="preserve"> completing the 6 months post baseline survey. </w:t>
      </w:r>
      <w:r w:rsidRPr="00947188">
        <w:t xml:space="preserve">The Year </w:t>
      </w:r>
      <w:r>
        <w:t>3</w:t>
      </w:r>
      <w:r w:rsidRPr="00947188">
        <w:t xml:space="preserve"> and Year 4 treatment focus groups are each expected to have a response rate of 80 percent (i.e., not every Grantee will be able to provide nine clients who are willing to participate), resulting in</w:t>
      </w:r>
      <w:r>
        <w:t xml:space="preserve"> </w:t>
      </w:r>
      <w:r w:rsidRPr="00947188">
        <w:t xml:space="preserve">a total of 720 respondents participating in focus groups. </w:t>
      </w:r>
      <w:r>
        <w:t xml:space="preserve">Based on these response rates, it is expected that client total responses will be 7,440. </w:t>
      </w:r>
      <w:r w:rsidRPr="00947188">
        <w:t xml:space="preserve">Exhibit </w:t>
      </w:r>
      <w:r>
        <w:t>8</w:t>
      </w:r>
      <w:r w:rsidRPr="00947188">
        <w:t xml:space="preserve"> presents estimates of total</w:t>
      </w:r>
      <w:r>
        <w:t xml:space="preserve"> burden and Exhibit 9 presents estimates of annualized</w:t>
      </w:r>
      <w:r w:rsidRPr="00947188">
        <w:t xml:space="preserve"> burden based on pilot testing.</w:t>
      </w:r>
    </w:p>
    <w:p w:rsidR="000F48AC" w:rsidRDefault="000F48AC" w:rsidP="009A09B6"/>
    <w:p w:rsidR="000F48AC" w:rsidRDefault="000F48AC" w:rsidP="009A09B6">
      <w:pPr>
        <w:ind w:left="720"/>
      </w:pPr>
      <w:r w:rsidRPr="00947188">
        <w:t>The hour burden for the client survey (i.e., baseline, discharge, 6</w:t>
      </w:r>
      <w:r>
        <w:t>-</w:t>
      </w:r>
      <w:r w:rsidRPr="00947188">
        <w:t>month</w:t>
      </w:r>
      <w:r>
        <w:t>s</w:t>
      </w:r>
      <w:r w:rsidRPr="00947188">
        <w:t xml:space="preserve"> post baseline) is</w:t>
      </w:r>
      <w:r>
        <w:t xml:space="preserve"> </w:t>
      </w:r>
      <w:r w:rsidRPr="00947188">
        <w:t>calculated using the average completion time based on survey pilot testing</w:t>
      </w:r>
      <w:r>
        <w:t xml:space="preserve"> (see Attachment 4 - Document 1</w:t>
      </w:r>
      <w:r w:rsidRPr="005A7873">
        <w:t>).</w:t>
      </w:r>
      <w:r w:rsidRPr="00947188">
        <w:t xml:space="preserve"> The time required to complete the surveys varies with client characteristics, in particular</w:t>
      </w:r>
      <w:r>
        <w:t>,</w:t>
      </w:r>
      <w:r w:rsidRPr="00947188">
        <w:t xml:space="preserve"> substance use behaviors. Based on pilot testing, the total time to complete the client survey––including time for reviewing instructions, searching existing data sources, gathering and maintaining the data needed, and completing and reviewing the collection of information––was found to be 25 minutes. Exhibit </w:t>
      </w:r>
      <w:r>
        <w:t>8</w:t>
      </w:r>
      <w:r w:rsidRPr="00947188">
        <w:t xml:space="preserve"> presents estimates of total burden based on pilot testing. </w:t>
      </w:r>
    </w:p>
    <w:p w:rsidR="000F48AC" w:rsidRDefault="000F48AC" w:rsidP="009A09B6"/>
    <w:p w:rsidR="000F48AC" w:rsidRDefault="000F48AC">
      <w:r>
        <w:br w:type="page"/>
      </w:r>
    </w:p>
    <w:p w:rsidR="000F48AC" w:rsidRDefault="000F48AC" w:rsidP="009A09B6"/>
    <w:p w:rsidR="000F48AC" w:rsidRDefault="000F48AC" w:rsidP="00B9101F">
      <w:pPr>
        <w:ind w:left="1800" w:hanging="1080"/>
        <w:rPr>
          <w:b/>
          <w:bCs/>
        </w:rPr>
      </w:pPr>
      <w:r w:rsidRPr="00CF75CF">
        <w:rPr>
          <w:b/>
          <w:bCs/>
        </w:rPr>
        <w:t xml:space="preserve">Exhibit </w:t>
      </w:r>
      <w:r>
        <w:rPr>
          <w:b/>
          <w:bCs/>
        </w:rPr>
        <w:t>8</w:t>
      </w:r>
      <w:r w:rsidRPr="00CF75CF">
        <w:rPr>
          <w:b/>
          <w:bCs/>
        </w:rPr>
        <w:t>. Multi-site Data Collection Burden for Clients</w:t>
      </w:r>
      <w:r>
        <w:rPr>
          <w:b/>
          <w:bCs/>
        </w:rPr>
        <w:t>,</w:t>
      </w:r>
      <w:r w:rsidRPr="00CF75CF">
        <w:rPr>
          <w:b/>
          <w:bCs/>
        </w:rPr>
        <w:t xml:space="preserve"> Grantee Staff</w:t>
      </w:r>
      <w:r>
        <w:rPr>
          <w:b/>
          <w:bCs/>
        </w:rPr>
        <w:t>,</w:t>
      </w:r>
      <w:r w:rsidRPr="00CF75CF">
        <w:rPr>
          <w:b/>
          <w:bCs/>
        </w:rPr>
        <w:t xml:space="preserve"> and</w:t>
      </w:r>
      <w:r>
        <w:rPr>
          <w:b/>
          <w:bCs/>
        </w:rPr>
        <w:t xml:space="preserve"> Collaborators</w:t>
      </w: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40"/>
        <w:gridCol w:w="1260"/>
        <w:gridCol w:w="1170"/>
        <w:gridCol w:w="990"/>
        <w:gridCol w:w="990"/>
        <w:gridCol w:w="900"/>
        <w:gridCol w:w="720"/>
        <w:gridCol w:w="1170"/>
      </w:tblGrid>
      <w:tr w:rsidR="000F48AC" w:rsidRPr="008531AB" w:rsidTr="00DF002D">
        <w:tc>
          <w:tcPr>
            <w:tcW w:w="2340" w:type="dxa"/>
          </w:tcPr>
          <w:p w:rsidR="000F48AC" w:rsidRPr="008531AB" w:rsidRDefault="000F48AC" w:rsidP="009A09B6">
            <w:pPr>
              <w:jc w:val="center"/>
              <w:rPr>
                <w:b/>
                <w:bCs/>
                <w:sz w:val="20"/>
                <w:szCs w:val="20"/>
              </w:rPr>
            </w:pPr>
            <w:r w:rsidRPr="008531AB">
              <w:rPr>
                <w:b/>
                <w:bCs/>
                <w:sz w:val="20"/>
                <w:szCs w:val="20"/>
              </w:rPr>
              <w:t>Instrument/</w:t>
            </w:r>
            <w:r w:rsidRPr="008531AB">
              <w:rPr>
                <w:b/>
                <w:bCs/>
                <w:sz w:val="20"/>
                <w:szCs w:val="20"/>
              </w:rPr>
              <w:br w:type="textWrapping" w:clear="all"/>
              <w:t>Activity</w:t>
            </w:r>
          </w:p>
        </w:tc>
        <w:tc>
          <w:tcPr>
            <w:tcW w:w="1260" w:type="dxa"/>
          </w:tcPr>
          <w:p w:rsidR="000F48AC" w:rsidRPr="008531AB" w:rsidRDefault="000F48AC" w:rsidP="009A09B6">
            <w:pPr>
              <w:jc w:val="center"/>
              <w:rPr>
                <w:b/>
                <w:bCs/>
                <w:sz w:val="20"/>
                <w:szCs w:val="20"/>
              </w:rPr>
            </w:pPr>
            <w:r w:rsidRPr="008531AB">
              <w:rPr>
                <w:b/>
                <w:bCs/>
                <w:sz w:val="20"/>
                <w:szCs w:val="20"/>
              </w:rPr>
              <w:t>Number of Respondents</w:t>
            </w:r>
          </w:p>
        </w:tc>
        <w:tc>
          <w:tcPr>
            <w:tcW w:w="1170" w:type="dxa"/>
          </w:tcPr>
          <w:p w:rsidR="000F48AC" w:rsidRPr="008531AB" w:rsidRDefault="000F48AC" w:rsidP="00DF002D">
            <w:pPr>
              <w:jc w:val="center"/>
              <w:rPr>
                <w:b/>
                <w:bCs/>
                <w:sz w:val="20"/>
                <w:szCs w:val="20"/>
              </w:rPr>
            </w:pPr>
            <w:r w:rsidRPr="008531AB">
              <w:rPr>
                <w:b/>
                <w:bCs/>
                <w:sz w:val="20"/>
                <w:szCs w:val="20"/>
              </w:rPr>
              <w:t>Responses per Respondent</w:t>
            </w:r>
          </w:p>
        </w:tc>
        <w:tc>
          <w:tcPr>
            <w:tcW w:w="990" w:type="dxa"/>
          </w:tcPr>
          <w:p w:rsidR="000F48AC" w:rsidRPr="008531AB" w:rsidRDefault="000F48AC" w:rsidP="009A09B6">
            <w:pPr>
              <w:jc w:val="center"/>
              <w:rPr>
                <w:b/>
                <w:bCs/>
                <w:sz w:val="20"/>
                <w:szCs w:val="20"/>
              </w:rPr>
            </w:pPr>
            <w:r w:rsidRPr="008531AB">
              <w:rPr>
                <w:b/>
                <w:bCs/>
                <w:sz w:val="20"/>
                <w:szCs w:val="20"/>
              </w:rPr>
              <w:t>Total Responses</w:t>
            </w:r>
          </w:p>
        </w:tc>
        <w:tc>
          <w:tcPr>
            <w:tcW w:w="990" w:type="dxa"/>
          </w:tcPr>
          <w:p w:rsidR="000F48AC" w:rsidRPr="008531AB" w:rsidRDefault="000F48AC" w:rsidP="009A09B6">
            <w:pPr>
              <w:jc w:val="center"/>
              <w:rPr>
                <w:b/>
                <w:bCs/>
                <w:sz w:val="20"/>
                <w:szCs w:val="20"/>
              </w:rPr>
            </w:pPr>
            <w:r w:rsidRPr="008531AB">
              <w:rPr>
                <w:b/>
                <w:bCs/>
                <w:sz w:val="20"/>
                <w:szCs w:val="20"/>
              </w:rPr>
              <w:t xml:space="preserve">Hours </w:t>
            </w:r>
            <w:r w:rsidRPr="008531AB">
              <w:rPr>
                <w:b/>
                <w:bCs/>
                <w:sz w:val="20"/>
                <w:szCs w:val="20"/>
              </w:rPr>
              <w:br w:type="textWrapping" w:clear="all"/>
              <w:t xml:space="preserve">per </w:t>
            </w:r>
            <w:r w:rsidRPr="008531AB">
              <w:rPr>
                <w:b/>
                <w:bCs/>
                <w:sz w:val="20"/>
                <w:szCs w:val="20"/>
              </w:rPr>
              <w:br w:type="textWrapping" w:clear="all"/>
              <w:t>Response</w:t>
            </w:r>
          </w:p>
        </w:tc>
        <w:tc>
          <w:tcPr>
            <w:tcW w:w="900" w:type="dxa"/>
          </w:tcPr>
          <w:p w:rsidR="000F48AC" w:rsidRPr="008531AB" w:rsidRDefault="000F48AC" w:rsidP="009A09B6">
            <w:pPr>
              <w:jc w:val="center"/>
              <w:rPr>
                <w:b/>
                <w:bCs/>
                <w:sz w:val="20"/>
                <w:szCs w:val="20"/>
              </w:rPr>
            </w:pPr>
            <w:r w:rsidRPr="008531AB">
              <w:rPr>
                <w:b/>
                <w:bCs/>
                <w:sz w:val="20"/>
                <w:szCs w:val="20"/>
              </w:rPr>
              <w:t>Total Burden Hours</w:t>
            </w:r>
          </w:p>
        </w:tc>
        <w:tc>
          <w:tcPr>
            <w:tcW w:w="720" w:type="dxa"/>
          </w:tcPr>
          <w:p w:rsidR="000F48AC" w:rsidRPr="008531AB" w:rsidRDefault="000F48AC" w:rsidP="009A09B6">
            <w:pPr>
              <w:jc w:val="center"/>
              <w:rPr>
                <w:b/>
                <w:bCs/>
                <w:sz w:val="20"/>
                <w:szCs w:val="20"/>
              </w:rPr>
            </w:pPr>
            <w:r w:rsidRPr="008531AB">
              <w:rPr>
                <w:b/>
                <w:bCs/>
                <w:sz w:val="20"/>
                <w:szCs w:val="20"/>
              </w:rPr>
              <w:t>Hourly Wage</w:t>
            </w:r>
          </w:p>
        </w:tc>
        <w:tc>
          <w:tcPr>
            <w:tcW w:w="1170" w:type="dxa"/>
          </w:tcPr>
          <w:p w:rsidR="000F48AC" w:rsidRPr="008531AB" w:rsidRDefault="000F48AC" w:rsidP="009A09B6">
            <w:pPr>
              <w:jc w:val="center"/>
              <w:rPr>
                <w:b/>
                <w:bCs/>
                <w:sz w:val="20"/>
                <w:szCs w:val="20"/>
              </w:rPr>
            </w:pPr>
            <w:r w:rsidRPr="008531AB">
              <w:rPr>
                <w:b/>
                <w:bCs/>
                <w:sz w:val="20"/>
                <w:szCs w:val="20"/>
              </w:rPr>
              <w:t xml:space="preserve">Total Respondent </w:t>
            </w:r>
            <w:r w:rsidRPr="008531AB">
              <w:rPr>
                <w:b/>
                <w:bCs/>
                <w:sz w:val="20"/>
                <w:szCs w:val="20"/>
              </w:rPr>
              <w:br w:type="textWrapping" w:clear="all"/>
              <w:t>Cost</w:t>
            </w:r>
            <w:r w:rsidRPr="008531AB">
              <w:rPr>
                <w:b/>
                <w:bCs/>
                <w:sz w:val="20"/>
                <w:szCs w:val="20"/>
                <w:vertAlign w:val="superscript"/>
              </w:rPr>
              <w:t>*</w:t>
            </w:r>
          </w:p>
        </w:tc>
      </w:tr>
      <w:tr w:rsidR="000F48AC" w:rsidRPr="008531AB" w:rsidTr="00DF002D">
        <w:tc>
          <w:tcPr>
            <w:tcW w:w="2340" w:type="dxa"/>
          </w:tcPr>
          <w:p w:rsidR="000F48AC" w:rsidRPr="008531AB" w:rsidRDefault="000F48AC" w:rsidP="009A09B6">
            <w:pPr>
              <w:rPr>
                <w:sz w:val="20"/>
                <w:szCs w:val="20"/>
              </w:rPr>
            </w:pPr>
            <w:r w:rsidRPr="008531AB">
              <w:rPr>
                <w:sz w:val="20"/>
                <w:szCs w:val="20"/>
              </w:rPr>
              <w:t>Baseline data collection (clients)</w:t>
            </w:r>
          </w:p>
        </w:tc>
        <w:tc>
          <w:tcPr>
            <w:tcW w:w="1260" w:type="dxa"/>
          </w:tcPr>
          <w:p w:rsidR="000F48AC" w:rsidRPr="008531AB" w:rsidRDefault="000F48AC" w:rsidP="009A09B6">
            <w:pPr>
              <w:jc w:val="right"/>
              <w:rPr>
                <w:sz w:val="20"/>
                <w:szCs w:val="20"/>
              </w:rPr>
            </w:pPr>
            <w:r w:rsidRPr="008531AB">
              <w:rPr>
                <w:sz w:val="20"/>
                <w:szCs w:val="20"/>
              </w:rPr>
              <w:t>2,400</w:t>
            </w:r>
          </w:p>
        </w:tc>
        <w:tc>
          <w:tcPr>
            <w:tcW w:w="1170" w:type="dxa"/>
          </w:tcPr>
          <w:p w:rsidR="000F48AC" w:rsidRPr="008531AB" w:rsidRDefault="000F48AC" w:rsidP="009A09B6">
            <w:pPr>
              <w:jc w:val="right"/>
              <w:rPr>
                <w:sz w:val="20"/>
                <w:szCs w:val="20"/>
              </w:rPr>
            </w:pPr>
            <w:r w:rsidRPr="008531AB">
              <w:rPr>
                <w:sz w:val="20"/>
                <w:szCs w:val="20"/>
              </w:rPr>
              <w:t>1</w:t>
            </w:r>
          </w:p>
        </w:tc>
        <w:tc>
          <w:tcPr>
            <w:tcW w:w="990" w:type="dxa"/>
          </w:tcPr>
          <w:p w:rsidR="000F48AC" w:rsidRPr="008531AB" w:rsidRDefault="000F48AC" w:rsidP="009A09B6">
            <w:pPr>
              <w:jc w:val="right"/>
              <w:rPr>
                <w:sz w:val="20"/>
                <w:szCs w:val="20"/>
              </w:rPr>
            </w:pPr>
            <w:r w:rsidRPr="008531AB">
              <w:rPr>
                <w:sz w:val="20"/>
                <w:szCs w:val="20"/>
              </w:rPr>
              <w:t>2,400</w:t>
            </w:r>
          </w:p>
        </w:tc>
        <w:tc>
          <w:tcPr>
            <w:tcW w:w="990" w:type="dxa"/>
          </w:tcPr>
          <w:p w:rsidR="000F48AC" w:rsidRPr="008531AB" w:rsidRDefault="000F48AC" w:rsidP="009A09B6">
            <w:pPr>
              <w:jc w:val="right"/>
              <w:rPr>
                <w:sz w:val="20"/>
                <w:szCs w:val="20"/>
              </w:rPr>
            </w:pPr>
            <w:r w:rsidRPr="008531AB">
              <w:rPr>
                <w:sz w:val="20"/>
                <w:szCs w:val="20"/>
              </w:rPr>
              <w:t xml:space="preserve">.42 </w:t>
            </w:r>
          </w:p>
        </w:tc>
        <w:tc>
          <w:tcPr>
            <w:tcW w:w="900" w:type="dxa"/>
          </w:tcPr>
          <w:p w:rsidR="000F48AC" w:rsidRPr="008531AB" w:rsidRDefault="000F48AC" w:rsidP="009A09B6">
            <w:pPr>
              <w:jc w:val="right"/>
              <w:rPr>
                <w:sz w:val="20"/>
                <w:szCs w:val="20"/>
              </w:rPr>
            </w:pPr>
            <w:r w:rsidRPr="008531AB">
              <w:rPr>
                <w:sz w:val="20"/>
                <w:szCs w:val="20"/>
              </w:rPr>
              <w:t>1,008</w:t>
            </w:r>
          </w:p>
        </w:tc>
        <w:tc>
          <w:tcPr>
            <w:tcW w:w="720" w:type="dxa"/>
          </w:tcPr>
          <w:p w:rsidR="000F48AC" w:rsidRPr="008531AB" w:rsidRDefault="000F48AC" w:rsidP="009A09B6">
            <w:pPr>
              <w:jc w:val="right"/>
              <w:rPr>
                <w:sz w:val="20"/>
                <w:szCs w:val="20"/>
              </w:rPr>
            </w:pPr>
            <w:r w:rsidRPr="008531AB">
              <w:rPr>
                <w:sz w:val="20"/>
                <w:szCs w:val="20"/>
              </w:rPr>
              <w:t>$20.32</w:t>
            </w:r>
          </w:p>
        </w:tc>
        <w:tc>
          <w:tcPr>
            <w:tcW w:w="1170" w:type="dxa"/>
          </w:tcPr>
          <w:p w:rsidR="000F48AC" w:rsidRPr="008531AB" w:rsidRDefault="000F48AC" w:rsidP="009A09B6">
            <w:pPr>
              <w:jc w:val="right"/>
              <w:rPr>
                <w:sz w:val="20"/>
                <w:szCs w:val="20"/>
                <w:highlight w:val="yellow"/>
              </w:rPr>
            </w:pPr>
            <w:r w:rsidRPr="008531AB">
              <w:rPr>
                <w:sz w:val="20"/>
                <w:szCs w:val="20"/>
              </w:rPr>
              <w:t>$20,482.56</w:t>
            </w:r>
          </w:p>
        </w:tc>
      </w:tr>
      <w:tr w:rsidR="000F48AC" w:rsidRPr="008531AB" w:rsidTr="00DF002D">
        <w:tc>
          <w:tcPr>
            <w:tcW w:w="2340" w:type="dxa"/>
          </w:tcPr>
          <w:p w:rsidR="000F48AC" w:rsidRPr="008531AB" w:rsidRDefault="000F48AC" w:rsidP="009A09B6">
            <w:pPr>
              <w:rPr>
                <w:sz w:val="20"/>
                <w:szCs w:val="20"/>
              </w:rPr>
            </w:pPr>
            <w:r w:rsidRPr="008531AB">
              <w:rPr>
                <w:sz w:val="20"/>
                <w:szCs w:val="20"/>
              </w:rPr>
              <w:t>Discharge data (clients)</w:t>
            </w:r>
          </w:p>
        </w:tc>
        <w:tc>
          <w:tcPr>
            <w:tcW w:w="1260" w:type="dxa"/>
          </w:tcPr>
          <w:p w:rsidR="000F48AC" w:rsidRPr="008531AB" w:rsidRDefault="000F48AC" w:rsidP="009A09B6">
            <w:pPr>
              <w:jc w:val="right"/>
              <w:rPr>
                <w:sz w:val="20"/>
                <w:szCs w:val="20"/>
              </w:rPr>
            </w:pPr>
          </w:p>
        </w:tc>
        <w:tc>
          <w:tcPr>
            <w:tcW w:w="1170" w:type="dxa"/>
          </w:tcPr>
          <w:p w:rsidR="000F48AC" w:rsidRPr="008531AB" w:rsidRDefault="000F48AC" w:rsidP="009A09B6">
            <w:pPr>
              <w:jc w:val="right"/>
              <w:rPr>
                <w:sz w:val="20"/>
                <w:szCs w:val="20"/>
              </w:rPr>
            </w:pPr>
            <w:r w:rsidRPr="008531AB">
              <w:rPr>
                <w:sz w:val="20"/>
                <w:szCs w:val="20"/>
              </w:rPr>
              <w:t>1</w:t>
            </w:r>
          </w:p>
        </w:tc>
        <w:tc>
          <w:tcPr>
            <w:tcW w:w="990" w:type="dxa"/>
          </w:tcPr>
          <w:p w:rsidR="000F48AC" w:rsidRPr="008531AB" w:rsidRDefault="000F48AC" w:rsidP="009A09B6">
            <w:pPr>
              <w:jc w:val="right"/>
              <w:rPr>
                <w:sz w:val="20"/>
                <w:szCs w:val="20"/>
              </w:rPr>
            </w:pPr>
            <w:r w:rsidRPr="008531AB">
              <w:rPr>
                <w:sz w:val="20"/>
                <w:szCs w:val="20"/>
              </w:rPr>
              <w:t>2,400</w:t>
            </w:r>
          </w:p>
        </w:tc>
        <w:tc>
          <w:tcPr>
            <w:tcW w:w="990" w:type="dxa"/>
          </w:tcPr>
          <w:p w:rsidR="000F48AC" w:rsidRPr="008531AB" w:rsidRDefault="000F48AC" w:rsidP="009A09B6">
            <w:pPr>
              <w:jc w:val="right"/>
              <w:rPr>
                <w:sz w:val="20"/>
                <w:szCs w:val="20"/>
              </w:rPr>
            </w:pPr>
            <w:r w:rsidRPr="008531AB">
              <w:rPr>
                <w:sz w:val="20"/>
                <w:szCs w:val="20"/>
              </w:rPr>
              <w:t>.42</w:t>
            </w:r>
          </w:p>
        </w:tc>
        <w:tc>
          <w:tcPr>
            <w:tcW w:w="900" w:type="dxa"/>
          </w:tcPr>
          <w:p w:rsidR="000F48AC" w:rsidRPr="008531AB" w:rsidRDefault="000F48AC" w:rsidP="009A09B6">
            <w:pPr>
              <w:jc w:val="right"/>
              <w:rPr>
                <w:sz w:val="20"/>
                <w:szCs w:val="20"/>
              </w:rPr>
            </w:pPr>
            <w:r w:rsidRPr="008531AB">
              <w:rPr>
                <w:sz w:val="20"/>
                <w:szCs w:val="20"/>
              </w:rPr>
              <w:t>1,008</w:t>
            </w:r>
          </w:p>
        </w:tc>
        <w:tc>
          <w:tcPr>
            <w:tcW w:w="720" w:type="dxa"/>
          </w:tcPr>
          <w:p w:rsidR="000F48AC" w:rsidRPr="008531AB" w:rsidRDefault="000F48AC" w:rsidP="009A09B6">
            <w:pPr>
              <w:jc w:val="right"/>
              <w:rPr>
                <w:sz w:val="20"/>
                <w:szCs w:val="20"/>
              </w:rPr>
            </w:pPr>
            <w:r w:rsidRPr="008531AB">
              <w:rPr>
                <w:sz w:val="20"/>
                <w:szCs w:val="20"/>
              </w:rPr>
              <w:t>$20.32</w:t>
            </w:r>
          </w:p>
        </w:tc>
        <w:tc>
          <w:tcPr>
            <w:tcW w:w="1170" w:type="dxa"/>
          </w:tcPr>
          <w:p w:rsidR="000F48AC" w:rsidRPr="008531AB" w:rsidRDefault="000F48AC" w:rsidP="009A09B6">
            <w:pPr>
              <w:jc w:val="right"/>
              <w:rPr>
                <w:sz w:val="20"/>
                <w:szCs w:val="20"/>
                <w:highlight w:val="yellow"/>
              </w:rPr>
            </w:pPr>
            <w:r w:rsidRPr="008531AB">
              <w:rPr>
                <w:sz w:val="20"/>
                <w:szCs w:val="20"/>
              </w:rPr>
              <w:t>$20,482.56</w:t>
            </w:r>
          </w:p>
        </w:tc>
      </w:tr>
      <w:tr w:rsidR="000F48AC" w:rsidRPr="008531AB" w:rsidTr="00DF002D">
        <w:tc>
          <w:tcPr>
            <w:tcW w:w="2340" w:type="dxa"/>
          </w:tcPr>
          <w:p w:rsidR="000F48AC" w:rsidRPr="008531AB" w:rsidRDefault="000F48AC" w:rsidP="009A09B6">
            <w:pPr>
              <w:rPr>
                <w:sz w:val="20"/>
                <w:szCs w:val="20"/>
              </w:rPr>
            </w:pPr>
            <w:r w:rsidRPr="008531AB">
              <w:rPr>
                <w:sz w:val="20"/>
                <w:szCs w:val="20"/>
              </w:rPr>
              <w:t>6-months post baseline data collection (clients)</w:t>
            </w:r>
          </w:p>
        </w:tc>
        <w:tc>
          <w:tcPr>
            <w:tcW w:w="1260" w:type="dxa"/>
          </w:tcPr>
          <w:p w:rsidR="000F48AC" w:rsidRPr="008531AB" w:rsidRDefault="000F48AC" w:rsidP="009A09B6">
            <w:pPr>
              <w:jc w:val="right"/>
              <w:rPr>
                <w:sz w:val="20"/>
                <w:szCs w:val="20"/>
              </w:rPr>
            </w:pPr>
          </w:p>
        </w:tc>
        <w:tc>
          <w:tcPr>
            <w:tcW w:w="1170" w:type="dxa"/>
          </w:tcPr>
          <w:p w:rsidR="000F48AC" w:rsidRPr="008531AB" w:rsidRDefault="000F48AC" w:rsidP="009A09B6">
            <w:pPr>
              <w:jc w:val="right"/>
              <w:rPr>
                <w:sz w:val="20"/>
                <w:szCs w:val="20"/>
              </w:rPr>
            </w:pPr>
            <w:r w:rsidRPr="008531AB">
              <w:rPr>
                <w:sz w:val="20"/>
                <w:szCs w:val="20"/>
              </w:rPr>
              <w:t>1</w:t>
            </w:r>
          </w:p>
        </w:tc>
        <w:tc>
          <w:tcPr>
            <w:tcW w:w="990" w:type="dxa"/>
          </w:tcPr>
          <w:p w:rsidR="000F48AC" w:rsidRPr="008531AB" w:rsidRDefault="000F48AC" w:rsidP="009A09B6">
            <w:pPr>
              <w:jc w:val="right"/>
              <w:rPr>
                <w:sz w:val="20"/>
                <w:szCs w:val="20"/>
              </w:rPr>
            </w:pPr>
            <w:r w:rsidRPr="008531AB">
              <w:rPr>
                <w:sz w:val="20"/>
                <w:szCs w:val="20"/>
              </w:rPr>
              <w:t>1,920</w:t>
            </w:r>
          </w:p>
        </w:tc>
        <w:tc>
          <w:tcPr>
            <w:tcW w:w="990" w:type="dxa"/>
          </w:tcPr>
          <w:p w:rsidR="000F48AC" w:rsidRPr="008531AB" w:rsidRDefault="000F48AC" w:rsidP="009A09B6">
            <w:pPr>
              <w:jc w:val="right"/>
              <w:rPr>
                <w:sz w:val="20"/>
                <w:szCs w:val="20"/>
              </w:rPr>
            </w:pPr>
            <w:r w:rsidRPr="008531AB">
              <w:rPr>
                <w:sz w:val="20"/>
                <w:szCs w:val="20"/>
              </w:rPr>
              <w:t xml:space="preserve">.42 </w:t>
            </w:r>
          </w:p>
        </w:tc>
        <w:tc>
          <w:tcPr>
            <w:tcW w:w="900" w:type="dxa"/>
          </w:tcPr>
          <w:p w:rsidR="000F48AC" w:rsidRPr="008531AB" w:rsidRDefault="000F48AC" w:rsidP="009A09B6">
            <w:pPr>
              <w:jc w:val="right"/>
              <w:rPr>
                <w:sz w:val="20"/>
                <w:szCs w:val="20"/>
              </w:rPr>
            </w:pPr>
            <w:r w:rsidRPr="008531AB">
              <w:rPr>
                <w:sz w:val="20"/>
                <w:szCs w:val="20"/>
              </w:rPr>
              <w:t>806.4</w:t>
            </w:r>
          </w:p>
        </w:tc>
        <w:tc>
          <w:tcPr>
            <w:tcW w:w="720" w:type="dxa"/>
          </w:tcPr>
          <w:p w:rsidR="000F48AC" w:rsidRPr="008531AB" w:rsidRDefault="000F48AC" w:rsidP="009A09B6">
            <w:pPr>
              <w:jc w:val="right"/>
              <w:rPr>
                <w:sz w:val="20"/>
                <w:szCs w:val="20"/>
              </w:rPr>
            </w:pPr>
            <w:r w:rsidRPr="008531AB">
              <w:rPr>
                <w:sz w:val="20"/>
                <w:szCs w:val="20"/>
              </w:rPr>
              <w:t>$20.32</w:t>
            </w:r>
          </w:p>
        </w:tc>
        <w:tc>
          <w:tcPr>
            <w:tcW w:w="1170" w:type="dxa"/>
          </w:tcPr>
          <w:p w:rsidR="000F48AC" w:rsidRPr="008531AB" w:rsidRDefault="000F48AC" w:rsidP="009A09B6">
            <w:pPr>
              <w:jc w:val="right"/>
              <w:rPr>
                <w:sz w:val="20"/>
                <w:szCs w:val="20"/>
                <w:highlight w:val="yellow"/>
              </w:rPr>
            </w:pPr>
            <w:r w:rsidRPr="008531AB">
              <w:rPr>
                <w:sz w:val="20"/>
                <w:szCs w:val="20"/>
              </w:rPr>
              <w:t>$16,386.05</w:t>
            </w:r>
          </w:p>
        </w:tc>
      </w:tr>
      <w:tr w:rsidR="000F48AC" w:rsidRPr="008531AB" w:rsidTr="00DF002D">
        <w:tc>
          <w:tcPr>
            <w:tcW w:w="2340" w:type="dxa"/>
          </w:tcPr>
          <w:p w:rsidR="000F48AC" w:rsidRPr="008531AB" w:rsidRDefault="000F48AC" w:rsidP="009A09B6">
            <w:pPr>
              <w:rPr>
                <w:sz w:val="20"/>
                <w:szCs w:val="20"/>
              </w:rPr>
            </w:pPr>
            <w:r w:rsidRPr="008531AB">
              <w:rPr>
                <w:sz w:val="20"/>
                <w:szCs w:val="20"/>
              </w:rPr>
              <w:t>Treatment focus group Year 3 (client)</w:t>
            </w:r>
          </w:p>
        </w:tc>
        <w:tc>
          <w:tcPr>
            <w:tcW w:w="1260" w:type="dxa"/>
          </w:tcPr>
          <w:p w:rsidR="000F48AC" w:rsidRPr="008531AB" w:rsidRDefault="000F48AC" w:rsidP="009A09B6">
            <w:pPr>
              <w:jc w:val="right"/>
              <w:rPr>
                <w:sz w:val="20"/>
                <w:szCs w:val="20"/>
              </w:rPr>
            </w:pPr>
          </w:p>
        </w:tc>
        <w:tc>
          <w:tcPr>
            <w:tcW w:w="1170" w:type="dxa"/>
          </w:tcPr>
          <w:p w:rsidR="000F48AC" w:rsidRPr="008531AB" w:rsidRDefault="000F48AC" w:rsidP="009A09B6">
            <w:pPr>
              <w:jc w:val="right"/>
              <w:rPr>
                <w:sz w:val="20"/>
                <w:szCs w:val="20"/>
              </w:rPr>
            </w:pPr>
            <w:r w:rsidRPr="008531AB">
              <w:rPr>
                <w:sz w:val="20"/>
                <w:szCs w:val="20"/>
              </w:rPr>
              <w:t>1</w:t>
            </w:r>
          </w:p>
        </w:tc>
        <w:tc>
          <w:tcPr>
            <w:tcW w:w="990" w:type="dxa"/>
          </w:tcPr>
          <w:p w:rsidR="000F48AC" w:rsidRPr="008531AB" w:rsidRDefault="000F48AC" w:rsidP="009A09B6">
            <w:pPr>
              <w:jc w:val="right"/>
              <w:rPr>
                <w:sz w:val="20"/>
                <w:szCs w:val="20"/>
              </w:rPr>
            </w:pPr>
            <w:r w:rsidRPr="008531AB">
              <w:rPr>
                <w:sz w:val="20"/>
                <w:szCs w:val="20"/>
              </w:rPr>
              <w:t>360</w:t>
            </w:r>
          </w:p>
        </w:tc>
        <w:tc>
          <w:tcPr>
            <w:tcW w:w="990" w:type="dxa"/>
          </w:tcPr>
          <w:p w:rsidR="000F48AC" w:rsidRPr="008531AB" w:rsidRDefault="000F48AC" w:rsidP="009A09B6">
            <w:pPr>
              <w:jc w:val="right"/>
              <w:rPr>
                <w:sz w:val="20"/>
                <w:szCs w:val="20"/>
              </w:rPr>
            </w:pPr>
            <w:r w:rsidRPr="008531AB">
              <w:rPr>
                <w:sz w:val="20"/>
                <w:szCs w:val="20"/>
              </w:rPr>
              <w:t>1.0</w:t>
            </w:r>
          </w:p>
        </w:tc>
        <w:tc>
          <w:tcPr>
            <w:tcW w:w="900" w:type="dxa"/>
          </w:tcPr>
          <w:p w:rsidR="000F48AC" w:rsidRPr="008531AB" w:rsidRDefault="000F48AC" w:rsidP="009A09B6">
            <w:pPr>
              <w:jc w:val="right"/>
              <w:rPr>
                <w:sz w:val="20"/>
                <w:szCs w:val="20"/>
              </w:rPr>
            </w:pPr>
            <w:r w:rsidRPr="008531AB">
              <w:rPr>
                <w:sz w:val="20"/>
                <w:szCs w:val="20"/>
              </w:rPr>
              <w:t>360</w:t>
            </w:r>
          </w:p>
        </w:tc>
        <w:tc>
          <w:tcPr>
            <w:tcW w:w="720" w:type="dxa"/>
          </w:tcPr>
          <w:p w:rsidR="000F48AC" w:rsidRPr="008531AB" w:rsidRDefault="000F48AC" w:rsidP="009A09B6">
            <w:pPr>
              <w:jc w:val="right"/>
              <w:rPr>
                <w:sz w:val="20"/>
                <w:szCs w:val="20"/>
              </w:rPr>
            </w:pPr>
            <w:r w:rsidRPr="008531AB">
              <w:rPr>
                <w:sz w:val="20"/>
                <w:szCs w:val="20"/>
              </w:rPr>
              <w:t>$20.32</w:t>
            </w:r>
          </w:p>
        </w:tc>
        <w:tc>
          <w:tcPr>
            <w:tcW w:w="1170" w:type="dxa"/>
          </w:tcPr>
          <w:p w:rsidR="000F48AC" w:rsidRPr="008531AB" w:rsidRDefault="000F48AC" w:rsidP="009A09B6">
            <w:pPr>
              <w:jc w:val="right"/>
              <w:rPr>
                <w:sz w:val="20"/>
                <w:szCs w:val="20"/>
              </w:rPr>
            </w:pPr>
            <w:r w:rsidRPr="008531AB">
              <w:rPr>
                <w:sz w:val="20"/>
                <w:szCs w:val="20"/>
              </w:rPr>
              <w:t>$7,315.20</w:t>
            </w:r>
          </w:p>
        </w:tc>
      </w:tr>
      <w:tr w:rsidR="000F48AC" w:rsidRPr="008531AB" w:rsidTr="00DF002D">
        <w:tc>
          <w:tcPr>
            <w:tcW w:w="2340" w:type="dxa"/>
          </w:tcPr>
          <w:p w:rsidR="000F48AC" w:rsidRPr="008531AB" w:rsidRDefault="000F48AC" w:rsidP="009A09B6">
            <w:pPr>
              <w:rPr>
                <w:sz w:val="20"/>
                <w:szCs w:val="20"/>
              </w:rPr>
            </w:pPr>
            <w:r w:rsidRPr="008531AB">
              <w:rPr>
                <w:sz w:val="20"/>
                <w:szCs w:val="20"/>
              </w:rPr>
              <w:t>Treatment focus group Year 4 (client)</w:t>
            </w:r>
          </w:p>
        </w:tc>
        <w:tc>
          <w:tcPr>
            <w:tcW w:w="1260" w:type="dxa"/>
          </w:tcPr>
          <w:p w:rsidR="000F48AC" w:rsidRPr="008531AB" w:rsidRDefault="000F48AC" w:rsidP="009A09B6">
            <w:pPr>
              <w:jc w:val="right"/>
              <w:rPr>
                <w:sz w:val="20"/>
                <w:szCs w:val="20"/>
              </w:rPr>
            </w:pPr>
          </w:p>
        </w:tc>
        <w:tc>
          <w:tcPr>
            <w:tcW w:w="1170" w:type="dxa"/>
          </w:tcPr>
          <w:p w:rsidR="000F48AC" w:rsidRPr="008531AB" w:rsidRDefault="000F48AC" w:rsidP="009A09B6">
            <w:pPr>
              <w:jc w:val="right"/>
              <w:rPr>
                <w:sz w:val="20"/>
                <w:szCs w:val="20"/>
              </w:rPr>
            </w:pPr>
            <w:r w:rsidRPr="008531AB">
              <w:rPr>
                <w:sz w:val="20"/>
                <w:szCs w:val="20"/>
              </w:rPr>
              <w:t>1</w:t>
            </w:r>
          </w:p>
        </w:tc>
        <w:tc>
          <w:tcPr>
            <w:tcW w:w="990" w:type="dxa"/>
          </w:tcPr>
          <w:p w:rsidR="000F48AC" w:rsidRPr="008531AB" w:rsidRDefault="000F48AC" w:rsidP="009A09B6">
            <w:pPr>
              <w:jc w:val="right"/>
              <w:rPr>
                <w:sz w:val="20"/>
                <w:szCs w:val="20"/>
              </w:rPr>
            </w:pPr>
            <w:r w:rsidRPr="008531AB">
              <w:rPr>
                <w:sz w:val="20"/>
                <w:szCs w:val="20"/>
              </w:rPr>
              <w:t>360</w:t>
            </w:r>
          </w:p>
        </w:tc>
        <w:tc>
          <w:tcPr>
            <w:tcW w:w="990" w:type="dxa"/>
          </w:tcPr>
          <w:p w:rsidR="000F48AC" w:rsidRPr="008531AB" w:rsidRDefault="000F48AC" w:rsidP="009A09B6">
            <w:pPr>
              <w:jc w:val="right"/>
              <w:rPr>
                <w:sz w:val="20"/>
                <w:szCs w:val="20"/>
              </w:rPr>
            </w:pPr>
            <w:r w:rsidRPr="008531AB">
              <w:rPr>
                <w:sz w:val="20"/>
                <w:szCs w:val="20"/>
              </w:rPr>
              <w:t>1.0</w:t>
            </w:r>
          </w:p>
        </w:tc>
        <w:tc>
          <w:tcPr>
            <w:tcW w:w="900" w:type="dxa"/>
          </w:tcPr>
          <w:p w:rsidR="000F48AC" w:rsidRPr="008531AB" w:rsidRDefault="000F48AC" w:rsidP="009A09B6">
            <w:pPr>
              <w:jc w:val="right"/>
              <w:rPr>
                <w:sz w:val="20"/>
                <w:szCs w:val="20"/>
              </w:rPr>
            </w:pPr>
            <w:r w:rsidRPr="008531AB">
              <w:rPr>
                <w:sz w:val="20"/>
                <w:szCs w:val="20"/>
              </w:rPr>
              <w:t>360</w:t>
            </w:r>
          </w:p>
        </w:tc>
        <w:tc>
          <w:tcPr>
            <w:tcW w:w="720" w:type="dxa"/>
          </w:tcPr>
          <w:p w:rsidR="000F48AC" w:rsidRPr="008531AB" w:rsidRDefault="000F48AC" w:rsidP="009A09B6">
            <w:pPr>
              <w:jc w:val="right"/>
              <w:rPr>
                <w:sz w:val="20"/>
                <w:szCs w:val="20"/>
              </w:rPr>
            </w:pPr>
            <w:r w:rsidRPr="008531AB">
              <w:rPr>
                <w:sz w:val="20"/>
                <w:szCs w:val="20"/>
              </w:rPr>
              <w:t>$20.32</w:t>
            </w:r>
          </w:p>
        </w:tc>
        <w:tc>
          <w:tcPr>
            <w:tcW w:w="1170" w:type="dxa"/>
          </w:tcPr>
          <w:p w:rsidR="000F48AC" w:rsidRPr="008531AB" w:rsidRDefault="000F48AC" w:rsidP="009A09B6">
            <w:pPr>
              <w:jc w:val="right"/>
              <w:rPr>
                <w:sz w:val="20"/>
                <w:szCs w:val="20"/>
              </w:rPr>
            </w:pPr>
            <w:r w:rsidRPr="008531AB">
              <w:rPr>
                <w:sz w:val="20"/>
                <w:szCs w:val="20"/>
              </w:rPr>
              <w:t>$7,315.20</w:t>
            </w:r>
          </w:p>
        </w:tc>
      </w:tr>
      <w:tr w:rsidR="000F48AC" w:rsidRPr="008531AB" w:rsidTr="00DF002D">
        <w:tc>
          <w:tcPr>
            <w:tcW w:w="2340" w:type="dxa"/>
          </w:tcPr>
          <w:p w:rsidR="000F48AC" w:rsidRPr="008531AB" w:rsidRDefault="000F48AC" w:rsidP="009A09B6">
            <w:pPr>
              <w:rPr>
                <w:sz w:val="20"/>
                <w:szCs w:val="20"/>
              </w:rPr>
            </w:pPr>
            <w:r w:rsidRPr="008531AB">
              <w:rPr>
                <w:sz w:val="20"/>
                <w:szCs w:val="20"/>
              </w:rPr>
              <w:t xml:space="preserve">Client subtotal </w:t>
            </w:r>
          </w:p>
        </w:tc>
        <w:tc>
          <w:tcPr>
            <w:tcW w:w="1260" w:type="dxa"/>
          </w:tcPr>
          <w:p w:rsidR="000F48AC" w:rsidRPr="008531AB" w:rsidRDefault="000F48AC" w:rsidP="009A09B6">
            <w:pPr>
              <w:jc w:val="right"/>
              <w:rPr>
                <w:sz w:val="20"/>
                <w:szCs w:val="20"/>
              </w:rPr>
            </w:pPr>
            <w:r w:rsidRPr="008531AB">
              <w:rPr>
                <w:sz w:val="20"/>
                <w:szCs w:val="20"/>
              </w:rPr>
              <w:t>2,400</w:t>
            </w:r>
          </w:p>
        </w:tc>
        <w:tc>
          <w:tcPr>
            <w:tcW w:w="1170" w:type="dxa"/>
          </w:tcPr>
          <w:p w:rsidR="000F48AC" w:rsidRPr="008531AB" w:rsidRDefault="000F48AC" w:rsidP="009A09B6">
            <w:pPr>
              <w:jc w:val="right"/>
              <w:rPr>
                <w:sz w:val="20"/>
                <w:szCs w:val="20"/>
                <w:highlight w:val="cyan"/>
              </w:rPr>
            </w:pPr>
          </w:p>
        </w:tc>
        <w:tc>
          <w:tcPr>
            <w:tcW w:w="990" w:type="dxa"/>
          </w:tcPr>
          <w:p w:rsidR="000F48AC" w:rsidRPr="008531AB" w:rsidRDefault="000F48AC" w:rsidP="009A09B6">
            <w:pPr>
              <w:jc w:val="right"/>
              <w:rPr>
                <w:sz w:val="20"/>
                <w:szCs w:val="20"/>
                <w:highlight w:val="cyan"/>
              </w:rPr>
            </w:pPr>
            <w:r w:rsidRPr="008531AB">
              <w:rPr>
                <w:sz w:val="20"/>
                <w:szCs w:val="20"/>
              </w:rPr>
              <w:t>7,440</w:t>
            </w:r>
          </w:p>
        </w:tc>
        <w:tc>
          <w:tcPr>
            <w:tcW w:w="990" w:type="dxa"/>
          </w:tcPr>
          <w:p w:rsidR="000F48AC" w:rsidRPr="008531AB" w:rsidRDefault="000F48AC" w:rsidP="009A09B6">
            <w:pPr>
              <w:jc w:val="right"/>
              <w:rPr>
                <w:sz w:val="20"/>
                <w:szCs w:val="20"/>
                <w:highlight w:val="cyan"/>
              </w:rPr>
            </w:pPr>
          </w:p>
        </w:tc>
        <w:tc>
          <w:tcPr>
            <w:tcW w:w="900" w:type="dxa"/>
          </w:tcPr>
          <w:p w:rsidR="000F48AC" w:rsidRPr="008531AB" w:rsidRDefault="000F48AC" w:rsidP="009A09B6">
            <w:pPr>
              <w:jc w:val="right"/>
              <w:rPr>
                <w:sz w:val="20"/>
                <w:szCs w:val="20"/>
              </w:rPr>
            </w:pPr>
            <w:r w:rsidRPr="008531AB">
              <w:rPr>
                <w:sz w:val="20"/>
                <w:szCs w:val="20"/>
              </w:rPr>
              <w:t>3,542.4</w:t>
            </w:r>
          </w:p>
        </w:tc>
        <w:tc>
          <w:tcPr>
            <w:tcW w:w="720" w:type="dxa"/>
          </w:tcPr>
          <w:p w:rsidR="000F48AC" w:rsidRPr="008531AB" w:rsidRDefault="000F48AC" w:rsidP="009A09B6">
            <w:pPr>
              <w:jc w:val="right"/>
              <w:rPr>
                <w:sz w:val="20"/>
                <w:szCs w:val="20"/>
              </w:rPr>
            </w:pPr>
          </w:p>
        </w:tc>
        <w:tc>
          <w:tcPr>
            <w:tcW w:w="1170" w:type="dxa"/>
          </w:tcPr>
          <w:p w:rsidR="000F48AC" w:rsidRPr="008531AB" w:rsidRDefault="000F48AC" w:rsidP="009A09B6">
            <w:pPr>
              <w:jc w:val="right"/>
              <w:rPr>
                <w:sz w:val="20"/>
                <w:szCs w:val="20"/>
              </w:rPr>
            </w:pPr>
            <w:r w:rsidRPr="008531AB">
              <w:rPr>
                <w:sz w:val="20"/>
                <w:szCs w:val="20"/>
              </w:rPr>
              <w:t>$71,981.57</w:t>
            </w:r>
          </w:p>
        </w:tc>
      </w:tr>
      <w:tr w:rsidR="000F48AC" w:rsidRPr="008531AB" w:rsidTr="00DF002D">
        <w:tc>
          <w:tcPr>
            <w:tcW w:w="2340" w:type="dxa"/>
          </w:tcPr>
          <w:p w:rsidR="000F48AC" w:rsidRPr="008531AB" w:rsidRDefault="000F48AC" w:rsidP="009A09B6">
            <w:pPr>
              <w:rPr>
                <w:b/>
                <w:bCs/>
                <w:sz w:val="20"/>
                <w:szCs w:val="20"/>
              </w:rPr>
            </w:pPr>
            <w:r w:rsidRPr="008531AB">
              <w:rPr>
                <w:b/>
                <w:bCs/>
                <w:sz w:val="20"/>
                <w:szCs w:val="20"/>
              </w:rPr>
              <w:t>Annualized Client Total</w:t>
            </w:r>
          </w:p>
        </w:tc>
        <w:tc>
          <w:tcPr>
            <w:tcW w:w="1260" w:type="dxa"/>
          </w:tcPr>
          <w:p w:rsidR="000F48AC" w:rsidRPr="008531AB" w:rsidRDefault="000F48AC" w:rsidP="009A09B6">
            <w:pPr>
              <w:jc w:val="right"/>
              <w:rPr>
                <w:b/>
                <w:bCs/>
                <w:sz w:val="20"/>
                <w:szCs w:val="20"/>
              </w:rPr>
            </w:pPr>
            <w:r w:rsidRPr="008531AB">
              <w:rPr>
                <w:b/>
                <w:bCs/>
                <w:sz w:val="20"/>
                <w:szCs w:val="20"/>
              </w:rPr>
              <w:t>800</w:t>
            </w:r>
          </w:p>
        </w:tc>
        <w:tc>
          <w:tcPr>
            <w:tcW w:w="1170" w:type="dxa"/>
          </w:tcPr>
          <w:p w:rsidR="000F48AC" w:rsidRPr="008531AB" w:rsidRDefault="000F48AC" w:rsidP="009A09B6">
            <w:pPr>
              <w:jc w:val="right"/>
              <w:rPr>
                <w:b/>
                <w:bCs/>
                <w:sz w:val="20"/>
                <w:szCs w:val="20"/>
              </w:rPr>
            </w:pPr>
            <w:r w:rsidRPr="008531AB">
              <w:rPr>
                <w:b/>
                <w:bCs/>
                <w:sz w:val="20"/>
                <w:szCs w:val="20"/>
              </w:rPr>
              <w:t>--</w:t>
            </w:r>
          </w:p>
        </w:tc>
        <w:tc>
          <w:tcPr>
            <w:tcW w:w="990" w:type="dxa"/>
          </w:tcPr>
          <w:p w:rsidR="000F48AC" w:rsidRPr="008531AB" w:rsidRDefault="000F48AC" w:rsidP="009A09B6">
            <w:pPr>
              <w:jc w:val="right"/>
              <w:rPr>
                <w:b/>
                <w:bCs/>
                <w:sz w:val="20"/>
                <w:szCs w:val="20"/>
              </w:rPr>
            </w:pPr>
            <w:r w:rsidRPr="008531AB">
              <w:rPr>
                <w:b/>
                <w:bCs/>
                <w:sz w:val="20"/>
                <w:szCs w:val="20"/>
              </w:rPr>
              <w:t>2,480</w:t>
            </w:r>
          </w:p>
        </w:tc>
        <w:tc>
          <w:tcPr>
            <w:tcW w:w="990" w:type="dxa"/>
          </w:tcPr>
          <w:p w:rsidR="000F48AC" w:rsidRPr="008531AB" w:rsidRDefault="000F48AC" w:rsidP="009A09B6">
            <w:pPr>
              <w:jc w:val="right"/>
              <w:rPr>
                <w:b/>
                <w:bCs/>
                <w:sz w:val="20"/>
                <w:szCs w:val="20"/>
              </w:rPr>
            </w:pPr>
            <w:r w:rsidRPr="008531AB">
              <w:rPr>
                <w:b/>
                <w:bCs/>
                <w:sz w:val="20"/>
                <w:szCs w:val="20"/>
              </w:rPr>
              <w:t>--</w:t>
            </w:r>
          </w:p>
        </w:tc>
        <w:tc>
          <w:tcPr>
            <w:tcW w:w="900" w:type="dxa"/>
          </w:tcPr>
          <w:p w:rsidR="000F48AC" w:rsidRPr="008531AB" w:rsidRDefault="000F48AC" w:rsidP="009A09B6">
            <w:pPr>
              <w:jc w:val="right"/>
              <w:rPr>
                <w:b/>
                <w:bCs/>
                <w:sz w:val="20"/>
                <w:szCs w:val="20"/>
              </w:rPr>
            </w:pPr>
            <w:r w:rsidRPr="008531AB">
              <w:rPr>
                <w:b/>
                <w:bCs/>
                <w:sz w:val="20"/>
                <w:szCs w:val="20"/>
              </w:rPr>
              <w:t>1,180.8</w:t>
            </w:r>
          </w:p>
        </w:tc>
        <w:tc>
          <w:tcPr>
            <w:tcW w:w="720" w:type="dxa"/>
          </w:tcPr>
          <w:p w:rsidR="000F48AC" w:rsidRPr="008531AB" w:rsidRDefault="000F48AC" w:rsidP="009A09B6">
            <w:pPr>
              <w:jc w:val="right"/>
              <w:rPr>
                <w:sz w:val="20"/>
                <w:szCs w:val="20"/>
              </w:rPr>
            </w:pPr>
          </w:p>
        </w:tc>
        <w:tc>
          <w:tcPr>
            <w:tcW w:w="1170" w:type="dxa"/>
          </w:tcPr>
          <w:p w:rsidR="000F48AC" w:rsidRPr="008531AB" w:rsidRDefault="000F48AC" w:rsidP="009A09B6">
            <w:pPr>
              <w:jc w:val="right"/>
              <w:rPr>
                <w:sz w:val="20"/>
                <w:szCs w:val="20"/>
              </w:rPr>
            </w:pPr>
          </w:p>
        </w:tc>
      </w:tr>
      <w:tr w:rsidR="000F48AC" w:rsidRPr="008531AB" w:rsidTr="00DF002D">
        <w:tc>
          <w:tcPr>
            <w:tcW w:w="2340" w:type="dxa"/>
          </w:tcPr>
          <w:p w:rsidR="000F48AC" w:rsidRPr="008531AB" w:rsidRDefault="000F48AC" w:rsidP="004020AB">
            <w:pPr>
              <w:rPr>
                <w:sz w:val="20"/>
                <w:szCs w:val="20"/>
              </w:rPr>
            </w:pPr>
            <w:r w:rsidRPr="008531AB">
              <w:rPr>
                <w:sz w:val="20"/>
                <w:szCs w:val="20"/>
              </w:rPr>
              <w:t>Semi-structured interviews (project director/program manager )</w:t>
            </w:r>
          </w:p>
        </w:tc>
        <w:tc>
          <w:tcPr>
            <w:tcW w:w="1260" w:type="dxa"/>
          </w:tcPr>
          <w:p w:rsidR="000F48AC" w:rsidRPr="008531AB" w:rsidRDefault="000F48AC" w:rsidP="009A09B6">
            <w:pPr>
              <w:jc w:val="right"/>
              <w:rPr>
                <w:sz w:val="20"/>
                <w:szCs w:val="20"/>
              </w:rPr>
            </w:pPr>
            <w:r w:rsidRPr="008531AB">
              <w:rPr>
                <w:sz w:val="20"/>
                <w:szCs w:val="20"/>
              </w:rPr>
              <w:t>96</w:t>
            </w:r>
          </w:p>
        </w:tc>
        <w:tc>
          <w:tcPr>
            <w:tcW w:w="1170" w:type="dxa"/>
          </w:tcPr>
          <w:p w:rsidR="000F48AC" w:rsidRPr="008531AB" w:rsidRDefault="000F48AC" w:rsidP="009A09B6">
            <w:pPr>
              <w:jc w:val="right"/>
              <w:rPr>
                <w:sz w:val="20"/>
                <w:szCs w:val="20"/>
              </w:rPr>
            </w:pPr>
            <w:r w:rsidRPr="008531AB">
              <w:rPr>
                <w:sz w:val="20"/>
                <w:szCs w:val="20"/>
              </w:rPr>
              <w:t>2</w:t>
            </w:r>
          </w:p>
        </w:tc>
        <w:tc>
          <w:tcPr>
            <w:tcW w:w="990" w:type="dxa"/>
          </w:tcPr>
          <w:p w:rsidR="000F48AC" w:rsidRPr="008531AB" w:rsidRDefault="000F48AC" w:rsidP="009A09B6">
            <w:pPr>
              <w:jc w:val="right"/>
              <w:rPr>
                <w:sz w:val="20"/>
                <w:szCs w:val="20"/>
              </w:rPr>
            </w:pPr>
            <w:r w:rsidRPr="008531AB">
              <w:rPr>
                <w:sz w:val="20"/>
                <w:szCs w:val="20"/>
              </w:rPr>
              <w:t>192</w:t>
            </w:r>
          </w:p>
        </w:tc>
        <w:tc>
          <w:tcPr>
            <w:tcW w:w="990" w:type="dxa"/>
          </w:tcPr>
          <w:p w:rsidR="000F48AC" w:rsidRPr="008531AB" w:rsidRDefault="000F48AC" w:rsidP="009A09B6">
            <w:pPr>
              <w:jc w:val="right"/>
              <w:rPr>
                <w:sz w:val="20"/>
                <w:szCs w:val="20"/>
              </w:rPr>
            </w:pPr>
            <w:r w:rsidRPr="008531AB">
              <w:rPr>
                <w:sz w:val="20"/>
                <w:szCs w:val="20"/>
              </w:rPr>
              <w:t>.75</w:t>
            </w:r>
          </w:p>
        </w:tc>
        <w:tc>
          <w:tcPr>
            <w:tcW w:w="900" w:type="dxa"/>
          </w:tcPr>
          <w:p w:rsidR="000F48AC" w:rsidRPr="008531AB" w:rsidRDefault="000F48AC" w:rsidP="009A09B6">
            <w:pPr>
              <w:jc w:val="right"/>
              <w:rPr>
                <w:sz w:val="20"/>
                <w:szCs w:val="20"/>
              </w:rPr>
            </w:pPr>
            <w:r w:rsidRPr="008531AB">
              <w:rPr>
                <w:sz w:val="20"/>
                <w:szCs w:val="20"/>
              </w:rPr>
              <w:t>144</w:t>
            </w:r>
          </w:p>
        </w:tc>
        <w:tc>
          <w:tcPr>
            <w:tcW w:w="720" w:type="dxa"/>
          </w:tcPr>
          <w:p w:rsidR="000F48AC" w:rsidRPr="008531AB" w:rsidRDefault="000F48AC" w:rsidP="009A09B6">
            <w:pPr>
              <w:jc w:val="right"/>
              <w:rPr>
                <w:sz w:val="20"/>
                <w:szCs w:val="20"/>
              </w:rPr>
            </w:pPr>
            <w:r w:rsidRPr="008531AB">
              <w:rPr>
                <w:sz w:val="20"/>
                <w:szCs w:val="20"/>
              </w:rPr>
              <w:t>$29.12</w:t>
            </w:r>
          </w:p>
        </w:tc>
        <w:tc>
          <w:tcPr>
            <w:tcW w:w="1170" w:type="dxa"/>
          </w:tcPr>
          <w:p w:rsidR="000F48AC" w:rsidRPr="008531AB" w:rsidRDefault="000F48AC" w:rsidP="009A09B6">
            <w:pPr>
              <w:jc w:val="right"/>
              <w:rPr>
                <w:sz w:val="20"/>
                <w:szCs w:val="20"/>
              </w:rPr>
            </w:pPr>
            <w:r w:rsidRPr="008531AB">
              <w:rPr>
                <w:sz w:val="20"/>
                <w:szCs w:val="20"/>
              </w:rPr>
              <w:t>$4,193.28</w:t>
            </w:r>
          </w:p>
        </w:tc>
      </w:tr>
      <w:tr w:rsidR="000F48AC" w:rsidRPr="008531AB" w:rsidTr="00DF002D">
        <w:tc>
          <w:tcPr>
            <w:tcW w:w="2340" w:type="dxa"/>
          </w:tcPr>
          <w:p w:rsidR="000F48AC" w:rsidRPr="008531AB" w:rsidRDefault="000F48AC" w:rsidP="009A09B6">
            <w:pPr>
              <w:rPr>
                <w:sz w:val="20"/>
                <w:szCs w:val="20"/>
              </w:rPr>
            </w:pPr>
            <w:r w:rsidRPr="008531AB">
              <w:rPr>
                <w:b/>
                <w:bCs/>
                <w:sz w:val="20"/>
                <w:szCs w:val="20"/>
              </w:rPr>
              <w:t>Annualized PD/PM Total</w:t>
            </w:r>
          </w:p>
        </w:tc>
        <w:tc>
          <w:tcPr>
            <w:tcW w:w="1260" w:type="dxa"/>
          </w:tcPr>
          <w:p w:rsidR="000F48AC" w:rsidRPr="008531AB" w:rsidRDefault="000F48AC" w:rsidP="009A09B6">
            <w:pPr>
              <w:jc w:val="right"/>
              <w:rPr>
                <w:b/>
                <w:bCs/>
                <w:sz w:val="20"/>
                <w:szCs w:val="20"/>
              </w:rPr>
            </w:pPr>
            <w:r w:rsidRPr="008531AB">
              <w:rPr>
                <w:b/>
                <w:bCs/>
                <w:sz w:val="20"/>
                <w:szCs w:val="20"/>
              </w:rPr>
              <w:t>32</w:t>
            </w:r>
          </w:p>
        </w:tc>
        <w:tc>
          <w:tcPr>
            <w:tcW w:w="1170" w:type="dxa"/>
          </w:tcPr>
          <w:p w:rsidR="000F48AC" w:rsidRPr="008531AB" w:rsidRDefault="000F48AC" w:rsidP="009A09B6">
            <w:pPr>
              <w:jc w:val="right"/>
              <w:rPr>
                <w:b/>
                <w:bCs/>
                <w:sz w:val="20"/>
                <w:szCs w:val="20"/>
              </w:rPr>
            </w:pPr>
            <w:r w:rsidRPr="008531AB">
              <w:rPr>
                <w:b/>
                <w:bCs/>
                <w:sz w:val="20"/>
                <w:szCs w:val="20"/>
              </w:rPr>
              <w:t>--</w:t>
            </w:r>
          </w:p>
        </w:tc>
        <w:tc>
          <w:tcPr>
            <w:tcW w:w="990" w:type="dxa"/>
          </w:tcPr>
          <w:p w:rsidR="000F48AC" w:rsidRPr="008531AB" w:rsidRDefault="000F48AC" w:rsidP="009A09B6">
            <w:pPr>
              <w:jc w:val="right"/>
              <w:rPr>
                <w:b/>
                <w:bCs/>
                <w:sz w:val="20"/>
                <w:szCs w:val="20"/>
              </w:rPr>
            </w:pPr>
            <w:r w:rsidRPr="008531AB">
              <w:rPr>
                <w:b/>
                <w:bCs/>
                <w:sz w:val="20"/>
                <w:szCs w:val="20"/>
              </w:rPr>
              <w:t>64</w:t>
            </w:r>
          </w:p>
        </w:tc>
        <w:tc>
          <w:tcPr>
            <w:tcW w:w="990" w:type="dxa"/>
          </w:tcPr>
          <w:p w:rsidR="000F48AC" w:rsidRPr="008531AB" w:rsidRDefault="000F48AC" w:rsidP="009A09B6">
            <w:pPr>
              <w:jc w:val="right"/>
              <w:rPr>
                <w:b/>
                <w:bCs/>
                <w:sz w:val="20"/>
                <w:szCs w:val="20"/>
              </w:rPr>
            </w:pPr>
            <w:r w:rsidRPr="008531AB">
              <w:rPr>
                <w:b/>
                <w:bCs/>
                <w:sz w:val="20"/>
                <w:szCs w:val="20"/>
              </w:rPr>
              <w:t>--</w:t>
            </w:r>
          </w:p>
        </w:tc>
        <w:tc>
          <w:tcPr>
            <w:tcW w:w="900" w:type="dxa"/>
          </w:tcPr>
          <w:p w:rsidR="000F48AC" w:rsidRPr="008531AB" w:rsidRDefault="000F48AC" w:rsidP="009A09B6">
            <w:pPr>
              <w:jc w:val="right"/>
              <w:rPr>
                <w:b/>
                <w:bCs/>
                <w:sz w:val="20"/>
                <w:szCs w:val="20"/>
              </w:rPr>
            </w:pPr>
            <w:r w:rsidRPr="008531AB">
              <w:rPr>
                <w:b/>
                <w:bCs/>
                <w:sz w:val="20"/>
                <w:szCs w:val="20"/>
              </w:rPr>
              <w:t>48</w:t>
            </w:r>
          </w:p>
        </w:tc>
        <w:tc>
          <w:tcPr>
            <w:tcW w:w="720" w:type="dxa"/>
          </w:tcPr>
          <w:p w:rsidR="000F48AC" w:rsidRPr="008531AB" w:rsidRDefault="000F48AC" w:rsidP="009A09B6">
            <w:pPr>
              <w:tabs>
                <w:tab w:val="left" w:pos="458"/>
              </w:tabs>
              <w:jc w:val="right"/>
              <w:rPr>
                <w:sz w:val="20"/>
                <w:szCs w:val="20"/>
              </w:rPr>
            </w:pPr>
          </w:p>
        </w:tc>
        <w:tc>
          <w:tcPr>
            <w:tcW w:w="1170" w:type="dxa"/>
          </w:tcPr>
          <w:p w:rsidR="000F48AC" w:rsidRPr="008531AB" w:rsidRDefault="000F48AC" w:rsidP="009A09B6">
            <w:pPr>
              <w:jc w:val="right"/>
              <w:rPr>
                <w:sz w:val="20"/>
                <w:szCs w:val="20"/>
              </w:rPr>
            </w:pPr>
          </w:p>
        </w:tc>
      </w:tr>
      <w:tr w:rsidR="000F48AC" w:rsidRPr="008531AB" w:rsidTr="00DF002D">
        <w:tc>
          <w:tcPr>
            <w:tcW w:w="2340" w:type="dxa"/>
          </w:tcPr>
          <w:p w:rsidR="000F48AC" w:rsidRPr="008531AB" w:rsidRDefault="000F48AC" w:rsidP="004020AB">
            <w:pPr>
              <w:rPr>
                <w:sz w:val="20"/>
                <w:szCs w:val="20"/>
              </w:rPr>
            </w:pPr>
            <w:r w:rsidRPr="008531AB">
              <w:rPr>
                <w:sz w:val="20"/>
                <w:szCs w:val="20"/>
              </w:rPr>
              <w:t>Semi-structured interviews (Grantee direct services staff)</w:t>
            </w:r>
          </w:p>
        </w:tc>
        <w:tc>
          <w:tcPr>
            <w:tcW w:w="1260" w:type="dxa"/>
          </w:tcPr>
          <w:p w:rsidR="000F48AC" w:rsidRPr="008531AB" w:rsidRDefault="000F48AC" w:rsidP="009A09B6">
            <w:pPr>
              <w:jc w:val="right"/>
              <w:rPr>
                <w:sz w:val="20"/>
                <w:szCs w:val="20"/>
              </w:rPr>
            </w:pPr>
            <w:r w:rsidRPr="008531AB">
              <w:rPr>
                <w:sz w:val="20"/>
                <w:szCs w:val="20"/>
              </w:rPr>
              <w:t>432</w:t>
            </w:r>
          </w:p>
        </w:tc>
        <w:tc>
          <w:tcPr>
            <w:tcW w:w="1170" w:type="dxa"/>
          </w:tcPr>
          <w:p w:rsidR="000F48AC" w:rsidRPr="008531AB" w:rsidRDefault="000F48AC" w:rsidP="009A09B6">
            <w:pPr>
              <w:jc w:val="right"/>
              <w:rPr>
                <w:sz w:val="20"/>
                <w:szCs w:val="20"/>
              </w:rPr>
            </w:pPr>
            <w:r w:rsidRPr="008531AB">
              <w:rPr>
                <w:sz w:val="20"/>
                <w:szCs w:val="20"/>
              </w:rPr>
              <w:t>2</w:t>
            </w:r>
          </w:p>
        </w:tc>
        <w:tc>
          <w:tcPr>
            <w:tcW w:w="990" w:type="dxa"/>
          </w:tcPr>
          <w:p w:rsidR="000F48AC" w:rsidRPr="008531AB" w:rsidRDefault="000F48AC" w:rsidP="009A09B6">
            <w:pPr>
              <w:jc w:val="right"/>
              <w:rPr>
                <w:sz w:val="20"/>
                <w:szCs w:val="20"/>
              </w:rPr>
            </w:pPr>
            <w:r w:rsidRPr="008531AB">
              <w:rPr>
                <w:sz w:val="20"/>
                <w:szCs w:val="20"/>
              </w:rPr>
              <w:t>864</w:t>
            </w:r>
          </w:p>
        </w:tc>
        <w:tc>
          <w:tcPr>
            <w:tcW w:w="990" w:type="dxa"/>
          </w:tcPr>
          <w:p w:rsidR="000F48AC" w:rsidRPr="008531AB" w:rsidRDefault="000F48AC" w:rsidP="009A09B6">
            <w:pPr>
              <w:jc w:val="right"/>
              <w:rPr>
                <w:sz w:val="20"/>
                <w:szCs w:val="20"/>
              </w:rPr>
            </w:pPr>
            <w:r w:rsidRPr="008531AB">
              <w:rPr>
                <w:sz w:val="20"/>
                <w:szCs w:val="20"/>
              </w:rPr>
              <w:t>1.0</w:t>
            </w:r>
          </w:p>
        </w:tc>
        <w:tc>
          <w:tcPr>
            <w:tcW w:w="900" w:type="dxa"/>
          </w:tcPr>
          <w:p w:rsidR="000F48AC" w:rsidRPr="008531AB" w:rsidRDefault="000F48AC" w:rsidP="009A09B6">
            <w:pPr>
              <w:jc w:val="right"/>
              <w:rPr>
                <w:sz w:val="20"/>
                <w:szCs w:val="20"/>
              </w:rPr>
            </w:pPr>
            <w:r w:rsidRPr="008531AB">
              <w:rPr>
                <w:sz w:val="20"/>
                <w:szCs w:val="20"/>
              </w:rPr>
              <w:t>864</w:t>
            </w:r>
          </w:p>
        </w:tc>
        <w:tc>
          <w:tcPr>
            <w:tcW w:w="720" w:type="dxa"/>
          </w:tcPr>
          <w:p w:rsidR="000F48AC" w:rsidRPr="008531AB" w:rsidRDefault="000F48AC" w:rsidP="009A09B6">
            <w:pPr>
              <w:jc w:val="right"/>
              <w:rPr>
                <w:sz w:val="20"/>
                <w:szCs w:val="20"/>
              </w:rPr>
            </w:pPr>
            <w:r w:rsidRPr="008531AB">
              <w:rPr>
                <w:sz w:val="20"/>
                <w:szCs w:val="20"/>
              </w:rPr>
              <w:t>$19.05</w:t>
            </w:r>
          </w:p>
        </w:tc>
        <w:tc>
          <w:tcPr>
            <w:tcW w:w="1170" w:type="dxa"/>
          </w:tcPr>
          <w:p w:rsidR="000F48AC" w:rsidRPr="008531AB" w:rsidRDefault="000F48AC" w:rsidP="009A09B6">
            <w:pPr>
              <w:jc w:val="right"/>
              <w:rPr>
                <w:sz w:val="20"/>
                <w:szCs w:val="20"/>
              </w:rPr>
            </w:pPr>
            <w:r w:rsidRPr="008531AB">
              <w:rPr>
                <w:sz w:val="20"/>
                <w:szCs w:val="20"/>
              </w:rPr>
              <w:t>$16,459.20</w:t>
            </w:r>
          </w:p>
        </w:tc>
      </w:tr>
      <w:tr w:rsidR="000F48AC" w:rsidRPr="008531AB" w:rsidTr="00DF002D">
        <w:tc>
          <w:tcPr>
            <w:tcW w:w="2340" w:type="dxa"/>
          </w:tcPr>
          <w:p w:rsidR="000F48AC" w:rsidRPr="008531AB" w:rsidRDefault="000F48AC" w:rsidP="009A09B6">
            <w:pPr>
              <w:rPr>
                <w:sz w:val="20"/>
                <w:szCs w:val="20"/>
              </w:rPr>
            </w:pPr>
            <w:r w:rsidRPr="008531AB">
              <w:rPr>
                <w:b/>
                <w:bCs/>
                <w:sz w:val="20"/>
                <w:szCs w:val="20"/>
              </w:rPr>
              <w:t>Annualized Service Staff Total</w:t>
            </w:r>
          </w:p>
        </w:tc>
        <w:tc>
          <w:tcPr>
            <w:tcW w:w="1260" w:type="dxa"/>
          </w:tcPr>
          <w:p w:rsidR="000F48AC" w:rsidRPr="008531AB" w:rsidRDefault="000F48AC" w:rsidP="009A09B6">
            <w:pPr>
              <w:jc w:val="right"/>
              <w:rPr>
                <w:b/>
                <w:bCs/>
                <w:sz w:val="20"/>
                <w:szCs w:val="20"/>
              </w:rPr>
            </w:pPr>
            <w:r w:rsidRPr="008531AB">
              <w:rPr>
                <w:b/>
                <w:bCs/>
                <w:sz w:val="20"/>
                <w:szCs w:val="20"/>
              </w:rPr>
              <w:t>144</w:t>
            </w:r>
          </w:p>
        </w:tc>
        <w:tc>
          <w:tcPr>
            <w:tcW w:w="1170" w:type="dxa"/>
          </w:tcPr>
          <w:p w:rsidR="000F48AC" w:rsidRPr="008531AB" w:rsidRDefault="000F48AC" w:rsidP="009A09B6">
            <w:pPr>
              <w:jc w:val="right"/>
              <w:rPr>
                <w:b/>
                <w:bCs/>
                <w:sz w:val="20"/>
                <w:szCs w:val="20"/>
              </w:rPr>
            </w:pPr>
            <w:r w:rsidRPr="008531AB">
              <w:rPr>
                <w:b/>
                <w:bCs/>
                <w:sz w:val="20"/>
                <w:szCs w:val="20"/>
              </w:rPr>
              <w:t>--</w:t>
            </w:r>
          </w:p>
        </w:tc>
        <w:tc>
          <w:tcPr>
            <w:tcW w:w="990" w:type="dxa"/>
          </w:tcPr>
          <w:p w:rsidR="000F48AC" w:rsidRPr="008531AB" w:rsidRDefault="000F48AC" w:rsidP="009A09B6">
            <w:pPr>
              <w:jc w:val="right"/>
              <w:rPr>
                <w:b/>
                <w:bCs/>
                <w:sz w:val="20"/>
                <w:szCs w:val="20"/>
              </w:rPr>
            </w:pPr>
            <w:r w:rsidRPr="008531AB">
              <w:rPr>
                <w:b/>
                <w:bCs/>
                <w:sz w:val="20"/>
                <w:szCs w:val="20"/>
              </w:rPr>
              <w:t>288</w:t>
            </w:r>
          </w:p>
        </w:tc>
        <w:tc>
          <w:tcPr>
            <w:tcW w:w="990" w:type="dxa"/>
          </w:tcPr>
          <w:p w:rsidR="000F48AC" w:rsidRPr="008531AB" w:rsidRDefault="000F48AC" w:rsidP="009A09B6">
            <w:pPr>
              <w:jc w:val="right"/>
              <w:rPr>
                <w:b/>
                <w:bCs/>
                <w:sz w:val="20"/>
                <w:szCs w:val="20"/>
              </w:rPr>
            </w:pPr>
            <w:r w:rsidRPr="008531AB">
              <w:rPr>
                <w:b/>
                <w:bCs/>
                <w:sz w:val="20"/>
                <w:szCs w:val="20"/>
              </w:rPr>
              <w:t>--</w:t>
            </w:r>
          </w:p>
        </w:tc>
        <w:tc>
          <w:tcPr>
            <w:tcW w:w="900" w:type="dxa"/>
          </w:tcPr>
          <w:p w:rsidR="000F48AC" w:rsidRPr="008531AB" w:rsidRDefault="000F48AC" w:rsidP="009A09B6">
            <w:pPr>
              <w:jc w:val="right"/>
              <w:rPr>
                <w:b/>
                <w:bCs/>
                <w:sz w:val="20"/>
                <w:szCs w:val="20"/>
              </w:rPr>
            </w:pPr>
            <w:r w:rsidRPr="008531AB">
              <w:rPr>
                <w:b/>
                <w:bCs/>
                <w:sz w:val="20"/>
                <w:szCs w:val="20"/>
              </w:rPr>
              <w:t>288</w:t>
            </w:r>
          </w:p>
        </w:tc>
        <w:tc>
          <w:tcPr>
            <w:tcW w:w="720" w:type="dxa"/>
          </w:tcPr>
          <w:p w:rsidR="000F48AC" w:rsidRPr="008531AB" w:rsidRDefault="000F48AC" w:rsidP="009A09B6">
            <w:pPr>
              <w:jc w:val="right"/>
              <w:rPr>
                <w:sz w:val="20"/>
                <w:szCs w:val="20"/>
              </w:rPr>
            </w:pPr>
          </w:p>
        </w:tc>
        <w:tc>
          <w:tcPr>
            <w:tcW w:w="1170" w:type="dxa"/>
          </w:tcPr>
          <w:p w:rsidR="000F48AC" w:rsidRPr="008531AB" w:rsidRDefault="000F48AC" w:rsidP="009A09B6">
            <w:pPr>
              <w:jc w:val="right"/>
              <w:rPr>
                <w:sz w:val="20"/>
                <w:szCs w:val="20"/>
              </w:rPr>
            </w:pPr>
          </w:p>
        </w:tc>
      </w:tr>
      <w:tr w:rsidR="000F48AC" w:rsidRPr="008531AB" w:rsidTr="00DF002D">
        <w:tc>
          <w:tcPr>
            <w:tcW w:w="2340" w:type="dxa"/>
          </w:tcPr>
          <w:p w:rsidR="000F48AC" w:rsidRPr="008531AB" w:rsidRDefault="000F48AC" w:rsidP="004020AB">
            <w:pPr>
              <w:rPr>
                <w:sz w:val="20"/>
                <w:szCs w:val="20"/>
              </w:rPr>
            </w:pPr>
            <w:r w:rsidRPr="008531AB">
              <w:rPr>
                <w:sz w:val="20"/>
                <w:szCs w:val="20"/>
              </w:rPr>
              <w:t>Semi-structured interviews (Community collaborators)</w:t>
            </w:r>
          </w:p>
        </w:tc>
        <w:tc>
          <w:tcPr>
            <w:tcW w:w="1260" w:type="dxa"/>
          </w:tcPr>
          <w:p w:rsidR="000F48AC" w:rsidRPr="008531AB" w:rsidRDefault="000F48AC" w:rsidP="009A09B6">
            <w:pPr>
              <w:jc w:val="right"/>
              <w:rPr>
                <w:sz w:val="20"/>
                <w:szCs w:val="20"/>
              </w:rPr>
            </w:pPr>
            <w:r w:rsidRPr="008531AB">
              <w:rPr>
                <w:sz w:val="20"/>
                <w:szCs w:val="20"/>
              </w:rPr>
              <w:t>240</w:t>
            </w:r>
          </w:p>
        </w:tc>
        <w:tc>
          <w:tcPr>
            <w:tcW w:w="1170" w:type="dxa"/>
          </w:tcPr>
          <w:p w:rsidR="000F48AC" w:rsidRPr="008531AB" w:rsidRDefault="000F48AC" w:rsidP="009A09B6">
            <w:pPr>
              <w:jc w:val="right"/>
              <w:rPr>
                <w:sz w:val="20"/>
                <w:szCs w:val="20"/>
              </w:rPr>
            </w:pPr>
            <w:r w:rsidRPr="008531AB">
              <w:rPr>
                <w:sz w:val="20"/>
                <w:szCs w:val="20"/>
              </w:rPr>
              <w:t>2</w:t>
            </w:r>
          </w:p>
        </w:tc>
        <w:tc>
          <w:tcPr>
            <w:tcW w:w="990" w:type="dxa"/>
          </w:tcPr>
          <w:p w:rsidR="000F48AC" w:rsidRPr="008531AB" w:rsidRDefault="000F48AC" w:rsidP="009A09B6">
            <w:pPr>
              <w:jc w:val="right"/>
              <w:rPr>
                <w:sz w:val="20"/>
                <w:szCs w:val="20"/>
              </w:rPr>
            </w:pPr>
            <w:r w:rsidRPr="008531AB">
              <w:rPr>
                <w:sz w:val="20"/>
                <w:szCs w:val="20"/>
              </w:rPr>
              <w:t>480</w:t>
            </w:r>
          </w:p>
        </w:tc>
        <w:tc>
          <w:tcPr>
            <w:tcW w:w="990" w:type="dxa"/>
          </w:tcPr>
          <w:p w:rsidR="000F48AC" w:rsidRPr="008531AB" w:rsidRDefault="000F48AC" w:rsidP="009A09B6">
            <w:pPr>
              <w:jc w:val="right"/>
              <w:rPr>
                <w:sz w:val="20"/>
                <w:szCs w:val="20"/>
              </w:rPr>
            </w:pPr>
            <w:r w:rsidRPr="008531AB">
              <w:rPr>
                <w:sz w:val="20"/>
                <w:szCs w:val="20"/>
              </w:rPr>
              <w:t>1.0</w:t>
            </w:r>
          </w:p>
        </w:tc>
        <w:tc>
          <w:tcPr>
            <w:tcW w:w="900" w:type="dxa"/>
          </w:tcPr>
          <w:p w:rsidR="000F48AC" w:rsidRPr="008531AB" w:rsidRDefault="000F48AC" w:rsidP="009A09B6">
            <w:pPr>
              <w:jc w:val="right"/>
              <w:rPr>
                <w:sz w:val="20"/>
                <w:szCs w:val="20"/>
              </w:rPr>
            </w:pPr>
            <w:r w:rsidRPr="008531AB">
              <w:rPr>
                <w:sz w:val="20"/>
                <w:szCs w:val="20"/>
              </w:rPr>
              <w:t>480</w:t>
            </w:r>
          </w:p>
        </w:tc>
        <w:tc>
          <w:tcPr>
            <w:tcW w:w="720" w:type="dxa"/>
          </w:tcPr>
          <w:p w:rsidR="000F48AC" w:rsidRPr="008531AB" w:rsidRDefault="000F48AC" w:rsidP="009A09B6">
            <w:pPr>
              <w:jc w:val="right"/>
              <w:rPr>
                <w:sz w:val="20"/>
                <w:szCs w:val="20"/>
              </w:rPr>
            </w:pPr>
            <w:r w:rsidRPr="008531AB">
              <w:rPr>
                <w:sz w:val="20"/>
                <w:szCs w:val="20"/>
              </w:rPr>
              <w:t>$19.21</w:t>
            </w:r>
          </w:p>
        </w:tc>
        <w:tc>
          <w:tcPr>
            <w:tcW w:w="1170" w:type="dxa"/>
          </w:tcPr>
          <w:p w:rsidR="000F48AC" w:rsidRPr="008531AB" w:rsidRDefault="000F48AC" w:rsidP="009A09B6">
            <w:pPr>
              <w:jc w:val="right"/>
              <w:rPr>
                <w:sz w:val="20"/>
                <w:szCs w:val="20"/>
              </w:rPr>
            </w:pPr>
            <w:r w:rsidRPr="008531AB">
              <w:rPr>
                <w:sz w:val="20"/>
                <w:szCs w:val="20"/>
              </w:rPr>
              <w:t>$9,220.80</w:t>
            </w:r>
          </w:p>
        </w:tc>
      </w:tr>
      <w:tr w:rsidR="000F48AC" w:rsidRPr="008531AB" w:rsidTr="00DF002D">
        <w:tc>
          <w:tcPr>
            <w:tcW w:w="2340" w:type="dxa"/>
          </w:tcPr>
          <w:p w:rsidR="000F48AC" w:rsidRPr="008531AB" w:rsidRDefault="000F48AC" w:rsidP="009A09B6">
            <w:pPr>
              <w:rPr>
                <w:sz w:val="20"/>
                <w:szCs w:val="20"/>
              </w:rPr>
            </w:pPr>
            <w:r w:rsidRPr="008531AB">
              <w:rPr>
                <w:b/>
                <w:bCs/>
                <w:sz w:val="20"/>
                <w:szCs w:val="20"/>
              </w:rPr>
              <w:t>Annualized Collaborators Total</w:t>
            </w:r>
          </w:p>
        </w:tc>
        <w:tc>
          <w:tcPr>
            <w:tcW w:w="1260" w:type="dxa"/>
          </w:tcPr>
          <w:p w:rsidR="000F48AC" w:rsidRPr="008531AB" w:rsidRDefault="000F48AC" w:rsidP="009A09B6">
            <w:pPr>
              <w:jc w:val="right"/>
              <w:rPr>
                <w:b/>
                <w:bCs/>
                <w:sz w:val="20"/>
                <w:szCs w:val="20"/>
              </w:rPr>
            </w:pPr>
            <w:r w:rsidRPr="008531AB">
              <w:rPr>
                <w:b/>
                <w:bCs/>
                <w:sz w:val="20"/>
                <w:szCs w:val="20"/>
              </w:rPr>
              <w:t>80</w:t>
            </w:r>
          </w:p>
        </w:tc>
        <w:tc>
          <w:tcPr>
            <w:tcW w:w="1170" w:type="dxa"/>
          </w:tcPr>
          <w:p w:rsidR="000F48AC" w:rsidRPr="008531AB" w:rsidRDefault="000F48AC" w:rsidP="009A09B6">
            <w:pPr>
              <w:jc w:val="right"/>
              <w:rPr>
                <w:b/>
                <w:bCs/>
                <w:sz w:val="20"/>
                <w:szCs w:val="20"/>
              </w:rPr>
            </w:pPr>
            <w:r w:rsidRPr="008531AB">
              <w:rPr>
                <w:b/>
                <w:bCs/>
                <w:sz w:val="20"/>
                <w:szCs w:val="20"/>
              </w:rPr>
              <w:t>--</w:t>
            </w:r>
          </w:p>
        </w:tc>
        <w:tc>
          <w:tcPr>
            <w:tcW w:w="990" w:type="dxa"/>
          </w:tcPr>
          <w:p w:rsidR="000F48AC" w:rsidRPr="008531AB" w:rsidRDefault="000F48AC" w:rsidP="009A09B6">
            <w:pPr>
              <w:jc w:val="right"/>
              <w:rPr>
                <w:b/>
                <w:bCs/>
                <w:sz w:val="20"/>
                <w:szCs w:val="20"/>
              </w:rPr>
            </w:pPr>
            <w:r w:rsidRPr="008531AB">
              <w:rPr>
                <w:b/>
                <w:bCs/>
                <w:sz w:val="20"/>
                <w:szCs w:val="20"/>
              </w:rPr>
              <w:t>160</w:t>
            </w:r>
          </w:p>
        </w:tc>
        <w:tc>
          <w:tcPr>
            <w:tcW w:w="990" w:type="dxa"/>
          </w:tcPr>
          <w:p w:rsidR="000F48AC" w:rsidRPr="008531AB" w:rsidRDefault="000F48AC" w:rsidP="009A09B6">
            <w:pPr>
              <w:jc w:val="right"/>
              <w:rPr>
                <w:b/>
                <w:bCs/>
                <w:sz w:val="20"/>
                <w:szCs w:val="20"/>
              </w:rPr>
            </w:pPr>
            <w:r w:rsidRPr="008531AB">
              <w:rPr>
                <w:b/>
                <w:bCs/>
                <w:sz w:val="20"/>
                <w:szCs w:val="20"/>
              </w:rPr>
              <w:t>--</w:t>
            </w:r>
          </w:p>
        </w:tc>
        <w:tc>
          <w:tcPr>
            <w:tcW w:w="900" w:type="dxa"/>
          </w:tcPr>
          <w:p w:rsidR="000F48AC" w:rsidRPr="008531AB" w:rsidRDefault="000F48AC" w:rsidP="009A09B6">
            <w:pPr>
              <w:jc w:val="right"/>
              <w:rPr>
                <w:b/>
                <w:bCs/>
                <w:sz w:val="20"/>
                <w:szCs w:val="20"/>
              </w:rPr>
            </w:pPr>
            <w:r w:rsidRPr="008531AB">
              <w:rPr>
                <w:b/>
                <w:bCs/>
                <w:sz w:val="20"/>
                <w:szCs w:val="20"/>
              </w:rPr>
              <w:t>160</w:t>
            </w:r>
          </w:p>
        </w:tc>
        <w:tc>
          <w:tcPr>
            <w:tcW w:w="720" w:type="dxa"/>
          </w:tcPr>
          <w:p w:rsidR="000F48AC" w:rsidRPr="008531AB" w:rsidRDefault="000F48AC" w:rsidP="009A09B6">
            <w:pPr>
              <w:jc w:val="right"/>
              <w:rPr>
                <w:sz w:val="20"/>
                <w:szCs w:val="20"/>
              </w:rPr>
            </w:pPr>
          </w:p>
        </w:tc>
        <w:tc>
          <w:tcPr>
            <w:tcW w:w="1170" w:type="dxa"/>
          </w:tcPr>
          <w:p w:rsidR="000F48AC" w:rsidRPr="008531AB" w:rsidRDefault="000F48AC" w:rsidP="009A09B6">
            <w:pPr>
              <w:jc w:val="right"/>
              <w:rPr>
                <w:sz w:val="20"/>
                <w:szCs w:val="20"/>
              </w:rPr>
            </w:pPr>
          </w:p>
        </w:tc>
      </w:tr>
      <w:tr w:rsidR="000F48AC" w:rsidRPr="008531AB" w:rsidTr="00DF002D">
        <w:tc>
          <w:tcPr>
            <w:tcW w:w="2340" w:type="dxa"/>
          </w:tcPr>
          <w:p w:rsidR="000F48AC" w:rsidRPr="008531AB" w:rsidRDefault="000F48AC" w:rsidP="009A09B6">
            <w:pPr>
              <w:rPr>
                <w:sz w:val="20"/>
                <w:szCs w:val="20"/>
              </w:rPr>
            </w:pPr>
            <w:r w:rsidRPr="008531AB">
              <w:rPr>
                <w:sz w:val="20"/>
                <w:szCs w:val="20"/>
              </w:rPr>
              <w:t>TOTAL</w:t>
            </w:r>
          </w:p>
        </w:tc>
        <w:tc>
          <w:tcPr>
            <w:tcW w:w="1260" w:type="dxa"/>
          </w:tcPr>
          <w:p w:rsidR="000F48AC" w:rsidRPr="008531AB" w:rsidRDefault="000F48AC" w:rsidP="009A09B6">
            <w:pPr>
              <w:jc w:val="right"/>
              <w:rPr>
                <w:sz w:val="20"/>
                <w:szCs w:val="20"/>
              </w:rPr>
            </w:pPr>
            <w:r w:rsidRPr="008531AB">
              <w:rPr>
                <w:sz w:val="20"/>
                <w:szCs w:val="20"/>
              </w:rPr>
              <w:t>3,168</w:t>
            </w:r>
          </w:p>
        </w:tc>
        <w:tc>
          <w:tcPr>
            <w:tcW w:w="1170" w:type="dxa"/>
          </w:tcPr>
          <w:p w:rsidR="000F48AC" w:rsidRPr="008531AB" w:rsidRDefault="000F48AC" w:rsidP="009A09B6">
            <w:pPr>
              <w:jc w:val="right"/>
              <w:rPr>
                <w:b/>
                <w:bCs/>
                <w:sz w:val="20"/>
                <w:szCs w:val="20"/>
              </w:rPr>
            </w:pPr>
          </w:p>
        </w:tc>
        <w:tc>
          <w:tcPr>
            <w:tcW w:w="990" w:type="dxa"/>
          </w:tcPr>
          <w:p w:rsidR="000F48AC" w:rsidRPr="008531AB" w:rsidRDefault="000F48AC" w:rsidP="009A09B6">
            <w:pPr>
              <w:jc w:val="right"/>
              <w:rPr>
                <w:sz w:val="20"/>
                <w:szCs w:val="20"/>
              </w:rPr>
            </w:pPr>
            <w:r w:rsidRPr="008531AB">
              <w:rPr>
                <w:sz w:val="20"/>
                <w:szCs w:val="20"/>
              </w:rPr>
              <w:t>8,976</w:t>
            </w:r>
          </w:p>
        </w:tc>
        <w:tc>
          <w:tcPr>
            <w:tcW w:w="990" w:type="dxa"/>
          </w:tcPr>
          <w:p w:rsidR="000F48AC" w:rsidRPr="008531AB" w:rsidRDefault="000F48AC" w:rsidP="009A09B6">
            <w:pPr>
              <w:jc w:val="right"/>
              <w:rPr>
                <w:b/>
                <w:bCs/>
                <w:sz w:val="20"/>
                <w:szCs w:val="20"/>
              </w:rPr>
            </w:pPr>
            <w:r w:rsidRPr="008531AB">
              <w:rPr>
                <w:b/>
                <w:bCs/>
                <w:sz w:val="20"/>
                <w:szCs w:val="20"/>
              </w:rPr>
              <w:t xml:space="preserve"> </w:t>
            </w:r>
          </w:p>
        </w:tc>
        <w:tc>
          <w:tcPr>
            <w:tcW w:w="900" w:type="dxa"/>
          </w:tcPr>
          <w:p w:rsidR="000F48AC" w:rsidRPr="008531AB" w:rsidRDefault="000F48AC" w:rsidP="009A09B6">
            <w:pPr>
              <w:jc w:val="right"/>
              <w:rPr>
                <w:sz w:val="20"/>
                <w:szCs w:val="20"/>
                <w:highlight w:val="yellow"/>
              </w:rPr>
            </w:pPr>
            <w:r w:rsidRPr="008531AB">
              <w:rPr>
                <w:sz w:val="20"/>
                <w:szCs w:val="20"/>
              </w:rPr>
              <w:t>5,030.4</w:t>
            </w:r>
          </w:p>
        </w:tc>
        <w:tc>
          <w:tcPr>
            <w:tcW w:w="720" w:type="dxa"/>
          </w:tcPr>
          <w:p w:rsidR="000F48AC" w:rsidRPr="008531AB" w:rsidRDefault="000F48AC" w:rsidP="009A09B6">
            <w:pPr>
              <w:jc w:val="right"/>
              <w:rPr>
                <w:b/>
                <w:bCs/>
                <w:sz w:val="20"/>
                <w:szCs w:val="20"/>
                <w:highlight w:val="yellow"/>
              </w:rPr>
            </w:pPr>
          </w:p>
        </w:tc>
        <w:tc>
          <w:tcPr>
            <w:tcW w:w="1170" w:type="dxa"/>
          </w:tcPr>
          <w:p w:rsidR="000F48AC" w:rsidRPr="008531AB" w:rsidRDefault="000F48AC" w:rsidP="009A09B6">
            <w:pPr>
              <w:jc w:val="right"/>
              <w:rPr>
                <w:b/>
                <w:bCs/>
                <w:sz w:val="20"/>
                <w:szCs w:val="20"/>
                <w:highlight w:val="yellow"/>
              </w:rPr>
            </w:pPr>
            <w:r w:rsidRPr="008531AB">
              <w:rPr>
                <w:b/>
                <w:bCs/>
                <w:sz w:val="20"/>
                <w:szCs w:val="20"/>
              </w:rPr>
              <w:t>$101,854.87</w:t>
            </w:r>
          </w:p>
        </w:tc>
      </w:tr>
      <w:tr w:rsidR="000F48AC" w:rsidRPr="008531AB" w:rsidTr="00DF002D">
        <w:tc>
          <w:tcPr>
            <w:tcW w:w="2340" w:type="dxa"/>
          </w:tcPr>
          <w:p w:rsidR="000F48AC" w:rsidRPr="008531AB" w:rsidRDefault="000F48AC" w:rsidP="009A09B6">
            <w:pPr>
              <w:rPr>
                <w:b/>
                <w:bCs/>
                <w:sz w:val="20"/>
                <w:szCs w:val="20"/>
              </w:rPr>
            </w:pPr>
            <w:r w:rsidRPr="008531AB">
              <w:rPr>
                <w:b/>
                <w:bCs/>
                <w:sz w:val="20"/>
                <w:szCs w:val="20"/>
              </w:rPr>
              <w:t>Annualized Totals (3-year clearance for project)</w:t>
            </w:r>
          </w:p>
        </w:tc>
        <w:tc>
          <w:tcPr>
            <w:tcW w:w="1260" w:type="dxa"/>
          </w:tcPr>
          <w:p w:rsidR="000F48AC" w:rsidRPr="008531AB" w:rsidRDefault="000F48AC" w:rsidP="009A09B6">
            <w:pPr>
              <w:jc w:val="right"/>
              <w:rPr>
                <w:b/>
                <w:bCs/>
                <w:sz w:val="20"/>
                <w:szCs w:val="20"/>
              </w:rPr>
            </w:pPr>
            <w:r w:rsidRPr="008531AB">
              <w:rPr>
                <w:b/>
                <w:bCs/>
                <w:sz w:val="20"/>
                <w:szCs w:val="20"/>
              </w:rPr>
              <w:t>1,056</w:t>
            </w:r>
          </w:p>
        </w:tc>
        <w:tc>
          <w:tcPr>
            <w:tcW w:w="1170" w:type="dxa"/>
          </w:tcPr>
          <w:p w:rsidR="000F48AC" w:rsidRPr="008531AB" w:rsidRDefault="000F48AC" w:rsidP="009A09B6">
            <w:pPr>
              <w:jc w:val="right"/>
              <w:rPr>
                <w:b/>
                <w:bCs/>
                <w:sz w:val="20"/>
                <w:szCs w:val="20"/>
              </w:rPr>
            </w:pPr>
            <w:r w:rsidRPr="008531AB">
              <w:rPr>
                <w:b/>
                <w:bCs/>
                <w:sz w:val="20"/>
                <w:szCs w:val="20"/>
              </w:rPr>
              <w:t>--</w:t>
            </w:r>
          </w:p>
        </w:tc>
        <w:tc>
          <w:tcPr>
            <w:tcW w:w="990" w:type="dxa"/>
          </w:tcPr>
          <w:p w:rsidR="000F48AC" w:rsidRPr="008531AB" w:rsidRDefault="000F48AC" w:rsidP="009A09B6">
            <w:pPr>
              <w:jc w:val="right"/>
              <w:rPr>
                <w:b/>
                <w:bCs/>
                <w:sz w:val="20"/>
                <w:szCs w:val="20"/>
              </w:rPr>
            </w:pPr>
            <w:r w:rsidRPr="008531AB">
              <w:rPr>
                <w:b/>
                <w:bCs/>
                <w:sz w:val="20"/>
                <w:szCs w:val="20"/>
              </w:rPr>
              <w:t>2,992</w:t>
            </w:r>
          </w:p>
        </w:tc>
        <w:tc>
          <w:tcPr>
            <w:tcW w:w="990" w:type="dxa"/>
          </w:tcPr>
          <w:p w:rsidR="000F48AC" w:rsidRPr="008531AB" w:rsidRDefault="000F48AC" w:rsidP="009A09B6">
            <w:pPr>
              <w:jc w:val="right"/>
              <w:rPr>
                <w:b/>
                <w:bCs/>
                <w:sz w:val="20"/>
                <w:szCs w:val="20"/>
              </w:rPr>
            </w:pPr>
            <w:r w:rsidRPr="008531AB">
              <w:rPr>
                <w:b/>
                <w:bCs/>
                <w:sz w:val="20"/>
                <w:szCs w:val="20"/>
              </w:rPr>
              <w:t>--</w:t>
            </w:r>
          </w:p>
        </w:tc>
        <w:tc>
          <w:tcPr>
            <w:tcW w:w="900" w:type="dxa"/>
          </w:tcPr>
          <w:p w:rsidR="000F48AC" w:rsidRPr="008531AB" w:rsidRDefault="000F48AC" w:rsidP="009A09B6">
            <w:pPr>
              <w:jc w:val="right"/>
              <w:rPr>
                <w:b/>
                <w:bCs/>
                <w:sz w:val="20"/>
                <w:szCs w:val="20"/>
              </w:rPr>
            </w:pPr>
            <w:r w:rsidRPr="008531AB">
              <w:rPr>
                <w:b/>
                <w:bCs/>
                <w:sz w:val="20"/>
                <w:szCs w:val="20"/>
              </w:rPr>
              <w:t>1,676.8</w:t>
            </w:r>
          </w:p>
        </w:tc>
        <w:tc>
          <w:tcPr>
            <w:tcW w:w="720" w:type="dxa"/>
          </w:tcPr>
          <w:p w:rsidR="000F48AC" w:rsidRPr="008531AB" w:rsidRDefault="000F48AC" w:rsidP="009A09B6">
            <w:pPr>
              <w:jc w:val="right"/>
              <w:rPr>
                <w:b/>
                <w:bCs/>
                <w:sz w:val="20"/>
                <w:szCs w:val="20"/>
                <w:highlight w:val="yellow"/>
              </w:rPr>
            </w:pPr>
            <w:r w:rsidRPr="008531AB">
              <w:rPr>
                <w:b/>
                <w:bCs/>
                <w:sz w:val="20"/>
                <w:szCs w:val="20"/>
              </w:rPr>
              <w:t>--</w:t>
            </w:r>
          </w:p>
        </w:tc>
        <w:tc>
          <w:tcPr>
            <w:tcW w:w="1170" w:type="dxa"/>
          </w:tcPr>
          <w:p w:rsidR="000F48AC" w:rsidRPr="008531AB" w:rsidRDefault="000F48AC" w:rsidP="009A09B6">
            <w:pPr>
              <w:jc w:val="right"/>
              <w:rPr>
                <w:b/>
                <w:bCs/>
                <w:sz w:val="20"/>
                <w:szCs w:val="20"/>
              </w:rPr>
            </w:pPr>
            <w:r w:rsidRPr="008531AB">
              <w:rPr>
                <w:b/>
                <w:bCs/>
                <w:sz w:val="20"/>
                <w:szCs w:val="20"/>
              </w:rPr>
              <w:t>--</w:t>
            </w:r>
          </w:p>
        </w:tc>
      </w:tr>
    </w:tbl>
    <w:p w:rsidR="000F48AC" w:rsidRPr="00B9101F" w:rsidRDefault="000F48AC" w:rsidP="00B9101F">
      <w:pPr>
        <w:ind w:left="720"/>
        <w:rPr>
          <w:sz w:val="16"/>
          <w:szCs w:val="16"/>
        </w:rPr>
      </w:pPr>
      <w:bookmarkStart w:id="44" w:name="_Toc46164973"/>
      <w:bookmarkStart w:id="45" w:name="_Toc54417929"/>
      <w:bookmarkStart w:id="46" w:name="_Toc54502939"/>
      <w:r w:rsidRPr="00B9101F">
        <w:rPr>
          <w:sz w:val="16"/>
          <w:szCs w:val="16"/>
          <w:vertAlign w:val="superscript"/>
        </w:rPr>
        <w:t>*</w:t>
      </w:r>
      <w:r w:rsidRPr="00B9101F">
        <w:rPr>
          <w:sz w:val="16"/>
          <w:szCs w:val="16"/>
        </w:rPr>
        <w:t xml:space="preserve">Total respondent cost is calculated as hourly wage × time spent on survey × number of respondents. </w:t>
      </w:r>
    </w:p>
    <w:bookmarkEnd w:id="44"/>
    <w:bookmarkEnd w:id="45"/>
    <w:bookmarkEnd w:id="46"/>
    <w:p w:rsidR="000F48AC" w:rsidRPr="0099072B" w:rsidRDefault="000F48AC" w:rsidP="009A09B6">
      <w:pPr>
        <w:rPr>
          <w:b/>
          <w:bCs/>
        </w:rPr>
      </w:pPr>
    </w:p>
    <w:p w:rsidR="000F48AC" w:rsidRPr="0099072B" w:rsidRDefault="000F48AC" w:rsidP="009A09B6">
      <w:pPr>
        <w:ind w:left="720"/>
        <w:rPr>
          <w:b/>
          <w:bCs/>
        </w:rPr>
      </w:pPr>
      <w:r w:rsidRPr="0099072B">
        <w:rPr>
          <w:b/>
          <w:bCs/>
        </w:rPr>
        <w:t xml:space="preserve">Estimate </w:t>
      </w:r>
      <w:r>
        <w:rPr>
          <w:b/>
          <w:bCs/>
        </w:rPr>
        <w:t xml:space="preserve">of </w:t>
      </w:r>
      <w:r w:rsidRPr="0099072B">
        <w:rPr>
          <w:b/>
          <w:bCs/>
        </w:rPr>
        <w:t xml:space="preserve">the </w:t>
      </w:r>
      <w:r>
        <w:rPr>
          <w:b/>
          <w:bCs/>
        </w:rPr>
        <w:t>Total</w:t>
      </w:r>
      <w:r w:rsidRPr="0099072B">
        <w:rPr>
          <w:b/>
          <w:bCs/>
        </w:rPr>
        <w:t xml:space="preserve"> </w:t>
      </w:r>
      <w:r>
        <w:rPr>
          <w:b/>
          <w:bCs/>
        </w:rPr>
        <w:t>H</w:t>
      </w:r>
      <w:r w:rsidRPr="0099072B">
        <w:rPr>
          <w:b/>
          <w:bCs/>
        </w:rPr>
        <w:t xml:space="preserve">our </w:t>
      </w:r>
      <w:r>
        <w:rPr>
          <w:b/>
          <w:bCs/>
        </w:rPr>
        <w:t>B</w:t>
      </w:r>
      <w:r w:rsidRPr="0099072B">
        <w:rPr>
          <w:b/>
          <w:bCs/>
        </w:rPr>
        <w:t xml:space="preserve">urden of the </w:t>
      </w:r>
      <w:r>
        <w:rPr>
          <w:b/>
          <w:bCs/>
        </w:rPr>
        <w:t>C</w:t>
      </w:r>
      <w:r w:rsidRPr="0099072B">
        <w:rPr>
          <w:b/>
          <w:bCs/>
        </w:rPr>
        <w:t xml:space="preserve">ollection of </w:t>
      </w:r>
      <w:r>
        <w:rPr>
          <w:b/>
          <w:bCs/>
        </w:rPr>
        <w:t>I</w:t>
      </w:r>
      <w:r w:rsidRPr="0099072B">
        <w:rPr>
          <w:b/>
          <w:bCs/>
        </w:rPr>
        <w:t xml:space="preserve">nformation from </w:t>
      </w:r>
      <w:r>
        <w:rPr>
          <w:b/>
          <w:bCs/>
        </w:rPr>
        <w:t>P</w:t>
      </w:r>
      <w:r w:rsidRPr="0099072B">
        <w:rPr>
          <w:b/>
          <w:bCs/>
        </w:rPr>
        <w:t xml:space="preserve">roject </w:t>
      </w:r>
      <w:r>
        <w:rPr>
          <w:b/>
          <w:bCs/>
        </w:rPr>
        <w:t>D</w:t>
      </w:r>
      <w:r w:rsidRPr="0099072B">
        <w:rPr>
          <w:b/>
          <w:bCs/>
        </w:rPr>
        <w:t>irectors/</w:t>
      </w:r>
      <w:r>
        <w:rPr>
          <w:b/>
          <w:bCs/>
        </w:rPr>
        <w:t>P</w:t>
      </w:r>
      <w:r w:rsidRPr="0099072B">
        <w:rPr>
          <w:b/>
          <w:bCs/>
        </w:rPr>
        <w:t xml:space="preserve">rogram </w:t>
      </w:r>
      <w:r>
        <w:rPr>
          <w:b/>
          <w:bCs/>
        </w:rPr>
        <w:t>M</w:t>
      </w:r>
      <w:r w:rsidRPr="0099072B">
        <w:rPr>
          <w:b/>
          <w:bCs/>
        </w:rPr>
        <w:t xml:space="preserve">anagers. </w:t>
      </w:r>
      <w:r w:rsidRPr="0099072B">
        <w:t>The total project director/program manager sample size for the TCE</w:t>
      </w:r>
      <w:r>
        <w:t>-HIV</w:t>
      </w:r>
      <w:r w:rsidRPr="0099072B">
        <w:t xml:space="preserve"> </w:t>
      </w:r>
      <w:r>
        <w:t>m</w:t>
      </w:r>
      <w:r w:rsidRPr="0099072B">
        <w:t xml:space="preserve">ulti-site data collection effort is estimated to be a maximum of </w:t>
      </w:r>
      <w:r>
        <w:t>96</w:t>
      </w:r>
      <w:r w:rsidRPr="0099072B">
        <w:t xml:space="preserve"> respondents (4</w:t>
      </w:r>
      <w:r>
        <w:t>8</w:t>
      </w:r>
      <w:r w:rsidRPr="0099072B">
        <w:t xml:space="preserve"> sites, </w:t>
      </w:r>
      <w:r>
        <w:t>2</w:t>
      </w:r>
      <w:r w:rsidRPr="0099072B">
        <w:t xml:space="preserve"> respondent</w:t>
      </w:r>
      <w:r>
        <w:t>s</w:t>
      </w:r>
      <w:r w:rsidRPr="0099072B">
        <w:t xml:space="preserve"> </w:t>
      </w:r>
      <w:r>
        <w:t>at</w:t>
      </w:r>
      <w:r w:rsidRPr="0099072B">
        <w:t xml:space="preserve"> each site). Exhibit </w:t>
      </w:r>
      <w:r>
        <w:t>8</w:t>
      </w:r>
      <w:r w:rsidRPr="0099072B">
        <w:t xml:space="preserve"> presents estimates of </w:t>
      </w:r>
      <w:r>
        <w:t>total</w:t>
      </w:r>
      <w:r w:rsidRPr="0099072B">
        <w:t xml:space="preserve"> burden </w:t>
      </w:r>
      <w:r>
        <w:t xml:space="preserve">and Exhibit 9 presents estimates of annualized burden </w:t>
      </w:r>
      <w:r w:rsidRPr="0099072B">
        <w:t xml:space="preserve">based on </w:t>
      </w:r>
      <w:r>
        <w:t>pilot</w:t>
      </w:r>
      <w:r w:rsidRPr="0099072B">
        <w:t xml:space="preserve"> testing.</w:t>
      </w:r>
    </w:p>
    <w:p w:rsidR="000F48AC" w:rsidRDefault="000F48AC" w:rsidP="009A09B6">
      <w:pPr>
        <w:ind w:left="720"/>
      </w:pPr>
    </w:p>
    <w:p w:rsidR="000F48AC" w:rsidRPr="00947188" w:rsidRDefault="000F48AC" w:rsidP="009A09B6">
      <w:pPr>
        <w:ind w:left="720"/>
        <w:rPr>
          <w:b/>
          <w:bCs/>
        </w:rPr>
      </w:pPr>
      <w:r w:rsidRPr="0099072B">
        <w:rPr>
          <w:b/>
          <w:bCs/>
        </w:rPr>
        <w:t xml:space="preserve">Estimate </w:t>
      </w:r>
      <w:r>
        <w:rPr>
          <w:b/>
          <w:bCs/>
        </w:rPr>
        <w:t xml:space="preserve">of </w:t>
      </w:r>
      <w:r w:rsidRPr="0099072B">
        <w:rPr>
          <w:b/>
          <w:bCs/>
        </w:rPr>
        <w:t xml:space="preserve">the </w:t>
      </w:r>
      <w:r>
        <w:rPr>
          <w:b/>
          <w:bCs/>
        </w:rPr>
        <w:t>Total</w:t>
      </w:r>
      <w:r w:rsidRPr="0099072B">
        <w:rPr>
          <w:b/>
          <w:bCs/>
        </w:rPr>
        <w:t xml:space="preserve"> </w:t>
      </w:r>
      <w:r>
        <w:rPr>
          <w:b/>
          <w:bCs/>
        </w:rPr>
        <w:t>h</w:t>
      </w:r>
      <w:r w:rsidRPr="0099072B">
        <w:rPr>
          <w:b/>
          <w:bCs/>
        </w:rPr>
        <w:t xml:space="preserve">our </w:t>
      </w:r>
      <w:r>
        <w:rPr>
          <w:b/>
          <w:bCs/>
        </w:rPr>
        <w:t>B</w:t>
      </w:r>
      <w:r w:rsidRPr="0099072B">
        <w:rPr>
          <w:b/>
          <w:bCs/>
        </w:rPr>
        <w:t xml:space="preserve">urden of the </w:t>
      </w:r>
      <w:r>
        <w:rPr>
          <w:b/>
          <w:bCs/>
        </w:rPr>
        <w:t>C</w:t>
      </w:r>
      <w:r w:rsidRPr="0099072B">
        <w:rPr>
          <w:b/>
          <w:bCs/>
        </w:rPr>
        <w:t xml:space="preserve">ollection of </w:t>
      </w:r>
      <w:r>
        <w:rPr>
          <w:b/>
          <w:bCs/>
        </w:rPr>
        <w:t>I</w:t>
      </w:r>
      <w:r w:rsidRPr="0099072B">
        <w:rPr>
          <w:b/>
          <w:bCs/>
        </w:rPr>
        <w:t xml:space="preserve">nformation from </w:t>
      </w:r>
      <w:r>
        <w:rPr>
          <w:b/>
          <w:bCs/>
        </w:rPr>
        <w:t>G</w:t>
      </w:r>
      <w:r w:rsidRPr="0099072B">
        <w:rPr>
          <w:b/>
          <w:bCs/>
        </w:rPr>
        <w:t xml:space="preserve">rantee </w:t>
      </w:r>
      <w:r>
        <w:rPr>
          <w:b/>
          <w:bCs/>
        </w:rPr>
        <w:t>Direct Services S</w:t>
      </w:r>
      <w:r w:rsidRPr="0099072B">
        <w:rPr>
          <w:b/>
          <w:bCs/>
        </w:rPr>
        <w:t xml:space="preserve">taff. </w:t>
      </w:r>
      <w:r w:rsidRPr="0099072B">
        <w:t>The total grantee staff sample size for the TCE</w:t>
      </w:r>
      <w:r>
        <w:t>-HIV</w:t>
      </w:r>
      <w:r w:rsidRPr="0099072B">
        <w:t xml:space="preserve"> </w:t>
      </w:r>
      <w:r>
        <w:t>M</w:t>
      </w:r>
      <w:r w:rsidRPr="0099072B">
        <w:t>ulti-</w:t>
      </w:r>
      <w:r>
        <w:t>S</w:t>
      </w:r>
      <w:r w:rsidRPr="0099072B">
        <w:t xml:space="preserve">ite </w:t>
      </w:r>
      <w:r>
        <w:t xml:space="preserve">Evaluation </w:t>
      </w:r>
      <w:r w:rsidRPr="0099072B">
        <w:t>data collection effort is estimated to be a maximum of 4</w:t>
      </w:r>
      <w:r>
        <w:t>32</w:t>
      </w:r>
      <w:r w:rsidRPr="0099072B">
        <w:t xml:space="preserve"> respondents (4</w:t>
      </w:r>
      <w:r>
        <w:t>8</w:t>
      </w:r>
      <w:r w:rsidRPr="0099072B">
        <w:t xml:space="preserve"> sites, 9 respondents in each site). Exhibit </w:t>
      </w:r>
      <w:r>
        <w:t>8</w:t>
      </w:r>
      <w:r w:rsidRPr="0099072B">
        <w:t xml:space="preserve"> presents estimates of </w:t>
      </w:r>
      <w:r>
        <w:t>total</w:t>
      </w:r>
      <w:r w:rsidRPr="0099072B">
        <w:t xml:space="preserve"> burden </w:t>
      </w:r>
      <w:r>
        <w:t xml:space="preserve">and Exhibit 9 presents estimates of annualized burden </w:t>
      </w:r>
      <w:r w:rsidRPr="0099072B">
        <w:t xml:space="preserve">based on </w:t>
      </w:r>
      <w:r>
        <w:t>pilot</w:t>
      </w:r>
      <w:r w:rsidRPr="0099072B">
        <w:t xml:space="preserve"> testing</w:t>
      </w:r>
      <w:r w:rsidRPr="00947188">
        <w:t xml:space="preserve">. </w:t>
      </w:r>
    </w:p>
    <w:p w:rsidR="000F48AC" w:rsidRPr="00947188" w:rsidRDefault="000F48AC" w:rsidP="009A09B6"/>
    <w:p w:rsidR="000F48AC" w:rsidRDefault="000F48AC" w:rsidP="009A09B6">
      <w:pPr>
        <w:ind w:left="720"/>
      </w:pPr>
      <w:r w:rsidRPr="00947188">
        <w:rPr>
          <w:b/>
          <w:bCs/>
        </w:rPr>
        <w:t xml:space="preserve">Estimate </w:t>
      </w:r>
      <w:r>
        <w:rPr>
          <w:b/>
          <w:bCs/>
        </w:rPr>
        <w:t xml:space="preserve">of </w:t>
      </w:r>
      <w:r w:rsidRPr="00947188">
        <w:rPr>
          <w:b/>
          <w:bCs/>
        </w:rPr>
        <w:t xml:space="preserve">the Total Hour Burden of the Collection of Information from Community Collaborators. </w:t>
      </w:r>
      <w:r w:rsidRPr="00947188">
        <w:t xml:space="preserve">The total community collaborator sample size for the TCE-HIV </w:t>
      </w:r>
      <w:r>
        <w:t>M</w:t>
      </w:r>
      <w:r w:rsidRPr="00947188">
        <w:t>ulti-</w:t>
      </w:r>
      <w:r>
        <w:t>S</w:t>
      </w:r>
      <w:r w:rsidRPr="00947188">
        <w:t xml:space="preserve">ite </w:t>
      </w:r>
      <w:r>
        <w:t xml:space="preserve">Evaluation </w:t>
      </w:r>
      <w:r w:rsidRPr="00947188">
        <w:t xml:space="preserve">data collection effort is estimated to be a maximum of 240 respondents (48 sites, 5 respondents in each site). </w:t>
      </w:r>
      <w:r w:rsidRPr="0099072B">
        <w:t xml:space="preserve">Exhibit </w:t>
      </w:r>
      <w:r>
        <w:t>8</w:t>
      </w:r>
      <w:r w:rsidRPr="0099072B">
        <w:t xml:space="preserve"> presents estimates of </w:t>
      </w:r>
      <w:r>
        <w:t>total</w:t>
      </w:r>
      <w:r w:rsidRPr="0099072B">
        <w:t xml:space="preserve"> burden </w:t>
      </w:r>
      <w:r>
        <w:t xml:space="preserve">and Exhibit 9 presents estimates of annualized burden </w:t>
      </w:r>
      <w:r w:rsidRPr="0099072B">
        <w:t xml:space="preserve">based on </w:t>
      </w:r>
      <w:r>
        <w:t>pilot</w:t>
      </w:r>
      <w:r w:rsidRPr="0099072B">
        <w:t xml:space="preserve"> testing</w:t>
      </w:r>
      <w:r w:rsidRPr="00947188">
        <w:t xml:space="preserve">. </w:t>
      </w:r>
    </w:p>
    <w:p w:rsidR="000F48AC" w:rsidRPr="00947188" w:rsidRDefault="000F48AC" w:rsidP="009A09B6">
      <w:pPr>
        <w:ind w:left="720"/>
        <w:rPr>
          <w:b/>
          <w:bCs/>
        </w:rPr>
      </w:pPr>
    </w:p>
    <w:p w:rsidR="000F48AC" w:rsidRDefault="000F48AC" w:rsidP="009A09B6">
      <w:pPr>
        <w:ind w:left="720"/>
      </w:pPr>
      <w:r w:rsidRPr="00CC6DF8">
        <w:rPr>
          <w:b/>
          <w:bCs/>
        </w:rPr>
        <w:t xml:space="preserve">Estimate </w:t>
      </w:r>
      <w:r>
        <w:rPr>
          <w:b/>
          <w:bCs/>
        </w:rPr>
        <w:t xml:space="preserve">of </w:t>
      </w:r>
      <w:r w:rsidRPr="00CC6DF8">
        <w:rPr>
          <w:b/>
          <w:bCs/>
        </w:rPr>
        <w:t>the Total Cost Burden to the Respondent</w:t>
      </w:r>
      <w:r>
        <w:rPr>
          <w:b/>
          <w:bCs/>
        </w:rPr>
        <w:t>s</w:t>
      </w:r>
      <w:r w:rsidRPr="00CC6DF8">
        <w:rPr>
          <w:b/>
          <w:bCs/>
        </w:rPr>
        <w:t xml:space="preserve"> for the Collection of Information from Clients.</w:t>
      </w:r>
      <w:r w:rsidRPr="00CC6DF8">
        <w:t xml:space="preserve"> There are no direct costs to respondents other than their time to participate in the study.</w:t>
      </w:r>
      <w:r>
        <w:t xml:space="preserve">  </w:t>
      </w:r>
      <w:r w:rsidRPr="00CC6DF8">
        <w:t>The total cost for the evaluation of the time respondents spend completing the surveys and participating in focus groups is $</w:t>
      </w:r>
      <w:r>
        <w:t>71,981.57</w:t>
      </w:r>
      <w:r w:rsidRPr="00CC6DF8">
        <w:t xml:space="preserve"> (number of total baseline client respondent hours, plus discharge and 6</w:t>
      </w:r>
      <w:r>
        <w:t xml:space="preserve"> </w:t>
      </w:r>
      <w:r w:rsidRPr="00CC6DF8">
        <w:t>month</w:t>
      </w:r>
      <w:r>
        <w:t>s</w:t>
      </w:r>
      <w:r w:rsidRPr="00CC6DF8">
        <w:t xml:space="preserve"> post baseline hours, plus treatment focus group client respondent hours × $20.32, the estimated average hourly wages for adults as published by the U. S. Bureau of </w:t>
      </w:r>
      <w:r w:rsidRPr="00860F1C">
        <w:t xml:space="preserve">Labor </w:t>
      </w:r>
      <w:r w:rsidRPr="00B85F93">
        <w:t>Statistics</w:t>
      </w:r>
      <w:r>
        <w:t>,</w:t>
      </w:r>
      <w:r w:rsidRPr="00CC6DF8">
        <w:t xml:space="preserve"> </w:t>
      </w:r>
      <w:r w:rsidRPr="00B85F93">
        <w:t>2008</w:t>
      </w:r>
      <w:r w:rsidRPr="00CC6DF8">
        <w:t>)</w:t>
      </w:r>
      <w:r>
        <w:fldChar w:fldCharType="begin"/>
      </w:r>
      <w:r w:rsidRPr="00CC6DF8">
        <w:instrText>xe "U.S. Bureau of Labor Statistics, 2004"</w:instrText>
      </w:r>
      <w:r>
        <w:fldChar w:fldCharType="end"/>
      </w:r>
      <w:r w:rsidRPr="00CC6DF8">
        <w:t xml:space="preserve">. </w:t>
      </w:r>
    </w:p>
    <w:p w:rsidR="000F48AC" w:rsidRDefault="000F48AC" w:rsidP="009A09B6">
      <w:pPr>
        <w:rPr>
          <w:b/>
          <w:bCs/>
        </w:rPr>
      </w:pPr>
    </w:p>
    <w:p w:rsidR="000F48AC" w:rsidRDefault="000F48AC" w:rsidP="009A09B6">
      <w:pPr>
        <w:ind w:left="720"/>
      </w:pPr>
      <w:r w:rsidRPr="007D7274">
        <w:rPr>
          <w:b/>
          <w:bCs/>
        </w:rPr>
        <w:t xml:space="preserve">Estimate </w:t>
      </w:r>
      <w:r>
        <w:rPr>
          <w:b/>
          <w:bCs/>
        </w:rPr>
        <w:t xml:space="preserve">of </w:t>
      </w:r>
      <w:r w:rsidRPr="007D7274">
        <w:rPr>
          <w:b/>
          <w:bCs/>
        </w:rPr>
        <w:t>the Total Cost Burden to the Respondent</w:t>
      </w:r>
      <w:r>
        <w:rPr>
          <w:b/>
          <w:bCs/>
        </w:rPr>
        <w:t>s</w:t>
      </w:r>
      <w:r w:rsidRPr="007D7274">
        <w:rPr>
          <w:b/>
          <w:bCs/>
        </w:rPr>
        <w:t xml:space="preserve"> for the Collection of Information from Project Directors/Program Managers.</w:t>
      </w:r>
      <w:r w:rsidRPr="007D7274">
        <w:t xml:space="preserve"> There are no direct costs to respondents other than their time to participate in the </w:t>
      </w:r>
      <w:r>
        <w:t>study</w:t>
      </w:r>
      <w:r w:rsidRPr="007D7274">
        <w:t>. The total cost of the time respondents spend completing these interviews is $4,193.28 (number of project director respondent hours × $29.12, the estimated average hourly wages for individuals working in health-related occupations as published by the U.</w:t>
      </w:r>
      <w:r>
        <w:t xml:space="preserve">S. </w:t>
      </w:r>
      <w:r w:rsidRPr="00476C6E">
        <w:t>Bureau</w:t>
      </w:r>
      <w:r>
        <w:t xml:space="preserve"> of Labor Statistics, </w:t>
      </w:r>
      <w:r w:rsidRPr="007D7274">
        <w:t>2008</w:t>
      </w:r>
      <w:r>
        <w:fldChar w:fldCharType="begin"/>
      </w:r>
      <w:r w:rsidRPr="007D7274">
        <w:instrText>xe "U.S. Bureau of Labor Statistics, 2004"</w:instrText>
      </w:r>
      <w:r>
        <w:fldChar w:fldCharType="end"/>
      </w:r>
      <w:r w:rsidRPr="007D7274">
        <w:t>).</w:t>
      </w:r>
    </w:p>
    <w:p w:rsidR="000F48AC" w:rsidRDefault="000F48AC" w:rsidP="009A09B6">
      <w:pPr>
        <w:rPr>
          <w:b/>
          <w:bCs/>
        </w:rPr>
      </w:pPr>
    </w:p>
    <w:p w:rsidR="000F48AC" w:rsidRDefault="000F48AC" w:rsidP="009A09B6">
      <w:pPr>
        <w:ind w:left="720"/>
      </w:pPr>
      <w:r w:rsidRPr="007D7274">
        <w:rPr>
          <w:b/>
          <w:bCs/>
        </w:rPr>
        <w:t>Estimate the Total Cost Burden to the Respondent</w:t>
      </w:r>
      <w:r>
        <w:rPr>
          <w:b/>
          <w:bCs/>
        </w:rPr>
        <w:t>s</w:t>
      </w:r>
      <w:r w:rsidRPr="007D7274">
        <w:rPr>
          <w:b/>
          <w:bCs/>
        </w:rPr>
        <w:t xml:space="preserve"> for the Collection of Information from Grantee </w:t>
      </w:r>
      <w:r>
        <w:rPr>
          <w:b/>
          <w:bCs/>
        </w:rPr>
        <w:t xml:space="preserve">Direct Services </w:t>
      </w:r>
      <w:r w:rsidRPr="007D7274">
        <w:rPr>
          <w:b/>
          <w:bCs/>
        </w:rPr>
        <w:t>Staff.</w:t>
      </w:r>
      <w:r w:rsidRPr="007D7274">
        <w:t xml:space="preserve"> There are no direct costs to respondents other than their time to participate in the study. The total cost of the time respondents spend </w:t>
      </w:r>
      <w:r>
        <w:t>participating in</w:t>
      </w:r>
      <w:r w:rsidRPr="007D7274">
        <w:t xml:space="preserve"> the semi-structured interviews and completing client treatment dosage forms is $</w:t>
      </w:r>
      <w:r>
        <w:t>16,459.20</w:t>
      </w:r>
      <w:r w:rsidRPr="007D7274">
        <w:t xml:space="preserve"> (number of grantee staff respondent hours × $19.05, the estimated average hourly wages for individuals working in health-related staff occupations as published by the U. S. Bureau of Labor Statistics</w:t>
      </w:r>
      <w:r>
        <w:t>,</w:t>
      </w:r>
      <w:r w:rsidRPr="007D7274">
        <w:t xml:space="preserve"> 2008</w:t>
      </w:r>
      <w:r>
        <w:fldChar w:fldCharType="begin"/>
      </w:r>
      <w:r w:rsidRPr="007D7274">
        <w:instrText>xe "U.S. Bureau of Labor Statistics, 2004"</w:instrText>
      </w:r>
      <w:r>
        <w:fldChar w:fldCharType="end"/>
      </w:r>
      <w:r w:rsidRPr="007D7274">
        <w:t>).</w:t>
      </w:r>
    </w:p>
    <w:p w:rsidR="000F48AC" w:rsidRDefault="000F48AC" w:rsidP="009A09B6">
      <w:pPr>
        <w:rPr>
          <w:b/>
          <w:bCs/>
        </w:rPr>
      </w:pPr>
    </w:p>
    <w:p w:rsidR="000F48AC" w:rsidRDefault="000F48AC" w:rsidP="009A09B6">
      <w:pPr>
        <w:ind w:left="720"/>
      </w:pPr>
      <w:r w:rsidRPr="003C497C">
        <w:rPr>
          <w:b/>
          <w:bCs/>
        </w:rPr>
        <w:t>Estimate the Total Cost Burden to the Respondent</w:t>
      </w:r>
      <w:r>
        <w:rPr>
          <w:b/>
          <w:bCs/>
        </w:rPr>
        <w:t>s</w:t>
      </w:r>
      <w:r w:rsidRPr="003C497C">
        <w:rPr>
          <w:b/>
          <w:bCs/>
        </w:rPr>
        <w:t xml:space="preserve"> for the Collection of Information from Community Collaborators.</w:t>
      </w:r>
      <w:r w:rsidRPr="003C497C">
        <w:t xml:space="preserve"> There are no direct costs to respondents other than their time to participate in the study. The total cost of the time respondents spend participating in these interviews is $9,2</w:t>
      </w:r>
      <w:r>
        <w:t>20</w:t>
      </w:r>
      <w:r w:rsidRPr="003C497C">
        <w:t>.</w:t>
      </w:r>
      <w:r>
        <w:t>8</w:t>
      </w:r>
      <w:r w:rsidRPr="003C497C">
        <w:t xml:space="preserve">0 (number of practitioner respondent hours × $19.21, the estimated average hourly wages for individuals working in health services-related occupations as published by the U. </w:t>
      </w:r>
      <w:r>
        <w:t xml:space="preserve">S. Bureau of Labor Statistics, </w:t>
      </w:r>
      <w:r w:rsidRPr="003C497C">
        <w:t>2008</w:t>
      </w:r>
      <w:r>
        <w:fldChar w:fldCharType="begin"/>
      </w:r>
      <w:r w:rsidRPr="003C497C">
        <w:instrText>xe "U.S. Bureau of Labor Statistics, 2004"</w:instrText>
      </w:r>
      <w:r>
        <w:fldChar w:fldCharType="end"/>
      </w:r>
      <w:r w:rsidRPr="003C497C">
        <w:t xml:space="preserve">). </w:t>
      </w:r>
    </w:p>
    <w:p w:rsidR="000F48AC" w:rsidRDefault="000F48AC">
      <w:pPr>
        <w:rPr>
          <w:b/>
          <w:bCs/>
        </w:rPr>
      </w:pPr>
      <w:r>
        <w:rPr>
          <w:b/>
          <w:bCs/>
        </w:rPr>
        <w:br w:type="page"/>
      </w:r>
    </w:p>
    <w:p w:rsidR="000F48AC" w:rsidRDefault="000F48AC" w:rsidP="009A09B6">
      <w:pPr>
        <w:rPr>
          <w:b/>
          <w:bCs/>
        </w:rPr>
      </w:pPr>
    </w:p>
    <w:p w:rsidR="000F48AC" w:rsidRDefault="000F48AC" w:rsidP="00B9101F">
      <w:pPr>
        <w:ind w:left="720"/>
        <w:rPr>
          <w:b/>
          <w:bCs/>
        </w:rPr>
      </w:pPr>
      <w:r>
        <w:rPr>
          <w:b/>
          <w:bCs/>
        </w:rPr>
        <w:t>Exhibit 9. Annualized</w:t>
      </w:r>
      <w:r w:rsidRPr="00BD1385">
        <w:rPr>
          <w:b/>
          <w:bCs/>
        </w:rPr>
        <w:t xml:space="preserve"> Summary Table</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tblPr>
      <w:tblGrid>
        <w:gridCol w:w="2495"/>
        <w:gridCol w:w="1460"/>
        <w:gridCol w:w="1278"/>
        <w:gridCol w:w="1186"/>
        <w:gridCol w:w="1095"/>
        <w:gridCol w:w="1126"/>
      </w:tblGrid>
      <w:tr w:rsidR="000F48AC" w:rsidRPr="008531AB" w:rsidTr="00296C95">
        <w:tc>
          <w:tcPr>
            <w:tcW w:w="2460" w:type="dxa"/>
          </w:tcPr>
          <w:p w:rsidR="000F48AC" w:rsidRPr="008531AB" w:rsidRDefault="000F48AC" w:rsidP="009A09B6">
            <w:pPr>
              <w:jc w:val="center"/>
              <w:rPr>
                <w:b/>
                <w:bCs/>
                <w:sz w:val="20"/>
                <w:szCs w:val="20"/>
              </w:rPr>
            </w:pPr>
            <w:r w:rsidRPr="008531AB">
              <w:rPr>
                <w:b/>
                <w:bCs/>
                <w:sz w:val="20"/>
                <w:szCs w:val="20"/>
              </w:rPr>
              <w:t>Respondents</w:t>
            </w:r>
          </w:p>
        </w:tc>
        <w:tc>
          <w:tcPr>
            <w:tcW w:w="1440" w:type="dxa"/>
          </w:tcPr>
          <w:p w:rsidR="000F48AC" w:rsidRPr="008531AB" w:rsidRDefault="000F48AC" w:rsidP="009A09B6">
            <w:pPr>
              <w:jc w:val="center"/>
              <w:rPr>
                <w:b/>
                <w:bCs/>
                <w:sz w:val="20"/>
                <w:szCs w:val="20"/>
              </w:rPr>
            </w:pPr>
            <w:r w:rsidRPr="008531AB">
              <w:rPr>
                <w:b/>
                <w:bCs/>
                <w:sz w:val="20"/>
                <w:szCs w:val="20"/>
              </w:rPr>
              <w:t>Number of Respondents</w:t>
            </w:r>
          </w:p>
        </w:tc>
        <w:tc>
          <w:tcPr>
            <w:tcW w:w="1260" w:type="dxa"/>
          </w:tcPr>
          <w:p w:rsidR="000F48AC" w:rsidRPr="008531AB" w:rsidRDefault="000F48AC" w:rsidP="009A09B6">
            <w:pPr>
              <w:jc w:val="center"/>
              <w:rPr>
                <w:b/>
                <w:bCs/>
                <w:sz w:val="20"/>
                <w:szCs w:val="20"/>
              </w:rPr>
            </w:pPr>
            <w:r w:rsidRPr="008531AB">
              <w:rPr>
                <w:b/>
                <w:bCs/>
                <w:sz w:val="20"/>
                <w:szCs w:val="20"/>
              </w:rPr>
              <w:t>Responses/Respondent</w:t>
            </w:r>
          </w:p>
        </w:tc>
        <w:tc>
          <w:tcPr>
            <w:tcW w:w="1170" w:type="dxa"/>
          </w:tcPr>
          <w:p w:rsidR="000F48AC" w:rsidRPr="008531AB" w:rsidRDefault="000F48AC" w:rsidP="009A09B6">
            <w:pPr>
              <w:jc w:val="center"/>
              <w:rPr>
                <w:b/>
                <w:bCs/>
                <w:sz w:val="20"/>
                <w:szCs w:val="20"/>
              </w:rPr>
            </w:pPr>
            <w:r w:rsidRPr="008531AB">
              <w:rPr>
                <w:b/>
                <w:bCs/>
                <w:sz w:val="20"/>
                <w:szCs w:val="20"/>
              </w:rPr>
              <w:t>Total Responses</w:t>
            </w:r>
          </w:p>
        </w:tc>
        <w:tc>
          <w:tcPr>
            <w:tcW w:w="1080" w:type="dxa"/>
          </w:tcPr>
          <w:p w:rsidR="000F48AC" w:rsidRPr="008531AB" w:rsidRDefault="000F48AC" w:rsidP="009A09B6">
            <w:pPr>
              <w:jc w:val="center"/>
              <w:rPr>
                <w:b/>
                <w:bCs/>
                <w:sz w:val="20"/>
                <w:szCs w:val="20"/>
              </w:rPr>
            </w:pPr>
            <w:r w:rsidRPr="008531AB">
              <w:rPr>
                <w:b/>
                <w:bCs/>
                <w:sz w:val="20"/>
                <w:szCs w:val="20"/>
              </w:rPr>
              <w:t>Hours per Response</w:t>
            </w:r>
          </w:p>
        </w:tc>
        <w:tc>
          <w:tcPr>
            <w:tcW w:w="1110" w:type="dxa"/>
          </w:tcPr>
          <w:p w:rsidR="000F48AC" w:rsidRPr="008531AB" w:rsidRDefault="000F48AC" w:rsidP="009A09B6">
            <w:pPr>
              <w:jc w:val="center"/>
              <w:rPr>
                <w:b/>
                <w:bCs/>
                <w:sz w:val="20"/>
                <w:szCs w:val="20"/>
              </w:rPr>
            </w:pPr>
            <w:r w:rsidRPr="008531AB">
              <w:rPr>
                <w:b/>
                <w:bCs/>
                <w:sz w:val="20"/>
                <w:szCs w:val="20"/>
              </w:rPr>
              <w:t>Total Burden Hours</w:t>
            </w:r>
          </w:p>
        </w:tc>
      </w:tr>
      <w:tr w:rsidR="000F48AC" w:rsidRPr="008531AB" w:rsidTr="00296C95">
        <w:tc>
          <w:tcPr>
            <w:tcW w:w="8520" w:type="dxa"/>
            <w:gridSpan w:val="6"/>
            <w:shd w:val="clear" w:color="auto" w:fill="D9D9D9"/>
          </w:tcPr>
          <w:p w:rsidR="000F48AC" w:rsidRPr="008531AB" w:rsidRDefault="000F48AC" w:rsidP="009A09B6">
            <w:pPr>
              <w:jc w:val="center"/>
              <w:rPr>
                <w:b/>
                <w:bCs/>
                <w:sz w:val="20"/>
                <w:szCs w:val="20"/>
              </w:rPr>
            </w:pPr>
            <w:r w:rsidRPr="008531AB">
              <w:rPr>
                <w:b/>
                <w:bCs/>
                <w:sz w:val="20"/>
                <w:szCs w:val="20"/>
              </w:rPr>
              <w:t>CLIENT DATA COLLECTION INSTRUMENTS</w:t>
            </w:r>
          </w:p>
        </w:tc>
      </w:tr>
      <w:tr w:rsidR="000F48AC" w:rsidRPr="008531AB" w:rsidTr="00296C95">
        <w:tc>
          <w:tcPr>
            <w:tcW w:w="2460" w:type="dxa"/>
          </w:tcPr>
          <w:p w:rsidR="000F48AC" w:rsidRPr="008531AB" w:rsidRDefault="000F48AC" w:rsidP="009A09B6">
            <w:pPr>
              <w:rPr>
                <w:sz w:val="20"/>
                <w:szCs w:val="20"/>
              </w:rPr>
            </w:pPr>
            <w:r w:rsidRPr="008531AB">
              <w:rPr>
                <w:sz w:val="20"/>
                <w:szCs w:val="20"/>
              </w:rPr>
              <w:t xml:space="preserve">Clients––baseline, discharge, 6-months post baseline data collection </w:t>
            </w:r>
          </w:p>
        </w:tc>
        <w:tc>
          <w:tcPr>
            <w:tcW w:w="1440" w:type="dxa"/>
          </w:tcPr>
          <w:p w:rsidR="000F48AC" w:rsidRPr="008531AB" w:rsidRDefault="000F48AC" w:rsidP="009A09B6">
            <w:pPr>
              <w:jc w:val="right"/>
              <w:rPr>
                <w:sz w:val="20"/>
                <w:szCs w:val="20"/>
              </w:rPr>
            </w:pPr>
            <w:r w:rsidRPr="008531AB">
              <w:rPr>
                <w:sz w:val="20"/>
                <w:szCs w:val="20"/>
              </w:rPr>
              <w:t>2400</w:t>
            </w:r>
          </w:p>
        </w:tc>
        <w:tc>
          <w:tcPr>
            <w:tcW w:w="1260" w:type="dxa"/>
          </w:tcPr>
          <w:p w:rsidR="000F48AC" w:rsidRPr="008531AB" w:rsidRDefault="000F48AC" w:rsidP="009A09B6">
            <w:pPr>
              <w:jc w:val="right"/>
              <w:rPr>
                <w:sz w:val="20"/>
                <w:szCs w:val="20"/>
              </w:rPr>
            </w:pPr>
            <w:r w:rsidRPr="008531AB">
              <w:rPr>
                <w:sz w:val="20"/>
                <w:szCs w:val="20"/>
              </w:rPr>
              <w:t>3</w:t>
            </w:r>
          </w:p>
        </w:tc>
        <w:tc>
          <w:tcPr>
            <w:tcW w:w="1170" w:type="dxa"/>
          </w:tcPr>
          <w:p w:rsidR="000F48AC" w:rsidRPr="008531AB" w:rsidRDefault="000F48AC" w:rsidP="00026ED3">
            <w:pPr>
              <w:jc w:val="right"/>
              <w:rPr>
                <w:sz w:val="20"/>
                <w:szCs w:val="20"/>
              </w:rPr>
            </w:pPr>
            <w:r w:rsidRPr="008531AB">
              <w:rPr>
                <w:sz w:val="20"/>
                <w:szCs w:val="20"/>
              </w:rPr>
              <w:t>6,720</w:t>
            </w:r>
            <w:r w:rsidRPr="008531AB">
              <w:rPr>
                <w:b/>
                <w:bCs/>
                <w:sz w:val="20"/>
                <w:szCs w:val="20"/>
              </w:rPr>
              <w:t>*</w:t>
            </w:r>
          </w:p>
        </w:tc>
        <w:tc>
          <w:tcPr>
            <w:tcW w:w="1080" w:type="dxa"/>
          </w:tcPr>
          <w:p w:rsidR="000F48AC" w:rsidRPr="008531AB" w:rsidRDefault="000F48AC" w:rsidP="009A09B6">
            <w:pPr>
              <w:jc w:val="right"/>
              <w:rPr>
                <w:sz w:val="20"/>
                <w:szCs w:val="20"/>
              </w:rPr>
            </w:pPr>
            <w:r w:rsidRPr="008531AB">
              <w:rPr>
                <w:sz w:val="20"/>
                <w:szCs w:val="20"/>
              </w:rPr>
              <w:t xml:space="preserve">.42 </w:t>
            </w:r>
          </w:p>
        </w:tc>
        <w:tc>
          <w:tcPr>
            <w:tcW w:w="1110" w:type="dxa"/>
          </w:tcPr>
          <w:p w:rsidR="000F48AC" w:rsidRPr="008531AB" w:rsidRDefault="000F48AC" w:rsidP="009A09B6">
            <w:pPr>
              <w:jc w:val="right"/>
              <w:rPr>
                <w:sz w:val="20"/>
                <w:szCs w:val="20"/>
              </w:rPr>
            </w:pPr>
            <w:r w:rsidRPr="008531AB">
              <w:rPr>
                <w:sz w:val="20"/>
                <w:szCs w:val="20"/>
              </w:rPr>
              <w:t>2,822.4</w:t>
            </w:r>
          </w:p>
        </w:tc>
      </w:tr>
      <w:tr w:rsidR="000F48AC" w:rsidRPr="008531AB" w:rsidTr="00296C95">
        <w:tc>
          <w:tcPr>
            <w:tcW w:w="2460" w:type="dxa"/>
          </w:tcPr>
          <w:p w:rsidR="000F48AC" w:rsidRPr="008531AB" w:rsidRDefault="000F48AC" w:rsidP="009A09B6">
            <w:pPr>
              <w:rPr>
                <w:b/>
                <w:bCs/>
                <w:sz w:val="20"/>
                <w:szCs w:val="20"/>
              </w:rPr>
            </w:pPr>
            <w:r w:rsidRPr="008531AB">
              <w:rPr>
                <w:b/>
                <w:bCs/>
                <w:sz w:val="20"/>
                <w:szCs w:val="20"/>
              </w:rPr>
              <w:t>Annualized Client Survey Total</w:t>
            </w:r>
          </w:p>
        </w:tc>
        <w:tc>
          <w:tcPr>
            <w:tcW w:w="1440" w:type="dxa"/>
          </w:tcPr>
          <w:p w:rsidR="000F48AC" w:rsidRPr="008531AB" w:rsidRDefault="000F48AC" w:rsidP="009A09B6">
            <w:pPr>
              <w:jc w:val="right"/>
              <w:rPr>
                <w:b/>
                <w:bCs/>
                <w:sz w:val="20"/>
                <w:szCs w:val="20"/>
              </w:rPr>
            </w:pPr>
            <w:r w:rsidRPr="008531AB">
              <w:rPr>
                <w:b/>
                <w:bCs/>
                <w:sz w:val="20"/>
                <w:szCs w:val="20"/>
              </w:rPr>
              <w:t>800</w:t>
            </w:r>
          </w:p>
        </w:tc>
        <w:tc>
          <w:tcPr>
            <w:tcW w:w="1260" w:type="dxa"/>
          </w:tcPr>
          <w:p w:rsidR="000F48AC" w:rsidRPr="008531AB" w:rsidRDefault="000F48AC" w:rsidP="009A09B6">
            <w:pPr>
              <w:jc w:val="right"/>
              <w:rPr>
                <w:b/>
                <w:bCs/>
                <w:sz w:val="20"/>
                <w:szCs w:val="20"/>
              </w:rPr>
            </w:pPr>
            <w:r w:rsidRPr="008531AB">
              <w:rPr>
                <w:b/>
                <w:bCs/>
                <w:sz w:val="20"/>
                <w:szCs w:val="20"/>
              </w:rPr>
              <w:t>--</w:t>
            </w:r>
          </w:p>
        </w:tc>
        <w:tc>
          <w:tcPr>
            <w:tcW w:w="1170" w:type="dxa"/>
          </w:tcPr>
          <w:p w:rsidR="000F48AC" w:rsidRPr="008531AB" w:rsidRDefault="000F48AC" w:rsidP="009A09B6">
            <w:pPr>
              <w:jc w:val="right"/>
              <w:rPr>
                <w:b/>
                <w:bCs/>
                <w:sz w:val="20"/>
                <w:szCs w:val="20"/>
              </w:rPr>
            </w:pPr>
            <w:r w:rsidRPr="008531AB">
              <w:rPr>
                <w:b/>
                <w:bCs/>
                <w:sz w:val="20"/>
                <w:szCs w:val="20"/>
              </w:rPr>
              <w:t>2,240</w:t>
            </w:r>
          </w:p>
        </w:tc>
        <w:tc>
          <w:tcPr>
            <w:tcW w:w="1080" w:type="dxa"/>
          </w:tcPr>
          <w:p w:rsidR="000F48AC" w:rsidRPr="008531AB" w:rsidRDefault="000F48AC" w:rsidP="009A09B6">
            <w:pPr>
              <w:jc w:val="right"/>
              <w:rPr>
                <w:b/>
                <w:bCs/>
                <w:sz w:val="20"/>
                <w:szCs w:val="20"/>
              </w:rPr>
            </w:pPr>
            <w:r w:rsidRPr="008531AB">
              <w:rPr>
                <w:b/>
                <w:bCs/>
                <w:sz w:val="20"/>
                <w:szCs w:val="20"/>
              </w:rPr>
              <w:t>--</w:t>
            </w:r>
          </w:p>
        </w:tc>
        <w:tc>
          <w:tcPr>
            <w:tcW w:w="1110" w:type="dxa"/>
          </w:tcPr>
          <w:p w:rsidR="000F48AC" w:rsidRPr="008531AB" w:rsidRDefault="000F48AC" w:rsidP="009A09B6">
            <w:pPr>
              <w:jc w:val="right"/>
              <w:rPr>
                <w:b/>
                <w:bCs/>
                <w:sz w:val="20"/>
                <w:szCs w:val="20"/>
              </w:rPr>
            </w:pPr>
            <w:r w:rsidRPr="008531AB">
              <w:rPr>
                <w:b/>
                <w:bCs/>
                <w:sz w:val="20"/>
                <w:szCs w:val="20"/>
              </w:rPr>
              <w:t>940.8</w:t>
            </w:r>
          </w:p>
        </w:tc>
      </w:tr>
      <w:tr w:rsidR="000F48AC" w:rsidRPr="008531AB" w:rsidTr="00296C95">
        <w:tc>
          <w:tcPr>
            <w:tcW w:w="2460" w:type="dxa"/>
          </w:tcPr>
          <w:p w:rsidR="000F48AC" w:rsidRPr="008531AB" w:rsidRDefault="000F48AC" w:rsidP="009A09B6">
            <w:pPr>
              <w:rPr>
                <w:sz w:val="20"/>
                <w:szCs w:val="20"/>
              </w:rPr>
            </w:pPr>
            <w:r w:rsidRPr="008531AB">
              <w:rPr>
                <w:sz w:val="20"/>
                <w:szCs w:val="20"/>
              </w:rPr>
              <w:t>Client Focus Groups (FG) Year 3 and Year 4</w:t>
            </w:r>
          </w:p>
        </w:tc>
        <w:tc>
          <w:tcPr>
            <w:tcW w:w="1440" w:type="dxa"/>
          </w:tcPr>
          <w:p w:rsidR="000F48AC" w:rsidRPr="008531AB" w:rsidRDefault="000F48AC" w:rsidP="009A09B6">
            <w:pPr>
              <w:jc w:val="right"/>
              <w:rPr>
                <w:sz w:val="20"/>
                <w:szCs w:val="20"/>
                <w:vertAlign w:val="superscript"/>
              </w:rPr>
            </w:pPr>
            <w:r w:rsidRPr="008531AB">
              <w:rPr>
                <w:sz w:val="20"/>
                <w:szCs w:val="20"/>
              </w:rPr>
              <w:t>720</w:t>
            </w:r>
            <w:r w:rsidRPr="008531AB">
              <w:rPr>
                <w:b/>
                <w:bCs/>
                <w:sz w:val="20"/>
                <w:szCs w:val="20"/>
                <w:vertAlign w:val="superscript"/>
              </w:rPr>
              <w:t>**</w:t>
            </w:r>
          </w:p>
        </w:tc>
        <w:tc>
          <w:tcPr>
            <w:tcW w:w="1260" w:type="dxa"/>
          </w:tcPr>
          <w:p w:rsidR="000F48AC" w:rsidRPr="008531AB" w:rsidRDefault="000F48AC" w:rsidP="009A09B6">
            <w:pPr>
              <w:jc w:val="right"/>
              <w:rPr>
                <w:sz w:val="20"/>
                <w:szCs w:val="20"/>
              </w:rPr>
            </w:pPr>
            <w:r w:rsidRPr="008531AB">
              <w:rPr>
                <w:sz w:val="20"/>
                <w:szCs w:val="20"/>
              </w:rPr>
              <w:t>1</w:t>
            </w:r>
          </w:p>
        </w:tc>
        <w:tc>
          <w:tcPr>
            <w:tcW w:w="1170" w:type="dxa"/>
          </w:tcPr>
          <w:p w:rsidR="000F48AC" w:rsidRPr="008531AB" w:rsidRDefault="000F48AC" w:rsidP="009A09B6">
            <w:pPr>
              <w:jc w:val="right"/>
              <w:rPr>
                <w:sz w:val="20"/>
                <w:szCs w:val="20"/>
              </w:rPr>
            </w:pPr>
            <w:r w:rsidRPr="008531AB">
              <w:rPr>
                <w:sz w:val="20"/>
                <w:szCs w:val="20"/>
              </w:rPr>
              <w:t>720</w:t>
            </w:r>
          </w:p>
        </w:tc>
        <w:tc>
          <w:tcPr>
            <w:tcW w:w="1080" w:type="dxa"/>
          </w:tcPr>
          <w:p w:rsidR="000F48AC" w:rsidRPr="008531AB" w:rsidRDefault="000F48AC" w:rsidP="009A09B6">
            <w:pPr>
              <w:jc w:val="right"/>
              <w:rPr>
                <w:sz w:val="20"/>
                <w:szCs w:val="20"/>
              </w:rPr>
            </w:pPr>
            <w:r w:rsidRPr="008531AB">
              <w:rPr>
                <w:sz w:val="20"/>
                <w:szCs w:val="20"/>
              </w:rPr>
              <w:t>1.0</w:t>
            </w:r>
          </w:p>
        </w:tc>
        <w:tc>
          <w:tcPr>
            <w:tcW w:w="1110" w:type="dxa"/>
          </w:tcPr>
          <w:p w:rsidR="000F48AC" w:rsidRPr="008531AB" w:rsidRDefault="000F48AC" w:rsidP="009A09B6">
            <w:pPr>
              <w:jc w:val="right"/>
              <w:rPr>
                <w:sz w:val="20"/>
                <w:szCs w:val="20"/>
              </w:rPr>
            </w:pPr>
            <w:r w:rsidRPr="008531AB">
              <w:rPr>
                <w:sz w:val="20"/>
                <w:szCs w:val="20"/>
              </w:rPr>
              <w:t>720</w:t>
            </w:r>
          </w:p>
        </w:tc>
      </w:tr>
      <w:tr w:rsidR="000F48AC" w:rsidRPr="008531AB" w:rsidTr="00296C95">
        <w:tc>
          <w:tcPr>
            <w:tcW w:w="2460" w:type="dxa"/>
          </w:tcPr>
          <w:p w:rsidR="000F48AC" w:rsidRPr="008531AB" w:rsidRDefault="000F48AC" w:rsidP="009A09B6">
            <w:pPr>
              <w:rPr>
                <w:b/>
                <w:bCs/>
                <w:sz w:val="20"/>
                <w:szCs w:val="20"/>
              </w:rPr>
            </w:pPr>
            <w:r w:rsidRPr="008531AB">
              <w:rPr>
                <w:b/>
                <w:bCs/>
                <w:sz w:val="20"/>
                <w:szCs w:val="20"/>
              </w:rPr>
              <w:t>Annualized Client FG Total</w:t>
            </w:r>
          </w:p>
        </w:tc>
        <w:tc>
          <w:tcPr>
            <w:tcW w:w="1440" w:type="dxa"/>
          </w:tcPr>
          <w:p w:rsidR="000F48AC" w:rsidRPr="008531AB" w:rsidRDefault="000F48AC" w:rsidP="009A09B6">
            <w:pPr>
              <w:jc w:val="right"/>
              <w:rPr>
                <w:b/>
                <w:bCs/>
                <w:sz w:val="20"/>
                <w:szCs w:val="20"/>
              </w:rPr>
            </w:pPr>
            <w:r w:rsidRPr="008531AB">
              <w:rPr>
                <w:b/>
                <w:bCs/>
                <w:sz w:val="20"/>
                <w:szCs w:val="20"/>
              </w:rPr>
              <w:t>240</w:t>
            </w:r>
          </w:p>
        </w:tc>
        <w:tc>
          <w:tcPr>
            <w:tcW w:w="1260" w:type="dxa"/>
          </w:tcPr>
          <w:p w:rsidR="000F48AC" w:rsidRPr="008531AB" w:rsidRDefault="000F48AC" w:rsidP="009A09B6">
            <w:pPr>
              <w:jc w:val="right"/>
              <w:rPr>
                <w:b/>
                <w:bCs/>
                <w:sz w:val="20"/>
                <w:szCs w:val="20"/>
              </w:rPr>
            </w:pPr>
            <w:r w:rsidRPr="008531AB">
              <w:rPr>
                <w:b/>
                <w:bCs/>
                <w:sz w:val="20"/>
                <w:szCs w:val="20"/>
              </w:rPr>
              <w:t>--</w:t>
            </w:r>
          </w:p>
        </w:tc>
        <w:tc>
          <w:tcPr>
            <w:tcW w:w="1170" w:type="dxa"/>
          </w:tcPr>
          <w:p w:rsidR="000F48AC" w:rsidRPr="008531AB" w:rsidRDefault="000F48AC" w:rsidP="009A09B6">
            <w:pPr>
              <w:jc w:val="right"/>
              <w:rPr>
                <w:b/>
                <w:bCs/>
                <w:sz w:val="20"/>
                <w:szCs w:val="20"/>
              </w:rPr>
            </w:pPr>
            <w:r w:rsidRPr="008531AB">
              <w:rPr>
                <w:b/>
                <w:bCs/>
                <w:sz w:val="20"/>
                <w:szCs w:val="20"/>
              </w:rPr>
              <w:t>240</w:t>
            </w:r>
          </w:p>
        </w:tc>
        <w:tc>
          <w:tcPr>
            <w:tcW w:w="1080" w:type="dxa"/>
          </w:tcPr>
          <w:p w:rsidR="000F48AC" w:rsidRPr="008531AB" w:rsidRDefault="000F48AC" w:rsidP="009A09B6">
            <w:pPr>
              <w:jc w:val="right"/>
              <w:rPr>
                <w:b/>
                <w:bCs/>
                <w:sz w:val="20"/>
                <w:szCs w:val="20"/>
              </w:rPr>
            </w:pPr>
            <w:r w:rsidRPr="008531AB">
              <w:rPr>
                <w:b/>
                <w:bCs/>
                <w:sz w:val="20"/>
                <w:szCs w:val="20"/>
              </w:rPr>
              <w:t>--</w:t>
            </w:r>
          </w:p>
        </w:tc>
        <w:tc>
          <w:tcPr>
            <w:tcW w:w="1110" w:type="dxa"/>
          </w:tcPr>
          <w:p w:rsidR="000F48AC" w:rsidRPr="008531AB" w:rsidRDefault="000F48AC" w:rsidP="009A09B6">
            <w:pPr>
              <w:jc w:val="right"/>
              <w:rPr>
                <w:b/>
                <w:bCs/>
                <w:sz w:val="20"/>
                <w:szCs w:val="20"/>
              </w:rPr>
            </w:pPr>
            <w:r w:rsidRPr="008531AB">
              <w:rPr>
                <w:b/>
                <w:bCs/>
                <w:sz w:val="20"/>
                <w:szCs w:val="20"/>
              </w:rPr>
              <w:t>240</w:t>
            </w:r>
          </w:p>
        </w:tc>
      </w:tr>
      <w:tr w:rsidR="000F48AC" w:rsidRPr="008531AB" w:rsidTr="00296C95">
        <w:tc>
          <w:tcPr>
            <w:tcW w:w="8520" w:type="dxa"/>
            <w:gridSpan w:val="6"/>
            <w:shd w:val="clear" w:color="auto" w:fill="D9D9D9"/>
          </w:tcPr>
          <w:p w:rsidR="000F48AC" w:rsidRPr="008531AB" w:rsidRDefault="000F48AC" w:rsidP="009A09B6">
            <w:pPr>
              <w:jc w:val="center"/>
              <w:rPr>
                <w:b/>
                <w:bCs/>
                <w:sz w:val="20"/>
                <w:szCs w:val="20"/>
              </w:rPr>
            </w:pPr>
            <w:r w:rsidRPr="008531AB">
              <w:rPr>
                <w:b/>
                <w:bCs/>
                <w:sz w:val="20"/>
                <w:szCs w:val="20"/>
              </w:rPr>
              <w:t>ADMINISTRATOR INTERVIEW INSTRUMENTS</w:t>
            </w:r>
          </w:p>
        </w:tc>
      </w:tr>
      <w:tr w:rsidR="000F48AC" w:rsidRPr="008531AB" w:rsidTr="00296C95">
        <w:tc>
          <w:tcPr>
            <w:tcW w:w="2460" w:type="dxa"/>
          </w:tcPr>
          <w:p w:rsidR="000F48AC" w:rsidRPr="008531AB" w:rsidRDefault="000F48AC" w:rsidP="009A09B6">
            <w:pPr>
              <w:rPr>
                <w:sz w:val="20"/>
                <w:szCs w:val="20"/>
              </w:rPr>
            </w:pPr>
            <w:r w:rsidRPr="008531AB">
              <w:rPr>
                <w:sz w:val="20"/>
                <w:szCs w:val="20"/>
              </w:rPr>
              <w:t>Project Director/Program Manager (Semi-Structured Interviews)</w:t>
            </w:r>
          </w:p>
        </w:tc>
        <w:tc>
          <w:tcPr>
            <w:tcW w:w="1440" w:type="dxa"/>
          </w:tcPr>
          <w:p w:rsidR="000F48AC" w:rsidRPr="008531AB" w:rsidRDefault="000F48AC" w:rsidP="009A09B6">
            <w:pPr>
              <w:jc w:val="right"/>
              <w:rPr>
                <w:sz w:val="20"/>
                <w:szCs w:val="20"/>
              </w:rPr>
            </w:pPr>
            <w:r w:rsidRPr="008531AB">
              <w:rPr>
                <w:sz w:val="20"/>
                <w:szCs w:val="20"/>
              </w:rPr>
              <w:t>96</w:t>
            </w:r>
          </w:p>
        </w:tc>
        <w:tc>
          <w:tcPr>
            <w:tcW w:w="1260" w:type="dxa"/>
          </w:tcPr>
          <w:p w:rsidR="000F48AC" w:rsidRPr="008531AB" w:rsidRDefault="000F48AC" w:rsidP="009A09B6">
            <w:pPr>
              <w:jc w:val="right"/>
              <w:rPr>
                <w:sz w:val="20"/>
                <w:szCs w:val="20"/>
              </w:rPr>
            </w:pPr>
            <w:r w:rsidRPr="008531AB">
              <w:rPr>
                <w:sz w:val="20"/>
                <w:szCs w:val="20"/>
              </w:rPr>
              <w:t>2</w:t>
            </w:r>
          </w:p>
        </w:tc>
        <w:tc>
          <w:tcPr>
            <w:tcW w:w="1170" w:type="dxa"/>
          </w:tcPr>
          <w:p w:rsidR="000F48AC" w:rsidRPr="008531AB" w:rsidRDefault="000F48AC" w:rsidP="009A09B6">
            <w:pPr>
              <w:jc w:val="right"/>
              <w:rPr>
                <w:sz w:val="20"/>
                <w:szCs w:val="20"/>
              </w:rPr>
            </w:pPr>
            <w:r w:rsidRPr="008531AB">
              <w:rPr>
                <w:sz w:val="20"/>
                <w:szCs w:val="20"/>
              </w:rPr>
              <w:t>192</w:t>
            </w:r>
          </w:p>
        </w:tc>
        <w:tc>
          <w:tcPr>
            <w:tcW w:w="1080" w:type="dxa"/>
          </w:tcPr>
          <w:p w:rsidR="000F48AC" w:rsidRPr="008531AB" w:rsidRDefault="000F48AC" w:rsidP="009A09B6">
            <w:pPr>
              <w:jc w:val="right"/>
              <w:rPr>
                <w:sz w:val="20"/>
                <w:szCs w:val="20"/>
              </w:rPr>
            </w:pPr>
            <w:r w:rsidRPr="008531AB">
              <w:rPr>
                <w:sz w:val="20"/>
                <w:szCs w:val="20"/>
              </w:rPr>
              <w:t>.75</w:t>
            </w:r>
          </w:p>
        </w:tc>
        <w:tc>
          <w:tcPr>
            <w:tcW w:w="1110" w:type="dxa"/>
          </w:tcPr>
          <w:p w:rsidR="000F48AC" w:rsidRPr="008531AB" w:rsidRDefault="000F48AC" w:rsidP="009A09B6">
            <w:pPr>
              <w:jc w:val="right"/>
              <w:rPr>
                <w:sz w:val="20"/>
                <w:szCs w:val="20"/>
              </w:rPr>
            </w:pPr>
            <w:r w:rsidRPr="008531AB">
              <w:rPr>
                <w:sz w:val="20"/>
                <w:szCs w:val="20"/>
              </w:rPr>
              <w:t>144</w:t>
            </w:r>
          </w:p>
        </w:tc>
      </w:tr>
      <w:tr w:rsidR="000F48AC" w:rsidRPr="008531AB" w:rsidTr="00296C95">
        <w:tc>
          <w:tcPr>
            <w:tcW w:w="2460" w:type="dxa"/>
          </w:tcPr>
          <w:p w:rsidR="000F48AC" w:rsidRPr="008531AB" w:rsidRDefault="000F48AC" w:rsidP="009A09B6">
            <w:pPr>
              <w:rPr>
                <w:b/>
                <w:bCs/>
                <w:sz w:val="20"/>
                <w:szCs w:val="20"/>
              </w:rPr>
            </w:pPr>
            <w:r w:rsidRPr="008531AB">
              <w:rPr>
                <w:b/>
                <w:bCs/>
                <w:sz w:val="20"/>
                <w:szCs w:val="20"/>
              </w:rPr>
              <w:t>Annualized PD/PM Total</w:t>
            </w:r>
          </w:p>
        </w:tc>
        <w:tc>
          <w:tcPr>
            <w:tcW w:w="1440" w:type="dxa"/>
          </w:tcPr>
          <w:p w:rsidR="000F48AC" w:rsidRPr="008531AB" w:rsidRDefault="000F48AC" w:rsidP="009A09B6">
            <w:pPr>
              <w:jc w:val="right"/>
              <w:rPr>
                <w:b/>
                <w:bCs/>
                <w:sz w:val="20"/>
                <w:szCs w:val="20"/>
              </w:rPr>
            </w:pPr>
            <w:r w:rsidRPr="008531AB">
              <w:rPr>
                <w:b/>
                <w:bCs/>
                <w:sz w:val="20"/>
                <w:szCs w:val="20"/>
              </w:rPr>
              <w:t>32</w:t>
            </w:r>
          </w:p>
        </w:tc>
        <w:tc>
          <w:tcPr>
            <w:tcW w:w="1260" w:type="dxa"/>
          </w:tcPr>
          <w:p w:rsidR="000F48AC" w:rsidRPr="008531AB" w:rsidRDefault="000F48AC" w:rsidP="009A09B6">
            <w:pPr>
              <w:jc w:val="right"/>
              <w:rPr>
                <w:b/>
                <w:bCs/>
                <w:sz w:val="20"/>
                <w:szCs w:val="20"/>
              </w:rPr>
            </w:pPr>
            <w:r w:rsidRPr="008531AB">
              <w:rPr>
                <w:b/>
                <w:bCs/>
                <w:sz w:val="20"/>
                <w:szCs w:val="20"/>
              </w:rPr>
              <w:t>--</w:t>
            </w:r>
          </w:p>
        </w:tc>
        <w:tc>
          <w:tcPr>
            <w:tcW w:w="1170" w:type="dxa"/>
          </w:tcPr>
          <w:p w:rsidR="000F48AC" w:rsidRPr="008531AB" w:rsidRDefault="000F48AC" w:rsidP="009A09B6">
            <w:pPr>
              <w:jc w:val="right"/>
              <w:rPr>
                <w:b/>
                <w:bCs/>
                <w:sz w:val="20"/>
                <w:szCs w:val="20"/>
              </w:rPr>
            </w:pPr>
            <w:r w:rsidRPr="008531AB">
              <w:rPr>
                <w:b/>
                <w:bCs/>
                <w:sz w:val="20"/>
                <w:szCs w:val="20"/>
              </w:rPr>
              <w:t>64</w:t>
            </w:r>
          </w:p>
        </w:tc>
        <w:tc>
          <w:tcPr>
            <w:tcW w:w="1080" w:type="dxa"/>
          </w:tcPr>
          <w:p w:rsidR="000F48AC" w:rsidRPr="008531AB" w:rsidRDefault="000F48AC" w:rsidP="009A09B6">
            <w:pPr>
              <w:jc w:val="right"/>
              <w:rPr>
                <w:b/>
                <w:bCs/>
                <w:sz w:val="20"/>
                <w:szCs w:val="20"/>
              </w:rPr>
            </w:pPr>
            <w:r w:rsidRPr="008531AB">
              <w:rPr>
                <w:b/>
                <w:bCs/>
                <w:sz w:val="20"/>
                <w:szCs w:val="20"/>
              </w:rPr>
              <w:t>--</w:t>
            </w:r>
          </w:p>
        </w:tc>
        <w:tc>
          <w:tcPr>
            <w:tcW w:w="1110" w:type="dxa"/>
          </w:tcPr>
          <w:p w:rsidR="000F48AC" w:rsidRPr="008531AB" w:rsidRDefault="000F48AC" w:rsidP="009A09B6">
            <w:pPr>
              <w:jc w:val="right"/>
              <w:rPr>
                <w:b/>
                <w:bCs/>
                <w:sz w:val="20"/>
                <w:szCs w:val="20"/>
              </w:rPr>
            </w:pPr>
            <w:r w:rsidRPr="008531AB">
              <w:rPr>
                <w:b/>
                <w:bCs/>
                <w:sz w:val="20"/>
                <w:szCs w:val="20"/>
              </w:rPr>
              <w:t>48</w:t>
            </w:r>
          </w:p>
        </w:tc>
      </w:tr>
      <w:tr w:rsidR="000F48AC" w:rsidRPr="008531AB" w:rsidTr="00296C95">
        <w:tc>
          <w:tcPr>
            <w:tcW w:w="8520" w:type="dxa"/>
            <w:gridSpan w:val="6"/>
            <w:shd w:val="clear" w:color="auto" w:fill="D9D9D9"/>
          </w:tcPr>
          <w:p w:rsidR="000F48AC" w:rsidRPr="008531AB" w:rsidRDefault="000F48AC" w:rsidP="009A09B6">
            <w:pPr>
              <w:jc w:val="center"/>
              <w:rPr>
                <w:b/>
                <w:bCs/>
                <w:sz w:val="20"/>
                <w:szCs w:val="20"/>
              </w:rPr>
            </w:pPr>
            <w:r w:rsidRPr="008531AB">
              <w:rPr>
                <w:b/>
                <w:bCs/>
                <w:sz w:val="20"/>
                <w:szCs w:val="20"/>
              </w:rPr>
              <w:t>DIRECT SERVICE STAFF INSTRUMENTS</w:t>
            </w:r>
          </w:p>
        </w:tc>
      </w:tr>
      <w:tr w:rsidR="000F48AC" w:rsidRPr="008531AB" w:rsidTr="00296C95">
        <w:tc>
          <w:tcPr>
            <w:tcW w:w="2460" w:type="dxa"/>
          </w:tcPr>
          <w:p w:rsidR="000F48AC" w:rsidRPr="008531AB" w:rsidRDefault="000F48AC" w:rsidP="009A09B6">
            <w:pPr>
              <w:rPr>
                <w:sz w:val="20"/>
                <w:szCs w:val="20"/>
              </w:rPr>
            </w:pPr>
            <w:r w:rsidRPr="008531AB">
              <w:rPr>
                <w:sz w:val="20"/>
                <w:szCs w:val="20"/>
              </w:rPr>
              <w:t>Grantee Direct Services Staff (Semi-Structured Interviews)</w:t>
            </w:r>
          </w:p>
        </w:tc>
        <w:tc>
          <w:tcPr>
            <w:tcW w:w="1440" w:type="dxa"/>
          </w:tcPr>
          <w:p w:rsidR="000F48AC" w:rsidRPr="008531AB" w:rsidRDefault="000F48AC" w:rsidP="009A09B6">
            <w:pPr>
              <w:jc w:val="right"/>
              <w:rPr>
                <w:sz w:val="20"/>
                <w:szCs w:val="20"/>
              </w:rPr>
            </w:pPr>
            <w:r w:rsidRPr="008531AB">
              <w:rPr>
                <w:sz w:val="20"/>
                <w:szCs w:val="20"/>
              </w:rPr>
              <w:t>432</w:t>
            </w:r>
          </w:p>
        </w:tc>
        <w:tc>
          <w:tcPr>
            <w:tcW w:w="1260" w:type="dxa"/>
          </w:tcPr>
          <w:p w:rsidR="000F48AC" w:rsidRPr="008531AB" w:rsidRDefault="000F48AC" w:rsidP="009A09B6">
            <w:pPr>
              <w:jc w:val="right"/>
              <w:rPr>
                <w:sz w:val="20"/>
                <w:szCs w:val="20"/>
              </w:rPr>
            </w:pPr>
            <w:r w:rsidRPr="008531AB">
              <w:rPr>
                <w:sz w:val="20"/>
                <w:szCs w:val="20"/>
              </w:rPr>
              <w:t>2</w:t>
            </w:r>
          </w:p>
        </w:tc>
        <w:tc>
          <w:tcPr>
            <w:tcW w:w="1170" w:type="dxa"/>
          </w:tcPr>
          <w:p w:rsidR="000F48AC" w:rsidRPr="008531AB" w:rsidRDefault="000F48AC" w:rsidP="009A09B6">
            <w:pPr>
              <w:jc w:val="right"/>
              <w:rPr>
                <w:sz w:val="20"/>
                <w:szCs w:val="20"/>
              </w:rPr>
            </w:pPr>
            <w:r w:rsidRPr="008531AB">
              <w:rPr>
                <w:sz w:val="20"/>
                <w:szCs w:val="20"/>
              </w:rPr>
              <w:t>864</w:t>
            </w:r>
          </w:p>
        </w:tc>
        <w:tc>
          <w:tcPr>
            <w:tcW w:w="1080" w:type="dxa"/>
          </w:tcPr>
          <w:p w:rsidR="000F48AC" w:rsidRPr="008531AB" w:rsidRDefault="000F48AC" w:rsidP="009A09B6">
            <w:pPr>
              <w:jc w:val="right"/>
              <w:rPr>
                <w:sz w:val="20"/>
                <w:szCs w:val="20"/>
              </w:rPr>
            </w:pPr>
            <w:r w:rsidRPr="008531AB">
              <w:rPr>
                <w:sz w:val="20"/>
                <w:szCs w:val="20"/>
              </w:rPr>
              <w:t>1.0</w:t>
            </w:r>
          </w:p>
        </w:tc>
        <w:tc>
          <w:tcPr>
            <w:tcW w:w="1110" w:type="dxa"/>
          </w:tcPr>
          <w:p w:rsidR="000F48AC" w:rsidRPr="008531AB" w:rsidRDefault="000F48AC" w:rsidP="009A09B6">
            <w:pPr>
              <w:jc w:val="right"/>
              <w:rPr>
                <w:sz w:val="20"/>
                <w:szCs w:val="20"/>
              </w:rPr>
            </w:pPr>
            <w:r w:rsidRPr="008531AB">
              <w:rPr>
                <w:sz w:val="20"/>
                <w:szCs w:val="20"/>
              </w:rPr>
              <w:t>864</w:t>
            </w:r>
          </w:p>
        </w:tc>
      </w:tr>
      <w:tr w:rsidR="000F48AC" w:rsidRPr="008531AB" w:rsidTr="00296C95">
        <w:tc>
          <w:tcPr>
            <w:tcW w:w="2460" w:type="dxa"/>
          </w:tcPr>
          <w:p w:rsidR="000F48AC" w:rsidRPr="008531AB" w:rsidRDefault="000F48AC" w:rsidP="009A09B6">
            <w:pPr>
              <w:rPr>
                <w:b/>
                <w:bCs/>
                <w:sz w:val="20"/>
                <w:szCs w:val="20"/>
              </w:rPr>
            </w:pPr>
            <w:r w:rsidRPr="008531AB">
              <w:rPr>
                <w:b/>
                <w:bCs/>
                <w:sz w:val="20"/>
                <w:szCs w:val="20"/>
              </w:rPr>
              <w:t>Annualized Service Staff Total</w:t>
            </w:r>
          </w:p>
        </w:tc>
        <w:tc>
          <w:tcPr>
            <w:tcW w:w="1440" w:type="dxa"/>
          </w:tcPr>
          <w:p w:rsidR="000F48AC" w:rsidRPr="008531AB" w:rsidRDefault="000F48AC" w:rsidP="009A09B6">
            <w:pPr>
              <w:jc w:val="right"/>
              <w:rPr>
                <w:b/>
                <w:bCs/>
                <w:sz w:val="20"/>
                <w:szCs w:val="20"/>
              </w:rPr>
            </w:pPr>
            <w:r w:rsidRPr="008531AB">
              <w:rPr>
                <w:b/>
                <w:bCs/>
                <w:sz w:val="20"/>
                <w:szCs w:val="20"/>
              </w:rPr>
              <w:t>144</w:t>
            </w:r>
          </w:p>
        </w:tc>
        <w:tc>
          <w:tcPr>
            <w:tcW w:w="1260" w:type="dxa"/>
          </w:tcPr>
          <w:p w:rsidR="000F48AC" w:rsidRPr="008531AB" w:rsidRDefault="000F48AC" w:rsidP="009A09B6">
            <w:pPr>
              <w:jc w:val="right"/>
              <w:rPr>
                <w:b/>
                <w:bCs/>
                <w:sz w:val="20"/>
                <w:szCs w:val="20"/>
              </w:rPr>
            </w:pPr>
            <w:r w:rsidRPr="008531AB">
              <w:rPr>
                <w:b/>
                <w:bCs/>
                <w:sz w:val="20"/>
                <w:szCs w:val="20"/>
              </w:rPr>
              <w:t>--</w:t>
            </w:r>
          </w:p>
        </w:tc>
        <w:tc>
          <w:tcPr>
            <w:tcW w:w="1170" w:type="dxa"/>
          </w:tcPr>
          <w:p w:rsidR="000F48AC" w:rsidRPr="008531AB" w:rsidRDefault="000F48AC" w:rsidP="009A09B6">
            <w:pPr>
              <w:jc w:val="right"/>
              <w:rPr>
                <w:b/>
                <w:bCs/>
                <w:sz w:val="20"/>
                <w:szCs w:val="20"/>
              </w:rPr>
            </w:pPr>
            <w:r w:rsidRPr="008531AB">
              <w:rPr>
                <w:b/>
                <w:bCs/>
                <w:sz w:val="20"/>
                <w:szCs w:val="20"/>
              </w:rPr>
              <w:t>288</w:t>
            </w:r>
          </w:p>
        </w:tc>
        <w:tc>
          <w:tcPr>
            <w:tcW w:w="1080" w:type="dxa"/>
          </w:tcPr>
          <w:p w:rsidR="000F48AC" w:rsidRPr="008531AB" w:rsidRDefault="000F48AC" w:rsidP="009A09B6">
            <w:pPr>
              <w:jc w:val="right"/>
              <w:rPr>
                <w:b/>
                <w:bCs/>
                <w:sz w:val="20"/>
                <w:szCs w:val="20"/>
              </w:rPr>
            </w:pPr>
            <w:r w:rsidRPr="008531AB">
              <w:rPr>
                <w:b/>
                <w:bCs/>
                <w:sz w:val="20"/>
                <w:szCs w:val="20"/>
              </w:rPr>
              <w:t>--</w:t>
            </w:r>
          </w:p>
        </w:tc>
        <w:tc>
          <w:tcPr>
            <w:tcW w:w="1110" w:type="dxa"/>
          </w:tcPr>
          <w:p w:rsidR="000F48AC" w:rsidRPr="008531AB" w:rsidRDefault="000F48AC" w:rsidP="009A09B6">
            <w:pPr>
              <w:jc w:val="right"/>
              <w:rPr>
                <w:b/>
                <w:bCs/>
                <w:sz w:val="20"/>
                <w:szCs w:val="20"/>
              </w:rPr>
            </w:pPr>
            <w:r w:rsidRPr="008531AB">
              <w:rPr>
                <w:b/>
                <w:bCs/>
                <w:sz w:val="20"/>
                <w:szCs w:val="20"/>
              </w:rPr>
              <w:t>288</w:t>
            </w:r>
          </w:p>
        </w:tc>
      </w:tr>
      <w:tr w:rsidR="000F48AC" w:rsidRPr="008531AB" w:rsidTr="00296C95">
        <w:tc>
          <w:tcPr>
            <w:tcW w:w="8520" w:type="dxa"/>
            <w:gridSpan w:val="6"/>
            <w:shd w:val="clear" w:color="auto" w:fill="D9D9D9"/>
          </w:tcPr>
          <w:p w:rsidR="000F48AC" w:rsidRPr="008531AB" w:rsidRDefault="000F48AC" w:rsidP="009A09B6">
            <w:pPr>
              <w:jc w:val="center"/>
              <w:rPr>
                <w:b/>
                <w:bCs/>
                <w:sz w:val="20"/>
                <w:szCs w:val="20"/>
              </w:rPr>
            </w:pPr>
            <w:r w:rsidRPr="008531AB">
              <w:rPr>
                <w:b/>
                <w:bCs/>
                <w:sz w:val="20"/>
                <w:szCs w:val="20"/>
              </w:rPr>
              <w:t>COLLABORATORS/PARTNERS INTERVIEW INSTRUMENTS</w:t>
            </w:r>
          </w:p>
        </w:tc>
      </w:tr>
      <w:tr w:rsidR="000F48AC" w:rsidRPr="008531AB" w:rsidTr="00296C95">
        <w:tc>
          <w:tcPr>
            <w:tcW w:w="2460" w:type="dxa"/>
          </w:tcPr>
          <w:p w:rsidR="000F48AC" w:rsidRPr="008531AB" w:rsidRDefault="000F48AC" w:rsidP="009A09B6">
            <w:pPr>
              <w:rPr>
                <w:sz w:val="20"/>
                <w:szCs w:val="20"/>
              </w:rPr>
            </w:pPr>
            <w:r w:rsidRPr="008531AB">
              <w:rPr>
                <w:sz w:val="20"/>
                <w:szCs w:val="20"/>
              </w:rPr>
              <w:t>Community Collaborators (Semi-Structured Interviews)</w:t>
            </w:r>
          </w:p>
        </w:tc>
        <w:tc>
          <w:tcPr>
            <w:tcW w:w="1440" w:type="dxa"/>
          </w:tcPr>
          <w:p w:rsidR="000F48AC" w:rsidRPr="008531AB" w:rsidRDefault="000F48AC" w:rsidP="009A09B6">
            <w:pPr>
              <w:jc w:val="right"/>
              <w:rPr>
                <w:sz w:val="20"/>
                <w:szCs w:val="20"/>
              </w:rPr>
            </w:pPr>
            <w:r w:rsidRPr="008531AB">
              <w:rPr>
                <w:sz w:val="20"/>
                <w:szCs w:val="20"/>
              </w:rPr>
              <w:t>240</w:t>
            </w:r>
          </w:p>
        </w:tc>
        <w:tc>
          <w:tcPr>
            <w:tcW w:w="1260" w:type="dxa"/>
          </w:tcPr>
          <w:p w:rsidR="000F48AC" w:rsidRPr="008531AB" w:rsidRDefault="000F48AC" w:rsidP="009A09B6">
            <w:pPr>
              <w:jc w:val="right"/>
              <w:rPr>
                <w:sz w:val="20"/>
                <w:szCs w:val="20"/>
              </w:rPr>
            </w:pPr>
            <w:r w:rsidRPr="008531AB">
              <w:rPr>
                <w:sz w:val="20"/>
                <w:szCs w:val="20"/>
              </w:rPr>
              <w:t>2</w:t>
            </w:r>
          </w:p>
        </w:tc>
        <w:tc>
          <w:tcPr>
            <w:tcW w:w="1170" w:type="dxa"/>
          </w:tcPr>
          <w:p w:rsidR="000F48AC" w:rsidRPr="008531AB" w:rsidRDefault="000F48AC" w:rsidP="009A09B6">
            <w:pPr>
              <w:jc w:val="right"/>
              <w:rPr>
                <w:sz w:val="20"/>
                <w:szCs w:val="20"/>
              </w:rPr>
            </w:pPr>
            <w:r w:rsidRPr="008531AB">
              <w:rPr>
                <w:sz w:val="20"/>
                <w:szCs w:val="20"/>
              </w:rPr>
              <w:t>480</w:t>
            </w:r>
          </w:p>
        </w:tc>
        <w:tc>
          <w:tcPr>
            <w:tcW w:w="1080" w:type="dxa"/>
          </w:tcPr>
          <w:p w:rsidR="000F48AC" w:rsidRPr="008531AB" w:rsidRDefault="000F48AC" w:rsidP="009A09B6">
            <w:pPr>
              <w:jc w:val="right"/>
              <w:rPr>
                <w:sz w:val="20"/>
                <w:szCs w:val="20"/>
              </w:rPr>
            </w:pPr>
            <w:r w:rsidRPr="008531AB">
              <w:rPr>
                <w:sz w:val="20"/>
                <w:szCs w:val="20"/>
              </w:rPr>
              <w:t>1.0</w:t>
            </w:r>
          </w:p>
        </w:tc>
        <w:tc>
          <w:tcPr>
            <w:tcW w:w="1110" w:type="dxa"/>
          </w:tcPr>
          <w:p w:rsidR="000F48AC" w:rsidRPr="008531AB" w:rsidRDefault="000F48AC" w:rsidP="009A09B6">
            <w:pPr>
              <w:jc w:val="right"/>
              <w:rPr>
                <w:sz w:val="20"/>
                <w:szCs w:val="20"/>
              </w:rPr>
            </w:pPr>
            <w:r w:rsidRPr="008531AB">
              <w:rPr>
                <w:sz w:val="20"/>
                <w:szCs w:val="20"/>
              </w:rPr>
              <w:t>480</w:t>
            </w:r>
          </w:p>
        </w:tc>
      </w:tr>
      <w:tr w:rsidR="000F48AC" w:rsidRPr="008531AB" w:rsidTr="00296C95">
        <w:tc>
          <w:tcPr>
            <w:tcW w:w="2460" w:type="dxa"/>
          </w:tcPr>
          <w:p w:rsidR="000F48AC" w:rsidRPr="008531AB" w:rsidRDefault="000F48AC" w:rsidP="009A09B6">
            <w:pPr>
              <w:rPr>
                <w:b/>
                <w:bCs/>
                <w:sz w:val="20"/>
                <w:szCs w:val="20"/>
              </w:rPr>
            </w:pPr>
            <w:r w:rsidRPr="008531AB">
              <w:rPr>
                <w:b/>
                <w:bCs/>
                <w:sz w:val="20"/>
                <w:szCs w:val="20"/>
              </w:rPr>
              <w:t>Annualized Collaborators Total</w:t>
            </w:r>
          </w:p>
        </w:tc>
        <w:tc>
          <w:tcPr>
            <w:tcW w:w="1440" w:type="dxa"/>
          </w:tcPr>
          <w:p w:rsidR="000F48AC" w:rsidRPr="008531AB" w:rsidRDefault="000F48AC" w:rsidP="009A09B6">
            <w:pPr>
              <w:jc w:val="right"/>
              <w:rPr>
                <w:b/>
                <w:bCs/>
                <w:sz w:val="20"/>
                <w:szCs w:val="20"/>
              </w:rPr>
            </w:pPr>
            <w:r w:rsidRPr="008531AB">
              <w:rPr>
                <w:b/>
                <w:bCs/>
                <w:sz w:val="20"/>
                <w:szCs w:val="20"/>
              </w:rPr>
              <w:t>80</w:t>
            </w:r>
          </w:p>
        </w:tc>
        <w:tc>
          <w:tcPr>
            <w:tcW w:w="1260" w:type="dxa"/>
          </w:tcPr>
          <w:p w:rsidR="000F48AC" w:rsidRPr="008531AB" w:rsidRDefault="000F48AC" w:rsidP="009A09B6">
            <w:pPr>
              <w:jc w:val="right"/>
              <w:rPr>
                <w:b/>
                <w:bCs/>
                <w:sz w:val="20"/>
                <w:szCs w:val="20"/>
              </w:rPr>
            </w:pPr>
            <w:r w:rsidRPr="008531AB">
              <w:rPr>
                <w:b/>
                <w:bCs/>
                <w:sz w:val="20"/>
                <w:szCs w:val="20"/>
              </w:rPr>
              <w:t>--</w:t>
            </w:r>
          </w:p>
        </w:tc>
        <w:tc>
          <w:tcPr>
            <w:tcW w:w="1170" w:type="dxa"/>
          </w:tcPr>
          <w:p w:rsidR="000F48AC" w:rsidRPr="008531AB" w:rsidRDefault="000F48AC" w:rsidP="009A09B6">
            <w:pPr>
              <w:jc w:val="right"/>
              <w:rPr>
                <w:b/>
                <w:bCs/>
                <w:sz w:val="20"/>
                <w:szCs w:val="20"/>
              </w:rPr>
            </w:pPr>
            <w:r w:rsidRPr="008531AB">
              <w:rPr>
                <w:b/>
                <w:bCs/>
                <w:sz w:val="20"/>
                <w:szCs w:val="20"/>
              </w:rPr>
              <w:t>160</w:t>
            </w:r>
          </w:p>
        </w:tc>
        <w:tc>
          <w:tcPr>
            <w:tcW w:w="1080" w:type="dxa"/>
          </w:tcPr>
          <w:p w:rsidR="000F48AC" w:rsidRPr="008531AB" w:rsidRDefault="000F48AC" w:rsidP="009A09B6">
            <w:pPr>
              <w:jc w:val="right"/>
              <w:rPr>
                <w:b/>
                <w:bCs/>
                <w:sz w:val="20"/>
                <w:szCs w:val="20"/>
              </w:rPr>
            </w:pPr>
            <w:r w:rsidRPr="008531AB">
              <w:rPr>
                <w:b/>
                <w:bCs/>
                <w:sz w:val="20"/>
                <w:szCs w:val="20"/>
              </w:rPr>
              <w:t xml:space="preserve">-- </w:t>
            </w:r>
          </w:p>
        </w:tc>
        <w:tc>
          <w:tcPr>
            <w:tcW w:w="1110" w:type="dxa"/>
          </w:tcPr>
          <w:p w:rsidR="000F48AC" w:rsidRPr="008531AB" w:rsidRDefault="000F48AC" w:rsidP="009A09B6">
            <w:pPr>
              <w:jc w:val="right"/>
              <w:rPr>
                <w:b/>
                <w:bCs/>
                <w:sz w:val="20"/>
                <w:szCs w:val="20"/>
              </w:rPr>
            </w:pPr>
            <w:r w:rsidRPr="008531AB">
              <w:rPr>
                <w:b/>
                <w:bCs/>
                <w:sz w:val="20"/>
                <w:szCs w:val="20"/>
              </w:rPr>
              <w:t>160</w:t>
            </w:r>
          </w:p>
        </w:tc>
      </w:tr>
      <w:tr w:rsidR="000F48AC" w:rsidRPr="008531AB" w:rsidTr="00296C95">
        <w:tc>
          <w:tcPr>
            <w:tcW w:w="8520" w:type="dxa"/>
            <w:gridSpan w:val="6"/>
            <w:shd w:val="clear" w:color="auto" w:fill="D9D9D9"/>
          </w:tcPr>
          <w:p w:rsidR="000F48AC" w:rsidRPr="008531AB" w:rsidRDefault="000F48AC" w:rsidP="009A09B6">
            <w:pPr>
              <w:jc w:val="right"/>
              <w:rPr>
                <w:b/>
                <w:bCs/>
                <w:sz w:val="20"/>
                <w:szCs w:val="20"/>
              </w:rPr>
            </w:pPr>
          </w:p>
        </w:tc>
      </w:tr>
      <w:tr w:rsidR="000F48AC" w:rsidRPr="008531AB" w:rsidTr="00296C95">
        <w:tc>
          <w:tcPr>
            <w:tcW w:w="2460" w:type="dxa"/>
          </w:tcPr>
          <w:p w:rsidR="000F48AC" w:rsidRPr="008531AB" w:rsidRDefault="000F48AC" w:rsidP="009A09B6">
            <w:pPr>
              <w:rPr>
                <w:b/>
                <w:bCs/>
                <w:sz w:val="20"/>
                <w:szCs w:val="20"/>
              </w:rPr>
            </w:pPr>
            <w:r w:rsidRPr="008531AB">
              <w:rPr>
                <w:b/>
                <w:bCs/>
                <w:sz w:val="20"/>
                <w:szCs w:val="20"/>
              </w:rPr>
              <w:t>Annualized Totals (3-year clearance for project)</w:t>
            </w:r>
          </w:p>
        </w:tc>
        <w:tc>
          <w:tcPr>
            <w:tcW w:w="1440" w:type="dxa"/>
          </w:tcPr>
          <w:p w:rsidR="000F48AC" w:rsidRPr="008531AB" w:rsidRDefault="000F48AC" w:rsidP="009A09B6">
            <w:pPr>
              <w:jc w:val="right"/>
              <w:rPr>
                <w:b/>
                <w:bCs/>
                <w:sz w:val="20"/>
                <w:szCs w:val="20"/>
              </w:rPr>
            </w:pPr>
            <w:r w:rsidRPr="008531AB">
              <w:rPr>
                <w:b/>
                <w:bCs/>
                <w:sz w:val="20"/>
                <w:szCs w:val="20"/>
              </w:rPr>
              <w:t>1,296</w:t>
            </w:r>
          </w:p>
        </w:tc>
        <w:tc>
          <w:tcPr>
            <w:tcW w:w="1260" w:type="dxa"/>
          </w:tcPr>
          <w:p w:rsidR="000F48AC" w:rsidRPr="008531AB" w:rsidRDefault="000F48AC" w:rsidP="009A09B6">
            <w:pPr>
              <w:jc w:val="right"/>
              <w:rPr>
                <w:b/>
                <w:bCs/>
                <w:sz w:val="20"/>
                <w:szCs w:val="20"/>
              </w:rPr>
            </w:pPr>
            <w:r w:rsidRPr="008531AB">
              <w:rPr>
                <w:b/>
                <w:bCs/>
                <w:sz w:val="20"/>
                <w:szCs w:val="20"/>
              </w:rPr>
              <w:t>--</w:t>
            </w:r>
          </w:p>
        </w:tc>
        <w:tc>
          <w:tcPr>
            <w:tcW w:w="1170" w:type="dxa"/>
          </w:tcPr>
          <w:p w:rsidR="000F48AC" w:rsidRPr="008531AB" w:rsidRDefault="000F48AC" w:rsidP="009A09B6">
            <w:pPr>
              <w:jc w:val="right"/>
              <w:rPr>
                <w:b/>
                <w:bCs/>
                <w:sz w:val="20"/>
                <w:szCs w:val="20"/>
              </w:rPr>
            </w:pPr>
            <w:r w:rsidRPr="008531AB">
              <w:rPr>
                <w:b/>
                <w:bCs/>
                <w:sz w:val="20"/>
                <w:szCs w:val="20"/>
              </w:rPr>
              <w:t>2,992</w:t>
            </w:r>
          </w:p>
        </w:tc>
        <w:tc>
          <w:tcPr>
            <w:tcW w:w="1080" w:type="dxa"/>
          </w:tcPr>
          <w:p w:rsidR="000F48AC" w:rsidRPr="008531AB" w:rsidRDefault="000F48AC" w:rsidP="009A09B6">
            <w:pPr>
              <w:jc w:val="right"/>
              <w:rPr>
                <w:b/>
                <w:bCs/>
                <w:sz w:val="20"/>
                <w:szCs w:val="20"/>
              </w:rPr>
            </w:pPr>
            <w:r w:rsidRPr="008531AB">
              <w:rPr>
                <w:b/>
                <w:bCs/>
                <w:sz w:val="20"/>
                <w:szCs w:val="20"/>
              </w:rPr>
              <w:t>--</w:t>
            </w:r>
          </w:p>
        </w:tc>
        <w:tc>
          <w:tcPr>
            <w:tcW w:w="1110" w:type="dxa"/>
          </w:tcPr>
          <w:p w:rsidR="000F48AC" w:rsidRPr="008531AB" w:rsidRDefault="000F48AC" w:rsidP="009A09B6">
            <w:pPr>
              <w:jc w:val="right"/>
              <w:rPr>
                <w:b/>
                <w:bCs/>
                <w:sz w:val="20"/>
                <w:szCs w:val="20"/>
              </w:rPr>
            </w:pPr>
            <w:r w:rsidRPr="008531AB">
              <w:rPr>
                <w:b/>
                <w:bCs/>
                <w:sz w:val="20"/>
                <w:szCs w:val="20"/>
              </w:rPr>
              <w:t>1,676.8</w:t>
            </w:r>
          </w:p>
        </w:tc>
      </w:tr>
    </w:tbl>
    <w:p w:rsidR="000F48AC" w:rsidRPr="00B9101F" w:rsidRDefault="000F48AC" w:rsidP="00B9101F">
      <w:pPr>
        <w:ind w:left="720"/>
        <w:rPr>
          <w:sz w:val="16"/>
          <w:szCs w:val="16"/>
        </w:rPr>
      </w:pPr>
      <w:r w:rsidRPr="00B9101F">
        <w:rPr>
          <w:sz w:val="16"/>
          <w:szCs w:val="16"/>
        </w:rPr>
        <w:t xml:space="preserve">*This number is derived from 2400+2400+1920 = 6,720 for 100% response rate at two data collection time points and 80% at the third data collection time point. </w:t>
      </w:r>
    </w:p>
    <w:p w:rsidR="000F48AC" w:rsidRPr="00B9101F" w:rsidRDefault="000F48AC" w:rsidP="00B9101F">
      <w:pPr>
        <w:ind w:left="720"/>
        <w:rPr>
          <w:sz w:val="16"/>
          <w:szCs w:val="16"/>
        </w:rPr>
      </w:pPr>
      <w:r w:rsidRPr="00B9101F">
        <w:rPr>
          <w:sz w:val="16"/>
          <w:szCs w:val="16"/>
        </w:rPr>
        <w:t>**These respondents are a subset of the 2,400 clients so they are not included in the total number of respondents.</w:t>
      </w:r>
    </w:p>
    <w:p w:rsidR="000F48AC" w:rsidRPr="0099072B" w:rsidRDefault="000F48AC" w:rsidP="00761CAC"/>
    <w:p w:rsidR="000F48AC" w:rsidRDefault="000F48AC">
      <w:pPr>
        <w:ind w:firstLine="720"/>
        <w:rPr>
          <w:b/>
          <w:bCs/>
        </w:rPr>
      </w:pPr>
      <w:bookmarkStart w:id="47" w:name="_Toc88277962"/>
      <w:bookmarkStart w:id="48" w:name="_Toc131564359"/>
      <w:bookmarkEnd w:id="43"/>
      <w:r w:rsidRPr="00C141E2">
        <w:rPr>
          <w:b/>
          <w:bCs/>
        </w:rPr>
        <w:t>13.</w:t>
      </w:r>
      <w:r w:rsidRPr="00C141E2">
        <w:rPr>
          <w:b/>
          <w:bCs/>
        </w:rPr>
        <w:tab/>
      </w:r>
      <w:r w:rsidRPr="00C141E2">
        <w:rPr>
          <w:b/>
          <w:bCs/>
          <w:u w:val="single"/>
        </w:rPr>
        <w:t>Estimates of Annualized Cost Burden to Respondents</w:t>
      </w:r>
      <w:bookmarkEnd w:id="47"/>
      <w:bookmarkEnd w:id="48"/>
    </w:p>
    <w:p w:rsidR="000F48AC" w:rsidRPr="00C141E2" w:rsidRDefault="000F48AC" w:rsidP="003D66D7"/>
    <w:p w:rsidR="000F48AC" w:rsidRDefault="000F48AC">
      <w:pPr>
        <w:ind w:firstLine="720"/>
      </w:pPr>
      <w:r w:rsidRPr="00C141E2">
        <w:t xml:space="preserve">There are no respondent costs for capital or start-up or for operation or maintenance. </w:t>
      </w:r>
    </w:p>
    <w:p w:rsidR="000F48AC" w:rsidRDefault="000F48AC">
      <w:pPr>
        <w:rPr>
          <w:b/>
          <w:bCs/>
        </w:rPr>
      </w:pPr>
      <w:bookmarkStart w:id="49" w:name="_Toc88277963"/>
      <w:bookmarkStart w:id="50" w:name="_Toc131564360"/>
    </w:p>
    <w:p w:rsidR="000F48AC" w:rsidRDefault="000F48AC">
      <w:pPr>
        <w:ind w:firstLine="720"/>
        <w:rPr>
          <w:b/>
          <w:bCs/>
        </w:rPr>
      </w:pPr>
      <w:r w:rsidRPr="0099072B">
        <w:rPr>
          <w:b/>
          <w:bCs/>
        </w:rPr>
        <w:t>14.</w:t>
      </w:r>
      <w:r w:rsidRPr="0099072B">
        <w:rPr>
          <w:b/>
          <w:bCs/>
        </w:rPr>
        <w:tab/>
      </w:r>
      <w:r w:rsidRPr="0099072B">
        <w:rPr>
          <w:b/>
          <w:bCs/>
          <w:u w:val="single"/>
        </w:rPr>
        <w:t>Estimates of Annualized Cost to the Government</w:t>
      </w:r>
      <w:bookmarkEnd w:id="49"/>
      <w:bookmarkEnd w:id="50"/>
    </w:p>
    <w:p w:rsidR="000F48AC" w:rsidRPr="0099072B" w:rsidRDefault="000F48AC" w:rsidP="003D66D7">
      <w:bookmarkStart w:id="51" w:name="_Toc88277964"/>
    </w:p>
    <w:p w:rsidR="000F48AC" w:rsidRPr="009176E6" w:rsidRDefault="000F48AC" w:rsidP="00717958">
      <w:pPr>
        <w:ind w:left="720"/>
      </w:pPr>
      <w:bookmarkStart w:id="52" w:name="_Toc131564361"/>
      <w:r>
        <w:t xml:space="preserve">The annualized cost for the project per year is </w:t>
      </w:r>
      <w:r w:rsidRPr="00C62E1F">
        <w:t>$</w:t>
      </w:r>
      <w:r>
        <w:t xml:space="preserve">2,105,178. </w:t>
      </w:r>
      <w:r w:rsidRPr="0099072B">
        <w:t>Th</w:t>
      </w:r>
      <w:r>
        <w:t xml:space="preserve">ese costs cover all aspects of meetings and logistics; evaluation design development and finalization; instrumentation development; pilot testing; data collection; site visits; and use of information technology for online data collection, data management, analysis, and reporting. In addition, it is estimated that one full-time SAMHSA staff member will spend 25 percent of his or her time (520 hours) to manage and administer the project. Assuming an annual salary of $100,000, government personnel costs will be $25,000 each year and $125,000 over a 5-year period. </w:t>
      </w:r>
      <w:r w:rsidRPr="00AA7446">
        <w:t xml:space="preserve">Thus, total annualized project costs are </w:t>
      </w:r>
      <w:r>
        <w:t>$2,130,178.</w:t>
      </w:r>
    </w:p>
    <w:p w:rsidR="000F48AC" w:rsidRDefault="000F48AC" w:rsidP="007C7B7A">
      <w:pPr>
        <w:rPr>
          <w:b/>
          <w:bCs/>
        </w:rPr>
      </w:pPr>
    </w:p>
    <w:p w:rsidR="000F48AC" w:rsidRDefault="000F48AC">
      <w:pPr>
        <w:ind w:firstLine="720"/>
        <w:rPr>
          <w:b/>
          <w:bCs/>
        </w:rPr>
      </w:pPr>
      <w:r w:rsidRPr="0099072B">
        <w:rPr>
          <w:b/>
          <w:bCs/>
        </w:rPr>
        <w:t>15.</w:t>
      </w:r>
      <w:r w:rsidRPr="0099072B">
        <w:rPr>
          <w:b/>
          <w:bCs/>
        </w:rPr>
        <w:tab/>
      </w:r>
      <w:r w:rsidRPr="0099072B">
        <w:rPr>
          <w:b/>
          <w:bCs/>
          <w:u w:val="single"/>
        </w:rPr>
        <w:t xml:space="preserve">Changes </w:t>
      </w:r>
      <w:bookmarkEnd w:id="51"/>
      <w:r w:rsidRPr="0099072B">
        <w:rPr>
          <w:b/>
          <w:bCs/>
          <w:u w:val="single"/>
        </w:rPr>
        <w:t>in Burden</w:t>
      </w:r>
      <w:bookmarkEnd w:id="52"/>
    </w:p>
    <w:p w:rsidR="000F48AC" w:rsidRPr="0099072B" w:rsidRDefault="000F48AC" w:rsidP="003D66D7"/>
    <w:p w:rsidR="000F48AC" w:rsidRDefault="000F48AC" w:rsidP="00A5516A">
      <w:pPr>
        <w:ind w:firstLine="720"/>
      </w:pPr>
      <w:r w:rsidRPr="0099072B">
        <w:t xml:space="preserve">This is a new </w:t>
      </w:r>
      <w:r>
        <w:t xml:space="preserve">data </w:t>
      </w:r>
      <w:r w:rsidRPr="0099072B">
        <w:t>collection.</w:t>
      </w:r>
      <w:bookmarkStart w:id="53" w:name="_Toc131564362"/>
      <w:bookmarkStart w:id="54" w:name="_Toc88277965"/>
    </w:p>
    <w:p w:rsidR="000F48AC" w:rsidRPr="004C7390" w:rsidRDefault="000F48AC" w:rsidP="003D66D7"/>
    <w:p w:rsidR="000F48AC" w:rsidRDefault="000F48AC">
      <w:pPr>
        <w:ind w:firstLine="720"/>
        <w:rPr>
          <w:b/>
          <w:bCs/>
        </w:rPr>
      </w:pPr>
      <w:r w:rsidRPr="00AA69F3">
        <w:rPr>
          <w:b/>
          <w:bCs/>
        </w:rPr>
        <w:t>16.</w:t>
      </w:r>
      <w:r w:rsidRPr="00AA69F3">
        <w:rPr>
          <w:b/>
          <w:bCs/>
        </w:rPr>
        <w:tab/>
      </w:r>
      <w:r w:rsidRPr="00AA69F3">
        <w:rPr>
          <w:b/>
          <w:bCs/>
          <w:u w:val="single"/>
        </w:rPr>
        <w:t>Time Schedule, Publications, and Analysis Plan</w:t>
      </w:r>
      <w:r w:rsidRPr="00AA69F3">
        <w:rPr>
          <w:b/>
          <w:bCs/>
        </w:rPr>
        <w:t xml:space="preserve"> </w:t>
      </w:r>
    </w:p>
    <w:p w:rsidR="000F48AC" w:rsidRDefault="000F48AC" w:rsidP="006A4C6E"/>
    <w:p w:rsidR="000F48AC" w:rsidRDefault="000F48AC" w:rsidP="007C7B7A">
      <w:pPr>
        <w:ind w:left="720"/>
      </w:pPr>
      <w:r w:rsidRPr="00A3076E">
        <w:rPr>
          <w:b/>
          <w:bCs/>
        </w:rPr>
        <w:t>Time Schedule</w:t>
      </w:r>
      <w:r>
        <w:rPr>
          <w:b/>
          <w:bCs/>
        </w:rPr>
        <w:t>.</w:t>
      </w:r>
      <w:r>
        <w:t xml:space="preserve"> </w:t>
      </w:r>
      <w:r w:rsidRPr="00AA69F3">
        <w:t xml:space="preserve">Exhibit </w:t>
      </w:r>
      <w:r>
        <w:t>10</w:t>
      </w:r>
      <w:r w:rsidRPr="00AA69F3">
        <w:t xml:space="preserve"> outlines the key time points for the study and for the collection of information. The </w:t>
      </w:r>
      <w:r>
        <w:t>proposed</w:t>
      </w:r>
      <w:r w:rsidRPr="00AA69F3">
        <w:t xml:space="preserve"> period also allows for training and </w:t>
      </w:r>
      <w:r>
        <w:t>preparation</w:t>
      </w:r>
      <w:r w:rsidRPr="00AA69F3">
        <w:t xml:space="preserve"> activities associated with </w:t>
      </w:r>
      <w:r>
        <w:t>the systematic</w:t>
      </w:r>
      <w:r w:rsidRPr="00AA69F3">
        <w:t xml:space="preserve"> </w:t>
      </w:r>
      <w:r>
        <w:t xml:space="preserve">process required </w:t>
      </w:r>
      <w:r w:rsidRPr="00AA69F3">
        <w:t>for data collection.</w:t>
      </w:r>
    </w:p>
    <w:p w:rsidR="000F48AC" w:rsidRPr="00AA69F3" w:rsidRDefault="000F48AC" w:rsidP="007C7B7A"/>
    <w:p w:rsidR="000F48AC" w:rsidRDefault="000F48AC" w:rsidP="00B9101F">
      <w:pPr>
        <w:keepNext/>
        <w:keepLines/>
        <w:ind w:left="900" w:hanging="180"/>
        <w:rPr>
          <w:b/>
          <w:bCs/>
        </w:rPr>
      </w:pPr>
      <w:r w:rsidRPr="00742301">
        <w:rPr>
          <w:b/>
          <w:bCs/>
        </w:rPr>
        <w:t xml:space="preserve">Exhibit </w:t>
      </w:r>
      <w:r>
        <w:rPr>
          <w:b/>
          <w:bCs/>
        </w:rPr>
        <w:t>10</w:t>
      </w:r>
      <w:r w:rsidRPr="00742301">
        <w:rPr>
          <w:b/>
          <w:bCs/>
        </w:rPr>
        <w:t>. Time Schedule for Entire Project</w:t>
      </w:r>
    </w:p>
    <w:tbl>
      <w:tblPr>
        <w:tblW w:w="8640" w:type="dxa"/>
        <w:tblInd w:w="72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CellMar>
          <w:left w:w="86" w:type="dxa"/>
          <w:right w:w="86" w:type="dxa"/>
        </w:tblCellMar>
        <w:tblLook w:val="0000"/>
      </w:tblPr>
      <w:tblGrid>
        <w:gridCol w:w="4408"/>
        <w:gridCol w:w="4232"/>
      </w:tblGrid>
      <w:tr w:rsidR="000F48AC" w:rsidRPr="00C141E2" w:rsidTr="00B120B0">
        <w:trPr>
          <w:cantSplit/>
          <w:tblHeader/>
        </w:trPr>
        <w:tc>
          <w:tcPr>
            <w:tcW w:w="4500" w:type="dxa"/>
            <w:tcBorders>
              <w:top w:val="double" w:sz="6" w:space="0" w:color="auto"/>
            </w:tcBorders>
            <w:vAlign w:val="bottom"/>
          </w:tcPr>
          <w:p w:rsidR="000F48AC" w:rsidRDefault="000F48AC" w:rsidP="00B9101F">
            <w:pPr>
              <w:keepNext/>
              <w:keepLines/>
              <w:jc w:val="center"/>
              <w:rPr>
                <w:b/>
                <w:bCs/>
              </w:rPr>
            </w:pPr>
            <w:r w:rsidRPr="000E6B9D">
              <w:rPr>
                <w:b/>
                <w:bCs/>
              </w:rPr>
              <w:t xml:space="preserve">Activity </w:t>
            </w:r>
          </w:p>
        </w:tc>
        <w:tc>
          <w:tcPr>
            <w:tcW w:w="4320" w:type="dxa"/>
            <w:tcBorders>
              <w:top w:val="double" w:sz="6" w:space="0" w:color="auto"/>
            </w:tcBorders>
            <w:vAlign w:val="bottom"/>
          </w:tcPr>
          <w:p w:rsidR="000F48AC" w:rsidRDefault="000F48AC" w:rsidP="00B9101F">
            <w:pPr>
              <w:keepNext/>
              <w:keepLines/>
              <w:jc w:val="center"/>
              <w:rPr>
                <w:b/>
                <w:bCs/>
              </w:rPr>
            </w:pPr>
            <w:r w:rsidRPr="000E6B9D">
              <w:rPr>
                <w:b/>
                <w:bCs/>
              </w:rPr>
              <w:t>Time Schedule</w:t>
            </w:r>
          </w:p>
        </w:tc>
      </w:tr>
      <w:tr w:rsidR="000F48AC" w:rsidRPr="00C141E2" w:rsidTr="00B120B0">
        <w:trPr>
          <w:cantSplit/>
        </w:trPr>
        <w:tc>
          <w:tcPr>
            <w:tcW w:w="4500" w:type="dxa"/>
          </w:tcPr>
          <w:p w:rsidR="000F48AC" w:rsidRPr="00B9101F" w:rsidRDefault="000F48AC" w:rsidP="00B9101F">
            <w:pPr>
              <w:keepNext/>
              <w:keepLines/>
              <w:rPr>
                <w:sz w:val="22"/>
                <w:szCs w:val="22"/>
              </w:rPr>
            </w:pPr>
            <w:r w:rsidRPr="00B9101F">
              <w:rPr>
                <w:sz w:val="22"/>
                <w:szCs w:val="22"/>
              </w:rPr>
              <w:t>Obtaining OMB approval for data collection</w:t>
            </w:r>
          </w:p>
        </w:tc>
        <w:tc>
          <w:tcPr>
            <w:tcW w:w="4320" w:type="dxa"/>
          </w:tcPr>
          <w:p w:rsidR="000F48AC" w:rsidRPr="00B9101F" w:rsidRDefault="000F48AC" w:rsidP="00B9101F">
            <w:pPr>
              <w:keepNext/>
              <w:keepLines/>
              <w:autoSpaceDE w:val="0"/>
              <w:autoSpaceDN w:val="0"/>
              <w:adjustRightInd w:val="0"/>
              <w:rPr>
                <w:sz w:val="22"/>
                <w:szCs w:val="22"/>
              </w:rPr>
            </w:pPr>
            <w:r w:rsidRPr="00B9101F">
              <w:rPr>
                <w:sz w:val="22"/>
                <w:szCs w:val="22"/>
              </w:rPr>
              <w:t>December 2010</w:t>
            </w:r>
          </w:p>
        </w:tc>
      </w:tr>
      <w:tr w:rsidR="000F48AC" w:rsidRPr="000E6B9D" w:rsidTr="00B120B0">
        <w:trPr>
          <w:cantSplit/>
        </w:trPr>
        <w:tc>
          <w:tcPr>
            <w:tcW w:w="4500" w:type="dxa"/>
          </w:tcPr>
          <w:p w:rsidR="000F48AC" w:rsidRPr="00B9101F" w:rsidRDefault="000F48AC" w:rsidP="00B9101F">
            <w:pPr>
              <w:keepNext/>
              <w:keepLines/>
              <w:rPr>
                <w:sz w:val="22"/>
                <w:szCs w:val="22"/>
              </w:rPr>
            </w:pPr>
            <w:r w:rsidRPr="00B9101F">
              <w:rPr>
                <w:sz w:val="22"/>
                <w:szCs w:val="22"/>
              </w:rPr>
              <w:t>Site visit data collection (Year 3)</w:t>
            </w:r>
          </w:p>
        </w:tc>
        <w:tc>
          <w:tcPr>
            <w:tcW w:w="4320" w:type="dxa"/>
          </w:tcPr>
          <w:p w:rsidR="000F48AC" w:rsidRPr="00B9101F" w:rsidRDefault="000F48AC" w:rsidP="00B9101F">
            <w:pPr>
              <w:keepNext/>
              <w:keepLines/>
              <w:rPr>
                <w:sz w:val="22"/>
                <w:szCs w:val="22"/>
              </w:rPr>
            </w:pPr>
            <w:r w:rsidRPr="00B9101F">
              <w:rPr>
                <w:sz w:val="22"/>
                <w:szCs w:val="22"/>
              </w:rPr>
              <w:t>3 months post OMB approval for 4 months</w:t>
            </w:r>
          </w:p>
        </w:tc>
      </w:tr>
      <w:tr w:rsidR="000F48AC" w:rsidRPr="000E6B9D" w:rsidTr="00B120B0">
        <w:trPr>
          <w:cantSplit/>
        </w:trPr>
        <w:tc>
          <w:tcPr>
            <w:tcW w:w="4500" w:type="dxa"/>
          </w:tcPr>
          <w:p w:rsidR="000F48AC" w:rsidRPr="00B9101F" w:rsidRDefault="000F48AC" w:rsidP="00B9101F">
            <w:pPr>
              <w:keepNext/>
              <w:keepLines/>
              <w:rPr>
                <w:sz w:val="22"/>
                <w:szCs w:val="22"/>
              </w:rPr>
            </w:pPr>
            <w:r w:rsidRPr="00B9101F">
              <w:rPr>
                <w:sz w:val="22"/>
                <w:szCs w:val="22"/>
              </w:rPr>
              <w:t>Baseline client-level survey data collection</w:t>
            </w:r>
          </w:p>
        </w:tc>
        <w:tc>
          <w:tcPr>
            <w:tcW w:w="4320" w:type="dxa"/>
          </w:tcPr>
          <w:p w:rsidR="000F48AC" w:rsidRPr="00B9101F" w:rsidRDefault="000F48AC" w:rsidP="00B9101F">
            <w:pPr>
              <w:keepNext/>
              <w:keepLines/>
              <w:rPr>
                <w:sz w:val="22"/>
                <w:szCs w:val="22"/>
              </w:rPr>
            </w:pPr>
            <w:r w:rsidRPr="00B9101F">
              <w:rPr>
                <w:sz w:val="22"/>
                <w:szCs w:val="22"/>
              </w:rPr>
              <w:t>3 months post OMB approval for 18 months</w:t>
            </w:r>
          </w:p>
        </w:tc>
      </w:tr>
      <w:tr w:rsidR="000F48AC" w:rsidRPr="000E6B9D" w:rsidTr="00B120B0">
        <w:trPr>
          <w:cantSplit/>
        </w:trPr>
        <w:tc>
          <w:tcPr>
            <w:tcW w:w="4500" w:type="dxa"/>
          </w:tcPr>
          <w:p w:rsidR="000F48AC" w:rsidRPr="00B9101F" w:rsidRDefault="000F48AC" w:rsidP="00B9101F">
            <w:pPr>
              <w:keepNext/>
              <w:keepLines/>
              <w:rPr>
                <w:sz w:val="22"/>
                <w:szCs w:val="22"/>
              </w:rPr>
            </w:pPr>
            <w:r w:rsidRPr="00B9101F">
              <w:rPr>
                <w:sz w:val="22"/>
                <w:szCs w:val="22"/>
              </w:rPr>
              <w:t xml:space="preserve">Discharge client-level survey data collection </w:t>
            </w:r>
          </w:p>
        </w:tc>
        <w:tc>
          <w:tcPr>
            <w:tcW w:w="4320" w:type="dxa"/>
          </w:tcPr>
          <w:p w:rsidR="000F48AC" w:rsidRPr="00B9101F" w:rsidRDefault="000F48AC" w:rsidP="00B9101F">
            <w:pPr>
              <w:keepNext/>
              <w:keepLines/>
              <w:rPr>
                <w:sz w:val="22"/>
                <w:szCs w:val="22"/>
              </w:rPr>
            </w:pPr>
            <w:r w:rsidRPr="00B9101F">
              <w:rPr>
                <w:sz w:val="22"/>
                <w:szCs w:val="22"/>
              </w:rPr>
              <w:t>4–8 months after OMB approval at client discharge (discharge will vary based on scheduled treatment duration)</w:t>
            </w:r>
          </w:p>
        </w:tc>
      </w:tr>
      <w:tr w:rsidR="000F48AC" w:rsidRPr="000E6B9D" w:rsidTr="00B120B0">
        <w:trPr>
          <w:cantSplit/>
        </w:trPr>
        <w:tc>
          <w:tcPr>
            <w:tcW w:w="4500" w:type="dxa"/>
          </w:tcPr>
          <w:p w:rsidR="000F48AC" w:rsidRPr="00B120B0" w:rsidRDefault="000F48AC" w:rsidP="00B120B0">
            <w:pPr>
              <w:rPr>
                <w:sz w:val="22"/>
                <w:szCs w:val="22"/>
              </w:rPr>
            </w:pPr>
            <w:r w:rsidRPr="00B9101F">
              <w:rPr>
                <w:sz w:val="22"/>
                <w:szCs w:val="22"/>
              </w:rPr>
              <w:t>Six</w:t>
            </w:r>
            <w:r>
              <w:rPr>
                <w:sz w:val="22"/>
                <w:szCs w:val="22"/>
              </w:rPr>
              <w:t>-</w:t>
            </w:r>
            <w:r w:rsidRPr="00B9101F">
              <w:rPr>
                <w:sz w:val="22"/>
                <w:szCs w:val="22"/>
              </w:rPr>
              <w:t>months post baseline client-level survey data collection</w:t>
            </w:r>
          </w:p>
        </w:tc>
        <w:tc>
          <w:tcPr>
            <w:tcW w:w="4320" w:type="dxa"/>
          </w:tcPr>
          <w:p w:rsidR="000F48AC" w:rsidRPr="00B120B0" w:rsidRDefault="000F48AC" w:rsidP="00514F44">
            <w:pPr>
              <w:rPr>
                <w:sz w:val="22"/>
                <w:szCs w:val="22"/>
              </w:rPr>
            </w:pPr>
            <w:r w:rsidRPr="00B9101F">
              <w:rPr>
                <w:sz w:val="22"/>
                <w:szCs w:val="22"/>
              </w:rPr>
              <w:t>10–14 months after OMB approval</w:t>
            </w:r>
          </w:p>
        </w:tc>
      </w:tr>
      <w:tr w:rsidR="000F48AC" w:rsidRPr="000E6B9D" w:rsidTr="00B120B0">
        <w:trPr>
          <w:cantSplit/>
        </w:trPr>
        <w:tc>
          <w:tcPr>
            <w:tcW w:w="4500" w:type="dxa"/>
          </w:tcPr>
          <w:p w:rsidR="000F48AC" w:rsidRPr="00B120B0" w:rsidRDefault="000F48AC" w:rsidP="00514F44">
            <w:pPr>
              <w:rPr>
                <w:sz w:val="22"/>
                <w:szCs w:val="22"/>
              </w:rPr>
            </w:pPr>
            <w:r w:rsidRPr="00B9101F">
              <w:rPr>
                <w:sz w:val="22"/>
                <w:szCs w:val="22"/>
              </w:rPr>
              <w:t>Site visit data collection (Year 4)</w:t>
            </w:r>
          </w:p>
        </w:tc>
        <w:tc>
          <w:tcPr>
            <w:tcW w:w="4320" w:type="dxa"/>
          </w:tcPr>
          <w:p w:rsidR="000F48AC" w:rsidRPr="00B120B0" w:rsidRDefault="000F48AC" w:rsidP="00514F44">
            <w:pPr>
              <w:rPr>
                <w:sz w:val="22"/>
                <w:szCs w:val="22"/>
              </w:rPr>
            </w:pPr>
            <w:r w:rsidRPr="00B9101F">
              <w:rPr>
                <w:sz w:val="22"/>
                <w:szCs w:val="22"/>
              </w:rPr>
              <w:t>16 months after OMB approval for 4 months</w:t>
            </w:r>
          </w:p>
        </w:tc>
      </w:tr>
      <w:tr w:rsidR="000F48AC" w:rsidRPr="000E6B9D" w:rsidTr="00B120B0">
        <w:trPr>
          <w:cantSplit/>
        </w:trPr>
        <w:tc>
          <w:tcPr>
            <w:tcW w:w="4500" w:type="dxa"/>
          </w:tcPr>
          <w:p w:rsidR="000F48AC" w:rsidRPr="00B120B0" w:rsidRDefault="000F48AC" w:rsidP="00514F44">
            <w:pPr>
              <w:rPr>
                <w:sz w:val="22"/>
                <w:szCs w:val="22"/>
              </w:rPr>
            </w:pPr>
            <w:r w:rsidRPr="00B9101F">
              <w:rPr>
                <w:sz w:val="22"/>
                <w:szCs w:val="22"/>
              </w:rPr>
              <w:t>Data analysis</w:t>
            </w:r>
          </w:p>
        </w:tc>
        <w:tc>
          <w:tcPr>
            <w:tcW w:w="4320" w:type="dxa"/>
          </w:tcPr>
          <w:p w:rsidR="000F48AC" w:rsidRPr="00B120B0" w:rsidRDefault="000F48AC" w:rsidP="00514F44">
            <w:pPr>
              <w:rPr>
                <w:sz w:val="22"/>
                <w:szCs w:val="22"/>
              </w:rPr>
            </w:pPr>
            <w:r w:rsidRPr="00B9101F">
              <w:rPr>
                <w:sz w:val="22"/>
                <w:szCs w:val="22"/>
              </w:rPr>
              <w:t>Beginning one year post OMB approval</w:t>
            </w:r>
          </w:p>
        </w:tc>
      </w:tr>
      <w:tr w:rsidR="000F48AC" w:rsidRPr="00C141E2" w:rsidTr="00B120B0">
        <w:trPr>
          <w:cantSplit/>
        </w:trPr>
        <w:tc>
          <w:tcPr>
            <w:tcW w:w="4500" w:type="dxa"/>
          </w:tcPr>
          <w:p w:rsidR="000F48AC" w:rsidRPr="00B120B0" w:rsidRDefault="000F48AC" w:rsidP="00514F44">
            <w:pPr>
              <w:rPr>
                <w:sz w:val="22"/>
                <w:szCs w:val="22"/>
              </w:rPr>
            </w:pPr>
            <w:r w:rsidRPr="00B9101F">
              <w:rPr>
                <w:sz w:val="22"/>
                <w:szCs w:val="22"/>
              </w:rPr>
              <w:t>Dissemination of findings</w:t>
            </w:r>
            <w:r w:rsidRPr="00B9101F">
              <w:rPr>
                <w:sz w:val="22"/>
                <w:szCs w:val="22"/>
              </w:rPr>
              <w:br/>
              <w:t>Interim reports, manuscripts, final report</w:t>
            </w:r>
          </w:p>
        </w:tc>
        <w:tc>
          <w:tcPr>
            <w:tcW w:w="4320" w:type="dxa"/>
          </w:tcPr>
          <w:p w:rsidR="000F48AC" w:rsidRPr="00B120B0" w:rsidRDefault="000F48AC" w:rsidP="00514F44">
            <w:pPr>
              <w:rPr>
                <w:sz w:val="22"/>
                <w:szCs w:val="22"/>
              </w:rPr>
            </w:pPr>
            <w:r w:rsidRPr="00B9101F">
              <w:rPr>
                <w:sz w:val="22"/>
                <w:szCs w:val="22"/>
              </w:rPr>
              <w:t>Beginning 18 months post OMB approval through 2013</w:t>
            </w:r>
          </w:p>
        </w:tc>
      </w:tr>
    </w:tbl>
    <w:p w:rsidR="000F48AC" w:rsidRDefault="000F48AC" w:rsidP="007C7B7A">
      <w:pPr>
        <w:ind w:left="900"/>
        <w:rPr>
          <w:u w:val="single"/>
        </w:rPr>
      </w:pPr>
    </w:p>
    <w:p w:rsidR="000F48AC" w:rsidRDefault="000F48AC" w:rsidP="007C7B7A">
      <w:pPr>
        <w:ind w:left="720"/>
      </w:pPr>
      <w:r w:rsidRPr="00A3076E">
        <w:rPr>
          <w:b/>
          <w:bCs/>
        </w:rPr>
        <w:t>Publications.</w:t>
      </w:r>
      <w:r>
        <w:t xml:space="preserve"> </w:t>
      </w:r>
      <w:r w:rsidRPr="00AA69F3">
        <w:t xml:space="preserve">The </w:t>
      </w:r>
      <w:r>
        <w:t>TCE-HIV</w:t>
      </w:r>
      <w:r w:rsidRPr="00AA69F3">
        <w:t xml:space="preserve"> Multi</w:t>
      </w:r>
      <w:r>
        <w:t xml:space="preserve">-Site Evaluation is a formative evaluation designed to monitor the implementation activities </w:t>
      </w:r>
      <w:r w:rsidRPr="00DF4362">
        <w:t xml:space="preserve">of </w:t>
      </w:r>
      <w:r>
        <w:t xml:space="preserve">the </w:t>
      </w:r>
      <w:r w:rsidRPr="00DF4362">
        <w:t>TCE-HIV programs</w:t>
      </w:r>
      <w:r>
        <w:t>, i</w:t>
      </w:r>
      <w:r w:rsidRPr="00DF4362">
        <w:t>dentify the extent to which the programs have achieved the goals of the MAI</w:t>
      </w:r>
      <w:r>
        <w:t xml:space="preserve">, and </w:t>
      </w:r>
      <w:r w:rsidRPr="00BC1F40">
        <w:t xml:space="preserve">obtain information on the risk behaviors </w:t>
      </w:r>
      <w:r>
        <w:t>and other related information</w:t>
      </w:r>
      <w:r w:rsidRPr="00BC1F40">
        <w:t xml:space="preserve"> from clients of the TCE-HIV </w:t>
      </w:r>
      <w:r>
        <w:t xml:space="preserve">programs. </w:t>
      </w:r>
      <w:r w:rsidRPr="00AA69F3">
        <w:t xml:space="preserve">It is therefore important to prepare and disseminate reports, concept papers, </w:t>
      </w:r>
      <w:r>
        <w:t>journal articles</w:t>
      </w:r>
      <w:r w:rsidRPr="00AA69F3">
        <w:t xml:space="preserve">, and oral presentations that clearly and concisely present </w:t>
      </w:r>
      <w:r>
        <w:t>evaluation</w:t>
      </w:r>
      <w:r w:rsidRPr="00AA69F3">
        <w:t xml:space="preserve"> results so that they can be appreciated by both technical and </w:t>
      </w:r>
      <w:r>
        <w:t xml:space="preserve">nontechnical audiences. The </w:t>
      </w:r>
      <w:r w:rsidRPr="00AA69F3">
        <w:t>T</w:t>
      </w:r>
      <w:r>
        <w:t>CE-HIV</w:t>
      </w:r>
      <w:r w:rsidRPr="00AA69F3">
        <w:t xml:space="preserve"> </w:t>
      </w:r>
      <w:r>
        <w:t>Multi-S</w:t>
      </w:r>
      <w:r w:rsidRPr="00AA69F3">
        <w:t>ite Evaluation Team will:</w:t>
      </w:r>
    </w:p>
    <w:p w:rsidR="000F48AC" w:rsidRDefault="000F48AC" w:rsidP="007C7B7A">
      <w:pPr>
        <w:ind w:left="720"/>
      </w:pPr>
    </w:p>
    <w:p w:rsidR="000F48AC" w:rsidRPr="007E5524" w:rsidRDefault="000F48AC" w:rsidP="007C7B7A">
      <w:pPr>
        <w:numPr>
          <w:ilvl w:val="0"/>
          <w:numId w:val="4"/>
        </w:numPr>
        <w:tabs>
          <w:tab w:val="clear" w:pos="720"/>
          <w:tab w:val="num" w:pos="1620"/>
        </w:tabs>
        <w:ind w:left="1620"/>
      </w:pPr>
      <w:r w:rsidRPr="007E5524">
        <w:t>Produce rapid-turnaround analysis papers, briefs, and reports</w:t>
      </w:r>
    </w:p>
    <w:p w:rsidR="000F48AC" w:rsidRPr="007E5524" w:rsidRDefault="000F48AC" w:rsidP="007C7B7A">
      <w:pPr>
        <w:numPr>
          <w:ilvl w:val="0"/>
          <w:numId w:val="4"/>
        </w:numPr>
        <w:tabs>
          <w:tab w:val="clear" w:pos="720"/>
          <w:tab w:val="num" w:pos="1620"/>
        </w:tabs>
        <w:ind w:left="1620"/>
      </w:pPr>
      <w:r w:rsidRPr="007E5524">
        <w:t>Prepare and submit monthly progress reports and a final Multi-site Evaluation report</w:t>
      </w:r>
    </w:p>
    <w:p w:rsidR="000F48AC" w:rsidRPr="007E5524" w:rsidRDefault="000F48AC" w:rsidP="007C7B7A">
      <w:pPr>
        <w:numPr>
          <w:ilvl w:val="0"/>
          <w:numId w:val="4"/>
        </w:numPr>
        <w:tabs>
          <w:tab w:val="clear" w:pos="720"/>
          <w:tab w:val="num" w:pos="1620"/>
        </w:tabs>
        <w:ind w:left="1620"/>
      </w:pPr>
      <w:r w:rsidRPr="007E5524">
        <w:t xml:space="preserve">Prepare </w:t>
      </w:r>
      <w:r>
        <w:t xml:space="preserve">a </w:t>
      </w:r>
      <w:r w:rsidRPr="007E5524">
        <w:t xml:space="preserve">final </w:t>
      </w:r>
      <w:r>
        <w:t>m</w:t>
      </w:r>
      <w:r w:rsidRPr="007E5524">
        <w:t>ulti-site findings report, including an executive summary</w:t>
      </w:r>
    </w:p>
    <w:p w:rsidR="000F48AC" w:rsidRDefault="000F48AC" w:rsidP="007C7B7A">
      <w:pPr>
        <w:numPr>
          <w:ilvl w:val="0"/>
          <w:numId w:val="4"/>
        </w:numPr>
        <w:tabs>
          <w:tab w:val="clear" w:pos="720"/>
          <w:tab w:val="num" w:pos="1620"/>
        </w:tabs>
        <w:ind w:left="1620"/>
      </w:pPr>
      <w:r w:rsidRPr="007E5524">
        <w:t>Deliver presentations at professional and federally sponsored conventions and meetings</w:t>
      </w:r>
    </w:p>
    <w:p w:rsidR="000F48AC" w:rsidRPr="007E5524" w:rsidRDefault="000F48AC" w:rsidP="007C7B7A">
      <w:pPr>
        <w:numPr>
          <w:ilvl w:val="0"/>
          <w:numId w:val="4"/>
        </w:numPr>
        <w:tabs>
          <w:tab w:val="clear" w:pos="720"/>
          <w:tab w:val="num" w:pos="1620"/>
        </w:tabs>
        <w:ind w:left="1620"/>
      </w:pPr>
      <w:r>
        <w:t>Prepare and submit articles for publication in peer-reviewed journals</w:t>
      </w:r>
    </w:p>
    <w:p w:rsidR="000F48AC" w:rsidRPr="007E5524" w:rsidRDefault="000F48AC" w:rsidP="007C7B7A">
      <w:pPr>
        <w:numPr>
          <w:ilvl w:val="0"/>
          <w:numId w:val="4"/>
        </w:numPr>
        <w:tabs>
          <w:tab w:val="clear" w:pos="720"/>
          <w:tab w:val="num" w:pos="1620"/>
        </w:tabs>
        <w:ind w:left="1620"/>
      </w:pPr>
      <w:r w:rsidRPr="007E5524">
        <w:t xml:space="preserve">Disseminate reports and materials to entities inside and outside </w:t>
      </w:r>
      <w:r w:rsidRPr="004A76EE">
        <w:t>SAMHSA</w:t>
      </w:r>
      <w:r w:rsidRPr="007E5524">
        <w:t>.</w:t>
      </w:r>
    </w:p>
    <w:p w:rsidR="000F48AC" w:rsidRPr="00A175FA" w:rsidRDefault="000F48AC" w:rsidP="007C7B7A">
      <w:pPr>
        <w:rPr>
          <w:i/>
          <w:iCs/>
        </w:rPr>
      </w:pPr>
    </w:p>
    <w:p w:rsidR="000F48AC" w:rsidRDefault="000F48AC" w:rsidP="007C7B7A">
      <w:pPr>
        <w:ind w:left="720"/>
      </w:pPr>
      <w:r w:rsidRPr="00A3076E">
        <w:rPr>
          <w:b/>
          <w:bCs/>
        </w:rPr>
        <w:t>Analysis Plan</w:t>
      </w:r>
      <w:r>
        <w:rPr>
          <w:b/>
          <w:bCs/>
        </w:rPr>
        <w:t>.</w:t>
      </w:r>
      <w:r>
        <w:t xml:space="preserve"> This formative evaluation requires the use of multiple measurements, </w:t>
      </w:r>
      <w:r w:rsidRPr="00C141E2">
        <w:t>collection</w:t>
      </w:r>
      <w:r>
        <w:t xml:space="preserve"> of information, and analytical</w:t>
      </w:r>
      <w:r w:rsidRPr="00C141E2">
        <w:t xml:space="preserve"> strategies. </w:t>
      </w:r>
      <w:r>
        <w:t>B</w:t>
      </w:r>
      <w:r w:rsidRPr="00D4132E">
        <w:t xml:space="preserve">oth qualitative </w:t>
      </w:r>
      <w:r>
        <w:t xml:space="preserve">and quantitative </w:t>
      </w:r>
      <w:r w:rsidRPr="00D4132E">
        <w:t xml:space="preserve">data will be </w:t>
      </w:r>
      <w:r>
        <w:t>collected and analyzed</w:t>
      </w:r>
      <w:r w:rsidRPr="00D4132E">
        <w:t xml:space="preserve"> to assess </w:t>
      </w:r>
      <w:r>
        <w:t xml:space="preserve">adaptation made to EBPs, barriers and facilitators of program implementation, activities associated with service delivery for </w:t>
      </w:r>
      <w:r w:rsidRPr="00D4132E">
        <w:t xml:space="preserve">the TCE-HIV </w:t>
      </w:r>
      <w:r>
        <w:t>programs, and primary risk behaviors for TCE-HIV clients</w:t>
      </w:r>
      <w:r w:rsidRPr="00D4132E">
        <w:t>.</w:t>
      </w:r>
      <w:r w:rsidRPr="00CB0B69">
        <w:rPr>
          <w:rFonts w:ascii="Arial" w:hAnsi="Arial" w:cs="Arial"/>
        </w:rPr>
        <w:t xml:space="preserve"> </w:t>
      </w:r>
      <w:r>
        <w:t>The</w:t>
      </w:r>
      <w:r w:rsidRPr="00C8430B">
        <w:t xml:space="preserve"> </w:t>
      </w:r>
      <w:r>
        <w:t>planned approach</w:t>
      </w:r>
      <w:r w:rsidRPr="00C8430B">
        <w:t xml:space="preserve"> is to use state-of-the-art statistical methods to analyze the </w:t>
      </w:r>
      <w:r>
        <w:t xml:space="preserve">qualitative and quantitative </w:t>
      </w:r>
      <w:r w:rsidRPr="00C8430B">
        <w:t xml:space="preserve">data </w:t>
      </w:r>
      <w:r>
        <w:t>collected</w:t>
      </w:r>
      <w:r w:rsidRPr="00C8430B">
        <w:t xml:space="preserve">. Qualitative data analysis will </w:t>
      </w:r>
      <w:r>
        <w:t>utilize</w:t>
      </w:r>
      <w:r w:rsidRPr="00C8430B">
        <w:t xml:space="preserve"> a thematic approach to uncover underlying themes. The three types of </w:t>
      </w:r>
      <w:r>
        <w:t xml:space="preserve">quantitative </w:t>
      </w:r>
      <w:r w:rsidRPr="00C8430B">
        <w:t xml:space="preserve">analyses </w:t>
      </w:r>
      <w:r>
        <w:t>that will be used</w:t>
      </w:r>
      <w:r w:rsidRPr="00C8430B">
        <w:t xml:space="preserve"> are descriptive statistics, multivariate</w:t>
      </w:r>
      <w:r>
        <w:t xml:space="preserve"> analysis</w:t>
      </w:r>
      <w:r w:rsidRPr="00C8430B">
        <w:t>, and multilevel analysis</w:t>
      </w:r>
      <w:r>
        <w:t>, when appropriate</w:t>
      </w:r>
      <w:r w:rsidRPr="00C8430B">
        <w:t>. Finally, triangulation of methods (e.g., qualitative and quantitative data), when feasible</w:t>
      </w:r>
      <w:r>
        <w:t>,</w:t>
      </w:r>
      <w:r w:rsidRPr="00C8430B">
        <w:t xml:space="preserve"> will be </w:t>
      </w:r>
      <w:r>
        <w:t xml:space="preserve">used </w:t>
      </w:r>
      <w:r w:rsidRPr="00C8430B">
        <w:t xml:space="preserve">to examine additional aspects of </w:t>
      </w:r>
      <w:r>
        <w:t>program achievements</w:t>
      </w:r>
      <w:r w:rsidRPr="00C8430B">
        <w:t xml:space="preserve"> that cannot be accomplished with individual methods. </w:t>
      </w:r>
      <w:r>
        <w:t xml:space="preserve">The </w:t>
      </w:r>
      <w:r w:rsidRPr="00D4132E">
        <w:t xml:space="preserve">qualitative and quantitative </w:t>
      </w:r>
      <w:r>
        <w:t xml:space="preserve">data analysis plan is explained in more detail </w:t>
      </w:r>
      <w:r w:rsidRPr="00AA69F3">
        <w:t xml:space="preserve">in the remainder of this section. </w:t>
      </w:r>
    </w:p>
    <w:p w:rsidR="000F48AC" w:rsidRPr="00AA69F3" w:rsidRDefault="000F48AC" w:rsidP="007C7B7A"/>
    <w:p w:rsidR="000F48AC" w:rsidRDefault="000F48AC" w:rsidP="007C7B7A">
      <w:pPr>
        <w:ind w:left="720"/>
      </w:pPr>
      <w:r w:rsidRPr="00904C8B">
        <w:rPr>
          <w:u w:val="single"/>
        </w:rPr>
        <w:t>Qualitative Data</w:t>
      </w:r>
      <w:r>
        <w:rPr>
          <w:u w:val="single"/>
        </w:rPr>
        <w:t xml:space="preserve"> Analysis: </w:t>
      </w:r>
      <w:r w:rsidRPr="00D4132E">
        <w:t>Qualitative data for this project will come from semi-structured interviews</w:t>
      </w:r>
      <w:r>
        <w:t xml:space="preserve"> and </w:t>
      </w:r>
      <w:r w:rsidRPr="00D4132E">
        <w:t>focus group</w:t>
      </w:r>
      <w:r>
        <w:t xml:space="preserve"> discussions. </w:t>
      </w:r>
      <w:r w:rsidRPr="00D4132E">
        <w:t xml:space="preserve">The information </w:t>
      </w:r>
      <w:r>
        <w:t>will</w:t>
      </w:r>
      <w:r w:rsidRPr="00D4132E">
        <w:t xml:space="preserve"> be utilized to address </w:t>
      </w:r>
      <w:r>
        <w:t xml:space="preserve">the first evaluation goal, which is </w:t>
      </w:r>
      <w:r w:rsidRPr="00497FCB">
        <w:t>to monitor the implementation activities of the TCE-HIV funded grantees</w:t>
      </w:r>
      <w:r>
        <w:t>,</w:t>
      </w:r>
      <w:r w:rsidRPr="00497FCB">
        <w:t xml:space="preserve"> including their </w:t>
      </w:r>
      <w:r>
        <w:t>EBPs</w:t>
      </w:r>
      <w:r w:rsidRPr="00497FCB">
        <w:t>, service delivery</w:t>
      </w:r>
      <w:r>
        <w:t>,</w:t>
      </w:r>
      <w:r w:rsidRPr="00497FCB">
        <w:t xml:space="preserve"> and contextual factors that facilitate or impede program success</w:t>
      </w:r>
      <w:r w:rsidRPr="00D4132E">
        <w:t>.</w:t>
      </w:r>
      <w:r>
        <w:t xml:space="preserve"> </w:t>
      </w:r>
      <w:r w:rsidRPr="00D4132E">
        <w:t>To facilitate the systematic analysis of the interview data</w:t>
      </w:r>
      <w:r>
        <w:t xml:space="preserve">, which </w:t>
      </w:r>
      <w:r w:rsidRPr="00D4132E">
        <w:t xml:space="preserve">will be collected during Grantee </w:t>
      </w:r>
      <w:r>
        <w:t xml:space="preserve">staff </w:t>
      </w:r>
      <w:r w:rsidRPr="00D4132E">
        <w:t xml:space="preserve">and community </w:t>
      </w:r>
      <w:r>
        <w:t xml:space="preserve">partner/collaborator </w:t>
      </w:r>
      <w:r w:rsidRPr="00D4132E">
        <w:t>interviews</w:t>
      </w:r>
      <w:r>
        <w:t xml:space="preserve"> as well as client focus groups,</w:t>
      </w:r>
      <w:r w:rsidRPr="00D4132E">
        <w:t xml:space="preserve"> ATLAS.ti (Version </w:t>
      </w:r>
      <w:r>
        <w:t>6.0),</w:t>
      </w:r>
      <w:r w:rsidRPr="00D4132E">
        <w:t xml:space="preserve"> </w:t>
      </w:r>
      <w:r>
        <w:t xml:space="preserve">a </w:t>
      </w:r>
      <w:r w:rsidRPr="00D4132E">
        <w:t>computer-</w:t>
      </w:r>
      <w:r w:rsidRPr="00F9495E">
        <w:t xml:space="preserve">assisted qualitative data analysis software package, will be utilized. Before the analyses begin, </w:t>
      </w:r>
      <w:r>
        <w:t xml:space="preserve">TCE-HIV </w:t>
      </w:r>
      <w:r w:rsidRPr="00F9495E">
        <w:t xml:space="preserve">Multi-Site Evaluation </w:t>
      </w:r>
      <w:r>
        <w:t xml:space="preserve">Team </w:t>
      </w:r>
      <w:r w:rsidRPr="00F9495E">
        <w:t xml:space="preserve">staff will take part in a training workshop to improve their facility with the capabilities and updated features of the software program. </w:t>
      </w:r>
    </w:p>
    <w:p w:rsidR="000F48AC" w:rsidRDefault="000F48AC" w:rsidP="007C7B7A">
      <w:pPr>
        <w:ind w:left="720"/>
      </w:pPr>
    </w:p>
    <w:p w:rsidR="000F48AC" w:rsidRDefault="000F48AC" w:rsidP="007C7B7A">
      <w:pPr>
        <w:ind w:left="720"/>
      </w:pPr>
      <w:r w:rsidRPr="00F9495E">
        <w:rPr>
          <w:u w:val="single"/>
        </w:rPr>
        <w:t>Semi-</w:t>
      </w:r>
      <w:r>
        <w:rPr>
          <w:u w:val="single"/>
        </w:rPr>
        <w:t>S</w:t>
      </w:r>
      <w:r w:rsidRPr="00F9495E">
        <w:rPr>
          <w:u w:val="single"/>
        </w:rPr>
        <w:t xml:space="preserve">tructured </w:t>
      </w:r>
      <w:r>
        <w:rPr>
          <w:u w:val="single"/>
        </w:rPr>
        <w:t>I</w:t>
      </w:r>
      <w:r w:rsidRPr="00F9495E">
        <w:rPr>
          <w:u w:val="single"/>
        </w:rPr>
        <w:t>nterviews:</w:t>
      </w:r>
      <w:r w:rsidRPr="00680838">
        <w:t xml:space="preserve"> Interview data will be analyzed to </w:t>
      </w:r>
      <w:r>
        <w:t>identify</w:t>
      </w:r>
      <w:r w:rsidRPr="00680838">
        <w:t xml:space="preserve"> themes </w:t>
      </w:r>
      <w:r>
        <w:t>extracted from material collected from</w:t>
      </w:r>
      <w:r w:rsidRPr="00680838">
        <w:t xml:space="preserve"> Grantee administrators, direct </w:t>
      </w:r>
      <w:r>
        <w:t xml:space="preserve">service </w:t>
      </w:r>
      <w:r w:rsidRPr="00680838">
        <w:t>staff</w:t>
      </w:r>
      <w:r>
        <w:t>,</w:t>
      </w:r>
      <w:r w:rsidRPr="00680838">
        <w:t xml:space="preserve"> and partners/collaborators about their respective programs and services</w:t>
      </w:r>
      <w:r>
        <w:t xml:space="preserve">. </w:t>
      </w:r>
      <w:r w:rsidRPr="00680838">
        <w:t xml:space="preserve">As a first step in the data </w:t>
      </w:r>
      <w:r>
        <w:t>cleaning</w:t>
      </w:r>
      <w:r w:rsidRPr="00680838">
        <w:t xml:space="preserve"> process, audiotape</w:t>
      </w:r>
      <w:r>
        <w:t>s</w:t>
      </w:r>
      <w:r w:rsidRPr="00680838">
        <w:t xml:space="preserve"> of the interviews will be transcribed</w:t>
      </w:r>
      <w:r>
        <w:t xml:space="preserve"> and </w:t>
      </w:r>
      <w:r w:rsidRPr="00F9495E">
        <w:t>cleaned to remove any respondent identifying information and all transcription mistakes</w:t>
      </w:r>
      <w:r>
        <w:t>;</w:t>
      </w:r>
      <w:r w:rsidRPr="00680838">
        <w:t xml:space="preserve"> </w:t>
      </w:r>
      <w:r>
        <w:t>t</w:t>
      </w:r>
      <w:r w:rsidRPr="00680838">
        <w:t>he</w:t>
      </w:r>
      <w:r>
        <w:t>se</w:t>
      </w:r>
      <w:r w:rsidRPr="00680838">
        <w:t xml:space="preserve"> transcriptions will be the </w:t>
      </w:r>
      <w:r>
        <w:t xml:space="preserve">qualitative </w:t>
      </w:r>
      <w:r w:rsidRPr="00680838">
        <w:t>data used for the study.</w:t>
      </w:r>
      <w:r>
        <w:t xml:space="preserve">   </w:t>
      </w:r>
    </w:p>
    <w:p w:rsidR="000F48AC" w:rsidRDefault="000F48AC" w:rsidP="007C7B7A"/>
    <w:p w:rsidR="000F48AC" w:rsidRDefault="000F48AC" w:rsidP="007C7B7A">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u w:val="single"/>
        </w:rPr>
        <w:t>Clien</w:t>
      </w:r>
      <w:r w:rsidRPr="00F9495E">
        <w:rPr>
          <w:u w:val="single"/>
        </w:rPr>
        <w:t>t Focus Groups:</w:t>
      </w:r>
      <w:r>
        <w:t xml:space="preserve"> </w:t>
      </w:r>
      <w:r w:rsidRPr="00F9495E">
        <w:t xml:space="preserve">Focus group data will be analyzed to determine common themes </w:t>
      </w:r>
      <w:r>
        <w:t>expressed by</w:t>
      </w:r>
      <w:r w:rsidRPr="00F9495E">
        <w:t xml:space="preserve"> clients about their substance abuse treatment history, </w:t>
      </w:r>
      <w:r>
        <w:t xml:space="preserve">risk </w:t>
      </w:r>
      <w:r w:rsidRPr="00F9495E">
        <w:t>behavior</w:t>
      </w:r>
      <w:r>
        <w:t>s</w:t>
      </w:r>
      <w:r w:rsidRPr="00F9495E">
        <w:t xml:space="preserve"> (e.</w:t>
      </w:r>
      <w:r>
        <w:t>g.</w:t>
      </w:r>
      <w:r w:rsidRPr="00F9495E">
        <w:t>, substance use/abuse</w:t>
      </w:r>
      <w:r>
        <w:t xml:space="preserve"> risk behaviors</w:t>
      </w:r>
      <w:r w:rsidRPr="00F9495E">
        <w:t xml:space="preserve">, </w:t>
      </w:r>
      <w:r>
        <w:t xml:space="preserve">sexual </w:t>
      </w:r>
      <w:r w:rsidRPr="00F9495E">
        <w:t>risk behavior</w:t>
      </w:r>
      <w:r>
        <w:t>s</w:t>
      </w:r>
      <w:r w:rsidRPr="00F9495E">
        <w:t>), perception of social support, and satisfaction with the TCE-HIV program. As</w:t>
      </w:r>
      <w:r>
        <w:t xml:space="preserve"> noted for the semi-structured interview data analysis plan,</w:t>
      </w:r>
      <w:r w:rsidRPr="00F9495E">
        <w:t xml:space="preserve"> audiotapes of the focus groups will be transcribed</w:t>
      </w:r>
      <w:r w:rsidRPr="00485435">
        <w:t xml:space="preserve"> </w:t>
      </w:r>
      <w:r>
        <w:t xml:space="preserve">and </w:t>
      </w:r>
      <w:r w:rsidRPr="00F9495E">
        <w:t>cleaned to remove any respondent identifying information and all transcription mistakes.</w:t>
      </w:r>
      <w:r>
        <w:t xml:space="preserve"> </w:t>
      </w:r>
      <w:r w:rsidRPr="00F9495E">
        <w:t xml:space="preserve">These transcriptions will be the </w:t>
      </w:r>
      <w:r>
        <w:t xml:space="preserve">qualitative </w:t>
      </w:r>
      <w:r w:rsidRPr="00F9495E">
        <w:t>data used for the study.</w:t>
      </w:r>
      <w:r>
        <w:t xml:space="preserve"> After</w:t>
      </w:r>
      <w:r w:rsidRPr="00F9495E">
        <w:t xml:space="preserve"> the data is prepared for analysis, an inductive content analysis will be conducted on qualitative data</w:t>
      </w:r>
      <w:r>
        <w:t xml:space="preserve">. </w:t>
      </w:r>
    </w:p>
    <w:p w:rsidR="000F48AC" w:rsidRDefault="000F48AC" w:rsidP="007C7B7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F48AC" w:rsidRDefault="000F48AC" w:rsidP="007C7B7A">
      <w:pPr>
        <w:keepNext/>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F9495E">
        <w:t xml:space="preserve">The initial step in the analysis process will be reading the raw data (i.e., </w:t>
      </w:r>
      <w:r>
        <w:t>cleaned and coded interview and focus group transcripts</w:t>
      </w:r>
      <w:r w:rsidRPr="00F9495E">
        <w:t>) to discover underlying raw data themes.</w:t>
      </w:r>
      <w:r>
        <w:t xml:space="preserve"> </w:t>
      </w:r>
      <w:r w:rsidRPr="00F9495E">
        <w:t xml:space="preserve">Raw data themes will then be grouped according to salient responses that correspond to the </w:t>
      </w:r>
      <w:r>
        <w:t>first goal of the evaluation:</w:t>
      </w:r>
    </w:p>
    <w:p w:rsidR="000F48AC" w:rsidRDefault="000F48AC" w:rsidP="007C7B7A">
      <w:pPr>
        <w:keepNext/>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F48AC" w:rsidRPr="00C00A8A" w:rsidRDefault="000F48AC" w:rsidP="007C7B7A">
      <w:pPr>
        <w:numPr>
          <w:ilvl w:val="0"/>
          <w:numId w:val="8"/>
        </w:numPr>
        <w:tabs>
          <w:tab w:val="clear" w:pos="1440"/>
          <w:tab w:val="num" w:pos="1620"/>
        </w:tabs>
        <w:ind w:left="1620"/>
      </w:pPr>
      <w:r w:rsidRPr="00C00A8A">
        <w:t>What are the community and contextual conditions in which the TCE-HIV programs exist and provide services?</w:t>
      </w:r>
    </w:p>
    <w:p w:rsidR="000F48AC" w:rsidRDefault="000F48AC" w:rsidP="007C7B7A">
      <w:pPr>
        <w:numPr>
          <w:ilvl w:val="0"/>
          <w:numId w:val="8"/>
        </w:numPr>
        <w:tabs>
          <w:tab w:val="clear" w:pos="1440"/>
          <w:tab w:val="num" w:pos="1620"/>
        </w:tabs>
        <w:ind w:left="1620"/>
      </w:pPr>
      <w:r w:rsidRPr="00C00A8A">
        <w:t>How do TCE-HIV Grantee characteristics facilitate or impede program activ</w:t>
      </w:r>
      <w:r>
        <w:t>i</w:t>
      </w:r>
      <w:r w:rsidRPr="00C00A8A">
        <w:t>t</w:t>
      </w:r>
      <w:r>
        <w:t>i</w:t>
      </w:r>
      <w:r w:rsidRPr="00C00A8A">
        <w:t>es</w:t>
      </w:r>
      <w:r>
        <w:t>,</w:t>
      </w:r>
      <w:r w:rsidRPr="00C00A8A">
        <w:t xml:space="preserve"> such as comprehensive services, service coordination/integration, and expanded organizational/ programmatic capacity?</w:t>
      </w:r>
    </w:p>
    <w:p w:rsidR="000F48AC" w:rsidRDefault="000F48AC" w:rsidP="007C7B7A">
      <w:pPr>
        <w:numPr>
          <w:ilvl w:val="0"/>
          <w:numId w:val="8"/>
        </w:numPr>
        <w:tabs>
          <w:tab w:val="clear" w:pos="1440"/>
          <w:tab w:val="num" w:pos="1620"/>
        </w:tabs>
        <w:ind w:left="1620"/>
      </w:pPr>
      <w:r>
        <w:t xml:space="preserve">What adaptations do the TCE-HIV Grantees make, if any, to their EPBs? </w:t>
      </w:r>
    </w:p>
    <w:p w:rsidR="000F48AC" w:rsidRPr="00C00A8A" w:rsidRDefault="000F48AC" w:rsidP="007C7B7A">
      <w:pPr>
        <w:numPr>
          <w:ilvl w:val="0"/>
          <w:numId w:val="8"/>
        </w:numPr>
        <w:tabs>
          <w:tab w:val="clear" w:pos="1440"/>
          <w:tab w:val="num" w:pos="1620"/>
        </w:tabs>
        <w:ind w:left="1620"/>
      </w:pPr>
      <w:r>
        <w:t>What are the processes used by Grantees to monitor fidelity to their EBPs?</w:t>
      </w:r>
    </w:p>
    <w:p w:rsidR="000F48AC" w:rsidRDefault="000F48AC" w:rsidP="007C7B7A">
      <w:pPr>
        <w:pStyle w:val="BodyTextIndent3"/>
        <w:keepNext/>
        <w:ind w:left="0"/>
        <w:rPr>
          <w:sz w:val="24"/>
          <w:szCs w:val="24"/>
        </w:rPr>
      </w:pPr>
    </w:p>
    <w:p w:rsidR="000F48AC" w:rsidRDefault="000F48AC" w:rsidP="007C7B7A">
      <w:pPr>
        <w:pStyle w:val="BodyTextIndent3"/>
        <w:keepNext/>
        <w:ind w:left="720"/>
        <w:rPr>
          <w:sz w:val="24"/>
          <w:szCs w:val="24"/>
        </w:rPr>
      </w:pPr>
      <w:r w:rsidRPr="00F9495E">
        <w:rPr>
          <w:sz w:val="24"/>
          <w:szCs w:val="24"/>
        </w:rPr>
        <w:t>The raw data themes will then be grouped into lower order themes based on common topics.</w:t>
      </w:r>
      <w:r>
        <w:rPr>
          <w:sz w:val="24"/>
          <w:szCs w:val="24"/>
        </w:rPr>
        <w:t xml:space="preserve"> </w:t>
      </w:r>
      <w:r w:rsidRPr="00F9495E">
        <w:rPr>
          <w:sz w:val="24"/>
          <w:szCs w:val="24"/>
        </w:rPr>
        <w:t>Next, following the same coding procedures for grouping raw data themes, lower order themes will be grouped into higher order themes.</w:t>
      </w:r>
      <w:r>
        <w:rPr>
          <w:sz w:val="24"/>
          <w:szCs w:val="24"/>
        </w:rPr>
        <w:t xml:space="preserve"> </w:t>
      </w:r>
      <w:r w:rsidRPr="00F9495E">
        <w:rPr>
          <w:sz w:val="24"/>
          <w:szCs w:val="24"/>
        </w:rPr>
        <w:t>Finally, higher order themes will be grouped into major categories.</w:t>
      </w:r>
      <w:r>
        <w:rPr>
          <w:sz w:val="24"/>
          <w:szCs w:val="24"/>
        </w:rPr>
        <w:t xml:space="preserve"> </w:t>
      </w:r>
      <w:r w:rsidRPr="00F9495E">
        <w:rPr>
          <w:sz w:val="24"/>
          <w:szCs w:val="24"/>
        </w:rPr>
        <w:t xml:space="preserve">Consensus among </w:t>
      </w:r>
      <w:r>
        <w:rPr>
          <w:sz w:val="24"/>
          <w:szCs w:val="24"/>
        </w:rPr>
        <w:t>TCE-HIV Multi Site Evaluation Team members</w:t>
      </w:r>
      <w:r w:rsidRPr="00F9495E">
        <w:rPr>
          <w:sz w:val="24"/>
          <w:szCs w:val="24"/>
        </w:rPr>
        <w:t xml:space="preserve"> conducting the analyses will be reached at each step of the </w:t>
      </w:r>
      <w:r>
        <w:rPr>
          <w:sz w:val="24"/>
          <w:szCs w:val="24"/>
        </w:rPr>
        <w:t>analytical</w:t>
      </w:r>
      <w:r w:rsidRPr="00F9495E">
        <w:rPr>
          <w:sz w:val="24"/>
          <w:szCs w:val="24"/>
        </w:rPr>
        <w:t xml:space="preserve"> process (i.e., raw data themes, lower order themes, higher order themes, and major categories)</w:t>
      </w:r>
      <w:r>
        <w:rPr>
          <w:sz w:val="24"/>
          <w:szCs w:val="24"/>
        </w:rPr>
        <w:t xml:space="preserve"> before</w:t>
      </w:r>
      <w:r w:rsidRPr="00F9495E">
        <w:rPr>
          <w:sz w:val="24"/>
          <w:szCs w:val="24"/>
        </w:rPr>
        <w:t xml:space="preserve"> proceeding to the next step</w:t>
      </w:r>
      <w:r>
        <w:rPr>
          <w:sz w:val="24"/>
          <w:szCs w:val="24"/>
        </w:rPr>
        <w:t xml:space="preserve"> to</w:t>
      </w:r>
      <w:r w:rsidRPr="00F9495E">
        <w:rPr>
          <w:sz w:val="24"/>
          <w:szCs w:val="24"/>
        </w:rPr>
        <w:t xml:space="preserve"> achieve inter-coder reliability.</w:t>
      </w:r>
      <w:r>
        <w:rPr>
          <w:sz w:val="24"/>
          <w:szCs w:val="24"/>
        </w:rPr>
        <w:t xml:space="preserve"> </w:t>
      </w:r>
      <w:r w:rsidRPr="00F9495E">
        <w:rPr>
          <w:sz w:val="24"/>
          <w:szCs w:val="24"/>
        </w:rPr>
        <w:t>This process ensures a consistent understanding and interpretation of the data.</w:t>
      </w:r>
    </w:p>
    <w:p w:rsidR="000F48AC" w:rsidRDefault="000F48AC" w:rsidP="007C7B7A">
      <w:pPr>
        <w:rPr>
          <w:u w:val="single"/>
        </w:rPr>
      </w:pPr>
    </w:p>
    <w:p w:rsidR="000F48AC" w:rsidRDefault="000F48AC" w:rsidP="007C7B7A">
      <w:pPr>
        <w:ind w:left="720"/>
        <w:rPr>
          <w:u w:val="single"/>
        </w:rPr>
      </w:pPr>
      <w:r w:rsidRPr="00DC0052">
        <w:rPr>
          <w:u w:val="single"/>
        </w:rPr>
        <w:t>Quantitative Data Analysis</w:t>
      </w:r>
      <w:r>
        <w:rPr>
          <w:u w:val="single"/>
        </w:rPr>
        <w:t xml:space="preserve">: </w:t>
      </w:r>
      <w:r w:rsidRPr="007B77A4">
        <w:t xml:space="preserve">TCE-HIV </w:t>
      </w:r>
      <w:r>
        <w:t xml:space="preserve">programs are </w:t>
      </w:r>
      <w:r w:rsidRPr="007B77A4">
        <w:t>complex</w:t>
      </w:r>
      <w:r>
        <w:t xml:space="preserve"> with </w:t>
      </w:r>
      <w:r w:rsidRPr="007B77A4">
        <w:t>multi</w:t>
      </w:r>
      <w:r>
        <w:t xml:space="preserve">ple </w:t>
      </w:r>
      <w:r w:rsidRPr="007B77A4">
        <w:t>level</w:t>
      </w:r>
      <w:r>
        <w:t>s</w:t>
      </w:r>
      <w:r w:rsidRPr="007B77A4">
        <w:t xml:space="preserve"> and multi</w:t>
      </w:r>
      <w:r>
        <w:t>ple influences such as programmatic characteristics and client characteristics</w:t>
      </w:r>
      <w:r w:rsidRPr="007B77A4">
        <w:t xml:space="preserve">. </w:t>
      </w:r>
      <w:r>
        <w:t>This evaluation</w:t>
      </w:r>
      <w:r w:rsidRPr="007B77A4">
        <w:t xml:space="preserve"> therefore calls for multivariate and multilevel analyses to understand the complex</w:t>
      </w:r>
      <w:r>
        <w:t xml:space="preserve"> relationships</w:t>
      </w:r>
      <w:r w:rsidRPr="007B77A4">
        <w:t xml:space="preserve"> </w:t>
      </w:r>
      <w:r>
        <w:t>among</w:t>
      </w:r>
      <w:r w:rsidRPr="007B77A4">
        <w:t xml:space="preserve"> </w:t>
      </w:r>
      <w:r w:rsidRPr="00E854C3">
        <w:t xml:space="preserve">treatment program operations, individual </w:t>
      </w:r>
      <w:r>
        <w:t xml:space="preserve">risk </w:t>
      </w:r>
      <w:r w:rsidRPr="00E854C3">
        <w:t>characteristics, and broader community contextual and socio-cultural environment</w:t>
      </w:r>
      <w:r>
        <w:t xml:space="preserve">s. </w:t>
      </w:r>
      <w:r w:rsidRPr="007B77A4">
        <w:t xml:space="preserve">These analyses </w:t>
      </w:r>
      <w:r>
        <w:t xml:space="preserve">will </w:t>
      </w:r>
      <w:r w:rsidRPr="007B77A4">
        <w:t xml:space="preserve">address </w:t>
      </w:r>
      <w:r>
        <w:t>the second overarching evaluation goal (i.e</w:t>
      </w:r>
      <w:r w:rsidRPr="007A23C9">
        <w:t xml:space="preserve">., </w:t>
      </w:r>
      <w:r w:rsidRPr="00BC75D9">
        <w:t xml:space="preserve">obtain information on the risk behaviors, HIV testing/serostatus, social support, medical </w:t>
      </w:r>
      <w:r>
        <w:t>and</w:t>
      </w:r>
      <w:r w:rsidRPr="00BC75D9">
        <w:t xml:space="preserve"> mental health, and motivation for treatment from clients of the TCE-HIV </w:t>
      </w:r>
      <w:r>
        <w:t>G</w:t>
      </w:r>
      <w:r w:rsidRPr="00BC75D9">
        <w:t>rantees and monitor their satisfaction with services received).</w:t>
      </w:r>
      <w:r>
        <w:rPr>
          <w:i/>
        </w:rPr>
        <w:t xml:space="preserve">  </w:t>
      </w:r>
    </w:p>
    <w:p w:rsidR="000F48AC" w:rsidRDefault="000F48AC" w:rsidP="007C7B7A">
      <w:pPr>
        <w:rPr>
          <w:u w:val="single"/>
        </w:rPr>
      </w:pPr>
    </w:p>
    <w:p w:rsidR="000F48AC" w:rsidRDefault="000F48AC" w:rsidP="007C7B7A">
      <w:pPr>
        <w:ind w:left="720"/>
      </w:pPr>
      <w:r w:rsidRPr="007B77A4">
        <w:t xml:space="preserve">Depending on the availability of the data and the number of waves of data available (data points) for each data element, </w:t>
      </w:r>
      <w:r>
        <w:t>the approach will be</w:t>
      </w:r>
      <w:r w:rsidRPr="007B77A4">
        <w:t xml:space="preserve"> to apply the most appropriate </w:t>
      </w:r>
      <w:r>
        <w:t>statistical model</w:t>
      </w:r>
      <w:r w:rsidRPr="007B77A4">
        <w:t xml:space="preserve"> </w:t>
      </w:r>
      <w:r>
        <w:t xml:space="preserve">in support of examining the evaluation’s second goal. To the extent possible, the analytic approach may include </w:t>
      </w:r>
      <w:r w:rsidRPr="007B77A4">
        <w:t>multivariate or multilevel analyses referred to as “cross-site” or “main effect” analyses, as they may be based on pooled data from a portion of 4</w:t>
      </w:r>
      <w:r>
        <w:t>0</w:t>
      </w:r>
      <w:r w:rsidRPr="007B77A4">
        <w:t xml:space="preserve"> Grantees providing treatment services</w:t>
      </w:r>
      <w:r>
        <w:t xml:space="preserve">.  </w:t>
      </w:r>
    </w:p>
    <w:p w:rsidR="000F48AC" w:rsidRDefault="000F48AC" w:rsidP="007C7B7A">
      <w:pPr>
        <w:rPr>
          <w:u w:val="single"/>
        </w:rPr>
      </w:pPr>
    </w:p>
    <w:p w:rsidR="000F48AC" w:rsidRDefault="000F48AC" w:rsidP="007C7B7A">
      <w:pPr>
        <w:ind w:left="720"/>
      </w:pPr>
      <w:r w:rsidRPr="009B3820">
        <w:t xml:space="preserve">The Multi-Site Evaluation Team will use quantitative data analysis to examine </w:t>
      </w:r>
      <w:r>
        <w:t>whether TCE-HIV programs are achieving their goals for clients they serve.  The analysis of these goals is explained in more detail below.</w:t>
      </w:r>
    </w:p>
    <w:p w:rsidR="000F48AC" w:rsidRDefault="000F48AC" w:rsidP="007C7B7A"/>
    <w:p w:rsidR="000F48AC" w:rsidRDefault="000F48AC" w:rsidP="007C7B7A">
      <w:pPr>
        <w:spacing w:after="240"/>
        <w:ind w:left="720"/>
      </w:pPr>
      <w:r w:rsidRPr="00DC784F">
        <w:rPr>
          <w:u w:val="single"/>
        </w:rPr>
        <w:t>Descriptive Statistics</w:t>
      </w:r>
      <w:r>
        <w:rPr>
          <w:u w:val="single"/>
        </w:rPr>
        <w:t>:</w:t>
      </w:r>
      <w:r>
        <w:t xml:space="preserve"> </w:t>
      </w:r>
      <w:r w:rsidRPr="00FB0134">
        <w:t xml:space="preserve">The Multi-Site Evaluation Team will use descriptive statistics to describe the main features of Grantees, their clients, and the communities in which </w:t>
      </w:r>
      <w:r>
        <w:t>the Grantees</w:t>
      </w:r>
      <w:r w:rsidRPr="00FB0134">
        <w:t xml:space="preserve"> provide service</w:t>
      </w:r>
      <w:r>
        <w:t>s</w:t>
      </w:r>
      <w:r w:rsidRPr="00FB0134">
        <w:t xml:space="preserve">. Descriptive statistics will allow </w:t>
      </w:r>
      <w:r>
        <w:t>the</w:t>
      </w:r>
      <w:r w:rsidRPr="00FB0134">
        <w:t xml:space="preserve"> report</w:t>
      </w:r>
      <w:r>
        <w:t>ing of</w:t>
      </w:r>
      <w:r w:rsidRPr="00FB0134">
        <w:t xml:space="preserve"> community, Grantee, and client characteristics that will provide a detailed picture of the TCE-HIV program and its participants.</w:t>
      </w:r>
      <w:r>
        <w:t xml:space="preserve"> The purpose</w:t>
      </w:r>
      <w:r w:rsidRPr="00FB0134">
        <w:t xml:space="preserve"> of descriptive analysis will be to understand the distribution of variables of interest. </w:t>
      </w:r>
      <w:r>
        <w:t>F</w:t>
      </w:r>
      <w:r w:rsidRPr="00FB0134">
        <w:t xml:space="preserve">requencies </w:t>
      </w:r>
      <w:r>
        <w:t xml:space="preserve">will be run </w:t>
      </w:r>
      <w:r w:rsidRPr="00FB0134">
        <w:t>or the means and standard deviations of each variable</w:t>
      </w:r>
      <w:r>
        <w:t xml:space="preserve"> will be calculated</w:t>
      </w:r>
      <w:r w:rsidRPr="00FB0134">
        <w:t xml:space="preserve"> to examine the central tendency and </w:t>
      </w:r>
      <w:r>
        <w:t xml:space="preserve">distribution of variables. Knowledge of the distribution of data will inform the use of proper statistical techniques to </w:t>
      </w:r>
      <w:r w:rsidRPr="00FB0134">
        <w:t xml:space="preserve">conduct further analyses. </w:t>
      </w:r>
      <w:r>
        <w:t>The quantitative analysis team</w:t>
      </w:r>
      <w:r w:rsidRPr="00FB0134">
        <w:t xml:space="preserve"> </w:t>
      </w:r>
      <w:r>
        <w:t>will</w:t>
      </w:r>
      <w:r w:rsidRPr="00FB0134">
        <w:t xml:space="preserve"> also conduct cross tabulations to examine the relationship between the variables. The d</w:t>
      </w:r>
      <w:r>
        <w:t>egree and statistical significance of association between</w:t>
      </w:r>
      <w:r w:rsidRPr="00FB0134">
        <w:t xml:space="preserve"> variables </w:t>
      </w:r>
      <w:r>
        <w:t xml:space="preserve">is not only important for reporting relationships of interest, but also in supporting </w:t>
      </w:r>
      <w:r w:rsidRPr="00FB0134">
        <w:t>higher</w:t>
      </w:r>
      <w:r>
        <w:t>-</w:t>
      </w:r>
      <w:r w:rsidRPr="00FB0134">
        <w:t xml:space="preserve">level analyses. </w:t>
      </w:r>
    </w:p>
    <w:p w:rsidR="000F48AC" w:rsidRDefault="000F48AC" w:rsidP="007C7B7A">
      <w:pPr>
        <w:ind w:left="720"/>
      </w:pPr>
      <w:r w:rsidRPr="00740DA5">
        <w:rPr>
          <w:u w:val="single"/>
        </w:rPr>
        <w:t xml:space="preserve">Grantee </w:t>
      </w:r>
      <w:r>
        <w:rPr>
          <w:u w:val="single"/>
        </w:rPr>
        <w:t>Focused Analysis/Multivariate Analysis</w:t>
      </w:r>
      <w:r w:rsidRPr="00A95637">
        <w:t>:</w:t>
      </w:r>
      <w:r w:rsidRPr="009B3820">
        <w:rPr>
          <w:b/>
          <w:bCs/>
          <w:i/>
          <w:iCs/>
        </w:rPr>
        <w:t xml:space="preserve"> </w:t>
      </w:r>
      <w:r w:rsidRPr="009B3820">
        <w:t xml:space="preserve">Grantee characteristics and </w:t>
      </w:r>
      <w:r>
        <w:t>their</w:t>
      </w:r>
      <w:r w:rsidRPr="009B3820">
        <w:t xml:space="preserve"> </w:t>
      </w:r>
      <w:r>
        <w:t>relationship to</w:t>
      </w:r>
      <w:r w:rsidRPr="009B3820">
        <w:t xml:space="preserve"> program service administration and service delivery can be examined through multi</w:t>
      </w:r>
      <w:r>
        <w:t>variate</w:t>
      </w:r>
      <w:r w:rsidRPr="009B3820">
        <w:t xml:space="preserve"> analyses. The</w:t>
      </w:r>
      <w:r>
        <w:t xml:space="preserve"> </w:t>
      </w:r>
      <w:r w:rsidRPr="009B3820">
        <w:t>Grantee</w:t>
      </w:r>
      <w:r>
        <w:t xml:space="preserve"> administration and service delivery variables</w:t>
      </w:r>
      <w:r w:rsidRPr="009B3820">
        <w:t xml:space="preserve"> will </w:t>
      </w:r>
      <w:r>
        <w:t xml:space="preserve">aid in </w:t>
      </w:r>
      <w:r w:rsidRPr="009B3820">
        <w:t>identify</w:t>
      </w:r>
      <w:r>
        <w:t>ing</w:t>
      </w:r>
      <w:r w:rsidRPr="009B3820">
        <w:t xml:space="preserve"> the services most likely to be affected</w:t>
      </w:r>
      <w:r>
        <w:t xml:space="preserve"> by Grantee characteristics.</w:t>
      </w:r>
      <w:r w:rsidRPr="009B3820">
        <w:t xml:space="preserve"> Quantitative analyses of the Grantee characteristics </w:t>
      </w:r>
      <w:r>
        <w:t xml:space="preserve">will </w:t>
      </w:r>
      <w:r w:rsidRPr="009B3820">
        <w:t xml:space="preserve">provide critical information about the services being provided and how these services </w:t>
      </w:r>
      <w:r>
        <w:t>may evolve over time</w:t>
      </w:r>
      <w:r w:rsidRPr="009B3820">
        <w:t xml:space="preserve">. </w:t>
      </w:r>
      <w:r>
        <w:t>In addition to quantitative data gathered, some Grantee q</w:t>
      </w:r>
      <w:r w:rsidRPr="009B3820">
        <w:t>ua</w:t>
      </w:r>
      <w:r>
        <w:t>li</w:t>
      </w:r>
      <w:r w:rsidRPr="009B3820">
        <w:t xml:space="preserve">tative </w:t>
      </w:r>
      <w:r>
        <w:t xml:space="preserve">data will be quantified (e.g., staff training, core treatment services) and </w:t>
      </w:r>
      <w:r w:rsidRPr="009B3820">
        <w:t xml:space="preserve">will come from the </w:t>
      </w:r>
      <w:r>
        <w:t>administrative staff s</w:t>
      </w:r>
      <w:r w:rsidRPr="009B3820">
        <w:t>emi-structured interview</w:t>
      </w:r>
      <w:r>
        <w:t>s</w:t>
      </w:r>
      <w:r w:rsidRPr="009B3820">
        <w:t xml:space="preserve"> (including the Grantee profile update), </w:t>
      </w:r>
      <w:r>
        <w:t>direct services s</w:t>
      </w:r>
      <w:r w:rsidRPr="009B3820">
        <w:t xml:space="preserve">taff </w:t>
      </w:r>
      <w:r>
        <w:t>s</w:t>
      </w:r>
      <w:r w:rsidRPr="009B3820">
        <w:t>emi-structured interviews</w:t>
      </w:r>
      <w:r>
        <w:t>, and partners/collaborators semi-structured interviews.</w:t>
      </w:r>
    </w:p>
    <w:p w:rsidR="000F48AC" w:rsidRPr="00740DA5" w:rsidRDefault="000F48AC" w:rsidP="007C7B7A">
      <w:pPr>
        <w:rPr>
          <w:b/>
          <w:bCs/>
        </w:rPr>
      </w:pPr>
    </w:p>
    <w:p w:rsidR="000F48AC" w:rsidRDefault="000F48AC" w:rsidP="007C7B7A">
      <w:pPr>
        <w:autoSpaceDE w:val="0"/>
        <w:autoSpaceDN w:val="0"/>
        <w:adjustRightInd w:val="0"/>
        <w:ind w:left="720"/>
        <w:rPr>
          <w:rFonts w:ascii="TimesNewRoman,Italic" w:hAnsi="TimesNewRoman,Italic" w:cs="TimesNewRoman,Italic"/>
          <w:i/>
          <w:iCs/>
        </w:rPr>
      </w:pPr>
      <w:r w:rsidRPr="00740DA5">
        <w:rPr>
          <w:u w:val="single"/>
        </w:rPr>
        <w:t xml:space="preserve">Client </w:t>
      </w:r>
      <w:r>
        <w:rPr>
          <w:u w:val="single"/>
        </w:rPr>
        <w:t>Focused Analysis/Multilevel Analysis</w:t>
      </w:r>
      <w:r w:rsidRPr="00740DA5">
        <w:rPr>
          <w:u w:val="single"/>
        </w:rPr>
        <w:t>:</w:t>
      </w:r>
      <w:r w:rsidRPr="00740DA5">
        <w:t xml:space="preserve"> Client</w:t>
      </w:r>
      <w:r>
        <w:t>-focused</w:t>
      </w:r>
      <w:r w:rsidRPr="00740DA5">
        <w:t xml:space="preserve"> quantitative analyses will be primarily model-based and will be performed for both individual Grantee </w:t>
      </w:r>
      <w:r>
        <w:t xml:space="preserve">client </w:t>
      </w:r>
      <w:r w:rsidRPr="00740DA5">
        <w:t xml:space="preserve">populations and the total </w:t>
      </w:r>
      <w:r>
        <w:t xml:space="preserve">client </w:t>
      </w:r>
      <w:r w:rsidRPr="00740DA5">
        <w:t>population pooled across Grantees</w:t>
      </w:r>
      <w:r>
        <w:t>,</w:t>
      </w:r>
      <w:r w:rsidRPr="00740DA5">
        <w:t xml:space="preserve"> as appropriate. </w:t>
      </w:r>
      <w:r>
        <w:t xml:space="preserve">Within individual Grantee client populations, models will be created to predict influences on </w:t>
      </w:r>
      <w:r w:rsidRPr="00740DA5">
        <w:t xml:space="preserve">client substance abuse </w:t>
      </w:r>
      <w:r>
        <w:t>and sexual risk behaviors while</w:t>
      </w:r>
      <w:r w:rsidRPr="00740DA5">
        <w:t xml:space="preserve"> controlling for different client characteristics (e.g., age, sex, race, </w:t>
      </w:r>
      <w:r>
        <w:t xml:space="preserve">ethnicity, </w:t>
      </w:r>
      <w:r w:rsidRPr="00740DA5">
        <w:t xml:space="preserve">substance abuse treatment history, and HIV status). </w:t>
      </w:r>
      <w:r>
        <w:t>Across the total client population,</w:t>
      </w:r>
      <w:r w:rsidRPr="00740DA5">
        <w:t xml:space="preserve"> </w:t>
      </w:r>
      <w:r>
        <w:t>hierarchical</w:t>
      </w:r>
      <w:r w:rsidRPr="00740DA5">
        <w:t xml:space="preserve"> linear model</w:t>
      </w:r>
      <w:r>
        <w:t>ing</w:t>
      </w:r>
      <w:r w:rsidRPr="00740DA5">
        <w:t xml:space="preserve"> (</w:t>
      </w:r>
      <w:r>
        <w:t>H</w:t>
      </w:r>
      <w:r w:rsidRPr="00740DA5">
        <w:t>L</w:t>
      </w:r>
      <w:r>
        <w:t>M</w:t>
      </w:r>
      <w:r w:rsidRPr="00740DA5">
        <w:t xml:space="preserve">) </w:t>
      </w:r>
      <w:r>
        <w:t xml:space="preserve">will be used to account for the nested characteristics of the data. In any analysis where the population is grouped into larger units (here the Grantees), the performance of the individuals within the same group will be correlated. These correlations must be accounted for in the analysis to draw the correct inferences. For example, HLM models will be able to </w:t>
      </w:r>
      <w:r>
        <w:rPr>
          <w:rFonts w:ascii="TimesNewRoman" w:hAnsi="TimesNewRoman" w:cs="TimesNewRoman"/>
        </w:rPr>
        <w:t>test the proposition that clients’ risk behaviors would vary while in treatment depending on the levels of social support they receive.</w:t>
      </w:r>
      <w:r>
        <w:t xml:space="preserve">  </w:t>
      </w:r>
    </w:p>
    <w:p w:rsidR="000F48AC" w:rsidRDefault="000F48AC" w:rsidP="007C7B7A"/>
    <w:p w:rsidR="000F48AC" w:rsidRDefault="000F48AC" w:rsidP="00586303">
      <w:pPr>
        <w:ind w:firstLine="720"/>
        <w:rPr>
          <w:b/>
          <w:bCs/>
        </w:rPr>
      </w:pPr>
      <w:r w:rsidRPr="006A3AD5">
        <w:rPr>
          <w:b/>
          <w:bCs/>
        </w:rPr>
        <w:t>17.</w:t>
      </w:r>
      <w:r w:rsidRPr="006A3AD5">
        <w:rPr>
          <w:b/>
          <w:bCs/>
        </w:rPr>
        <w:tab/>
      </w:r>
      <w:r w:rsidRPr="006A3AD5">
        <w:rPr>
          <w:b/>
          <w:bCs/>
          <w:u w:val="single"/>
        </w:rPr>
        <w:t>Display of Expiration Date</w:t>
      </w:r>
    </w:p>
    <w:p w:rsidR="000F48AC" w:rsidRPr="006A3AD5" w:rsidRDefault="000F48AC" w:rsidP="00586303"/>
    <w:p w:rsidR="000F48AC" w:rsidRDefault="000F48AC" w:rsidP="00586303">
      <w:pPr>
        <w:ind w:left="720"/>
      </w:pPr>
      <w:r w:rsidRPr="006A3AD5">
        <w:t>OMB approval expiration dates will be displayed on the client surveys</w:t>
      </w:r>
      <w:r>
        <w:t xml:space="preserve">, participant data sheets, and </w:t>
      </w:r>
      <w:r w:rsidRPr="006A3AD5">
        <w:t>consent forms</w:t>
      </w:r>
      <w:r>
        <w:t>.</w:t>
      </w:r>
    </w:p>
    <w:p w:rsidR="000F48AC" w:rsidRPr="006A3AD5" w:rsidRDefault="000F48AC" w:rsidP="00586303">
      <w:bookmarkStart w:id="55" w:name="_Toc88277970"/>
      <w:bookmarkStart w:id="56" w:name="_Toc131564367"/>
    </w:p>
    <w:p w:rsidR="000F48AC" w:rsidRDefault="000F48AC" w:rsidP="00586303">
      <w:pPr>
        <w:ind w:firstLine="720"/>
        <w:rPr>
          <w:b/>
          <w:bCs/>
        </w:rPr>
      </w:pPr>
      <w:r w:rsidRPr="006A3AD5">
        <w:rPr>
          <w:b/>
          <w:bCs/>
        </w:rPr>
        <w:t>18.</w:t>
      </w:r>
      <w:r w:rsidRPr="006A3AD5">
        <w:rPr>
          <w:b/>
          <w:bCs/>
        </w:rPr>
        <w:tab/>
      </w:r>
      <w:r w:rsidRPr="006A3AD5">
        <w:rPr>
          <w:b/>
          <w:bCs/>
          <w:u w:val="single"/>
        </w:rPr>
        <w:t xml:space="preserve">Exceptions to Certification for </w:t>
      </w:r>
      <w:bookmarkEnd w:id="55"/>
      <w:r w:rsidRPr="006A3AD5">
        <w:rPr>
          <w:b/>
          <w:bCs/>
          <w:u w:val="single"/>
        </w:rPr>
        <w:t>Statement</w:t>
      </w:r>
      <w:bookmarkEnd w:id="56"/>
    </w:p>
    <w:p w:rsidR="000F48AC" w:rsidRPr="006A3AD5" w:rsidRDefault="000F48AC" w:rsidP="00586303"/>
    <w:p w:rsidR="000F48AC" w:rsidRDefault="000F48AC" w:rsidP="00586303">
      <w:pPr>
        <w:ind w:left="720"/>
      </w:pPr>
      <w:r w:rsidRPr="006A3AD5">
        <w:t xml:space="preserve">There are no exceptions to the certification statement. The certifications are included in this submission. </w:t>
      </w:r>
    </w:p>
    <w:p w:rsidR="000F48AC" w:rsidRDefault="000F48AC" w:rsidP="007C7B7A">
      <w:pPr>
        <w:rPr>
          <w:b/>
          <w:bCs/>
        </w:rPr>
      </w:pPr>
      <w:bookmarkStart w:id="57" w:name="_Toc88277969"/>
      <w:bookmarkStart w:id="58" w:name="_Toc131564366"/>
    </w:p>
    <w:p w:rsidR="000F48AC" w:rsidRPr="00BB5D89" w:rsidRDefault="000F48AC" w:rsidP="00D0533C">
      <w:pPr>
        <w:rPr>
          <w:b/>
          <w:bCs/>
        </w:rPr>
      </w:pPr>
      <w:bookmarkStart w:id="59" w:name="_Toc8007688"/>
      <w:bookmarkStart w:id="60" w:name="_Toc88277971"/>
      <w:bookmarkStart w:id="61" w:name="_Toc131564368"/>
      <w:bookmarkEnd w:id="53"/>
      <w:bookmarkEnd w:id="54"/>
      <w:bookmarkEnd w:id="57"/>
      <w:bookmarkEnd w:id="58"/>
      <w:r w:rsidRPr="00BB5D89">
        <w:rPr>
          <w:b/>
          <w:bCs/>
        </w:rPr>
        <w:t>B.</w:t>
      </w:r>
      <w:r w:rsidRPr="00BB5D89">
        <w:rPr>
          <w:b/>
          <w:bCs/>
        </w:rPr>
        <w:tab/>
        <w:t>COLLECTION OF INFORMATION EMPLOYING STATISTICAL METHO</w:t>
      </w:r>
      <w:bookmarkEnd w:id="59"/>
      <w:bookmarkEnd w:id="60"/>
      <w:bookmarkEnd w:id="61"/>
      <w:r w:rsidRPr="00BB5D89">
        <w:rPr>
          <w:b/>
          <w:bCs/>
        </w:rPr>
        <w:t>DS</w:t>
      </w:r>
    </w:p>
    <w:p w:rsidR="000F48AC" w:rsidRDefault="000F48AC" w:rsidP="00D0533C">
      <w:bookmarkStart w:id="62" w:name="_Toc8007689"/>
      <w:bookmarkStart w:id="63" w:name="_Toc88277972"/>
      <w:bookmarkStart w:id="64" w:name="_Toc131564369"/>
    </w:p>
    <w:p w:rsidR="000F48AC" w:rsidRDefault="000F48AC">
      <w:pPr>
        <w:ind w:left="720"/>
      </w:pPr>
      <w:r>
        <w:t>This section presents information about the collection of data for the Multi-Site Evaluation. As noted previously, the Multi-Site Evaluation has two major goals and related objectives. Specifically:</w:t>
      </w:r>
    </w:p>
    <w:p w:rsidR="000F48AC" w:rsidRDefault="000F48AC">
      <w:pPr>
        <w:ind w:left="720"/>
      </w:pPr>
    </w:p>
    <w:p w:rsidR="000F48AC" w:rsidRDefault="000F48AC">
      <w:pPr>
        <w:autoSpaceDE w:val="0"/>
        <w:autoSpaceDN w:val="0"/>
        <w:adjustRightInd w:val="0"/>
        <w:ind w:left="720"/>
        <w:rPr>
          <w:i/>
          <w:iCs/>
        </w:rPr>
      </w:pPr>
      <w:r w:rsidRPr="005D2A9F">
        <w:rPr>
          <w:i/>
          <w:iCs/>
        </w:rPr>
        <w:t>Goal #1:</w:t>
      </w:r>
      <w:r>
        <w:rPr>
          <w:i/>
          <w:iCs/>
        </w:rPr>
        <w:t xml:space="preserve">  </w:t>
      </w:r>
      <w:r w:rsidRPr="00BF5E44">
        <w:rPr>
          <w:i/>
          <w:iCs/>
        </w:rPr>
        <w:t xml:space="preserve">To </w:t>
      </w:r>
      <w:r>
        <w:rPr>
          <w:i/>
          <w:iCs/>
        </w:rPr>
        <w:t xml:space="preserve">monitor the </w:t>
      </w:r>
      <w:r w:rsidRPr="00BF5E44">
        <w:rPr>
          <w:i/>
          <w:iCs/>
        </w:rPr>
        <w:t>implementation</w:t>
      </w:r>
      <w:r>
        <w:rPr>
          <w:i/>
          <w:iCs/>
        </w:rPr>
        <w:t xml:space="preserve"> activities</w:t>
      </w:r>
      <w:r w:rsidRPr="00BF5E44">
        <w:rPr>
          <w:i/>
          <w:iCs/>
        </w:rPr>
        <w:t xml:space="preserve"> of the TCE-HIV</w:t>
      </w:r>
      <w:r>
        <w:rPr>
          <w:i/>
          <w:iCs/>
        </w:rPr>
        <w:t xml:space="preserve"> funded</w:t>
      </w:r>
      <w:r w:rsidRPr="00BF5E44">
        <w:rPr>
          <w:i/>
          <w:iCs/>
        </w:rPr>
        <w:t xml:space="preserve"> grantee</w:t>
      </w:r>
      <w:r>
        <w:rPr>
          <w:i/>
          <w:iCs/>
        </w:rPr>
        <w:t>s</w:t>
      </w:r>
      <w:r w:rsidRPr="00BF5E44">
        <w:rPr>
          <w:i/>
          <w:iCs/>
        </w:rPr>
        <w:t xml:space="preserve"> </w:t>
      </w:r>
      <w:r>
        <w:rPr>
          <w:i/>
          <w:iCs/>
        </w:rPr>
        <w:t>including</w:t>
      </w:r>
      <w:r w:rsidRPr="005D2A9F">
        <w:rPr>
          <w:i/>
          <w:iCs/>
        </w:rPr>
        <w:t xml:space="preserve"> their </w:t>
      </w:r>
      <w:r>
        <w:rPr>
          <w:i/>
          <w:iCs/>
        </w:rPr>
        <w:t>EBPs,</w:t>
      </w:r>
      <w:r w:rsidRPr="005D2A9F">
        <w:rPr>
          <w:i/>
          <w:iCs/>
        </w:rPr>
        <w:t xml:space="preserve"> service delivery</w:t>
      </w:r>
      <w:r>
        <w:rPr>
          <w:i/>
          <w:iCs/>
        </w:rPr>
        <w:t>, and contextual factors that facilitate or impede program success.</w:t>
      </w:r>
    </w:p>
    <w:p w:rsidR="000F48AC" w:rsidRDefault="000F48AC" w:rsidP="00140AD9">
      <w:pPr>
        <w:autoSpaceDE w:val="0"/>
        <w:autoSpaceDN w:val="0"/>
        <w:adjustRightInd w:val="0"/>
        <w:rPr>
          <w:i/>
          <w:iCs/>
        </w:rPr>
      </w:pPr>
    </w:p>
    <w:p w:rsidR="000F48AC" w:rsidRDefault="000F48AC">
      <w:pPr>
        <w:ind w:left="1152"/>
      </w:pPr>
      <w:r w:rsidRPr="005D2A9F">
        <w:rPr>
          <w:u w:val="single"/>
        </w:rPr>
        <w:t>Objective #1:</w:t>
      </w:r>
      <w:r>
        <w:t xml:space="preserve"> Conduct semi-structured interviews with each of the grantees’ administrative staff within 3 months of receiving OMB clearance and in the fourth year of program implementation</w:t>
      </w:r>
    </w:p>
    <w:p w:rsidR="000F48AC" w:rsidRDefault="000F48AC">
      <w:pPr>
        <w:ind w:left="1152"/>
      </w:pPr>
    </w:p>
    <w:p w:rsidR="000F48AC" w:rsidRDefault="000F48AC">
      <w:pPr>
        <w:ind w:left="1152"/>
      </w:pPr>
      <w:r w:rsidRPr="005D2A9F">
        <w:rPr>
          <w:u w:val="single"/>
        </w:rPr>
        <w:t>Objective #2:</w:t>
      </w:r>
      <w:r>
        <w:t xml:space="preserve"> Conduct semi-structured interviews with the direct service staff who are engaged in service delivery with clients within 3 months of receiving OMB clearance and in the fourth year of program implementation</w:t>
      </w:r>
      <w:r w:rsidDel="00426EE3">
        <w:t xml:space="preserve"> </w:t>
      </w:r>
    </w:p>
    <w:p w:rsidR="000F48AC" w:rsidRDefault="000F48AC">
      <w:pPr>
        <w:ind w:left="1152"/>
      </w:pPr>
    </w:p>
    <w:p w:rsidR="000F48AC" w:rsidRDefault="000F48AC">
      <w:pPr>
        <w:ind w:left="1152"/>
      </w:pPr>
      <w:r w:rsidRPr="005D2A9F">
        <w:rPr>
          <w:u w:val="single"/>
        </w:rPr>
        <w:t>Objective #3:</w:t>
      </w:r>
      <w:r>
        <w:t xml:space="preserve"> Conduct semi-structured interviews with no more than four grantee partner agencies of  each grantee that are engaged in service delivery to clients within 3 months of receiving OMB clearance and within the fourth year of program implementation</w:t>
      </w:r>
    </w:p>
    <w:p w:rsidR="000F48AC" w:rsidRDefault="000F48AC" w:rsidP="00140AD9"/>
    <w:p w:rsidR="000F48AC" w:rsidRDefault="000F48AC">
      <w:pPr>
        <w:ind w:left="720"/>
        <w:rPr>
          <w:i/>
          <w:iCs/>
        </w:rPr>
      </w:pPr>
      <w:r w:rsidRPr="005D2A9F">
        <w:rPr>
          <w:i/>
          <w:iCs/>
        </w:rPr>
        <w:t xml:space="preserve">Goal #2: Obtain information </w:t>
      </w:r>
      <w:r>
        <w:rPr>
          <w:i/>
          <w:iCs/>
        </w:rPr>
        <w:t xml:space="preserve">on the risk behaviors, HIV testing/serostatus, social support, medical and mental health, and motivation for treatment </w:t>
      </w:r>
      <w:r w:rsidRPr="005D2A9F">
        <w:rPr>
          <w:i/>
          <w:iCs/>
        </w:rPr>
        <w:t xml:space="preserve">from clients </w:t>
      </w:r>
      <w:r>
        <w:rPr>
          <w:i/>
          <w:iCs/>
        </w:rPr>
        <w:t>of the TCE-HIV grantees and monitor</w:t>
      </w:r>
      <w:r w:rsidRPr="005D2A9F">
        <w:rPr>
          <w:i/>
          <w:iCs/>
        </w:rPr>
        <w:t xml:space="preserve"> their</w:t>
      </w:r>
      <w:r>
        <w:rPr>
          <w:i/>
          <w:iCs/>
        </w:rPr>
        <w:t xml:space="preserve"> </w:t>
      </w:r>
      <w:r w:rsidRPr="005D2A9F">
        <w:rPr>
          <w:i/>
          <w:iCs/>
        </w:rPr>
        <w:t>satisfaction with services received</w:t>
      </w:r>
      <w:r>
        <w:rPr>
          <w:i/>
          <w:iCs/>
        </w:rPr>
        <w:t xml:space="preserve">. </w:t>
      </w:r>
    </w:p>
    <w:p w:rsidR="000F48AC" w:rsidRDefault="000F48AC" w:rsidP="00140AD9"/>
    <w:p w:rsidR="000F48AC" w:rsidRDefault="000F48AC">
      <w:pPr>
        <w:ind w:left="1152"/>
      </w:pPr>
      <w:r w:rsidRPr="005D2A9F">
        <w:rPr>
          <w:u w:val="single"/>
        </w:rPr>
        <w:t>Objective #</w:t>
      </w:r>
      <w:r>
        <w:rPr>
          <w:u w:val="single"/>
        </w:rPr>
        <w:t>1</w:t>
      </w:r>
      <w:r w:rsidRPr="005D2A9F">
        <w:rPr>
          <w:u w:val="single"/>
        </w:rPr>
        <w:t>:</w:t>
      </w:r>
      <w:r>
        <w:t xml:space="preserve"> Administer a client questionnaire to each client at the same three points (i.e., intake, discharge, 6-months post baseline) that grantees are currently required to submit data to SAMHSA and explore if grantees are achieving program results</w:t>
      </w:r>
    </w:p>
    <w:p w:rsidR="000F48AC" w:rsidRDefault="000F48AC">
      <w:pPr>
        <w:ind w:left="1152"/>
      </w:pPr>
    </w:p>
    <w:p w:rsidR="000F48AC" w:rsidRDefault="000F48AC">
      <w:pPr>
        <w:ind w:left="1152"/>
      </w:pPr>
      <w:r w:rsidRPr="005D2A9F">
        <w:rPr>
          <w:u w:val="single"/>
        </w:rPr>
        <w:t>Objective #</w:t>
      </w:r>
      <w:r>
        <w:rPr>
          <w:u w:val="single"/>
        </w:rPr>
        <w:t>2</w:t>
      </w:r>
      <w:r w:rsidRPr="005D2A9F">
        <w:rPr>
          <w:u w:val="single"/>
        </w:rPr>
        <w:t>:</w:t>
      </w:r>
      <w:r>
        <w:t xml:space="preserve"> Conduct one focus group with no more than 9 clients from each of the 40 treatment grantees to obtain contextual information on client substance abuse treatment experience and satisfaction within 3 months of receiving OMB clearance and in the fourth year of program implementation </w:t>
      </w:r>
    </w:p>
    <w:p w:rsidR="000F48AC" w:rsidRPr="00C00A8A" w:rsidRDefault="000F48AC" w:rsidP="00140AD9">
      <w:pPr>
        <w:pStyle w:val="bodytext"/>
        <w:spacing w:after="0" w:line="240" w:lineRule="auto"/>
      </w:pPr>
    </w:p>
    <w:p w:rsidR="000F48AC" w:rsidRPr="005144A9" w:rsidRDefault="000F48AC" w:rsidP="00514F44">
      <w:pPr>
        <w:ind w:left="720"/>
      </w:pPr>
      <w:r>
        <w:t xml:space="preserve">A comprehensive multi-method data collection effort is proposed </w:t>
      </w:r>
      <w:r w:rsidRPr="005144A9">
        <w:t xml:space="preserve">to better understand </w:t>
      </w:r>
      <w:r>
        <w:t xml:space="preserve">the 48 Grantees, </w:t>
      </w:r>
      <w:r w:rsidRPr="005144A9">
        <w:t xml:space="preserve">who they are serving, what programs they are </w:t>
      </w:r>
      <w:r>
        <w:tab/>
      </w:r>
      <w:r w:rsidRPr="005144A9">
        <w:t>implementing, and what services ar</w:t>
      </w:r>
      <w:r>
        <w:t>e being delivered and by whom. A multi-method data collection</w:t>
      </w:r>
      <w:r w:rsidRPr="005144A9">
        <w:t xml:space="preserve"> </w:t>
      </w:r>
      <w:r>
        <w:t xml:space="preserve">approach will be used </w:t>
      </w:r>
      <w:r w:rsidRPr="005144A9">
        <w:t>to learn more about the results of service delivery for the clients they serve</w:t>
      </w:r>
      <w:r>
        <w:t xml:space="preserve"> and how grantees achieve their goals</w:t>
      </w:r>
      <w:r w:rsidRPr="005144A9">
        <w:t>.</w:t>
      </w:r>
    </w:p>
    <w:p w:rsidR="000F48AC" w:rsidRPr="00BB5D89" w:rsidRDefault="000F48AC" w:rsidP="00D0533C"/>
    <w:p w:rsidR="000F48AC" w:rsidRDefault="000F48AC">
      <w:pPr>
        <w:ind w:firstLine="720"/>
        <w:rPr>
          <w:b/>
          <w:bCs/>
        </w:rPr>
      </w:pPr>
      <w:r w:rsidRPr="00BB5D89">
        <w:rPr>
          <w:b/>
          <w:bCs/>
        </w:rPr>
        <w:t>1.</w:t>
      </w:r>
      <w:r w:rsidRPr="00BB5D89">
        <w:rPr>
          <w:b/>
          <w:bCs/>
        </w:rPr>
        <w:tab/>
      </w:r>
      <w:bookmarkEnd w:id="62"/>
      <w:r w:rsidRPr="00BB5D89">
        <w:rPr>
          <w:b/>
          <w:bCs/>
          <w:u w:val="single"/>
        </w:rPr>
        <w:t>Respondent Universe and Sampling Methods</w:t>
      </w:r>
      <w:bookmarkEnd w:id="63"/>
      <w:bookmarkEnd w:id="64"/>
    </w:p>
    <w:p w:rsidR="000F48AC" w:rsidRPr="004C7390" w:rsidRDefault="000F48AC" w:rsidP="00D0533C">
      <w:bookmarkStart w:id="65" w:name="_Toc131564370"/>
    </w:p>
    <w:p w:rsidR="000F48AC" w:rsidRDefault="000F48AC">
      <w:pPr>
        <w:ind w:left="720"/>
      </w:pPr>
      <w:r>
        <w:t xml:space="preserve">Attachment </w:t>
      </w:r>
      <w:r w:rsidRPr="00B35B88">
        <w:t>4</w:t>
      </w:r>
      <w:r>
        <w:t xml:space="preserve"> - Document 2 presents the subset and estimated universe of respondents for evaluation data collection activities. Specifically, the semi-structured interviews will consist of a subset of program staff (e.g., program administrator, treatment counselor) and a subset of partners/collaborators. Client focus groups will consist of a representative subset of clients that are targeted by each of the 40 treatment programs. </w:t>
      </w:r>
    </w:p>
    <w:p w:rsidR="000F48AC" w:rsidRDefault="000F48AC" w:rsidP="00420784"/>
    <w:p w:rsidR="000F48AC" w:rsidRDefault="000F48AC">
      <w:pPr>
        <w:ind w:left="720"/>
      </w:pPr>
      <w:r>
        <w:t xml:space="preserve">Data collection activities using the client survey will occur with the estimated universe of respondents (i.e., individuals entering </w:t>
      </w:r>
      <w:r w:rsidRPr="009E1BFB">
        <w:t>substance abuse</w:t>
      </w:r>
      <w:r>
        <w:t xml:space="preserve"> treatment programs) across the 40 substance abuse treatment programs, which is estimated to be 2,400 at baseline, 2,400 at discharge, and 1,920 at 6-months post baseline. It is expected that recruitment methods and intensive tracking mechanisms will result in response rates of 100 percent at baseline and discharge, and 80 percent at 6 months post baseline for the client survey administration. The following sections present a description of data collection methods. </w:t>
      </w:r>
    </w:p>
    <w:p w:rsidR="000F48AC" w:rsidRPr="004C7390" w:rsidRDefault="000F48AC" w:rsidP="00D0533C"/>
    <w:p w:rsidR="000F48AC" w:rsidRDefault="000F48AC">
      <w:pPr>
        <w:keepNext/>
        <w:ind w:left="720"/>
      </w:pPr>
      <w:r w:rsidRPr="00B9101F">
        <w:rPr>
          <w:b/>
        </w:rPr>
        <w:t>Administrative Staff Semi-Structured Interviews</w:t>
      </w:r>
      <w:r>
        <w:t>.</w:t>
      </w:r>
      <w:r w:rsidRPr="00777630">
        <w:t xml:space="preserve"> I</w:t>
      </w:r>
      <w:r w:rsidRPr="002D33C1">
        <w:t>ndividuals</w:t>
      </w:r>
      <w:r>
        <w:t xml:space="preserve"> from each of the 48 Grantee sites</w:t>
      </w:r>
      <w:r w:rsidRPr="002D33C1">
        <w:t xml:space="preserve"> who perform administrative tasks related to the TCE-HIV program (e.g., </w:t>
      </w:r>
      <w:r>
        <w:t>p</w:t>
      </w:r>
      <w:r w:rsidRPr="002D33C1">
        <w:t xml:space="preserve">roject </w:t>
      </w:r>
      <w:r>
        <w:t>d</w:t>
      </w:r>
      <w:r w:rsidRPr="002D33C1">
        <w:t xml:space="preserve">irector, </w:t>
      </w:r>
      <w:r>
        <w:t>p</w:t>
      </w:r>
      <w:r w:rsidRPr="002D33C1">
        <w:t xml:space="preserve">rogram </w:t>
      </w:r>
      <w:r>
        <w:t>m</w:t>
      </w:r>
      <w:r w:rsidRPr="002D33C1">
        <w:t xml:space="preserve">anager, and </w:t>
      </w:r>
      <w:r>
        <w:t>e</w:t>
      </w:r>
      <w:r w:rsidRPr="002D33C1">
        <w:t xml:space="preserve">xecutive </w:t>
      </w:r>
      <w:r>
        <w:t>d</w:t>
      </w:r>
      <w:r w:rsidRPr="002D33C1">
        <w:t>irector)</w:t>
      </w:r>
      <w:r>
        <w:t xml:space="preserve"> are eligible to be interviewed and their input will help document community and contextual factors. It is estimated that two administrative staff members per Grantee site will be interviewed in Year 3 and Year 4 of the Multi-Site Evaluation. (See Attachment 3 - Document 1</w:t>
      </w:r>
      <w:r w:rsidRPr="00B35B88">
        <w:t>).</w:t>
      </w:r>
    </w:p>
    <w:p w:rsidR="000F48AC" w:rsidRDefault="000F48AC" w:rsidP="00420784">
      <w:pPr>
        <w:keepNext/>
      </w:pPr>
      <w:r>
        <w:t xml:space="preserve"> </w:t>
      </w:r>
    </w:p>
    <w:p w:rsidR="000F48AC" w:rsidRDefault="000F48AC">
      <w:pPr>
        <w:pStyle w:val="bodytext"/>
        <w:spacing w:after="0" w:line="240" w:lineRule="auto"/>
        <w:ind w:left="720"/>
      </w:pPr>
      <w:r>
        <w:rPr>
          <w:rFonts w:eastAsia="MS Mincho"/>
        </w:rPr>
        <w:t>It is estimated that two administrative staff members per Grantee site will be interviewed in a two-part interview session. The first part of the interview</w:t>
      </w:r>
      <w:r w:rsidRPr="00A04CB5">
        <w:rPr>
          <w:rFonts w:eastAsia="MS Mincho"/>
        </w:rPr>
        <w:t xml:space="preserve"> wi</w:t>
      </w:r>
      <w:r>
        <w:rPr>
          <w:rFonts w:eastAsia="MS Mincho"/>
        </w:rPr>
        <w:t>ll be conducted with an executive st</w:t>
      </w:r>
      <w:r w:rsidRPr="00A04CB5">
        <w:rPr>
          <w:rFonts w:eastAsia="MS Mincho"/>
        </w:rPr>
        <w:t xml:space="preserve">aff member of the agency; and the second </w:t>
      </w:r>
      <w:r>
        <w:rPr>
          <w:rFonts w:eastAsia="MS Mincho"/>
        </w:rPr>
        <w:t>part</w:t>
      </w:r>
      <w:r w:rsidRPr="00A04CB5">
        <w:rPr>
          <w:rFonts w:eastAsia="MS Mincho"/>
        </w:rPr>
        <w:t xml:space="preserve"> with the </w:t>
      </w:r>
      <w:r>
        <w:rPr>
          <w:rFonts w:eastAsia="MS Mincho"/>
        </w:rPr>
        <w:t>p</w:t>
      </w:r>
      <w:r w:rsidRPr="00A04CB5">
        <w:rPr>
          <w:rFonts w:eastAsia="MS Mincho"/>
        </w:rPr>
        <w:t xml:space="preserve">roject </w:t>
      </w:r>
      <w:r>
        <w:rPr>
          <w:rFonts w:eastAsia="MS Mincho"/>
        </w:rPr>
        <w:t>d</w:t>
      </w:r>
      <w:r w:rsidRPr="00A04CB5">
        <w:rPr>
          <w:rFonts w:eastAsia="MS Mincho"/>
        </w:rPr>
        <w:t xml:space="preserve">irector, </w:t>
      </w:r>
      <w:r>
        <w:rPr>
          <w:rFonts w:eastAsia="MS Mincho"/>
        </w:rPr>
        <w:t>p</w:t>
      </w:r>
      <w:r w:rsidRPr="00A04CB5">
        <w:rPr>
          <w:rFonts w:eastAsia="MS Mincho"/>
        </w:rPr>
        <w:t xml:space="preserve">rogram </w:t>
      </w:r>
      <w:r>
        <w:rPr>
          <w:rFonts w:eastAsia="MS Mincho"/>
        </w:rPr>
        <w:t>m</w:t>
      </w:r>
      <w:r w:rsidRPr="00A04CB5">
        <w:rPr>
          <w:rFonts w:eastAsia="MS Mincho"/>
        </w:rPr>
        <w:t>anager</w:t>
      </w:r>
      <w:r>
        <w:rPr>
          <w:rFonts w:eastAsia="MS Mincho"/>
        </w:rPr>
        <w:t>,</w:t>
      </w:r>
      <w:r w:rsidRPr="00A04CB5">
        <w:rPr>
          <w:rFonts w:eastAsia="MS Mincho"/>
        </w:rPr>
        <w:t xml:space="preserve"> or </w:t>
      </w:r>
      <w:r>
        <w:rPr>
          <w:rFonts w:eastAsia="MS Mincho"/>
        </w:rPr>
        <w:t>p</w:t>
      </w:r>
      <w:r w:rsidRPr="00A04CB5">
        <w:rPr>
          <w:rFonts w:eastAsia="MS Mincho"/>
        </w:rPr>
        <w:t xml:space="preserve">rogram </w:t>
      </w:r>
      <w:r>
        <w:rPr>
          <w:rFonts w:eastAsia="MS Mincho"/>
        </w:rPr>
        <w:t>c</w:t>
      </w:r>
      <w:r w:rsidRPr="00A04CB5">
        <w:rPr>
          <w:rFonts w:eastAsia="MS Mincho"/>
        </w:rPr>
        <w:t>oordinator of</w:t>
      </w:r>
      <w:r>
        <w:rPr>
          <w:rFonts w:eastAsia="MS Mincho"/>
        </w:rPr>
        <w:t xml:space="preserve"> the TCE-HIV project. The determination was made to conduct a two-part interview with these two categories of staff </w:t>
      </w:r>
      <w:r w:rsidRPr="00A04CB5">
        <w:rPr>
          <w:rFonts w:eastAsia="MS Mincho"/>
        </w:rPr>
        <w:t xml:space="preserve">because </w:t>
      </w:r>
      <w:r>
        <w:rPr>
          <w:rFonts w:eastAsia="MS Mincho"/>
        </w:rPr>
        <w:t xml:space="preserve">sometimes </w:t>
      </w:r>
      <w:r w:rsidRPr="00A04CB5">
        <w:rPr>
          <w:rFonts w:eastAsia="MS Mincho"/>
        </w:rPr>
        <w:t xml:space="preserve">these staff </w:t>
      </w:r>
      <w:r>
        <w:rPr>
          <w:rFonts w:eastAsia="MS Mincho"/>
        </w:rPr>
        <w:t xml:space="preserve">members </w:t>
      </w:r>
      <w:r w:rsidRPr="00A04CB5">
        <w:rPr>
          <w:rFonts w:eastAsia="MS Mincho"/>
        </w:rPr>
        <w:t xml:space="preserve">have different perspectives on some of the key issues to be explored. In some instances, one person from the agency </w:t>
      </w:r>
      <w:r>
        <w:rPr>
          <w:rFonts w:eastAsia="MS Mincho"/>
        </w:rPr>
        <w:t>may</w:t>
      </w:r>
      <w:r w:rsidRPr="00A04CB5">
        <w:rPr>
          <w:rFonts w:eastAsia="MS Mincho"/>
        </w:rPr>
        <w:t xml:space="preserve"> fulfill both roles/positions. In this situation, the full interview will be conducted with that person.</w:t>
      </w:r>
    </w:p>
    <w:p w:rsidR="000F48AC" w:rsidRPr="002D33C1" w:rsidRDefault="000F48AC" w:rsidP="00D0533C">
      <w:pPr>
        <w:pStyle w:val="bodytext"/>
        <w:spacing w:after="0" w:line="240" w:lineRule="auto"/>
      </w:pPr>
      <w:r>
        <w:t xml:space="preserve"> </w:t>
      </w:r>
    </w:p>
    <w:p w:rsidR="000F48AC" w:rsidRDefault="000F48AC">
      <w:pPr>
        <w:keepNext/>
        <w:ind w:left="720"/>
      </w:pPr>
      <w:r w:rsidRPr="00B9101F">
        <w:rPr>
          <w:b/>
        </w:rPr>
        <w:t>Direct Services Staff Semi-Structured Interviews</w:t>
      </w:r>
      <w:r>
        <w:t>.</w:t>
      </w:r>
      <w:r w:rsidRPr="002D33C1">
        <w:t xml:space="preserve"> Individuals from the </w:t>
      </w:r>
      <w:r>
        <w:t xml:space="preserve">48 </w:t>
      </w:r>
      <w:r w:rsidRPr="002D33C1">
        <w:t>Grantee organization</w:t>
      </w:r>
      <w:r>
        <w:t>s</w:t>
      </w:r>
      <w:r w:rsidRPr="002D33C1">
        <w:t xml:space="preserve"> who have direct contact with clients to perform </w:t>
      </w:r>
      <w:r>
        <w:t xml:space="preserve">outreach/pretreatment and/or </w:t>
      </w:r>
      <w:r w:rsidRPr="002D33C1">
        <w:t>treatment</w:t>
      </w:r>
      <w:r>
        <w:t>-</w:t>
      </w:r>
      <w:r w:rsidRPr="002D33C1">
        <w:t xml:space="preserve">related </w:t>
      </w:r>
      <w:r>
        <w:t>services</w:t>
      </w:r>
      <w:r w:rsidRPr="002D33C1">
        <w:t xml:space="preserve"> will be eligible to be interviewed. Examples of </w:t>
      </w:r>
      <w:r>
        <w:t>people</w:t>
      </w:r>
      <w:r w:rsidRPr="002D33C1">
        <w:t xml:space="preserve"> performing direct service</w:t>
      </w:r>
      <w:r>
        <w:t xml:space="preserve">s </w:t>
      </w:r>
      <w:r w:rsidRPr="002D33C1">
        <w:t xml:space="preserve">include outreach workers, counselors, and case managers. </w:t>
      </w:r>
      <w:r>
        <w:t>It is estimated that up to nine direct service staff members per Grantee site will</w:t>
      </w:r>
      <w:r w:rsidRPr="002D33C1">
        <w:t xml:space="preserve"> participate in </w:t>
      </w:r>
      <w:r>
        <w:t>the</w:t>
      </w:r>
      <w:r w:rsidRPr="002D33C1">
        <w:t xml:space="preserve"> interview session</w:t>
      </w:r>
      <w:r>
        <w:t xml:space="preserve"> conducted during site visits in Year 3 and Year 4 (See Attachment 5 - Document 1</w:t>
      </w:r>
      <w:r w:rsidRPr="00B35B88">
        <w:t>).</w:t>
      </w:r>
    </w:p>
    <w:p w:rsidR="000F48AC" w:rsidRPr="00736721" w:rsidRDefault="000F48AC" w:rsidP="00D0533C">
      <w:pPr>
        <w:rPr>
          <w:u w:val="single"/>
        </w:rPr>
      </w:pPr>
    </w:p>
    <w:p w:rsidR="000F48AC" w:rsidRDefault="000F48AC">
      <w:pPr>
        <w:pStyle w:val="bodytext"/>
        <w:spacing w:after="0" w:line="240" w:lineRule="auto"/>
        <w:ind w:left="720"/>
      </w:pPr>
      <w:r w:rsidRPr="00B9101F">
        <w:rPr>
          <w:b/>
        </w:rPr>
        <w:t>Community Partners/Collaborators Semi-Structured Interviews</w:t>
      </w:r>
      <w:r>
        <w:t>.</w:t>
      </w:r>
      <w:r w:rsidRPr="00B9101F">
        <w:t xml:space="preserve"> </w:t>
      </w:r>
      <w:r w:rsidRPr="00856544">
        <w:t xml:space="preserve">Grantee community </w:t>
      </w:r>
      <w:r w:rsidRPr="00682A6F">
        <w:t xml:space="preserve">partners/collaborators </w:t>
      </w:r>
      <w:r>
        <w:t xml:space="preserve">are those </w:t>
      </w:r>
      <w:r w:rsidRPr="002D33C1">
        <w:t xml:space="preserve">agencies or organizations that provide services and activities related to the TCE-HIV program. </w:t>
      </w:r>
      <w:r>
        <w:t xml:space="preserve">It is estimated that up to five community partners/collaborators per Grantee may participate </w:t>
      </w:r>
      <w:r w:rsidRPr="002D33C1">
        <w:t>in</w:t>
      </w:r>
      <w:r>
        <w:t xml:space="preserve"> the interview sessions conducted during site visits in Year 3 and Year 4. Grantees may have more than five community partners, thus selection criteria has been developed to prioritize partners recruited to be interviewed. Selection criteria include whether the partner/collaborator provides the following services: treatment, housing, employment, re-entry criminal justice services, and medical services. These priorities may shift based on the nature of the Grantee program (e.g., for programs targeting HIV positive clients, interviews with partners providing medical care would be a main priority). (See Attachment 7 - Document 1</w:t>
      </w:r>
      <w:r w:rsidRPr="00BB36EF">
        <w:t>).</w:t>
      </w:r>
    </w:p>
    <w:p w:rsidR="000F48AC" w:rsidRPr="001D6DE0" w:rsidRDefault="000F48AC" w:rsidP="00D0533C">
      <w:pPr>
        <w:rPr>
          <w:u w:val="single"/>
        </w:rPr>
      </w:pPr>
    </w:p>
    <w:p w:rsidR="000F48AC" w:rsidRDefault="000F48AC">
      <w:pPr>
        <w:ind w:left="720"/>
        <w:rPr>
          <w:u w:val="single"/>
        </w:rPr>
      </w:pPr>
      <w:r w:rsidRPr="00B9101F">
        <w:rPr>
          <w:b/>
        </w:rPr>
        <w:t>Client Focus Groups</w:t>
      </w:r>
      <w:r>
        <w:rPr>
          <w:b/>
        </w:rPr>
        <w:t>.</w:t>
      </w:r>
      <w:r>
        <w:t xml:space="preserve"> The targeted universe for the client focus groups are clients who have been in substance abuse treatment for at least 14 days. </w:t>
      </w:r>
      <w:r w:rsidRPr="003039ED">
        <w:t xml:space="preserve">The Multi-Site Evaluation </w:t>
      </w:r>
      <w:r>
        <w:t>Team</w:t>
      </w:r>
      <w:r w:rsidRPr="003039ED">
        <w:t xml:space="preserve"> will work collaboratively with </w:t>
      </w:r>
      <w:r w:rsidRPr="009015DA">
        <w:t xml:space="preserve">Grantee staff to identify client focus group participants. A member of the Grantee staff assigned to help with </w:t>
      </w:r>
      <w:r>
        <w:t>f</w:t>
      </w:r>
      <w:r w:rsidRPr="009015DA">
        <w:t>ocus group recruitment will be asked for assistance in the distribution of flyers advertising the focus group, announcing the focus group to clients whe</w:t>
      </w:r>
      <w:r>
        <w:t>n</w:t>
      </w:r>
      <w:r w:rsidRPr="009015DA">
        <w:t xml:space="preserve"> appropriate, and serving as a primary point of contact regarding the client focus group. See </w:t>
      </w:r>
      <w:r>
        <w:t>Attachment 2b - Document 2</w:t>
      </w:r>
      <w:r w:rsidRPr="009015DA">
        <w:t xml:space="preserve"> for </w:t>
      </w:r>
      <w:r>
        <w:t xml:space="preserve">an </w:t>
      </w:r>
      <w:r w:rsidRPr="009015DA">
        <w:t xml:space="preserve">example of </w:t>
      </w:r>
      <w:r>
        <w:t>a f</w:t>
      </w:r>
      <w:r w:rsidRPr="009015DA">
        <w:t xml:space="preserve">ocus </w:t>
      </w:r>
      <w:r>
        <w:t>g</w:t>
      </w:r>
      <w:r w:rsidRPr="009015DA">
        <w:t xml:space="preserve">roup </w:t>
      </w:r>
      <w:r>
        <w:t>r</w:t>
      </w:r>
      <w:r w:rsidRPr="009015DA">
        <w:t xml:space="preserve">ecruitment </w:t>
      </w:r>
      <w:r>
        <w:t>f</w:t>
      </w:r>
      <w:r w:rsidRPr="009015DA">
        <w:t xml:space="preserve">lyer and </w:t>
      </w:r>
      <w:r>
        <w:t>Attachment 2b – Document 3</w:t>
      </w:r>
      <w:r w:rsidRPr="009015DA">
        <w:t xml:space="preserve"> for the </w:t>
      </w:r>
      <w:r>
        <w:t>c</w:t>
      </w:r>
      <w:r w:rsidRPr="009015DA">
        <w:t xml:space="preserve">lient </w:t>
      </w:r>
      <w:r>
        <w:t>f</w:t>
      </w:r>
      <w:r w:rsidRPr="009015DA">
        <w:t xml:space="preserve">ocus </w:t>
      </w:r>
      <w:r>
        <w:t>g</w:t>
      </w:r>
      <w:r w:rsidRPr="009015DA">
        <w:t xml:space="preserve">roup </w:t>
      </w:r>
      <w:r>
        <w:t>s</w:t>
      </w:r>
      <w:r w:rsidRPr="009015DA">
        <w:t>ign-</w:t>
      </w:r>
      <w:r>
        <w:t>u</w:t>
      </w:r>
      <w:r w:rsidRPr="009015DA">
        <w:t xml:space="preserve">p </w:t>
      </w:r>
      <w:r>
        <w:t>r</w:t>
      </w:r>
      <w:r w:rsidRPr="009015DA">
        <w:t xml:space="preserve">oster. The focus groups will strive for a balance in participants with regard to gender, age, length and number of times in treatment, and serostatus. It is estimated that up to </w:t>
      </w:r>
      <w:r>
        <w:t>9</w:t>
      </w:r>
      <w:r w:rsidRPr="009015DA">
        <w:t xml:space="preserve"> clients </w:t>
      </w:r>
      <w:r>
        <w:t>from</w:t>
      </w:r>
      <w:r w:rsidRPr="009015DA">
        <w:t xml:space="preserve"> each of the</w:t>
      </w:r>
      <w:r>
        <w:t xml:space="preserve"> 40 treatment Grantees will participate in focus groups conducted during site visits in Year 3 and Year 4. (See Attachment 1a - Document 1.</w:t>
      </w:r>
      <w:r w:rsidRPr="005A7873">
        <w:t>)</w:t>
      </w:r>
    </w:p>
    <w:p w:rsidR="000F48AC" w:rsidRPr="004C7390" w:rsidRDefault="000F48AC" w:rsidP="00D0533C">
      <w:pPr>
        <w:rPr>
          <w:u w:val="single"/>
        </w:rPr>
      </w:pPr>
    </w:p>
    <w:p w:rsidR="000F48AC" w:rsidRDefault="000F48AC">
      <w:pPr>
        <w:ind w:left="720"/>
      </w:pPr>
      <w:r w:rsidRPr="00B9101F">
        <w:rPr>
          <w:b/>
        </w:rPr>
        <w:t>Client Survey</w:t>
      </w:r>
      <w:bookmarkEnd w:id="65"/>
      <w:r>
        <w:t xml:space="preserve">. </w:t>
      </w:r>
      <w:r w:rsidRPr="00856544">
        <w:t>The targeted universe for the</w:t>
      </w:r>
      <w:r>
        <w:t xml:space="preserve"> </w:t>
      </w:r>
      <w:r w:rsidRPr="00856544">
        <w:t>Multi-Site Evaluation client surveys are clients from the 4</w:t>
      </w:r>
      <w:r>
        <w:t>0</w:t>
      </w:r>
      <w:r w:rsidRPr="00856544">
        <w:t xml:space="preserve"> treatment Grantee programs. </w:t>
      </w:r>
      <w:bookmarkStart w:id="66" w:name="_Toc131564371"/>
      <w:r>
        <w:t>C</w:t>
      </w:r>
      <w:r w:rsidRPr="00856544">
        <w:t xml:space="preserve">lients who enter treatment following OMB clearance will be eligible to be surveyed. </w:t>
      </w:r>
      <w:r>
        <w:t>The first 60</w:t>
      </w:r>
      <w:r w:rsidRPr="00856544">
        <w:t xml:space="preserve"> clients </w:t>
      </w:r>
      <w:r>
        <w:t>from</w:t>
      </w:r>
      <w:r w:rsidRPr="00856544">
        <w:t xml:space="preserve"> </w:t>
      </w:r>
      <w:r>
        <w:t xml:space="preserve">each of the </w:t>
      </w:r>
      <w:r w:rsidRPr="00856544">
        <w:t>4</w:t>
      </w:r>
      <w:r>
        <w:t>0</w:t>
      </w:r>
      <w:r w:rsidRPr="00856544">
        <w:t xml:space="preserve"> treatment Grantees </w:t>
      </w:r>
      <w:r>
        <w:t xml:space="preserve">who are administered the GPRA Tool </w:t>
      </w:r>
      <w:r w:rsidRPr="00856544">
        <w:t xml:space="preserve">will be </w:t>
      </w:r>
      <w:r>
        <w:t xml:space="preserve">approached to be </w:t>
      </w:r>
      <w:r w:rsidRPr="00856544">
        <w:t>surveyed. The client surveys will be administered by trained Grantee program counselors when clients enter the treatment program. All of those</w:t>
      </w:r>
      <w:r>
        <w:t xml:space="preserve"> clients</w:t>
      </w:r>
      <w:r w:rsidRPr="00856544">
        <w:t xml:space="preserve"> receiving the baseline survey will </w:t>
      </w:r>
      <w:r>
        <w:t xml:space="preserve">be asked to </w:t>
      </w:r>
      <w:r w:rsidRPr="00856544">
        <w:t xml:space="preserve">complete a follow-up survey at discharge, and at </w:t>
      </w:r>
      <w:r w:rsidRPr="00FF3860">
        <w:t>6</w:t>
      </w:r>
      <w:r>
        <w:t xml:space="preserve"> </w:t>
      </w:r>
      <w:r w:rsidRPr="00FF3860">
        <w:t xml:space="preserve">months post </w:t>
      </w:r>
      <w:r>
        <w:t>baseline</w:t>
      </w:r>
      <w:r w:rsidRPr="00856544">
        <w:t>.</w:t>
      </w:r>
      <w:r>
        <w:t xml:space="preserve"> It is expected that the use of tracking mechanisms will result in an 80 percent response rate at 6 </w:t>
      </w:r>
      <w:r w:rsidRPr="00FF3860">
        <w:t xml:space="preserve">months post </w:t>
      </w:r>
      <w:r>
        <w:t>baseline. (See Attachment 1a - Documents 2 and 3, Attachment 1b - Document 1).</w:t>
      </w:r>
    </w:p>
    <w:p w:rsidR="000F48AC" w:rsidRDefault="000F48AC" w:rsidP="00D0533C">
      <w:pPr>
        <w:rPr>
          <w:u w:val="single"/>
        </w:rPr>
      </w:pPr>
      <w:bookmarkStart w:id="67" w:name="_Toc8007710"/>
      <w:bookmarkStart w:id="68" w:name="_Toc88277973"/>
      <w:bookmarkStart w:id="69" w:name="_Toc131564372"/>
      <w:bookmarkEnd w:id="66"/>
    </w:p>
    <w:p w:rsidR="000F48AC" w:rsidRDefault="000F48AC">
      <w:pPr>
        <w:ind w:firstLine="720"/>
        <w:rPr>
          <w:b/>
          <w:bCs/>
        </w:rPr>
      </w:pPr>
      <w:r w:rsidRPr="007B2EF8">
        <w:rPr>
          <w:b/>
          <w:bCs/>
        </w:rPr>
        <w:t>2.</w:t>
      </w:r>
      <w:r w:rsidRPr="007B2EF8">
        <w:rPr>
          <w:b/>
          <w:bCs/>
        </w:rPr>
        <w:tab/>
      </w:r>
      <w:bookmarkEnd w:id="67"/>
      <w:r w:rsidRPr="007B2EF8">
        <w:rPr>
          <w:b/>
          <w:bCs/>
          <w:u w:val="single"/>
        </w:rPr>
        <w:t>Information</w:t>
      </w:r>
      <w:bookmarkEnd w:id="68"/>
      <w:r w:rsidRPr="007B2EF8">
        <w:rPr>
          <w:b/>
          <w:bCs/>
          <w:u w:val="single"/>
        </w:rPr>
        <w:t xml:space="preserve"> Collection Procedures</w:t>
      </w:r>
      <w:bookmarkEnd w:id="69"/>
    </w:p>
    <w:p w:rsidR="000F48AC" w:rsidRPr="007B2EF8" w:rsidRDefault="000F48AC" w:rsidP="00D0533C">
      <w:bookmarkStart w:id="70" w:name="_Toc88277977"/>
    </w:p>
    <w:p w:rsidR="000F48AC" w:rsidRDefault="000F48AC">
      <w:pPr>
        <w:ind w:left="720"/>
      </w:pPr>
      <w:r>
        <w:t>To conduct the Multi-Site Evaluation, d</w:t>
      </w:r>
      <w:r w:rsidRPr="00A31C1D">
        <w:t>ata will be collected using different methods for each of the two</w:t>
      </w:r>
      <w:r>
        <w:t xml:space="preserve"> </w:t>
      </w:r>
      <w:r w:rsidRPr="00A31C1D">
        <w:t>data collection points</w:t>
      </w:r>
      <w:r>
        <w:t xml:space="preserve"> (i.e., during Year 3 and Year 4 site visits)</w:t>
      </w:r>
      <w:r w:rsidRPr="00A31C1D">
        <w:t xml:space="preserve">, as well as the ongoing </w:t>
      </w:r>
      <w:r>
        <w:t>c</w:t>
      </w:r>
      <w:r w:rsidRPr="00A31C1D">
        <w:t xml:space="preserve">lient </w:t>
      </w:r>
      <w:r>
        <w:t>s</w:t>
      </w:r>
      <w:r w:rsidRPr="00A31C1D">
        <w:t xml:space="preserve">urvey data collection. Each data collection method </w:t>
      </w:r>
      <w:r>
        <w:t>proposed</w:t>
      </w:r>
      <w:r w:rsidRPr="00A31C1D">
        <w:t xml:space="preserve"> supports the </w:t>
      </w:r>
      <w:r>
        <w:t>evaluation goals and objectives.</w:t>
      </w:r>
      <w:r w:rsidRPr="006C0B50">
        <w:rPr>
          <w:rFonts w:ascii="Arial" w:hAnsi="Arial" w:cs="Arial"/>
        </w:rPr>
        <w:t xml:space="preserve"> </w:t>
      </w:r>
      <w:r w:rsidRPr="006C0B50">
        <w:t xml:space="preserve">The </w:t>
      </w:r>
      <w:r>
        <w:t xml:space="preserve">data </w:t>
      </w:r>
      <w:r w:rsidRPr="006C0B50">
        <w:t>collection process will be a careful and systematic mixed-method data collection approach</w:t>
      </w:r>
      <w:r>
        <w:t>, in order</w:t>
      </w:r>
      <w:r w:rsidRPr="006C0B50">
        <w:t xml:space="preserve"> to gather high quality data</w:t>
      </w:r>
      <w:r>
        <w:t xml:space="preserve"> from each of the 48 TCE-HIV Grantees</w:t>
      </w:r>
      <w:r w:rsidRPr="006C0B50">
        <w:t>.</w:t>
      </w:r>
      <w:r>
        <w:t xml:space="preserve"> Attachment </w:t>
      </w:r>
      <w:r w:rsidRPr="005A7873">
        <w:t>4</w:t>
      </w:r>
      <w:r>
        <w:t xml:space="preserve"> - Document 2 </w:t>
      </w:r>
      <w:r w:rsidRPr="00474303">
        <w:t>p</w:t>
      </w:r>
      <w:r>
        <w:t xml:space="preserve">resents the proposed estimated universe and selection methods for the project. Semi-structured interviews, focus groups, and client surveys will be used to collect data from the target population (e.g., Grantee staff, partners/collaborators, and clients). A general description of key data collection procedures is provided below. A description of the site visit and data collection instruments is also provided. </w:t>
      </w:r>
    </w:p>
    <w:p w:rsidR="000F48AC" w:rsidRDefault="000F48AC" w:rsidP="00D0533C"/>
    <w:p w:rsidR="000F48AC" w:rsidRDefault="000F48AC">
      <w:pPr>
        <w:ind w:left="720"/>
      </w:pPr>
      <w:r w:rsidRPr="000F5A82">
        <w:rPr>
          <w:b/>
          <w:bCs/>
        </w:rPr>
        <w:t>Site Visits.</w:t>
      </w:r>
      <w:r>
        <w:t xml:space="preserve"> To plan the Year 3 site visits, a Multi-Site Evaluation team member will call the Grantee Project Director. See </w:t>
      </w:r>
      <w:r w:rsidRPr="005A7873">
        <w:t xml:space="preserve">Attachment </w:t>
      </w:r>
      <w:r>
        <w:t xml:space="preserve">4 - Document 3 for the site visit call script. The initial phone contact will be followed by an e-mail confirmation letter that provides additional details about the site visit. See </w:t>
      </w:r>
      <w:r w:rsidRPr="005A7873">
        <w:t xml:space="preserve">Attachment </w:t>
      </w:r>
      <w:r>
        <w:t>4-Document 4 for a sample site visit confirmation letter.</w:t>
      </w:r>
    </w:p>
    <w:p w:rsidR="000F48AC" w:rsidRDefault="000F48AC" w:rsidP="00D0533C"/>
    <w:p w:rsidR="000F48AC" w:rsidRDefault="000F48AC">
      <w:pPr>
        <w:ind w:left="720"/>
      </w:pPr>
      <w:r w:rsidRPr="00975F48">
        <w:t>The Multi-Site Evaluation Team will conduct site visits at two data collection time points</w:t>
      </w:r>
      <w:r>
        <w:t xml:space="preserve"> with each of the 48 Grantees. For the Year 3 site visits,</w:t>
      </w:r>
      <w:r w:rsidRPr="00975F48">
        <w:t xml:space="preserve"> </w:t>
      </w:r>
      <w:r>
        <w:t xml:space="preserve">a Multi-Site Evaluation team member will contact the Grantees to schedule the site visit. </w:t>
      </w:r>
      <w:r w:rsidRPr="00975F48">
        <w:t xml:space="preserve">The </w:t>
      </w:r>
      <w:r>
        <w:t>Year 4</w:t>
      </w:r>
      <w:r w:rsidRPr="00975F48">
        <w:t xml:space="preserve"> visit will be conducted approxi</w:t>
      </w:r>
      <w:r>
        <w:t>mately 16 months</w:t>
      </w:r>
      <w:r w:rsidRPr="00975F48">
        <w:t xml:space="preserve"> following </w:t>
      </w:r>
      <w:r>
        <w:t>Year 3 site visit</w:t>
      </w:r>
      <w:r w:rsidRPr="00975F48">
        <w:t xml:space="preserve">. Each site visit will be conducted by </w:t>
      </w:r>
      <w:r>
        <w:t>experienced</w:t>
      </w:r>
      <w:r w:rsidRPr="00975F48">
        <w:t xml:space="preserve"> member</w:t>
      </w:r>
      <w:r>
        <w:t>s</w:t>
      </w:r>
      <w:r w:rsidRPr="00975F48">
        <w:t xml:space="preserve"> </w:t>
      </w:r>
      <w:r>
        <w:t>of</w:t>
      </w:r>
      <w:r w:rsidRPr="00975F48">
        <w:t xml:space="preserve"> the Multi-Site Evaluation Team.</w:t>
      </w:r>
      <w:r>
        <w:t xml:space="preserve"> The site visits are anticipated to last 2 </w:t>
      </w:r>
      <w:r w:rsidRPr="00975F48">
        <w:t>days</w:t>
      </w:r>
      <w:r>
        <w:t>,</w:t>
      </w:r>
      <w:r w:rsidRPr="00975F48">
        <w:t xml:space="preserve"> in order to gather all required data. The purpose of the site visits are to observe program processes, to conduct semi-structured interviews with project staff and community </w:t>
      </w:r>
      <w:r>
        <w:t>partn</w:t>
      </w:r>
      <w:r w:rsidRPr="00975F48">
        <w:t>ers</w:t>
      </w:r>
      <w:r>
        <w:t>/collaborators</w:t>
      </w:r>
      <w:r w:rsidRPr="00975F48">
        <w:t xml:space="preserve">, to conduct client focus groups, and to provide </w:t>
      </w:r>
      <w:r>
        <w:t>technical assistance</w:t>
      </w:r>
      <w:r w:rsidRPr="00975F48">
        <w:t xml:space="preserve"> </w:t>
      </w:r>
      <w:r>
        <w:t xml:space="preserve">to Grantees </w:t>
      </w:r>
      <w:r w:rsidRPr="00975F48">
        <w:t>on</w:t>
      </w:r>
      <w:r>
        <w:t xml:space="preserve"> client</w:t>
      </w:r>
      <w:r w:rsidRPr="00975F48">
        <w:t xml:space="preserve"> survey </w:t>
      </w:r>
      <w:r>
        <w:t>administration.</w:t>
      </w:r>
    </w:p>
    <w:p w:rsidR="000F48AC" w:rsidRDefault="000F48AC" w:rsidP="00D0533C"/>
    <w:p w:rsidR="000F48AC" w:rsidRDefault="000F48AC">
      <w:pPr>
        <w:ind w:left="720"/>
      </w:pPr>
      <w:r w:rsidRPr="00B9101F">
        <w:rPr>
          <w:b/>
        </w:rPr>
        <w:t>Semi-Structured Interviews</w:t>
      </w:r>
      <w:r>
        <w:rPr>
          <w:b/>
        </w:rPr>
        <w:t>.</w:t>
      </w:r>
      <w:r w:rsidRPr="00A95637">
        <w:t xml:space="preserve"> </w:t>
      </w:r>
      <w:r>
        <w:t>During each site visit,</w:t>
      </w:r>
      <w:r w:rsidRPr="00F06AB7">
        <w:t xml:space="preserve"> semi-structured interviews </w:t>
      </w:r>
      <w:r>
        <w:t>will be conducted with the</w:t>
      </w:r>
      <w:r w:rsidRPr="00F06AB7">
        <w:t xml:space="preserve"> following respondents: 1) </w:t>
      </w:r>
      <w:r>
        <w:t>program administrator</w:t>
      </w:r>
      <w:r w:rsidRPr="00F06AB7">
        <w:t xml:space="preserve">, 2) Grantee </w:t>
      </w:r>
      <w:r>
        <w:t xml:space="preserve">direct services </w:t>
      </w:r>
      <w:r w:rsidRPr="00F06AB7">
        <w:t xml:space="preserve">staff, and 3) community </w:t>
      </w:r>
      <w:r>
        <w:t>partners/collaborators</w:t>
      </w:r>
      <w:r w:rsidRPr="00F06AB7">
        <w:t>. The semi-structured interview</w:t>
      </w:r>
      <w:r>
        <w:t xml:space="preserve"> proces</w:t>
      </w:r>
      <w:r w:rsidRPr="00F06AB7">
        <w:t xml:space="preserve">s will be led by a senior </w:t>
      </w:r>
      <w:r>
        <w:t>Multi-Site E</w:t>
      </w:r>
      <w:r w:rsidRPr="00F06AB7">
        <w:t xml:space="preserve">valuation </w:t>
      </w:r>
      <w:r>
        <w:t>T</w:t>
      </w:r>
      <w:r w:rsidRPr="00F06AB7">
        <w:t>eam member. The interview</w:t>
      </w:r>
      <w:r>
        <w:t>s</w:t>
      </w:r>
      <w:r w:rsidRPr="00F06AB7">
        <w:t xml:space="preserve"> may take </w:t>
      </w:r>
      <w:r w:rsidRPr="009015DA">
        <w:t xml:space="preserve">place with a single </w:t>
      </w:r>
      <w:r>
        <w:t>respondent</w:t>
      </w:r>
      <w:r w:rsidRPr="009015DA">
        <w:t xml:space="preserve"> or a group of </w:t>
      </w:r>
      <w:r>
        <w:t>respondents</w:t>
      </w:r>
      <w:r w:rsidRPr="009015DA">
        <w:t xml:space="preserve"> (e.g., more than one treatment staff member may be interviewed in the same session). The lead interviewer will describe the purpose of the interview</w:t>
      </w:r>
      <w:r>
        <w:t xml:space="preserve"> and </w:t>
      </w:r>
      <w:r w:rsidRPr="009015DA">
        <w:t xml:space="preserve">have respondent(s) review and sign </w:t>
      </w:r>
      <w:r>
        <w:t xml:space="preserve">the </w:t>
      </w:r>
      <w:r w:rsidRPr="009015DA">
        <w:t xml:space="preserve">informed consent </w:t>
      </w:r>
      <w:r>
        <w:t>form (Attachment</w:t>
      </w:r>
      <w:r w:rsidRPr="005A7873">
        <w:t xml:space="preserve"> </w:t>
      </w:r>
      <w:r>
        <w:t>4 - Document 5, Attachments 6 and 8</w:t>
      </w:r>
      <w:r w:rsidRPr="005A7873">
        <w:t>).</w:t>
      </w:r>
      <w:r w:rsidRPr="009015DA">
        <w:t xml:space="preserve"> The </w:t>
      </w:r>
      <w:r>
        <w:t xml:space="preserve">lead </w:t>
      </w:r>
      <w:r w:rsidRPr="009015DA">
        <w:t xml:space="preserve">interviewer will use the appropriate interview guide (e.g., administrator, </w:t>
      </w:r>
      <w:r>
        <w:t>direct services</w:t>
      </w:r>
      <w:r w:rsidRPr="009015DA">
        <w:t xml:space="preserve"> staff, </w:t>
      </w:r>
      <w:r>
        <w:t>partners/</w:t>
      </w:r>
      <w:r w:rsidRPr="009015DA">
        <w:t>collaborator</w:t>
      </w:r>
      <w:r>
        <w:t>s</w:t>
      </w:r>
      <w:r w:rsidRPr="009015DA">
        <w:t xml:space="preserve">) for conducting the interviews (see </w:t>
      </w:r>
      <w:r>
        <w:t>Attachment 3 - Document 1, Attachment 5 - Document 1, Attachment 7 - Document 1</w:t>
      </w:r>
      <w:r w:rsidRPr="005A7873">
        <w:t>).</w:t>
      </w:r>
      <w:r w:rsidRPr="009015DA">
        <w:t xml:space="preserve"> The lead interviewer will guide the discussion </w:t>
      </w:r>
      <w:r>
        <w:t xml:space="preserve">and </w:t>
      </w:r>
      <w:r w:rsidRPr="009015DA">
        <w:t xml:space="preserve">respondents will complete a participant demographic information </w:t>
      </w:r>
      <w:r w:rsidRPr="005A7873">
        <w:t>sheet</w:t>
      </w:r>
      <w:r>
        <w:t xml:space="preserve"> following the discussion</w:t>
      </w:r>
      <w:r w:rsidRPr="005A7873">
        <w:t xml:space="preserve"> (Attachment</w:t>
      </w:r>
      <w:r>
        <w:t xml:space="preserve"> 3 - Document 2, Attachment 5 – Document 2, Attachment 7 - Document 2</w:t>
      </w:r>
      <w:r w:rsidRPr="005A7873">
        <w:t>).</w:t>
      </w:r>
      <w:r w:rsidRPr="009015DA">
        <w:t xml:space="preserve"> A note taker will record in detail the respondents’ statements. To provide additional documentation, and for quality assurance, interviews will also be digitally recorded with the permission of the interviewees. At the conclusion of the interview session, the lead interviewer will summarize the discussion. Debriefing sessions will be conducted with Grantee personnel at the conclusion of the </w:t>
      </w:r>
      <w:r>
        <w:t xml:space="preserve">2-day </w:t>
      </w:r>
      <w:r w:rsidRPr="009015DA">
        <w:t>site visit to summarize the visit and address any questions posed</w:t>
      </w:r>
      <w:r>
        <w:t xml:space="preserve"> by Grantee staff about the visit</w:t>
      </w:r>
      <w:r w:rsidRPr="001043F9">
        <w:t>.</w:t>
      </w:r>
      <w:r w:rsidRPr="001043F9">
        <w:rPr>
          <w:b/>
          <w:bCs/>
        </w:rPr>
        <w:t xml:space="preserve"> </w:t>
      </w:r>
      <w:r w:rsidRPr="001043F9">
        <w:t xml:space="preserve">Follow-up telephone calls to Grantee staff </w:t>
      </w:r>
      <w:r>
        <w:t>may</w:t>
      </w:r>
      <w:r w:rsidRPr="001043F9">
        <w:t xml:space="preserve"> be </w:t>
      </w:r>
      <w:r>
        <w:t>conducted when necessary</w:t>
      </w:r>
      <w:r w:rsidRPr="001043F9">
        <w:t xml:space="preserve"> to further clarify information obtained during the visit</w:t>
      </w:r>
      <w:r>
        <w:t>.</w:t>
      </w:r>
    </w:p>
    <w:p w:rsidR="000F48AC" w:rsidRDefault="000F48AC" w:rsidP="00D0533C"/>
    <w:p w:rsidR="000F48AC" w:rsidRDefault="000F48AC">
      <w:pPr>
        <w:ind w:left="720"/>
      </w:pPr>
      <w:r w:rsidRPr="00B9101F">
        <w:rPr>
          <w:b/>
        </w:rPr>
        <w:t>Focus Groups</w:t>
      </w:r>
      <w:r>
        <w:rPr>
          <w:b/>
        </w:rPr>
        <w:t>.</w:t>
      </w:r>
      <w:r w:rsidRPr="00A95637">
        <w:t xml:space="preserve"> </w:t>
      </w:r>
      <w:r>
        <w:t xml:space="preserve">Clients from the 40 treatment Grantee sites will be recruited to participate in the in-person focus groups. A small group of clients (i.e., up to nine clients per focus group) will be invited to the focus groups discussion and guided by a moderator to address specific questions and discuss their experience in treatment. The Multi-Site Evaluation staff will work collaboratively with Grantee staff to identify and recruit client participants based on criteria including age, gender, length and number of times in treatment, and HIV serostatus. </w:t>
      </w:r>
    </w:p>
    <w:p w:rsidR="000F48AC" w:rsidRDefault="000F48AC" w:rsidP="003101FF">
      <w:pPr>
        <w:ind w:left="720"/>
      </w:pPr>
    </w:p>
    <w:p w:rsidR="000F48AC" w:rsidRDefault="000F48AC">
      <w:pPr>
        <w:ind w:left="720"/>
      </w:pPr>
      <w:r w:rsidRPr="006B699F">
        <w:t xml:space="preserve">The client focus groups will be led by a </w:t>
      </w:r>
      <w:r>
        <w:t xml:space="preserve">moderator who is a </w:t>
      </w:r>
      <w:r w:rsidRPr="006B699F">
        <w:t xml:space="preserve">senior </w:t>
      </w:r>
      <w:r>
        <w:t>Multi-Site E</w:t>
      </w:r>
      <w:r w:rsidRPr="006B699F">
        <w:t xml:space="preserve">valuation </w:t>
      </w:r>
      <w:r>
        <w:t>T</w:t>
      </w:r>
      <w:r w:rsidRPr="006B699F">
        <w:t xml:space="preserve">eam member. </w:t>
      </w:r>
      <w:r>
        <w:t>An</w:t>
      </w:r>
      <w:r w:rsidRPr="006B699F">
        <w:t xml:space="preserve"> </w:t>
      </w:r>
      <w:r>
        <w:t xml:space="preserve">additional evaluation staff person will </w:t>
      </w:r>
      <w:r w:rsidRPr="006B699F">
        <w:t xml:space="preserve">assist by attending to recording and </w:t>
      </w:r>
      <w:r>
        <w:t xml:space="preserve">note taking. </w:t>
      </w:r>
      <w:r w:rsidRPr="006B699F">
        <w:t xml:space="preserve">The moderator will describe the </w:t>
      </w:r>
      <w:r w:rsidRPr="009015DA">
        <w:t xml:space="preserve">purpose of the focus group, identify </w:t>
      </w:r>
      <w:r w:rsidRPr="004A76EE">
        <w:t>SAMHSA</w:t>
      </w:r>
      <w:r w:rsidRPr="009015DA">
        <w:t xml:space="preserve"> as the sponsoring agency, explain all focus group procedures, </w:t>
      </w:r>
      <w:r>
        <w:t>ensure</w:t>
      </w:r>
      <w:r w:rsidRPr="009015DA">
        <w:t xml:space="preserve"> </w:t>
      </w:r>
      <w:r>
        <w:t>privacy</w:t>
      </w:r>
      <w:r w:rsidRPr="009015DA">
        <w:t xml:space="preserve"> to the client participants, and request participation. In an effort to ensure that clients understand what is being asked of them, </w:t>
      </w:r>
      <w:r>
        <w:t>G</w:t>
      </w:r>
      <w:r w:rsidRPr="009015DA">
        <w:t>rantee staff will read aloud the consent form to clients (</w:t>
      </w:r>
      <w:r>
        <w:t>s</w:t>
      </w:r>
      <w:r w:rsidRPr="009015DA">
        <w:t xml:space="preserve">ee </w:t>
      </w:r>
      <w:r>
        <w:t>Attachment 2b - Document 4</w:t>
      </w:r>
      <w:r w:rsidRPr="005A72DF">
        <w:t>).</w:t>
      </w:r>
      <w:r w:rsidRPr="009015DA">
        <w:t xml:space="preserve"> </w:t>
      </w:r>
      <w:r>
        <w:t>After</w:t>
      </w:r>
      <w:r w:rsidRPr="009015DA">
        <w:t xml:space="preserve"> clients have agreed to participate, they will be asked to sign the consent form and will be </w:t>
      </w:r>
      <w:r>
        <w:t>given</w:t>
      </w:r>
      <w:r w:rsidRPr="009015DA">
        <w:t xml:space="preserve"> a copy for their records. </w:t>
      </w:r>
    </w:p>
    <w:p w:rsidR="000F48AC" w:rsidRDefault="000F48AC" w:rsidP="003101FF"/>
    <w:p w:rsidR="000F48AC" w:rsidRDefault="000F48AC">
      <w:pPr>
        <w:ind w:left="720"/>
      </w:pPr>
      <w:r w:rsidRPr="009015DA">
        <w:t xml:space="preserve">A scheduled time and place for the focus group will be established prior to the site visit. Focus groups will be scheduled at a time when a licensed clinician is on duty, in the event </w:t>
      </w:r>
      <w:r>
        <w:t>that</w:t>
      </w:r>
      <w:r w:rsidRPr="009015DA">
        <w:t xml:space="preserve"> disclosure </w:t>
      </w:r>
      <w:r>
        <w:t xml:space="preserve">of </w:t>
      </w:r>
      <w:r w:rsidRPr="009015DA">
        <w:t>sensitive information by focus group participants cause</w:t>
      </w:r>
      <w:r>
        <w:t>s</w:t>
      </w:r>
      <w:r w:rsidRPr="009015DA">
        <w:t xml:space="preserve"> them discomfort. </w:t>
      </w:r>
      <w:r>
        <w:t>After</w:t>
      </w:r>
      <w:r w:rsidRPr="009015DA">
        <w:t xml:space="preserve"> respondents agree to participate, the focus group will begin. The moderator will use a written guide (see </w:t>
      </w:r>
      <w:r>
        <w:t>Attachment 1a - Document 1</w:t>
      </w:r>
      <w:r w:rsidRPr="005A72DF">
        <w:t>)</w:t>
      </w:r>
      <w:r w:rsidRPr="009015DA">
        <w:t xml:space="preserve"> </w:t>
      </w:r>
      <w:r>
        <w:t>to</w:t>
      </w:r>
      <w:r w:rsidRPr="009015DA">
        <w:t xml:space="preserve"> conduct the focus group discussion. With the permission of the respondents, all focus groups will be audiotaped for later transcription and analysis. Following the discussion, the moderator will read aloud the client participant demographic sheet and </w:t>
      </w:r>
      <w:r>
        <w:t xml:space="preserve">will </w:t>
      </w:r>
      <w:r w:rsidRPr="009015DA">
        <w:t>assist clients as they complete the sheet (</w:t>
      </w:r>
      <w:r>
        <w:t>s</w:t>
      </w:r>
      <w:r w:rsidRPr="009015DA">
        <w:t xml:space="preserve">ee </w:t>
      </w:r>
      <w:r>
        <w:t>Attachment 1b - Document 2</w:t>
      </w:r>
      <w:r w:rsidRPr="005A72DF">
        <w:t>).</w:t>
      </w:r>
      <w:r w:rsidRPr="009015DA">
        <w:t xml:space="preserve"> Finally, the moderator will summarize the activities and comments at the end of the discussion.</w:t>
      </w:r>
      <w:r>
        <w:t xml:space="preserve"> </w:t>
      </w:r>
      <w:r w:rsidRPr="009015DA">
        <w:t>Incentives will be distributed after the focus group is completed.</w:t>
      </w:r>
    </w:p>
    <w:p w:rsidR="000F48AC" w:rsidRDefault="000F48AC" w:rsidP="00D0533C"/>
    <w:p w:rsidR="000F48AC" w:rsidRDefault="000F48AC">
      <w:pPr>
        <w:ind w:left="720"/>
      </w:pPr>
      <w:r w:rsidRPr="00B9101F">
        <w:rPr>
          <w:b/>
        </w:rPr>
        <w:t>Client Surveys</w:t>
      </w:r>
      <w:r>
        <w:rPr>
          <w:b/>
        </w:rPr>
        <w:t xml:space="preserve">. </w:t>
      </w:r>
      <w:r w:rsidRPr="00083AB4">
        <w:t>A client survey will be completed as part of the project evaluation activities. Upon OMB approval</w:t>
      </w:r>
      <w:r w:rsidRPr="00BE44F4">
        <w:t>, t</w:t>
      </w:r>
      <w:r w:rsidRPr="009015DA">
        <w:t>he Multi</w:t>
      </w:r>
      <w:r w:rsidRPr="00BE44F4">
        <w:rPr>
          <w:i/>
          <w:iCs/>
        </w:rPr>
        <w:t>-</w:t>
      </w:r>
      <w:r w:rsidRPr="009015DA">
        <w:t xml:space="preserve">Site Evaluation Team will train Grantee staff via </w:t>
      </w:r>
      <w:r>
        <w:t>W</w:t>
      </w:r>
      <w:r w:rsidRPr="009015DA">
        <w:t xml:space="preserve">eb/teleconference how to administer </w:t>
      </w:r>
      <w:r>
        <w:t>c</w:t>
      </w:r>
      <w:r w:rsidRPr="009015DA">
        <w:t xml:space="preserve">lient </w:t>
      </w:r>
      <w:r>
        <w:t>s</w:t>
      </w:r>
      <w:r w:rsidRPr="009015DA">
        <w:t>urveys</w:t>
      </w:r>
      <w:r>
        <w:t>.</w:t>
      </w:r>
      <w:r w:rsidRPr="009015DA">
        <w:t xml:space="preserve"> The </w:t>
      </w:r>
      <w:r>
        <w:t>team</w:t>
      </w:r>
      <w:r w:rsidRPr="009015DA">
        <w:t xml:space="preserve"> will develop a comprehensive question</w:t>
      </w:r>
      <w:r>
        <w:t>-</w:t>
      </w:r>
      <w:r w:rsidRPr="009015DA">
        <w:t>by</w:t>
      </w:r>
      <w:r>
        <w:t>-</w:t>
      </w:r>
      <w:r w:rsidRPr="009015DA">
        <w:t xml:space="preserve">question training </w:t>
      </w:r>
      <w:r>
        <w:t xml:space="preserve">session </w:t>
      </w:r>
      <w:r w:rsidRPr="009015DA">
        <w:t xml:space="preserve">for Grantee staff with information </w:t>
      </w:r>
      <w:r>
        <w:t>about</w:t>
      </w:r>
      <w:r w:rsidRPr="009015DA">
        <w:t xml:space="preserve"> how to complete the survey along with the context for the collection of these data. The training will be developed as a PowerPoint presentation and </w:t>
      </w:r>
      <w:r>
        <w:t xml:space="preserve">will </w:t>
      </w:r>
      <w:r w:rsidRPr="009015DA">
        <w:t xml:space="preserve">provide a step-by-step process for administration </w:t>
      </w:r>
      <w:r>
        <w:t xml:space="preserve">of the survey </w:t>
      </w:r>
      <w:r w:rsidRPr="009015DA">
        <w:t>(</w:t>
      </w:r>
      <w:r>
        <w:t xml:space="preserve">see </w:t>
      </w:r>
      <w:r w:rsidRPr="005A72DF">
        <w:t xml:space="preserve">Attachment </w:t>
      </w:r>
      <w:r>
        <w:t>2c.)</w:t>
      </w:r>
      <w:r w:rsidRPr="005A72DF">
        <w:t>.</w:t>
      </w:r>
    </w:p>
    <w:p w:rsidR="000F48AC" w:rsidRDefault="000F48AC">
      <w:pPr>
        <w:ind w:left="720"/>
      </w:pPr>
    </w:p>
    <w:p w:rsidR="000F48AC" w:rsidRDefault="000F48AC">
      <w:pPr>
        <w:ind w:left="720"/>
      </w:pPr>
      <w:r w:rsidRPr="009015DA">
        <w:t xml:space="preserve">As described in Section A.6, the client survey </w:t>
      </w:r>
      <w:r>
        <w:t>will be used to</w:t>
      </w:r>
      <w:r w:rsidRPr="009015DA">
        <w:t xml:space="preserve"> collect data from </w:t>
      </w:r>
      <w:r>
        <w:t>clients</w:t>
      </w:r>
      <w:r w:rsidRPr="009015DA">
        <w:t xml:space="preserve"> at baseline, discharge</w:t>
      </w:r>
      <w:r>
        <w:t>,</w:t>
      </w:r>
      <w:r w:rsidRPr="009015DA">
        <w:t xml:space="preserve"> and 6</w:t>
      </w:r>
      <w:r>
        <w:t xml:space="preserve"> </w:t>
      </w:r>
      <w:r w:rsidRPr="00FF3860">
        <w:t xml:space="preserve">months post </w:t>
      </w:r>
      <w:r>
        <w:t>baseline</w:t>
      </w:r>
      <w:r w:rsidRPr="008C607D">
        <w:t>. Data colle</w:t>
      </w:r>
      <w:r>
        <w:t>ction at discharge and 6 months post baseline is</w:t>
      </w:r>
      <w:r w:rsidRPr="00500690">
        <w:t xml:space="preserve"> necessary to </w:t>
      </w:r>
      <w:r>
        <w:t xml:space="preserve">monitor short-term and long-term change in client substance abuse and </w:t>
      </w:r>
      <w:r w:rsidRPr="00500690">
        <w:t xml:space="preserve">HIV </w:t>
      </w:r>
      <w:r>
        <w:t>risk</w:t>
      </w:r>
      <w:r w:rsidRPr="00500690">
        <w:t xml:space="preserve"> behaviors, social support, and quality of life</w:t>
      </w:r>
      <w:r>
        <w:t xml:space="preserve"> indicators.  </w:t>
      </w:r>
    </w:p>
    <w:p w:rsidR="000F48AC" w:rsidRDefault="000F48AC">
      <w:pPr>
        <w:ind w:left="720"/>
      </w:pPr>
    </w:p>
    <w:p w:rsidR="000F48AC" w:rsidRDefault="000F48AC">
      <w:pPr>
        <w:ind w:left="720"/>
      </w:pPr>
      <w:r>
        <w:t>Grantee staff at each of the 40 Grantee treatment sites will administer the client survey to 60 clients admitted into treatment post OMB approval. The c</w:t>
      </w:r>
      <w:r w:rsidRPr="005E6596">
        <w:t>lient</w:t>
      </w:r>
      <w:r>
        <w:t xml:space="preserve"> survey will be administered </w:t>
      </w:r>
      <w:r w:rsidRPr="005E6596">
        <w:t>in a private location</w:t>
      </w:r>
      <w:r>
        <w:t xml:space="preserve"> (e.g., an office) </w:t>
      </w:r>
      <w:r w:rsidRPr="005E6596">
        <w:t xml:space="preserve">to </w:t>
      </w:r>
      <w:r>
        <w:t>provide</w:t>
      </w:r>
      <w:r w:rsidRPr="005E6596">
        <w:t xml:space="preserve"> </w:t>
      </w:r>
      <w:r>
        <w:t>privacy</w:t>
      </w:r>
      <w:r w:rsidRPr="005E6596">
        <w:t xml:space="preserve">. </w:t>
      </w:r>
      <w:r>
        <w:t xml:space="preserve">It is expected that the client survey will be administered to 2,400 clients at baseline, 2,400 clients at discharge, and 1,920 at 6 months post baseline. </w:t>
      </w:r>
    </w:p>
    <w:p w:rsidR="000F48AC" w:rsidRPr="005E6596" w:rsidRDefault="000F48AC" w:rsidP="00D0533C"/>
    <w:p w:rsidR="000F48AC" w:rsidRDefault="000F48AC">
      <w:pPr>
        <w:ind w:left="720"/>
      </w:pPr>
      <w:r>
        <w:t>C</w:t>
      </w:r>
      <w:r w:rsidRPr="005E6596">
        <w:t>lient survey</w:t>
      </w:r>
      <w:r>
        <w:t xml:space="preserve"> </w:t>
      </w:r>
      <w:r w:rsidRPr="005E6596">
        <w:t xml:space="preserve">data will be entered into a password protected online system </w:t>
      </w:r>
      <w:r>
        <w:t>at the Grantee sites</w:t>
      </w:r>
      <w:r w:rsidRPr="005E6596">
        <w:t>. Each day, the T</w:t>
      </w:r>
      <w:r>
        <w:t>C</w:t>
      </w:r>
      <w:r w:rsidRPr="005E6596">
        <w:t xml:space="preserve">E-HIV evaluation staff will upload the data over a secure network connection directly to a server at </w:t>
      </w:r>
      <w:r>
        <w:t xml:space="preserve">the contractor’s </w:t>
      </w:r>
      <w:r w:rsidRPr="005E6596">
        <w:t xml:space="preserve">headquarters where </w:t>
      </w:r>
      <w:r>
        <w:t>the data</w:t>
      </w:r>
      <w:r w:rsidRPr="005E6596">
        <w:t xml:space="preserve"> will also be encrypted and password protected. Details on </w:t>
      </w:r>
      <w:r>
        <w:t xml:space="preserve">the </w:t>
      </w:r>
      <w:r w:rsidRPr="005E6596">
        <w:t xml:space="preserve">network security procedures and security protocols are presented in </w:t>
      </w:r>
      <w:r w:rsidRPr="00414417">
        <w:t xml:space="preserve">Attachment </w:t>
      </w:r>
      <w:r>
        <w:t>2a – Document 1.</w:t>
      </w:r>
      <w:r w:rsidRPr="005E6596">
        <w:t xml:space="preserve"> Using protected electronic data is the most secure form of data management because it eliminates the possibility of paper documents being lost by the survey staff or of data being lost in transit or delivered to an incorrect location. However, not all the Grantees may be equipped to enter th</w:t>
      </w:r>
      <w:r>
        <w:t>i</w:t>
      </w:r>
      <w:r w:rsidRPr="005E6596">
        <w:t>s data into the online system, in which case</w:t>
      </w:r>
      <w:r>
        <w:t xml:space="preserve"> </w:t>
      </w:r>
      <w:r w:rsidRPr="005E6596">
        <w:t xml:space="preserve">paper copies of the </w:t>
      </w:r>
      <w:r>
        <w:t xml:space="preserve">completed </w:t>
      </w:r>
      <w:r w:rsidRPr="005E6596">
        <w:t>surveys from these Grantees</w:t>
      </w:r>
      <w:r>
        <w:t xml:space="preserve"> will be submitted and these data entered at JBS by the Multi-Site Evaluation staff</w:t>
      </w:r>
      <w:r w:rsidRPr="005E6596">
        <w:t>.</w:t>
      </w:r>
      <w:r>
        <w:t xml:space="preserve"> No name/identifying information will be collected at any time and any paper copies will be stored in a locked file cabinet. </w:t>
      </w:r>
    </w:p>
    <w:p w:rsidR="000F48AC" w:rsidRDefault="000F48AC">
      <w:pPr>
        <w:rPr>
          <w:b/>
          <w:bCs/>
        </w:rPr>
      </w:pPr>
      <w:bookmarkStart w:id="71" w:name="_Toc8007720"/>
      <w:bookmarkStart w:id="72" w:name="_Toc88277980"/>
      <w:bookmarkStart w:id="73" w:name="_Toc131564375"/>
      <w:bookmarkEnd w:id="70"/>
    </w:p>
    <w:p w:rsidR="000F48AC" w:rsidRDefault="000F48AC">
      <w:pPr>
        <w:rPr>
          <w:b/>
          <w:bCs/>
        </w:rPr>
      </w:pPr>
      <w:r>
        <w:rPr>
          <w:b/>
          <w:bCs/>
        </w:rPr>
        <w:br w:type="page"/>
      </w:r>
    </w:p>
    <w:p w:rsidR="000F48AC" w:rsidRDefault="000F48AC">
      <w:pPr>
        <w:ind w:firstLine="720"/>
        <w:rPr>
          <w:b/>
          <w:bCs/>
        </w:rPr>
      </w:pPr>
      <w:r w:rsidRPr="0007310B">
        <w:rPr>
          <w:b/>
          <w:bCs/>
        </w:rPr>
        <w:t>3.</w:t>
      </w:r>
      <w:r w:rsidRPr="0007310B">
        <w:rPr>
          <w:b/>
          <w:bCs/>
        </w:rPr>
        <w:tab/>
      </w:r>
      <w:bookmarkEnd w:id="71"/>
      <w:r w:rsidRPr="0007310B">
        <w:rPr>
          <w:b/>
          <w:bCs/>
          <w:u w:val="single"/>
        </w:rPr>
        <w:t>Methods to Maximize Response Rates</w:t>
      </w:r>
      <w:bookmarkEnd w:id="72"/>
      <w:bookmarkEnd w:id="73"/>
    </w:p>
    <w:p w:rsidR="000F48AC" w:rsidRDefault="000F48AC" w:rsidP="00D0533C">
      <w:bookmarkStart w:id="74" w:name="_Toc131564376"/>
    </w:p>
    <w:p w:rsidR="000F48AC" w:rsidRDefault="000F48AC" w:rsidP="007C7B7A">
      <w:pPr>
        <w:ind w:left="720"/>
      </w:pPr>
      <w:bookmarkStart w:id="75" w:name="_Toc8007728"/>
      <w:bookmarkStart w:id="76" w:name="_Toc88277986"/>
      <w:bookmarkStart w:id="77" w:name="_Toc131564378"/>
      <w:bookmarkEnd w:id="74"/>
      <w:r w:rsidRPr="0007310B">
        <w:t xml:space="preserve">The ability to gain the cooperation of potential respondents is </w:t>
      </w:r>
      <w:r>
        <w:t>important to the success of this Multi-Site Evaluation. A discussion of methods to maximize response rates for the different data collection methods is presented below.</w:t>
      </w:r>
    </w:p>
    <w:p w:rsidR="000F48AC" w:rsidRPr="0007310B" w:rsidRDefault="000F48AC" w:rsidP="007C7B7A"/>
    <w:p w:rsidR="000F48AC" w:rsidRDefault="000F48AC" w:rsidP="007C7B7A">
      <w:pPr>
        <w:ind w:left="720"/>
      </w:pPr>
      <w:r w:rsidRPr="00B9101F">
        <w:rPr>
          <w:b/>
        </w:rPr>
        <w:t>Semi-Structured Interviews</w:t>
      </w:r>
      <w:r>
        <w:rPr>
          <w:b/>
        </w:rPr>
        <w:t>.</w:t>
      </w:r>
      <w:r>
        <w:t xml:space="preserve"> </w:t>
      </w:r>
      <w:r w:rsidRPr="0007310B">
        <w:t xml:space="preserve">The </w:t>
      </w:r>
      <w:r>
        <w:t>TCE-HIV Multi-S</w:t>
      </w:r>
      <w:r w:rsidRPr="0007310B">
        <w:t xml:space="preserve">ite Evaluation Team anticipates </w:t>
      </w:r>
      <w:r>
        <w:t xml:space="preserve">that the semi-structured interviews will be completed for 100 percent of the Grantee staff and community partners/collaborators who are asked to participate. </w:t>
      </w:r>
      <w:r w:rsidRPr="0007310B">
        <w:t xml:space="preserve">To maximize </w:t>
      </w:r>
      <w:r>
        <w:t>participation</w:t>
      </w:r>
      <w:r w:rsidRPr="0007310B">
        <w:t xml:space="preserve"> rates, the </w:t>
      </w:r>
      <w:r>
        <w:t xml:space="preserve">TCE-HIV Evaluation Team interview </w:t>
      </w:r>
      <w:r w:rsidRPr="0007310B">
        <w:t xml:space="preserve">staff will follow protocols that will reduce the burden on </w:t>
      </w:r>
      <w:r>
        <w:t xml:space="preserve">Grantee staff and community partners. </w:t>
      </w:r>
      <w:r w:rsidRPr="0007310B">
        <w:t xml:space="preserve">Planning and preparation in advance of the </w:t>
      </w:r>
      <w:r>
        <w:t>interview</w:t>
      </w:r>
      <w:r w:rsidRPr="0007310B">
        <w:t xml:space="preserve"> is crucial </w:t>
      </w:r>
      <w:r>
        <w:t>to</w:t>
      </w:r>
      <w:r w:rsidRPr="0007310B">
        <w:t xml:space="preserve"> these protocols</w:t>
      </w:r>
      <w:r>
        <w:t xml:space="preserve">, which will </w:t>
      </w:r>
      <w:r w:rsidRPr="0007310B">
        <w:t>includ</w:t>
      </w:r>
      <w:r>
        <w:t xml:space="preserve">e proper timing, scheduling, and location of the interviews to accommodate the Grantee staff and their partners/collaborators. </w:t>
      </w:r>
      <w:r w:rsidRPr="0007310B">
        <w:t xml:space="preserve">The </w:t>
      </w:r>
      <w:r>
        <w:t>Grantee staff and their community partners/collaborators</w:t>
      </w:r>
      <w:r w:rsidRPr="0007310B">
        <w:t xml:space="preserve"> will be informed, in advance, of the </w:t>
      </w:r>
      <w:r>
        <w:t>purpose</w:t>
      </w:r>
      <w:r w:rsidRPr="0007310B">
        <w:t xml:space="preserve"> and significance of the </w:t>
      </w:r>
      <w:r>
        <w:t>interview</w:t>
      </w:r>
      <w:r w:rsidRPr="0007310B">
        <w:t>.</w:t>
      </w:r>
    </w:p>
    <w:p w:rsidR="000F48AC" w:rsidRDefault="000F48AC" w:rsidP="007C7B7A">
      <w:pPr>
        <w:rPr>
          <w:u w:val="single"/>
        </w:rPr>
      </w:pPr>
    </w:p>
    <w:p w:rsidR="000F48AC" w:rsidRDefault="000F48AC" w:rsidP="007C7B7A">
      <w:pPr>
        <w:ind w:left="720"/>
      </w:pPr>
      <w:r w:rsidRPr="008531AB">
        <w:rPr>
          <w:b/>
        </w:rPr>
        <w:t>Focus Groups.</w:t>
      </w:r>
      <w:r>
        <w:t xml:space="preserve"> </w:t>
      </w:r>
      <w:r w:rsidRPr="0007310B">
        <w:t xml:space="preserve">The </w:t>
      </w:r>
      <w:r>
        <w:t>TCE-HIV Multi-S</w:t>
      </w:r>
      <w:r w:rsidRPr="0007310B">
        <w:t xml:space="preserve">ite Evaluation Team anticipates </w:t>
      </w:r>
      <w:r>
        <w:t>over recruiting (n=12 clients) for each focus group, but it is estimated that no more than 75 percent (n=9 clients) will participate in each focus group. Clients will be recruited</w:t>
      </w:r>
      <w:r w:rsidRPr="008A168B">
        <w:t xml:space="preserve"> based on specific criteria </w:t>
      </w:r>
      <w:r>
        <w:t xml:space="preserve">such as </w:t>
      </w:r>
      <w:r w:rsidRPr="008A168B">
        <w:t>clients who have been administered the GPRA, have been in substance abuse treatment for at least 14 days</w:t>
      </w:r>
      <w:r>
        <w:t>,</w:t>
      </w:r>
      <w:r w:rsidRPr="008A168B">
        <w:t xml:space="preserve"> and are willing to participate in the focus group.</w:t>
      </w:r>
    </w:p>
    <w:p w:rsidR="000F48AC" w:rsidRDefault="000F48AC" w:rsidP="007C7B7A"/>
    <w:p w:rsidR="000F48AC" w:rsidRDefault="000F48AC" w:rsidP="007C7B7A">
      <w:pPr>
        <w:ind w:left="720"/>
        <w:rPr>
          <w:i/>
          <w:iCs/>
          <w:u w:val="single"/>
        </w:rPr>
      </w:pPr>
      <w:r>
        <w:t xml:space="preserve">The TCE-HIV Multi-Site Evaluation Team </w:t>
      </w:r>
      <w:r w:rsidRPr="003039ED">
        <w:t xml:space="preserve">will work collaboratively with Grantee staff </w:t>
      </w:r>
      <w:r>
        <w:t>to recruit a representative group of</w:t>
      </w:r>
      <w:r w:rsidRPr="003039ED">
        <w:t xml:space="preserve"> client</w:t>
      </w:r>
      <w:r>
        <w:t>s for the</w:t>
      </w:r>
      <w:r w:rsidRPr="003039ED">
        <w:t xml:space="preserve"> focus group </w:t>
      </w:r>
      <w:r>
        <w:t xml:space="preserve">utilizing </w:t>
      </w:r>
      <w:r w:rsidRPr="003039ED">
        <w:t>inclusion and e</w:t>
      </w:r>
      <w:r>
        <w:t>xclusion criteria, to accomplish a balance of gender, age, length and number of times in treatment, and HIV serostatus across focus groups. Each focus group will consist of seven to nine treatment clients who have been administered the GPRA and who are receiving TCE-HIV services. The TCE-HIV Multi-Site Evaluation Team will then work with project staff to provide them with information about the focus groups they can post and/or distribute to potential participants. As an added strategy to maximize response rates, gift cards ($20) will be given to participating clients as compensation for their time, and the cards will be distributed after the focus group is completed.</w:t>
      </w:r>
    </w:p>
    <w:p w:rsidR="000F48AC" w:rsidRDefault="000F48AC" w:rsidP="007C7B7A">
      <w:pPr>
        <w:rPr>
          <w:u w:val="single"/>
        </w:rPr>
      </w:pPr>
    </w:p>
    <w:p w:rsidR="000F48AC" w:rsidRDefault="000F48AC" w:rsidP="007C7B7A">
      <w:pPr>
        <w:ind w:left="720"/>
      </w:pPr>
      <w:r w:rsidRPr="00B9101F">
        <w:rPr>
          <w:b/>
        </w:rPr>
        <w:t xml:space="preserve">Client </w:t>
      </w:r>
      <w:r>
        <w:rPr>
          <w:b/>
        </w:rPr>
        <w:t>Survey</w:t>
      </w:r>
      <w:r w:rsidRPr="008531AB">
        <w:rPr>
          <w:b/>
        </w:rPr>
        <w:t>.</w:t>
      </w:r>
      <w:r>
        <w:t xml:space="preserve"> </w:t>
      </w:r>
      <w:r w:rsidRPr="0007310B">
        <w:t xml:space="preserve">The </w:t>
      </w:r>
      <w:r>
        <w:t>TCE-HIV Multi-S</w:t>
      </w:r>
      <w:r w:rsidRPr="0007310B">
        <w:t xml:space="preserve">ite Evaluation Team anticipates </w:t>
      </w:r>
      <w:r>
        <w:t>a 100 percent</w:t>
      </w:r>
      <w:r w:rsidRPr="0007310B">
        <w:t xml:space="preserve"> </w:t>
      </w:r>
      <w:r>
        <w:t xml:space="preserve">response </w:t>
      </w:r>
      <w:r w:rsidRPr="0007310B">
        <w:t xml:space="preserve">rate for the </w:t>
      </w:r>
      <w:r>
        <w:t xml:space="preserve">baseline and discharge client surveys, and an 80 percent response rate for the 6 months post baseline </w:t>
      </w:r>
      <w:r w:rsidRPr="0007310B">
        <w:t>survey</w:t>
      </w:r>
      <w:r>
        <w:t>. After OMB approval, trained Grantee staff will administer the survey to the first 60 clients admitted into treatment who have been administered the GPRA Tool and have an assigned GPRA identification number. The client survey will be administered to treatment clients (not outreach/pretreatment clients) in order to maximize response rates at each of the three data collection points and to reduce burden on Grantee staff members responsible for collecting the data. As an additional measure, c</w:t>
      </w:r>
      <w:r w:rsidRPr="00BB2B86">
        <w:t xml:space="preserve">ash equivalent </w:t>
      </w:r>
      <w:r>
        <w:t>compensation</w:t>
      </w:r>
      <w:r w:rsidRPr="00BB2B86">
        <w:t xml:space="preserve"> will be offered in lieu of cash payments. Gift cards from Wal</w:t>
      </w:r>
      <w:r>
        <w:t>m</w:t>
      </w:r>
      <w:r w:rsidRPr="00BB2B86">
        <w:t>art</w:t>
      </w:r>
      <w:r>
        <w:t>™</w:t>
      </w:r>
      <w:r w:rsidRPr="00BB2B86">
        <w:t xml:space="preserve"> or Target</w:t>
      </w:r>
      <w:r>
        <w:t>™</w:t>
      </w:r>
      <w:r w:rsidRPr="00BB2B86">
        <w:t xml:space="preserve"> will be used as </w:t>
      </w:r>
      <w:r>
        <w:t>compensation</w:t>
      </w:r>
      <w:r w:rsidRPr="00BB2B86">
        <w:t xml:space="preserve"> for treatment clients to complete the client survey at baseline, discharge, and 6</w:t>
      </w:r>
      <w:r>
        <w:t xml:space="preserve"> </w:t>
      </w:r>
      <w:r w:rsidRPr="00BB2B86">
        <w:t>month</w:t>
      </w:r>
      <w:r>
        <w:t>s</w:t>
      </w:r>
      <w:r w:rsidRPr="00BB2B86">
        <w:t xml:space="preserve"> post baseline. </w:t>
      </w:r>
      <w:r>
        <w:t>Compensation</w:t>
      </w:r>
      <w:r w:rsidRPr="00BB2B86">
        <w:t xml:space="preserve"> </w:t>
      </w:r>
      <w:r>
        <w:t xml:space="preserve">for their time </w:t>
      </w:r>
      <w:r w:rsidRPr="00BB2B86">
        <w:t>will be provided to clients in a tiered structure with a $10 gift card provided at baseline, $15 gift card at discharge, and $20 gift card at 6</w:t>
      </w:r>
      <w:r>
        <w:t xml:space="preserve"> </w:t>
      </w:r>
      <w:r w:rsidRPr="00BB2B86">
        <w:t>month</w:t>
      </w:r>
      <w:r>
        <w:t>s</w:t>
      </w:r>
      <w:r w:rsidRPr="00BB2B86">
        <w:t xml:space="preserve"> post baseline. </w:t>
      </w:r>
      <w:r>
        <w:t>In addition, t</w:t>
      </w:r>
      <w:r w:rsidRPr="0007310B">
        <w:t>he evaluation team</w:t>
      </w:r>
      <w:r>
        <w:t xml:space="preserve"> and Grantee staff</w:t>
      </w:r>
      <w:r w:rsidRPr="0007310B">
        <w:t xml:space="preserve"> will employ several </w:t>
      </w:r>
      <w:r>
        <w:t xml:space="preserve">other </w:t>
      </w:r>
      <w:r w:rsidRPr="0007310B">
        <w:t>strategies to maintain high response rates</w:t>
      </w:r>
      <w:r>
        <w:t xml:space="preserve"> at discharge and 6 months post baseline</w:t>
      </w:r>
      <w:r w:rsidRPr="0007310B">
        <w:t>:</w:t>
      </w:r>
    </w:p>
    <w:p w:rsidR="000F48AC" w:rsidRDefault="000F48AC" w:rsidP="007C7B7A"/>
    <w:p w:rsidR="000F48AC" w:rsidRDefault="000F48AC" w:rsidP="007C7B7A">
      <w:pPr>
        <w:numPr>
          <w:ilvl w:val="0"/>
          <w:numId w:val="12"/>
        </w:numPr>
        <w:tabs>
          <w:tab w:val="clear" w:pos="720"/>
          <w:tab w:val="num" w:pos="1620"/>
        </w:tabs>
        <w:ind w:left="1620"/>
      </w:pPr>
      <w:r w:rsidRPr="0007310B">
        <w:t xml:space="preserve">Stress the importance of the project as well as the evaluation team’s commitment to respondent </w:t>
      </w:r>
      <w:r>
        <w:t>privacy</w:t>
      </w:r>
    </w:p>
    <w:p w:rsidR="000F48AC" w:rsidRDefault="000F48AC" w:rsidP="007C7B7A">
      <w:pPr>
        <w:numPr>
          <w:ilvl w:val="0"/>
          <w:numId w:val="5"/>
        </w:numPr>
        <w:tabs>
          <w:tab w:val="clear" w:pos="720"/>
          <w:tab w:val="num" w:pos="1620"/>
        </w:tabs>
        <w:ind w:left="1620"/>
      </w:pPr>
      <w:r w:rsidRPr="0007310B">
        <w:t>Train survey staff for handling sensitive information collection in a respectful manner</w:t>
      </w:r>
    </w:p>
    <w:p w:rsidR="000F48AC" w:rsidRDefault="000F48AC" w:rsidP="007C7B7A">
      <w:pPr>
        <w:numPr>
          <w:ilvl w:val="0"/>
          <w:numId w:val="5"/>
        </w:numPr>
        <w:tabs>
          <w:tab w:val="clear" w:pos="720"/>
          <w:tab w:val="num" w:pos="1620"/>
        </w:tabs>
        <w:ind w:left="1620"/>
      </w:pPr>
      <w:r w:rsidRPr="0007310B">
        <w:t>Develop survey</w:t>
      </w:r>
      <w:r>
        <w:t>s</w:t>
      </w:r>
      <w:r w:rsidRPr="0007310B">
        <w:t xml:space="preserve"> in English and Spanish</w:t>
      </w:r>
      <w:r>
        <w:t xml:space="preserve"> </w:t>
      </w:r>
    </w:p>
    <w:p w:rsidR="000F48AC" w:rsidRDefault="000F48AC" w:rsidP="007C7B7A">
      <w:pPr>
        <w:numPr>
          <w:ilvl w:val="0"/>
          <w:numId w:val="5"/>
        </w:numPr>
        <w:tabs>
          <w:tab w:val="clear" w:pos="720"/>
          <w:tab w:val="num" w:pos="1620"/>
        </w:tabs>
        <w:ind w:left="1620"/>
      </w:pPr>
      <w:r>
        <w:t>Ensure that Grantees have comprehensive tracking forms and procedures in place</w:t>
      </w:r>
    </w:p>
    <w:p w:rsidR="000F48AC" w:rsidRDefault="000F48AC" w:rsidP="007C7B7A"/>
    <w:p w:rsidR="000F48AC" w:rsidRPr="0007310B" w:rsidRDefault="000F48AC" w:rsidP="007C7B7A">
      <w:pPr>
        <w:ind w:left="720"/>
      </w:pPr>
      <w:r w:rsidRPr="0007310B">
        <w:t xml:space="preserve">To improve follow-up response rates, </w:t>
      </w:r>
      <w:r>
        <w:t>the Grantee staff will c</w:t>
      </w:r>
      <w:r w:rsidRPr="0007310B">
        <w:t>ollect detailed contact information, including alternate addresses and phone numbers and contact information of secondary sources who may know the respondents</w:t>
      </w:r>
      <w:r>
        <w:t>’</w:t>
      </w:r>
      <w:r w:rsidRPr="0007310B">
        <w:t xml:space="preserve"> contact information at follow-up.</w:t>
      </w:r>
    </w:p>
    <w:p w:rsidR="000F48AC" w:rsidRPr="0007310B" w:rsidRDefault="000F48AC" w:rsidP="00D0533C"/>
    <w:p w:rsidR="000F48AC" w:rsidRDefault="000F48AC">
      <w:pPr>
        <w:ind w:firstLine="720"/>
        <w:rPr>
          <w:b/>
          <w:bCs/>
        </w:rPr>
      </w:pPr>
      <w:r w:rsidRPr="001A199C">
        <w:rPr>
          <w:b/>
          <w:bCs/>
        </w:rPr>
        <w:t>4.</w:t>
      </w:r>
      <w:r w:rsidRPr="001A199C">
        <w:rPr>
          <w:b/>
          <w:bCs/>
        </w:rPr>
        <w:tab/>
      </w:r>
      <w:bookmarkEnd w:id="75"/>
      <w:r w:rsidRPr="001A199C">
        <w:rPr>
          <w:b/>
          <w:bCs/>
          <w:u w:val="single"/>
        </w:rPr>
        <w:t>Test</w:t>
      </w:r>
      <w:r>
        <w:rPr>
          <w:b/>
          <w:bCs/>
          <w:u w:val="single"/>
        </w:rPr>
        <w:t>s</w:t>
      </w:r>
      <w:r w:rsidRPr="001A199C">
        <w:rPr>
          <w:b/>
          <w:bCs/>
          <w:u w:val="single"/>
        </w:rPr>
        <w:t xml:space="preserve"> of Procedures</w:t>
      </w:r>
      <w:bookmarkEnd w:id="76"/>
      <w:bookmarkEnd w:id="77"/>
    </w:p>
    <w:p w:rsidR="000F48AC" w:rsidRDefault="000F48AC" w:rsidP="00D0533C">
      <w:pPr>
        <w:rPr>
          <w:rStyle w:val="Strong"/>
        </w:rPr>
      </w:pPr>
      <w:bookmarkStart w:id="78" w:name="_Toc131564379"/>
    </w:p>
    <w:p w:rsidR="000F48AC" w:rsidRDefault="000F48AC" w:rsidP="007C7B7A">
      <w:pPr>
        <w:pStyle w:val="Footer"/>
        <w:tabs>
          <w:tab w:val="clear" w:pos="4320"/>
          <w:tab w:val="clear" w:pos="8640"/>
        </w:tabs>
        <w:ind w:left="720"/>
        <w:rPr>
          <w:b/>
          <w:bCs/>
          <w:sz w:val="24"/>
          <w:szCs w:val="24"/>
        </w:rPr>
      </w:pPr>
      <w:r w:rsidRPr="008B331F">
        <w:rPr>
          <w:sz w:val="24"/>
          <w:szCs w:val="24"/>
        </w:rPr>
        <w:t xml:space="preserve">Pilot tests of semi-structured interviews, </w:t>
      </w:r>
      <w:r w:rsidRPr="009015DA">
        <w:rPr>
          <w:sz w:val="24"/>
          <w:szCs w:val="24"/>
        </w:rPr>
        <w:t xml:space="preserve">client focus groups, </w:t>
      </w:r>
      <w:r>
        <w:rPr>
          <w:sz w:val="24"/>
          <w:szCs w:val="24"/>
        </w:rPr>
        <w:t xml:space="preserve">and </w:t>
      </w:r>
      <w:r w:rsidRPr="009015DA">
        <w:rPr>
          <w:sz w:val="24"/>
          <w:szCs w:val="24"/>
        </w:rPr>
        <w:t>client survey</w:t>
      </w:r>
      <w:r>
        <w:rPr>
          <w:sz w:val="24"/>
          <w:szCs w:val="24"/>
        </w:rPr>
        <w:t>s</w:t>
      </w:r>
      <w:r w:rsidRPr="009015DA">
        <w:rPr>
          <w:sz w:val="24"/>
          <w:szCs w:val="24"/>
        </w:rPr>
        <w:t xml:space="preserve">, and data collection procedures to be used in the </w:t>
      </w:r>
      <w:r>
        <w:rPr>
          <w:sz w:val="24"/>
          <w:szCs w:val="24"/>
        </w:rPr>
        <w:t>formative</w:t>
      </w:r>
      <w:r w:rsidRPr="009015DA">
        <w:rPr>
          <w:sz w:val="24"/>
          <w:szCs w:val="24"/>
        </w:rPr>
        <w:t xml:space="preserve"> evaluation were conducted with representative subsample</w:t>
      </w:r>
      <w:r>
        <w:rPr>
          <w:sz w:val="24"/>
          <w:szCs w:val="24"/>
        </w:rPr>
        <w:t>s</w:t>
      </w:r>
      <w:r w:rsidRPr="009015DA">
        <w:rPr>
          <w:sz w:val="24"/>
          <w:szCs w:val="24"/>
        </w:rPr>
        <w:t xml:space="preserve"> of the target population</w:t>
      </w:r>
      <w:r>
        <w:rPr>
          <w:sz w:val="24"/>
          <w:szCs w:val="24"/>
        </w:rPr>
        <w:t>s</w:t>
      </w:r>
      <w:r w:rsidRPr="009015DA">
        <w:rPr>
          <w:sz w:val="24"/>
          <w:szCs w:val="24"/>
        </w:rPr>
        <w:t>.</w:t>
      </w:r>
      <w:r>
        <w:rPr>
          <w:sz w:val="24"/>
          <w:szCs w:val="24"/>
        </w:rPr>
        <w:t xml:space="preserve"> </w:t>
      </w:r>
      <w:r w:rsidRPr="009015DA">
        <w:rPr>
          <w:sz w:val="24"/>
          <w:szCs w:val="24"/>
        </w:rPr>
        <w:t xml:space="preserve">All pilot tests were conducted with nine or fewer individuals. </w:t>
      </w:r>
      <w:r w:rsidRPr="001C4B7B">
        <w:rPr>
          <w:sz w:val="24"/>
          <w:szCs w:val="24"/>
        </w:rPr>
        <w:t xml:space="preserve">Attachment </w:t>
      </w:r>
      <w:r>
        <w:rPr>
          <w:sz w:val="24"/>
          <w:szCs w:val="24"/>
        </w:rPr>
        <w:t>4 - Document 1</w:t>
      </w:r>
      <w:r w:rsidRPr="009015DA">
        <w:rPr>
          <w:sz w:val="24"/>
          <w:szCs w:val="24"/>
        </w:rPr>
        <w:t xml:space="preserve"> provides a summary of pilot test feedback for each of the measurement instruments tested</w:t>
      </w:r>
      <w:r>
        <w:rPr>
          <w:sz w:val="24"/>
          <w:szCs w:val="24"/>
        </w:rPr>
        <w:t xml:space="preserve"> </w:t>
      </w:r>
      <w:r w:rsidRPr="009015DA">
        <w:rPr>
          <w:sz w:val="24"/>
          <w:szCs w:val="24"/>
        </w:rPr>
        <w:t>and outlines the changes that were made to the data collection instruments based on</w:t>
      </w:r>
      <w:r w:rsidRPr="008B331F">
        <w:rPr>
          <w:sz w:val="24"/>
          <w:szCs w:val="24"/>
        </w:rPr>
        <w:t xml:space="preserve"> this feedback</w:t>
      </w:r>
      <w:r w:rsidRPr="008B331F">
        <w:rPr>
          <w:b/>
          <w:bCs/>
          <w:sz w:val="24"/>
          <w:szCs w:val="24"/>
        </w:rPr>
        <w:t>.</w:t>
      </w:r>
    </w:p>
    <w:p w:rsidR="000F48AC" w:rsidRDefault="000F48AC" w:rsidP="007C7B7A">
      <w:pPr>
        <w:rPr>
          <w:u w:val="single"/>
        </w:rPr>
      </w:pPr>
    </w:p>
    <w:p w:rsidR="000F48AC" w:rsidRDefault="000F48AC" w:rsidP="007C7B7A">
      <w:pPr>
        <w:ind w:left="720"/>
      </w:pPr>
      <w:r w:rsidRPr="00B9101F">
        <w:rPr>
          <w:b/>
        </w:rPr>
        <w:t>Semi-Structured Interview</w:t>
      </w:r>
      <w:r>
        <w:rPr>
          <w:b/>
        </w:rPr>
        <w:t>s</w:t>
      </w:r>
      <w:r>
        <w:t xml:space="preserve">. The pilot study participants for the semi-structured interview guides and procedures consisted of representatives from prior cohorts of the TCE-HIV initiative. The decision was made not to pilot test the semi-structured interviews with any Grantee staff and partners/collaborators from the current cohort as this may have primed them for actual data collection. Grantee staff and partners/collaborators who were interviewed for the pilot test were asked to respond to the interview questions </w:t>
      </w:r>
      <w:r w:rsidRPr="0022378E">
        <w:t xml:space="preserve">and </w:t>
      </w:r>
      <w:r>
        <w:t xml:space="preserve">to </w:t>
      </w:r>
      <w:r w:rsidRPr="0022378E">
        <w:t>provide feedback on the clarity of the questions and guide</w:t>
      </w:r>
      <w:r>
        <w:t xml:space="preserve">lines. They were also asked to </w:t>
      </w:r>
      <w:r w:rsidRPr="0022378E">
        <w:t>comment on the appropriateness of the questions and procedures for the intended audience.</w:t>
      </w:r>
    </w:p>
    <w:p w:rsidR="000F48AC" w:rsidRDefault="000F48AC" w:rsidP="007C7B7A"/>
    <w:p w:rsidR="000F48AC" w:rsidRDefault="000F48AC" w:rsidP="007C7B7A">
      <w:pPr>
        <w:ind w:left="720"/>
      </w:pPr>
      <w:r w:rsidRPr="00B9101F">
        <w:rPr>
          <w:b/>
        </w:rPr>
        <w:t>Client Focus Groups</w:t>
      </w:r>
      <w:r>
        <w:t>.</w:t>
      </w:r>
      <w:r w:rsidRPr="008B331F">
        <w:t xml:space="preserve"> Pilot tests of the focus group guides were conducted with </w:t>
      </w:r>
      <w:r>
        <w:t xml:space="preserve">substance abuse treatment clients from a prior TCE-HIV grantee. </w:t>
      </w:r>
      <w:r w:rsidRPr="008B331F">
        <w:t xml:space="preserve">The pilot study participants </w:t>
      </w:r>
      <w:r>
        <w:t>took part in a focus group discussion and a</w:t>
      </w:r>
      <w:r w:rsidRPr="008B331F">
        <w:t xml:space="preserve">fter </w:t>
      </w:r>
      <w:r>
        <w:t>participating in</w:t>
      </w:r>
      <w:r w:rsidRPr="008B331F">
        <w:t xml:space="preserve"> the focus group, </w:t>
      </w:r>
      <w:r>
        <w:t xml:space="preserve">participants </w:t>
      </w:r>
      <w:r w:rsidRPr="008B331F">
        <w:t>were asked to comment on the clarity of the questions and identify problems or</w:t>
      </w:r>
      <w:r>
        <w:t xml:space="preserve"> concerns with the questions. </w:t>
      </w:r>
      <w:r w:rsidRPr="008B331F">
        <w:t>Participants were also asked to provide feedback on the appropriateness of the questions.</w:t>
      </w:r>
    </w:p>
    <w:p w:rsidR="000F48AC" w:rsidRDefault="000F48AC" w:rsidP="007C7B7A"/>
    <w:p w:rsidR="000F48AC" w:rsidRDefault="000F48AC" w:rsidP="007C7B7A">
      <w:pPr>
        <w:ind w:left="720"/>
      </w:pPr>
      <w:r>
        <w:t xml:space="preserve">Grantee staff from a prior TCE-HIV cohort assisted with the recruitment of focus group participants for the pilot test. Case managers and counselors shared with their clients that participation in the focus group would give them an opportunity to talk about their experiences in the TCE-HIV program. Interestingly, during the focus group discussion, one client stated that participation in the discussion was an opportunity to “give back” (i.e., an opportunity to share experiences that might help others). Grantee staff provided recommendations for how to recruit focus group participants for the Multi-Site Evaluation including placing flyers and sign-up sheets on walls or having case managers recommend clients for participation in the focus group. </w:t>
      </w:r>
    </w:p>
    <w:p w:rsidR="000F48AC" w:rsidRDefault="000F48AC" w:rsidP="007C7B7A"/>
    <w:p w:rsidR="000F48AC" w:rsidRDefault="000F48AC" w:rsidP="007C7B7A">
      <w:pPr>
        <w:ind w:left="720"/>
      </w:pPr>
      <w:r>
        <w:rPr>
          <w:b/>
        </w:rPr>
        <w:t>Client Survey.</w:t>
      </w:r>
      <w:r w:rsidRPr="00A833C4">
        <w:t xml:space="preserve"> </w:t>
      </w:r>
      <w:r>
        <w:t xml:space="preserve">Program staff members from the current cohort of TCE-HIV Grantees were trained in how to administer the client survey. </w:t>
      </w:r>
      <w:r w:rsidRPr="00A833C4">
        <w:t>Pilot tests of the client survey were conducted with a subsample of nine clients from the target population. Specifically,</w:t>
      </w:r>
      <w:r>
        <w:t xml:space="preserve"> trained</w:t>
      </w:r>
      <w:r w:rsidRPr="00A833C4">
        <w:t xml:space="preserve"> Grantee </w:t>
      </w:r>
      <w:r>
        <w:t xml:space="preserve">staff </w:t>
      </w:r>
      <w:r w:rsidRPr="00A833C4">
        <w:t>administer</w:t>
      </w:r>
      <w:r>
        <w:t>ed</w:t>
      </w:r>
      <w:r w:rsidRPr="00A833C4">
        <w:t xml:space="preserve"> the client</w:t>
      </w:r>
      <w:r>
        <w:t>-</w:t>
      </w:r>
      <w:r w:rsidRPr="00A833C4">
        <w:t>level survey to</w:t>
      </w:r>
      <w:r w:rsidRPr="00A833C4">
        <w:rPr>
          <w:b/>
          <w:bCs/>
        </w:rPr>
        <w:t xml:space="preserve"> </w:t>
      </w:r>
      <w:r>
        <w:t>three</w:t>
      </w:r>
      <w:r w:rsidRPr="00A833C4">
        <w:t xml:space="preserve"> clients at baseline, </w:t>
      </w:r>
      <w:r>
        <w:t>three</w:t>
      </w:r>
      <w:r w:rsidRPr="00A833C4">
        <w:t xml:space="preserve"> clients at discharge, and </w:t>
      </w:r>
      <w:r>
        <w:t>three</w:t>
      </w:r>
      <w:r w:rsidRPr="00A833C4">
        <w:t xml:space="preserve"> clients at 6</w:t>
      </w:r>
      <w:r>
        <w:t xml:space="preserve"> </w:t>
      </w:r>
      <w:r w:rsidRPr="00A833C4">
        <w:t>months post</w:t>
      </w:r>
      <w:r>
        <w:t xml:space="preserve"> </w:t>
      </w:r>
      <w:r w:rsidRPr="00A833C4">
        <w:t>baseline.</w:t>
      </w:r>
      <w:r>
        <w:t xml:space="preserve"> </w:t>
      </w:r>
      <w:r w:rsidRPr="00A833C4">
        <w:t xml:space="preserve">Grantee staff </w:t>
      </w:r>
      <w:r>
        <w:t xml:space="preserve">members </w:t>
      </w:r>
      <w:r w:rsidRPr="00A833C4">
        <w:t>w</w:t>
      </w:r>
      <w:r>
        <w:t>ere</w:t>
      </w:r>
      <w:r w:rsidRPr="00A833C4">
        <w:t xml:space="preserve"> then asked to comment on the clarity of the questions and identify problems or concerns with the questions and format of the surveys.</w:t>
      </w:r>
      <w:r>
        <w:t xml:space="preserve"> </w:t>
      </w:r>
      <w:r w:rsidRPr="00A833C4">
        <w:t xml:space="preserve">Grantee staff </w:t>
      </w:r>
      <w:r>
        <w:t>provided</w:t>
      </w:r>
      <w:r w:rsidRPr="00A833C4">
        <w:t xml:space="preserve"> feedback on the appropriateness of the questions for the intended audience. Finally,</w:t>
      </w:r>
      <w:r>
        <w:t xml:space="preserve"> </w:t>
      </w:r>
      <w:r w:rsidRPr="00A833C4">
        <w:t xml:space="preserve">Grantee staff </w:t>
      </w:r>
      <w:r>
        <w:t xml:space="preserve">also </w:t>
      </w:r>
      <w:r w:rsidRPr="00A833C4">
        <w:t>provide</w:t>
      </w:r>
      <w:r>
        <w:t xml:space="preserve">d their </w:t>
      </w:r>
      <w:r w:rsidRPr="00A833C4">
        <w:t>client</w:t>
      </w:r>
      <w:r>
        <w:t>s’</w:t>
      </w:r>
      <w:r w:rsidRPr="00A833C4">
        <w:t xml:space="preserve"> feedback </w:t>
      </w:r>
      <w:r>
        <w:t>about</w:t>
      </w:r>
      <w:r w:rsidRPr="00A833C4">
        <w:t xml:space="preserve"> the client</w:t>
      </w:r>
      <w:r>
        <w:t>-</w:t>
      </w:r>
      <w:r w:rsidRPr="00A833C4">
        <w:t>level survey.</w:t>
      </w:r>
    </w:p>
    <w:p w:rsidR="000F48AC" w:rsidRDefault="000F48AC" w:rsidP="00D0533C"/>
    <w:p w:rsidR="000F48AC" w:rsidRDefault="000F48AC">
      <w:pPr>
        <w:ind w:firstLine="720"/>
        <w:rPr>
          <w:b/>
          <w:bCs/>
        </w:rPr>
      </w:pPr>
      <w:bookmarkStart w:id="79" w:name="_Toc8007732"/>
      <w:bookmarkStart w:id="80" w:name="_Toc88277987"/>
      <w:bookmarkStart w:id="81" w:name="_Toc131564381"/>
      <w:bookmarkEnd w:id="78"/>
      <w:r w:rsidRPr="008F03C5">
        <w:rPr>
          <w:b/>
          <w:bCs/>
        </w:rPr>
        <w:t>5.</w:t>
      </w:r>
      <w:r w:rsidRPr="008F03C5">
        <w:rPr>
          <w:b/>
          <w:bCs/>
        </w:rPr>
        <w:tab/>
      </w:r>
      <w:bookmarkEnd w:id="79"/>
      <w:r w:rsidRPr="008F03C5">
        <w:rPr>
          <w:b/>
          <w:bCs/>
          <w:u w:val="single"/>
        </w:rPr>
        <w:t xml:space="preserve">Statistical </w:t>
      </w:r>
      <w:bookmarkEnd w:id="80"/>
      <w:r w:rsidRPr="008F03C5">
        <w:rPr>
          <w:b/>
          <w:bCs/>
          <w:u w:val="single"/>
        </w:rPr>
        <w:t>Consultants</w:t>
      </w:r>
      <w:bookmarkEnd w:id="81"/>
    </w:p>
    <w:p w:rsidR="000F48AC" w:rsidRPr="008F03C5" w:rsidRDefault="000F48AC" w:rsidP="00D0533C"/>
    <w:p w:rsidR="000F48AC" w:rsidRDefault="000F48AC">
      <w:pPr>
        <w:ind w:left="720"/>
      </w:pPr>
      <w:r w:rsidRPr="008F03C5">
        <w:t xml:space="preserve">As noted in Section A.8, the </w:t>
      </w:r>
      <w:r>
        <w:t>TCE-HIV</w:t>
      </w:r>
      <w:r w:rsidRPr="008F03C5">
        <w:t xml:space="preserve"> Multi-</w:t>
      </w:r>
      <w:r>
        <w:t>S</w:t>
      </w:r>
      <w:r w:rsidRPr="008F03C5">
        <w:t xml:space="preserve">ite Evaluation Team has consulted with an expert panel </w:t>
      </w:r>
      <w:r>
        <w:t>and a project working group that have</w:t>
      </w:r>
      <w:r w:rsidRPr="008F03C5">
        <w:t xml:space="preserve"> reviewed all data collection and analysis methodologies outlined in this package. They will also continue to provide expert advice throughout the course of the pro</w:t>
      </w:r>
      <w:r>
        <w:t>ject.</w:t>
      </w:r>
      <w:r w:rsidRPr="008F03C5">
        <w:t xml:space="preserve"> In addition, several in-house experts will be consulted </w:t>
      </w:r>
      <w:r>
        <w:t>throughout the 5-year project</w:t>
      </w:r>
      <w:r w:rsidRPr="008F03C5">
        <w:t xml:space="preserve"> on various statistical aspects of the design, methodological issues, </w:t>
      </w:r>
      <w:r>
        <w:t xml:space="preserve">implementation issues, </w:t>
      </w:r>
      <w:r w:rsidRPr="008F03C5">
        <w:t>database manageme</w:t>
      </w:r>
      <w:r>
        <w:t>nt, and data analysis. Exhibit 11</w:t>
      </w:r>
      <w:r w:rsidRPr="008F03C5">
        <w:t xml:space="preserve"> provides </w:t>
      </w:r>
      <w:r>
        <w:t>information about</w:t>
      </w:r>
      <w:r w:rsidRPr="008F03C5">
        <w:t xml:space="preserve"> the</w:t>
      </w:r>
      <w:r>
        <w:t xml:space="preserve"> in-house</w:t>
      </w:r>
      <w:r w:rsidRPr="008F03C5">
        <w:t xml:space="preserve"> advisors. </w:t>
      </w:r>
      <w:bookmarkStart w:id="82" w:name="_Toc93987698"/>
      <w:bookmarkStart w:id="83" w:name="_Toc131566262"/>
    </w:p>
    <w:p w:rsidR="000F48AC" w:rsidRDefault="000F48AC" w:rsidP="002940A9"/>
    <w:p w:rsidR="000F48AC" w:rsidRDefault="000F48AC">
      <w:r>
        <w:br w:type="page"/>
      </w:r>
    </w:p>
    <w:p w:rsidR="000F48AC" w:rsidRDefault="000F48AC" w:rsidP="002940A9"/>
    <w:p w:rsidR="000F48AC" w:rsidRDefault="000F48AC" w:rsidP="00B9101F">
      <w:pPr>
        <w:ind w:left="720"/>
        <w:rPr>
          <w:b/>
          <w:bCs/>
        </w:rPr>
      </w:pPr>
      <w:r w:rsidRPr="00396E50">
        <w:rPr>
          <w:b/>
          <w:bCs/>
        </w:rPr>
        <w:t xml:space="preserve">Exhibit </w:t>
      </w:r>
      <w:r>
        <w:rPr>
          <w:b/>
          <w:bCs/>
        </w:rPr>
        <w:t>11</w:t>
      </w:r>
      <w:r w:rsidRPr="00396E50">
        <w:rPr>
          <w:b/>
          <w:bCs/>
        </w:rPr>
        <w:t>. Senior Advisors</w:t>
      </w:r>
      <w:bookmarkStart w:id="84" w:name="_Toc88277988"/>
      <w:bookmarkStart w:id="85" w:name="_Toc131564382"/>
      <w:bookmarkEnd w:id="82"/>
      <w:bookmarkEnd w:id="83"/>
    </w:p>
    <w:tbl>
      <w:tblPr>
        <w:tblW w:w="8640" w:type="dxa"/>
        <w:tblInd w:w="72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CellMar>
          <w:left w:w="86" w:type="dxa"/>
          <w:right w:w="86" w:type="dxa"/>
        </w:tblCellMar>
        <w:tblLook w:val="0000"/>
      </w:tblPr>
      <w:tblGrid>
        <w:gridCol w:w="2156"/>
        <w:gridCol w:w="3420"/>
        <w:gridCol w:w="3064"/>
      </w:tblGrid>
      <w:tr w:rsidR="000F48AC" w:rsidRPr="00933C0B" w:rsidTr="00B120B0">
        <w:trPr>
          <w:cantSplit/>
        </w:trPr>
        <w:tc>
          <w:tcPr>
            <w:tcW w:w="2156" w:type="dxa"/>
            <w:tcBorders>
              <w:top w:val="double" w:sz="6" w:space="0" w:color="auto"/>
            </w:tcBorders>
          </w:tcPr>
          <w:p w:rsidR="000F48AC" w:rsidRPr="00B120B0" w:rsidRDefault="000F48AC" w:rsidP="00AD108E">
            <w:pPr>
              <w:rPr>
                <w:color w:val="000000"/>
                <w:sz w:val="22"/>
                <w:szCs w:val="22"/>
              </w:rPr>
            </w:pPr>
            <w:r w:rsidRPr="00B9101F">
              <w:rPr>
                <w:color w:val="000000"/>
                <w:sz w:val="22"/>
                <w:szCs w:val="22"/>
              </w:rPr>
              <w:t>Jim Derzon, PhD</w:t>
            </w:r>
          </w:p>
        </w:tc>
        <w:tc>
          <w:tcPr>
            <w:tcW w:w="3420" w:type="dxa"/>
            <w:tcBorders>
              <w:top w:val="double" w:sz="6" w:space="0" w:color="auto"/>
            </w:tcBorders>
          </w:tcPr>
          <w:p w:rsidR="000F48AC" w:rsidRPr="00B120B0" w:rsidRDefault="000F48AC" w:rsidP="00F028E9">
            <w:pPr>
              <w:rPr>
                <w:color w:val="000000"/>
                <w:sz w:val="22"/>
                <w:szCs w:val="22"/>
              </w:rPr>
            </w:pPr>
            <w:r w:rsidRPr="00B9101F">
              <w:rPr>
                <w:color w:val="000000"/>
                <w:sz w:val="22"/>
                <w:szCs w:val="22"/>
              </w:rPr>
              <w:t>Battelle Memorial Institute</w:t>
            </w:r>
          </w:p>
          <w:p w:rsidR="000F48AC" w:rsidRPr="00B120B0" w:rsidRDefault="000F48AC" w:rsidP="00F028E9">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color w:val="000000"/>
                <w:sz w:val="22"/>
                <w:szCs w:val="22"/>
                <w:lang w:val="fr-FR"/>
              </w:rPr>
            </w:pPr>
            <w:r w:rsidRPr="00B9101F">
              <w:rPr>
                <w:color w:val="000000"/>
                <w:sz w:val="22"/>
                <w:szCs w:val="22"/>
              </w:rPr>
              <w:t>TCE-HIV Multi-Site Evaluation Task Lead for Quantitative Analysis</w:t>
            </w:r>
            <w:r w:rsidRPr="00B9101F">
              <w:rPr>
                <w:color w:val="000000"/>
                <w:sz w:val="22"/>
                <w:szCs w:val="22"/>
                <w:lang w:val="fr-FR"/>
              </w:rPr>
              <w:t xml:space="preserve"> 2101 Wilson Boulevard</w:t>
            </w:r>
          </w:p>
          <w:p w:rsidR="000F48AC" w:rsidRPr="00B120B0" w:rsidRDefault="000F48AC" w:rsidP="00F028E9">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color w:val="000000"/>
                <w:sz w:val="22"/>
                <w:szCs w:val="22"/>
                <w:lang w:val="fr-FR"/>
              </w:rPr>
            </w:pPr>
            <w:r w:rsidRPr="00B9101F">
              <w:rPr>
                <w:color w:val="000000"/>
                <w:sz w:val="22"/>
                <w:szCs w:val="22"/>
                <w:lang w:val="fr-FR"/>
              </w:rPr>
              <w:t>Suite 800</w:t>
            </w:r>
          </w:p>
          <w:p w:rsidR="000F48AC" w:rsidRPr="00B120B0" w:rsidRDefault="000F48AC" w:rsidP="00F028E9">
            <w:pPr>
              <w:pStyle w:val="HTMLAddress"/>
              <w:rPr>
                <w:i w:val="0"/>
                <w:iCs w:val="0"/>
                <w:color w:val="000000"/>
                <w:sz w:val="22"/>
                <w:szCs w:val="22"/>
              </w:rPr>
            </w:pPr>
            <w:r w:rsidRPr="00B9101F">
              <w:rPr>
                <w:i w:val="0"/>
                <w:iCs w:val="0"/>
                <w:color w:val="000000"/>
                <w:sz w:val="22"/>
                <w:szCs w:val="22"/>
                <w:lang w:val="fr-FR"/>
              </w:rPr>
              <w:t>Arlington, VA 22201-3008</w:t>
            </w:r>
          </w:p>
        </w:tc>
        <w:tc>
          <w:tcPr>
            <w:tcW w:w="3064" w:type="dxa"/>
            <w:tcBorders>
              <w:top w:val="double" w:sz="6" w:space="0" w:color="auto"/>
            </w:tcBorders>
          </w:tcPr>
          <w:p w:rsidR="000F48AC" w:rsidRPr="00B120B0" w:rsidRDefault="000F48AC" w:rsidP="001A7BE4">
            <w:pPr>
              <w:rPr>
                <w:color w:val="000000"/>
                <w:sz w:val="22"/>
                <w:szCs w:val="22"/>
                <w:lang w:val="fr-FR"/>
              </w:rPr>
            </w:pPr>
            <w:r w:rsidRPr="00B9101F">
              <w:rPr>
                <w:color w:val="000000"/>
                <w:sz w:val="22"/>
                <w:szCs w:val="22"/>
                <w:lang w:val="fr-FR"/>
              </w:rPr>
              <w:t>Phone: 703-248-1640</w:t>
            </w:r>
          </w:p>
          <w:p w:rsidR="000F48AC" w:rsidRPr="00B120B0" w:rsidRDefault="000F48AC" w:rsidP="001A7BE4">
            <w:pPr>
              <w:rPr>
                <w:color w:val="000000"/>
                <w:sz w:val="22"/>
                <w:szCs w:val="22"/>
                <w:lang w:val="fr-FR"/>
              </w:rPr>
            </w:pPr>
            <w:r w:rsidRPr="00B9101F">
              <w:rPr>
                <w:color w:val="000000"/>
                <w:sz w:val="22"/>
                <w:szCs w:val="22"/>
                <w:lang w:val="fr-FR"/>
              </w:rPr>
              <w:t>Fax: 703-527-5640</w:t>
            </w:r>
          </w:p>
          <w:p w:rsidR="000F48AC" w:rsidRPr="00B120B0" w:rsidRDefault="000F48AC" w:rsidP="001A7BE4">
            <w:pPr>
              <w:pStyle w:val="HTMLAddress"/>
              <w:rPr>
                <w:i w:val="0"/>
                <w:iCs w:val="0"/>
                <w:color w:val="000000"/>
                <w:sz w:val="22"/>
                <w:szCs w:val="22"/>
                <w:lang w:val="fr-FR"/>
              </w:rPr>
            </w:pPr>
            <w:r w:rsidRPr="00B9101F">
              <w:rPr>
                <w:i w:val="0"/>
                <w:iCs w:val="0"/>
                <w:color w:val="000000"/>
                <w:sz w:val="22"/>
                <w:szCs w:val="22"/>
                <w:lang w:val="fr-FR"/>
              </w:rPr>
              <w:t>E-mail: Derzonj@battelle.org</w:t>
            </w:r>
          </w:p>
        </w:tc>
      </w:tr>
      <w:tr w:rsidR="000F48AC" w:rsidRPr="00F028E9" w:rsidTr="00B120B0">
        <w:trPr>
          <w:cantSplit/>
          <w:trHeight w:val="1128"/>
        </w:trPr>
        <w:tc>
          <w:tcPr>
            <w:tcW w:w="2156" w:type="dxa"/>
          </w:tcPr>
          <w:p w:rsidR="000F48AC" w:rsidRPr="00B120B0" w:rsidRDefault="000F48AC" w:rsidP="00AD108E">
            <w:pPr>
              <w:rPr>
                <w:color w:val="000000"/>
                <w:sz w:val="22"/>
                <w:szCs w:val="22"/>
              </w:rPr>
            </w:pPr>
            <w:r w:rsidRPr="00B9101F">
              <w:rPr>
                <w:color w:val="000000"/>
                <w:sz w:val="22"/>
                <w:szCs w:val="22"/>
              </w:rPr>
              <w:t>Susan Hayashi, PhD</w:t>
            </w:r>
          </w:p>
        </w:tc>
        <w:tc>
          <w:tcPr>
            <w:tcW w:w="3420" w:type="dxa"/>
          </w:tcPr>
          <w:p w:rsidR="000F48AC" w:rsidRPr="00B120B0" w:rsidRDefault="000F48AC" w:rsidP="00AD108E">
            <w:pPr>
              <w:pStyle w:val="HTMLAddress"/>
              <w:rPr>
                <w:i w:val="0"/>
                <w:iCs w:val="0"/>
                <w:color w:val="000000"/>
                <w:sz w:val="22"/>
                <w:szCs w:val="22"/>
              </w:rPr>
            </w:pPr>
            <w:r w:rsidRPr="00B9101F">
              <w:rPr>
                <w:i w:val="0"/>
                <w:iCs w:val="0"/>
                <w:color w:val="000000"/>
                <w:sz w:val="22"/>
                <w:szCs w:val="22"/>
              </w:rPr>
              <w:t>JBS International, Inc.</w:t>
            </w:r>
          </w:p>
          <w:p w:rsidR="000F48AC" w:rsidRPr="00B120B0" w:rsidRDefault="000F48AC" w:rsidP="00AD108E">
            <w:pPr>
              <w:pStyle w:val="HTMLAddress"/>
              <w:rPr>
                <w:i w:val="0"/>
                <w:iCs w:val="0"/>
                <w:color w:val="000000"/>
                <w:sz w:val="22"/>
                <w:szCs w:val="22"/>
              </w:rPr>
            </w:pPr>
            <w:r w:rsidRPr="00B9101F">
              <w:rPr>
                <w:i w:val="0"/>
                <w:iCs w:val="0"/>
                <w:color w:val="000000"/>
                <w:sz w:val="22"/>
                <w:szCs w:val="22"/>
              </w:rPr>
              <w:t>Vice President</w:t>
            </w:r>
          </w:p>
          <w:p w:rsidR="000F48AC" w:rsidRPr="00B120B0" w:rsidRDefault="000F48AC" w:rsidP="00AD108E">
            <w:pPr>
              <w:pStyle w:val="HTMLAddress"/>
              <w:rPr>
                <w:i w:val="0"/>
                <w:iCs w:val="0"/>
                <w:color w:val="000000"/>
                <w:sz w:val="22"/>
                <w:szCs w:val="22"/>
              </w:rPr>
            </w:pPr>
            <w:r w:rsidRPr="00B9101F">
              <w:rPr>
                <w:i w:val="0"/>
                <w:iCs w:val="0"/>
                <w:color w:val="000000"/>
                <w:sz w:val="22"/>
                <w:szCs w:val="22"/>
              </w:rPr>
              <w:t>5515 Security Lane, Suite 800</w:t>
            </w:r>
            <w:r w:rsidRPr="00B9101F">
              <w:rPr>
                <w:i w:val="0"/>
                <w:iCs w:val="0"/>
                <w:color w:val="000000"/>
                <w:sz w:val="22"/>
                <w:szCs w:val="22"/>
              </w:rPr>
              <w:br/>
              <w:t>North Bethesda, MD 20852-5007</w:t>
            </w:r>
          </w:p>
        </w:tc>
        <w:tc>
          <w:tcPr>
            <w:tcW w:w="3064" w:type="dxa"/>
          </w:tcPr>
          <w:p w:rsidR="000F48AC" w:rsidRPr="00B120B0" w:rsidRDefault="000F48AC" w:rsidP="00AD108E">
            <w:pPr>
              <w:pStyle w:val="HTMLAddress"/>
              <w:rPr>
                <w:i w:val="0"/>
                <w:iCs w:val="0"/>
                <w:color w:val="000000"/>
                <w:sz w:val="22"/>
                <w:szCs w:val="22"/>
              </w:rPr>
            </w:pPr>
            <w:r w:rsidRPr="00B9101F">
              <w:rPr>
                <w:i w:val="0"/>
                <w:iCs w:val="0"/>
                <w:color w:val="000000"/>
                <w:sz w:val="22"/>
                <w:szCs w:val="22"/>
              </w:rPr>
              <w:t>Phone: 301-495-1080 ext. 4588</w:t>
            </w:r>
          </w:p>
          <w:p w:rsidR="000F48AC" w:rsidRPr="00B120B0" w:rsidRDefault="000F48AC" w:rsidP="00AD108E">
            <w:pPr>
              <w:pStyle w:val="HTMLAddress"/>
              <w:rPr>
                <w:i w:val="0"/>
                <w:iCs w:val="0"/>
                <w:color w:val="000000"/>
                <w:sz w:val="22"/>
                <w:szCs w:val="22"/>
              </w:rPr>
            </w:pPr>
            <w:r w:rsidRPr="00B9101F">
              <w:rPr>
                <w:i w:val="0"/>
                <w:iCs w:val="0"/>
                <w:color w:val="000000"/>
                <w:sz w:val="22"/>
                <w:szCs w:val="22"/>
              </w:rPr>
              <w:t>Fax: 301-587-4352</w:t>
            </w:r>
          </w:p>
          <w:p w:rsidR="000F48AC" w:rsidRPr="00B120B0" w:rsidRDefault="000F48AC" w:rsidP="00AD108E">
            <w:pPr>
              <w:pStyle w:val="HTMLAddress"/>
              <w:rPr>
                <w:i w:val="0"/>
                <w:iCs w:val="0"/>
                <w:color w:val="000000"/>
                <w:sz w:val="22"/>
                <w:szCs w:val="22"/>
              </w:rPr>
            </w:pPr>
            <w:r w:rsidRPr="00B9101F">
              <w:rPr>
                <w:i w:val="0"/>
                <w:iCs w:val="0"/>
                <w:color w:val="000000"/>
                <w:sz w:val="22"/>
                <w:szCs w:val="22"/>
              </w:rPr>
              <w:t>E-mail: shayashi@jbsinternational.com</w:t>
            </w:r>
          </w:p>
          <w:p w:rsidR="000F48AC" w:rsidRPr="00B120B0" w:rsidRDefault="000F48AC" w:rsidP="00AD108E">
            <w:pPr>
              <w:rPr>
                <w:color w:val="000000"/>
                <w:sz w:val="22"/>
                <w:szCs w:val="22"/>
              </w:rPr>
            </w:pPr>
          </w:p>
        </w:tc>
      </w:tr>
      <w:tr w:rsidR="000F48AC" w:rsidRPr="00933C0B" w:rsidTr="00B120B0">
        <w:trPr>
          <w:cantSplit/>
        </w:trPr>
        <w:tc>
          <w:tcPr>
            <w:tcW w:w="2156" w:type="dxa"/>
          </w:tcPr>
          <w:p w:rsidR="000F48AC" w:rsidRPr="00B120B0" w:rsidRDefault="000F48AC" w:rsidP="00AD108E">
            <w:pPr>
              <w:rPr>
                <w:color w:val="000000"/>
                <w:sz w:val="22"/>
                <w:szCs w:val="22"/>
              </w:rPr>
            </w:pPr>
            <w:r w:rsidRPr="00B9101F">
              <w:rPr>
                <w:color w:val="000000"/>
                <w:sz w:val="22"/>
                <w:szCs w:val="22"/>
              </w:rPr>
              <w:t>Kevin Hylton, PhD</w:t>
            </w:r>
          </w:p>
        </w:tc>
        <w:tc>
          <w:tcPr>
            <w:tcW w:w="3420" w:type="dxa"/>
          </w:tcPr>
          <w:p w:rsidR="000F48AC" w:rsidRPr="00B120B0" w:rsidRDefault="000F48AC" w:rsidP="00AD108E">
            <w:pPr>
              <w:rPr>
                <w:color w:val="000000"/>
                <w:sz w:val="22"/>
                <w:szCs w:val="22"/>
              </w:rPr>
            </w:pPr>
            <w:r w:rsidRPr="00B9101F">
              <w:rPr>
                <w:color w:val="000000"/>
                <w:sz w:val="22"/>
                <w:szCs w:val="22"/>
              </w:rPr>
              <w:t>Alliances for Quality Education, Inc.</w:t>
            </w:r>
            <w:r w:rsidRPr="00B9101F">
              <w:rPr>
                <w:color w:val="000000"/>
                <w:sz w:val="22"/>
                <w:szCs w:val="22"/>
              </w:rPr>
              <w:br/>
              <w:t>TCE-HIV Multi-Site Evaluation Deputy Project Director</w:t>
            </w:r>
            <w:r w:rsidRPr="00B9101F">
              <w:rPr>
                <w:color w:val="000000"/>
                <w:sz w:val="22"/>
                <w:szCs w:val="22"/>
              </w:rPr>
              <w:br/>
              <w:t>TCE-HIV Evaluation Project</w:t>
            </w:r>
            <w:r w:rsidRPr="00B9101F">
              <w:rPr>
                <w:color w:val="000000"/>
                <w:sz w:val="22"/>
                <w:szCs w:val="22"/>
              </w:rPr>
              <w:br/>
              <w:t xml:space="preserve">8181 Professional Place, Suite 110 </w:t>
            </w:r>
            <w:r w:rsidRPr="00B9101F">
              <w:rPr>
                <w:color w:val="000000"/>
                <w:sz w:val="22"/>
                <w:szCs w:val="22"/>
              </w:rPr>
              <w:br/>
              <w:t>Landover, Maryland 20785</w:t>
            </w:r>
          </w:p>
        </w:tc>
        <w:tc>
          <w:tcPr>
            <w:tcW w:w="3064" w:type="dxa"/>
          </w:tcPr>
          <w:p w:rsidR="000F48AC" w:rsidRPr="00B120B0" w:rsidRDefault="000F48AC" w:rsidP="00AD108E">
            <w:pPr>
              <w:rPr>
                <w:color w:val="000000"/>
                <w:sz w:val="22"/>
                <w:szCs w:val="22"/>
                <w:lang w:val="fr-FR"/>
              </w:rPr>
            </w:pPr>
            <w:r w:rsidRPr="00B9101F">
              <w:rPr>
                <w:color w:val="000000"/>
                <w:sz w:val="22"/>
                <w:szCs w:val="22"/>
                <w:lang w:val="fr-FR"/>
              </w:rPr>
              <w:t xml:space="preserve">Phone: 301-583-8424 </w:t>
            </w:r>
            <w:r w:rsidRPr="00B9101F">
              <w:rPr>
                <w:color w:val="000000"/>
                <w:sz w:val="22"/>
                <w:szCs w:val="22"/>
                <w:lang w:val="fr-FR"/>
              </w:rPr>
              <w:br/>
              <w:t>Fax: 301-583-8422</w:t>
            </w:r>
          </w:p>
          <w:p w:rsidR="000F48AC" w:rsidRPr="00B120B0" w:rsidRDefault="000F48AC" w:rsidP="00AD108E">
            <w:pPr>
              <w:rPr>
                <w:color w:val="000000"/>
                <w:sz w:val="22"/>
                <w:szCs w:val="22"/>
                <w:lang w:val="fr-FR"/>
              </w:rPr>
            </w:pPr>
            <w:r w:rsidRPr="00B9101F">
              <w:rPr>
                <w:color w:val="000000"/>
                <w:sz w:val="22"/>
                <w:szCs w:val="22"/>
                <w:lang w:val="fr-FR"/>
              </w:rPr>
              <w:t xml:space="preserve">E-mail: khylton@aqe-inc.com </w:t>
            </w:r>
          </w:p>
        </w:tc>
      </w:tr>
      <w:tr w:rsidR="000F48AC" w:rsidRPr="00933C0B" w:rsidTr="00B120B0">
        <w:trPr>
          <w:cantSplit/>
        </w:trPr>
        <w:tc>
          <w:tcPr>
            <w:tcW w:w="2156" w:type="dxa"/>
          </w:tcPr>
          <w:p w:rsidR="000F48AC" w:rsidRPr="00B120B0" w:rsidRDefault="000F48AC" w:rsidP="00AD108E">
            <w:pPr>
              <w:rPr>
                <w:color w:val="000000"/>
                <w:sz w:val="22"/>
                <w:szCs w:val="22"/>
              </w:rPr>
            </w:pPr>
            <w:r w:rsidRPr="00B9101F">
              <w:rPr>
                <w:color w:val="000000"/>
                <w:sz w:val="22"/>
                <w:szCs w:val="22"/>
              </w:rPr>
              <w:t>Jennifer Kasten, PhD</w:t>
            </w:r>
          </w:p>
        </w:tc>
        <w:tc>
          <w:tcPr>
            <w:tcW w:w="3420" w:type="dxa"/>
          </w:tcPr>
          <w:p w:rsidR="000F48AC" w:rsidRPr="00B120B0" w:rsidRDefault="000F48AC" w:rsidP="00AD108E">
            <w:pPr>
              <w:pStyle w:val="HTMLAddress"/>
              <w:rPr>
                <w:i w:val="0"/>
                <w:iCs w:val="0"/>
                <w:color w:val="000000"/>
                <w:sz w:val="22"/>
                <w:szCs w:val="22"/>
              </w:rPr>
            </w:pPr>
            <w:r w:rsidRPr="00B9101F">
              <w:rPr>
                <w:i w:val="0"/>
                <w:iCs w:val="0"/>
                <w:color w:val="000000"/>
                <w:sz w:val="22"/>
                <w:szCs w:val="22"/>
              </w:rPr>
              <w:t>JBS International, Inc.</w:t>
            </w:r>
          </w:p>
          <w:p w:rsidR="000F48AC" w:rsidRPr="00B120B0" w:rsidRDefault="000F48AC" w:rsidP="00AD108E">
            <w:pPr>
              <w:rPr>
                <w:color w:val="000000"/>
                <w:sz w:val="22"/>
                <w:szCs w:val="22"/>
              </w:rPr>
            </w:pPr>
            <w:r w:rsidRPr="00B9101F">
              <w:rPr>
                <w:color w:val="000000"/>
                <w:sz w:val="22"/>
                <w:szCs w:val="22"/>
              </w:rPr>
              <w:t>TCE-HIV Multi-Site Evaluation Lead</w:t>
            </w:r>
          </w:p>
          <w:p w:rsidR="000F48AC" w:rsidRPr="00B120B0" w:rsidRDefault="000F48AC" w:rsidP="00AD108E">
            <w:pPr>
              <w:rPr>
                <w:color w:val="000000"/>
                <w:sz w:val="22"/>
                <w:szCs w:val="22"/>
              </w:rPr>
            </w:pPr>
            <w:r w:rsidRPr="00B9101F">
              <w:rPr>
                <w:color w:val="000000"/>
                <w:sz w:val="22"/>
                <w:szCs w:val="22"/>
              </w:rPr>
              <w:t>5515 Security Lane, Suite 800</w:t>
            </w:r>
            <w:r w:rsidRPr="00B9101F">
              <w:rPr>
                <w:color w:val="000000"/>
                <w:sz w:val="22"/>
                <w:szCs w:val="22"/>
              </w:rPr>
              <w:br/>
              <w:t>North Bethesda, MD 20852-5007</w:t>
            </w:r>
          </w:p>
        </w:tc>
        <w:tc>
          <w:tcPr>
            <w:tcW w:w="3064" w:type="dxa"/>
          </w:tcPr>
          <w:p w:rsidR="000F48AC" w:rsidRPr="00B120B0" w:rsidRDefault="000F48AC" w:rsidP="00412220">
            <w:pPr>
              <w:pStyle w:val="HTMLAddress"/>
              <w:rPr>
                <w:i w:val="0"/>
                <w:iCs w:val="0"/>
                <w:color w:val="000000"/>
                <w:sz w:val="22"/>
                <w:szCs w:val="22"/>
                <w:lang w:val="fr-FR"/>
              </w:rPr>
            </w:pPr>
            <w:r w:rsidRPr="00B9101F">
              <w:rPr>
                <w:i w:val="0"/>
                <w:iCs w:val="0"/>
                <w:color w:val="000000"/>
                <w:sz w:val="22"/>
                <w:szCs w:val="22"/>
                <w:lang w:val="fr-FR"/>
              </w:rPr>
              <w:t>Phone:</w:t>
            </w:r>
            <w:r w:rsidRPr="00B9101F">
              <w:rPr>
                <w:color w:val="000000"/>
                <w:sz w:val="22"/>
                <w:szCs w:val="22"/>
                <w:lang w:val="fr-FR"/>
              </w:rPr>
              <w:t xml:space="preserve"> </w:t>
            </w:r>
            <w:r w:rsidRPr="00B9101F">
              <w:rPr>
                <w:i w:val="0"/>
                <w:iCs w:val="0"/>
                <w:color w:val="000000"/>
                <w:sz w:val="22"/>
                <w:szCs w:val="22"/>
                <w:lang w:val="fr-FR"/>
              </w:rPr>
              <w:t>240-645-4145</w:t>
            </w:r>
          </w:p>
          <w:p w:rsidR="000F48AC" w:rsidRPr="00B120B0" w:rsidRDefault="000F48AC" w:rsidP="00412220">
            <w:pPr>
              <w:pStyle w:val="HTMLAddress"/>
              <w:rPr>
                <w:i w:val="0"/>
                <w:iCs w:val="0"/>
                <w:color w:val="000000"/>
                <w:sz w:val="22"/>
                <w:szCs w:val="22"/>
                <w:lang w:val="fr-FR"/>
              </w:rPr>
            </w:pPr>
            <w:r w:rsidRPr="00B9101F">
              <w:rPr>
                <w:i w:val="0"/>
                <w:iCs w:val="0"/>
                <w:color w:val="000000"/>
                <w:sz w:val="22"/>
                <w:szCs w:val="22"/>
                <w:lang w:val="fr-FR"/>
              </w:rPr>
              <w:t>Fax: 301-587-4352</w:t>
            </w:r>
          </w:p>
          <w:p w:rsidR="000F48AC" w:rsidRPr="00B120B0" w:rsidRDefault="000F48AC" w:rsidP="00412220">
            <w:pPr>
              <w:pStyle w:val="HTMLAddress"/>
              <w:rPr>
                <w:i w:val="0"/>
                <w:iCs w:val="0"/>
                <w:color w:val="000000"/>
                <w:sz w:val="22"/>
                <w:szCs w:val="22"/>
                <w:lang w:val="fr-FR"/>
              </w:rPr>
            </w:pPr>
            <w:r w:rsidRPr="00B9101F">
              <w:rPr>
                <w:i w:val="0"/>
                <w:iCs w:val="0"/>
                <w:color w:val="000000"/>
                <w:sz w:val="22"/>
                <w:szCs w:val="22"/>
                <w:lang w:val="fr-FR"/>
              </w:rPr>
              <w:t>E-mail: jkasten@jbsinternational.com</w:t>
            </w:r>
          </w:p>
          <w:p w:rsidR="000F48AC" w:rsidRPr="00B120B0" w:rsidRDefault="000F48AC" w:rsidP="00AD108E">
            <w:pPr>
              <w:rPr>
                <w:color w:val="000000"/>
                <w:sz w:val="22"/>
                <w:szCs w:val="22"/>
                <w:lang w:val="fr-FR"/>
              </w:rPr>
            </w:pPr>
          </w:p>
        </w:tc>
      </w:tr>
      <w:tr w:rsidR="000F48AC" w:rsidRPr="00933C0B" w:rsidTr="00B120B0">
        <w:trPr>
          <w:cantSplit/>
        </w:trPr>
        <w:tc>
          <w:tcPr>
            <w:tcW w:w="2156" w:type="dxa"/>
          </w:tcPr>
          <w:p w:rsidR="000F48AC" w:rsidRPr="00B120B0" w:rsidRDefault="000F48AC" w:rsidP="00AD108E">
            <w:pPr>
              <w:rPr>
                <w:color w:val="000000"/>
                <w:sz w:val="22"/>
                <w:szCs w:val="22"/>
              </w:rPr>
            </w:pPr>
            <w:r w:rsidRPr="00B9101F">
              <w:rPr>
                <w:color w:val="000000"/>
                <w:sz w:val="22"/>
                <w:szCs w:val="22"/>
              </w:rPr>
              <w:t>Resa Matthew, PhD</w:t>
            </w:r>
          </w:p>
        </w:tc>
        <w:tc>
          <w:tcPr>
            <w:tcW w:w="3420" w:type="dxa"/>
          </w:tcPr>
          <w:p w:rsidR="000F48AC" w:rsidRPr="00B120B0" w:rsidRDefault="000F48AC" w:rsidP="00AD108E">
            <w:pPr>
              <w:pStyle w:val="HTMLAddress"/>
              <w:rPr>
                <w:i w:val="0"/>
                <w:iCs w:val="0"/>
                <w:color w:val="000000"/>
                <w:sz w:val="22"/>
                <w:szCs w:val="22"/>
              </w:rPr>
            </w:pPr>
            <w:r w:rsidRPr="00B9101F">
              <w:rPr>
                <w:i w:val="0"/>
                <w:iCs w:val="0"/>
                <w:color w:val="000000"/>
                <w:sz w:val="22"/>
                <w:szCs w:val="22"/>
              </w:rPr>
              <w:t>JBS International, Inc.</w:t>
            </w:r>
          </w:p>
          <w:p w:rsidR="000F48AC" w:rsidRPr="00B120B0" w:rsidRDefault="000F48AC" w:rsidP="00AD108E">
            <w:pPr>
              <w:rPr>
                <w:color w:val="000000"/>
                <w:sz w:val="22"/>
                <w:szCs w:val="22"/>
              </w:rPr>
            </w:pPr>
            <w:r w:rsidRPr="00B9101F">
              <w:rPr>
                <w:color w:val="000000"/>
                <w:sz w:val="22"/>
                <w:szCs w:val="22"/>
              </w:rPr>
              <w:t>TCE-HIV Multi-Site Evaluation Project Director</w:t>
            </w:r>
          </w:p>
          <w:p w:rsidR="000F48AC" w:rsidRPr="00B120B0" w:rsidRDefault="000F48AC" w:rsidP="00AD108E">
            <w:pPr>
              <w:rPr>
                <w:color w:val="000000"/>
                <w:sz w:val="22"/>
                <w:szCs w:val="22"/>
              </w:rPr>
            </w:pPr>
            <w:r w:rsidRPr="00B9101F">
              <w:rPr>
                <w:color w:val="000000"/>
                <w:sz w:val="22"/>
                <w:szCs w:val="22"/>
              </w:rPr>
              <w:t>5515 Security Lane, Suite 800</w:t>
            </w:r>
            <w:r w:rsidRPr="00B9101F">
              <w:rPr>
                <w:color w:val="000000"/>
                <w:sz w:val="22"/>
                <w:szCs w:val="22"/>
              </w:rPr>
              <w:br/>
              <w:t>North Bethesda, MD 20852-5007</w:t>
            </w:r>
          </w:p>
        </w:tc>
        <w:tc>
          <w:tcPr>
            <w:tcW w:w="3064" w:type="dxa"/>
          </w:tcPr>
          <w:p w:rsidR="000F48AC" w:rsidRPr="00B120B0" w:rsidRDefault="000F48AC" w:rsidP="00412220">
            <w:pPr>
              <w:pStyle w:val="HTMLAddress"/>
              <w:rPr>
                <w:i w:val="0"/>
                <w:iCs w:val="0"/>
                <w:color w:val="000000"/>
                <w:sz w:val="22"/>
                <w:szCs w:val="22"/>
                <w:lang w:val="fr-FR"/>
              </w:rPr>
            </w:pPr>
            <w:r w:rsidRPr="00B9101F">
              <w:rPr>
                <w:i w:val="0"/>
                <w:iCs w:val="0"/>
                <w:color w:val="000000"/>
                <w:sz w:val="22"/>
                <w:szCs w:val="22"/>
                <w:lang w:val="fr-FR"/>
              </w:rPr>
              <w:t>Phone:</w:t>
            </w:r>
            <w:r w:rsidRPr="00B9101F">
              <w:rPr>
                <w:color w:val="000000"/>
                <w:sz w:val="22"/>
                <w:szCs w:val="22"/>
                <w:lang w:val="fr-FR"/>
              </w:rPr>
              <w:t xml:space="preserve"> </w:t>
            </w:r>
            <w:r w:rsidRPr="00B9101F">
              <w:rPr>
                <w:i w:val="0"/>
                <w:iCs w:val="0"/>
                <w:color w:val="000000"/>
                <w:sz w:val="22"/>
                <w:szCs w:val="22"/>
                <w:lang w:val="fr-FR"/>
              </w:rPr>
              <w:t>240-645-4608</w:t>
            </w:r>
          </w:p>
          <w:p w:rsidR="000F48AC" w:rsidRPr="00B120B0" w:rsidRDefault="000F48AC" w:rsidP="00412220">
            <w:pPr>
              <w:pStyle w:val="HTMLAddress"/>
              <w:rPr>
                <w:i w:val="0"/>
                <w:iCs w:val="0"/>
                <w:color w:val="000000"/>
                <w:sz w:val="22"/>
                <w:szCs w:val="22"/>
                <w:lang w:val="fr-FR"/>
              </w:rPr>
            </w:pPr>
            <w:r w:rsidRPr="00B9101F">
              <w:rPr>
                <w:i w:val="0"/>
                <w:iCs w:val="0"/>
                <w:color w:val="000000"/>
                <w:sz w:val="22"/>
                <w:szCs w:val="22"/>
                <w:lang w:val="fr-FR"/>
              </w:rPr>
              <w:t>Fax: 301-587-4352</w:t>
            </w:r>
          </w:p>
          <w:p w:rsidR="000F48AC" w:rsidRPr="00B120B0" w:rsidRDefault="000F48AC" w:rsidP="00412220">
            <w:pPr>
              <w:pStyle w:val="HTMLAddress"/>
              <w:rPr>
                <w:i w:val="0"/>
                <w:iCs w:val="0"/>
                <w:color w:val="000000"/>
                <w:sz w:val="22"/>
                <w:szCs w:val="22"/>
                <w:lang w:val="fr-FR"/>
              </w:rPr>
            </w:pPr>
            <w:r w:rsidRPr="00B9101F">
              <w:rPr>
                <w:i w:val="0"/>
                <w:iCs w:val="0"/>
                <w:color w:val="000000"/>
                <w:sz w:val="22"/>
                <w:szCs w:val="22"/>
                <w:lang w:val="fr-FR"/>
              </w:rPr>
              <w:t>E-mail: rmatthew@jbsinternational.com</w:t>
            </w:r>
          </w:p>
          <w:p w:rsidR="000F48AC" w:rsidRPr="00B120B0" w:rsidRDefault="000F48AC" w:rsidP="00AD108E">
            <w:pPr>
              <w:rPr>
                <w:color w:val="000000"/>
                <w:sz w:val="22"/>
                <w:szCs w:val="22"/>
                <w:lang w:val="fr-FR"/>
              </w:rPr>
            </w:pPr>
          </w:p>
        </w:tc>
      </w:tr>
      <w:tr w:rsidR="000F48AC" w:rsidRPr="00933C0B" w:rsidTr="00B120B0">
        <w:trPr>
          <w:cantSplit/>
        </w:trPr>
        <w:tc>
          <w:tcPr>
            <w:tcW w:w="2156" w:type="dxa"/>
          </w:tcPr>
          <w:p w:rsidR="000F48AC" w:rsidRPr="00B120B0" w:rsidRDefault="000F48AC" w:rsidP="00AD108E">
            <w:pPr>
              <w:rPr>
                <w:color w:val="000000"/>
                <w:sz w:val="22"/>
                <w:szCs w:val="22"/>
              </w:rPr>
            </w:pPr>
            <w:r w:rsidRPr="00B9101F">
              <w:rPr>
                <w:color w:val="000000"/>
                <w:sz w:val="22"/>
                <w:szCs w:val="22"/>
              </w:rPr>
              <w:t>Ping Yu, PhD</w:t>
            </w:r>
          </w:p>
        </w:tc>
        <w:tc>
          <w:tcPr>
            <w:tcW w:w="3420" w:type="dxa"/>
          </w:tcPr>
          <w:p w:rsidR="000F48AC" w:rsidRPr="00B120B0" w:rsidRDefault="000F48AC" w:rsidP="00AD108E">
            <w:pPr>
              <w:rPr>
                <w:color w:val="000000"/>
                <w:sz w:val="22"/>
                <w:szCs w:val="22"/>
              </w:rPr>
            </w:pPr>
            <w:r w:rsidRPr="00B9101F">
              <w:rPr>
                <w:color w:val="000000"/>
                <w:sz w:val="22"/>
                <w:szCs w:val="22"/>
              </w:rPr>
              <w:t>Battelle Memorial Institute</w:t>
            </w:r>
          </w:p>
          <w:p w:rsidR="000F48AC" w:rsidRPr="00B120B0" w:rsidRDefault="000F48AC" w:rsidP="00AD108E">
            <w:pPr>
              <w:rPr>
                <w:color w:val="000000"/>
                <w:sz w:val="22"/>
                <w:szCs w:val="22"/>
              </w:rPr>
            </w:pPr>
            <w:r w:rsidRPr="00B9101F">
              <w:rPr>
                <w:color w:val="000000"/>
                <w:sz w:val="22"/>
                <w:szCs w:val="22"/>
              </w:rPr>
              <w:t>TCE-HIV Multi-Site Evaluation Subcontract Director/Co-PI</w:t>
            </w:r>
          </w:p>
          <w:p w:rsidR="000F48AC" w:rsidRPr="00B120B0" w:rsidRDefault="000F48AC" w:rsidP="00AD108E">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color w:val="000000"/>
                <w:sz w:val="22"/>
                <w:szCs w:val="22"/>
                <w:lang w:val="fr-FR"/>
              </w:rPr>
            </w:pPr>
            <w:r w:rsidRPr="00B9101F">
              <w:rPr>
                <w:color w:val="000000"/>
                <w:sz w:val="22"/>
                <w:szCs w:val="22"/>
                <w:lang w:val="fr-FR"/>
              </w:rPr>
              <w:t>2101 Wilson Boulevard</w:t>
            </w:r>
          </w:p>
          <w:p w:rsidR="000F48AC" w:rsidRPr="00B120B0" w:rsidRDefault="000F48AC" w:rsidP="00AD108E">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color w:val="000000"/>
                <w:sz w:val="22"/>
                <w:szCs w:val="22"/>
                <w:lang w:val="fr-FR"/>
              </w:rPr>
            </w:pPr>
            <w:r w:rsidRPr="00B9101F">
              <w:rPr>
                <w:color w:val="000000"/>
                <w:sz w:val="22"/>
                <w:szCs w:val="22"/>
                <w:lang w:val="fr-FR"/>
              </w:rPr>
              <w:t>Suite 800</w:t>
            </w:r>
          </w:p>
          <w:p w:rsidR="000F48AC" w:rsidRPr="00B120B0" w:rsidRDefault="000F48AC" w:rsidP="00AD108E">
            <w:pPr>
              <w:rPr>
                <w:color w:val="000000"/>
                <w:sz w:val="22"/>
                <w:szCs w:val="22"/>
                <w:lang w:val="fr-FR"/>
              </w:rPr>
            </w:pPr>
            <w:r w:rsidRPr="00B9101F">
              <w:rPr>
                <w:color w:val="000000"/>
                <w:sz w:val="22"/>
                <w:szCs w:val="22"/>
                <w:lang w:val="fr-FR"/>
              </w:rPr>
              <w:t>Arlington, VA 22201-3008</w:t>
            </w:r>
          </w:p>
        </w:tc>
        <w:tc>
          <w:tcPr>
            <w:tcW w:w="3064" w:type="dxa"/>
          </w:tcPr>
          <w:p w:rsidR="000F48AC" w:rsidRPr="00B120B0" w:rsidRDefault="000F48AC" w:rsidP="00AD108E">
            <w:pPr>
              <w:rPr>
                <w:color w:val="000000"/>
                <w:sz w:val="22"/>
                <w:szCs w:val="22"/>
                <w:lang w:val="fr-FR"/>
              </w:rPr>
            </w:pPr>
            <w:r w:rsidRPr="00B9101F">
              <w:rPr>
                <w:color w:val="000000"/>
                <w:sz w:val="22"/>
                <w:szCs w:val="22"/>
                <w:lang w:val="fr-FR"/>
              </w:rPr>
              <w:t xml:space="preserve">Phone: 703-875-2981 </w:t>
            </w:r>
          </w:p>
          <w:p w:rsidR="000F48AC" w:rsidRPr="00B120B0" w:rsidRDefault="000F48AC" w:rsidP="00AD108E">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color w:val="000000"/>
                <w:sz w:val="22"/>
                <w:szCs w:val="22"/>
                <w:lang w:val="fr-FR"/>
              </w:rPr>
            </w:pPr>
            <w:r w:rsidRPr="00B9101F">
              <w:rPr>
                <w:color w:val="000000"/>
                <w:sz w:val="22"/>
                <w:szCs w:val="22"/>
                <w:lang w:val="fr-FR"/>
              </w:rPr>
              <w:t>Fax: 703-527-5640</w:t>
            </w:r>
          </w:p>
          <w:p w:rsidR="000F48AC" w:rsidRPr="00B120B0" w:rsidRDefault="000F48AC" w:rsidP="00AD108E">
            <w:pPr>
              <w:rPr>
                <w:color w:val="000000"/>
                <w:sz w:val="22"/>
                <w:szCs w:val="22"/>
                <w:lang w:val="fr-FR"/>
              </w:rPr>
            </w:pPr>
            <w:r w:rsidRPr="00B9101F">
              <w:rPr>
                <w:color w:val="000000"/>
                <w:sz w:val="22"/>
                <w:szCs w:val="22"/>
                <w:lang w:val="fr-FR"/>
              </w:rPr>
              <w:t>E-mail: Yup@battelle.org</w:t>
            </w:r>
          </w:p>
        </w:tc>
      </w:tr>
    </w:tbl>
    <w:p w:rsidR="000F48AC" w:rsidRDefault="000F48AC">
      <w:pPr>
        <w:pStyle w:val="EvalDesignLevel1"/>
        <w:rPr>
          <w:rFonts w:ascii="Times New Roman" w:hAnsi="Times New Roman" w:cs="Times New Roman"/>
        </w:rPr>
      </w:pPr>
      <w:r w:rsidRPr="00C42BA3">
        <w:br w:type="page"/>
      </w:r>
      <w:bookmarkStart w:id="86" w:name="_Toc239231472"/>
      <w:r w:rsidRPr="00C141E2">
        <w:rPr>
          <w:rFonts w:ascii="Times New Roman" w:hAnsi="Times New Roman" w:cs="Times New Roman"/>
        </w:rPr>
        <w:t>REFERENCES</w:t>
      </w:r>
    </w:p>
    <w:p w:rsidR="000F48AC" w:rsidRPr="005A1A7B" w:rsidRDefault="000F48AC" w:rsidP="00405A88">
      <w:pPr>
        <w:ind w:left="720" w:hanging="720"/>
        <w:rPr>
          <w:rStyle w:val="bb-header1"/>
          <w:rFonts w:eastAsia="MS Mincho"/>
          <w:color w:val="auto"/>
        </w:rPr>
      </w:pPr>
    </w:p>
    <w:p w:rsidR="000F48AC" w:rsidRPr="005A1A7B" w:rsidRDefault="000F48AC" w:rsidP="00405A88">
      <w:pPr>
        <w:ind w:left="720" w:hanging="720"/>
        <w:rPr>
          <w:rStyle w:val="bb-header1"/>
          <w:rFonts w:eastAsia="MS Mincho"/>
          <w:color w:val="auto"/>
        </w:rPr>
      </w:pPr>
      <w:r>
        <w:rPr>
          <w:color w:val="000000"/>
        </w:rPr>
        <w:t>Centers for Disease Control and Prevention. (1999). Framework for Program Evaluation in Public Health. MMWR 1999; 48 (No. RR-11).</w:t>
      </w:r>
    </w:p>
    <w:p w:rsidR="000F48AC" w:rsidRPr="00F226EA" w:rsidRDefault="000F48AC" w:rsidP="00405A88">
      <w:pPr>
        <w:ind w:left="720" w:hanging="720"/>
        <w:rPr>
          <w:rStyle w:val="bb-header1"/>
          <w:rFonts w:eastAsia="MS Mincho"/>
          <w:color w:val="auto"/>
        </w:rPr>
      </w:pPr>
      <w:r w:rsidRPr="00B85F93">
        <w:rPr>
          <w:rStyle w:val="bb-header1"/>
          <w:rFonts w:eastAsia="MS Mincho"/>
          <w:color w:val="auto"/>
        </w:rPr>
        <w:t>Centers</w:t>
      </w:r>
      <w:r w:rsidRPr="00F226EA">
        <w:rPr>
          <w:rStyle w:val="bb-header1"/>
          <w:rFonts w:eastAsia="MS Mincho"/>
          <w:color w:val="auto"/>
        </w:rPr>
        <w:t xml:space="preserve"> for Disease Control and Prevention. (2006). Racial/ethnic disparities in diagnoses of HIV/AIDS--33 states, 2001–2004. </w:t>
      </w:r>
      <w:r w:rsidRPr="00F226EA">
        <w:rPr>
          <w:rStyle w:val="bb-header1"/>
          <w:rFonts w:eastAsia="MS Mincho"/>
          <w:i/>
          <w:iCs/>
          <w:color w:val="auto"/>
        </w:rPr>
        <w:t>Morbidity and Mortality Weekly Report, 55</w:t>
      </w:r>
      <w:r w:rsidRPr="00F226EA">
        <w:rPr>
          <w:rStyle w:val="bb-header1"/>
          <w:rFonts w:eastAsia="MS Mincho"/>
          <w:color w:val="auto"/>
        </w:rPr>
        <w:t>(5),</w:t>
      </w:r>
      <w:r w:rsidRPr="00F226EA">
        <w:rPr>
          <w:rStyle w:val="bb-header1"/>
          <w:rFonts w:eastAsia="MS Mincho"/>
          <w:i/>
          <w:iCs/>
          <w:color w:val="auto"/>
        </w:rPr>
        <w:t xml:space="preserve"> </w:t>
      </w:r>
      <w:r w:rsidRPr="00F226EA">
        <w:rPr>
          <w:rStyle w:val="bb-header1"/>
          <w:rFonts w:eastAsia="MS Mincho"/>
          <w:color w:val="auto"/>
        </w:rPr>
        <w:t>121–125.</w:t>
      </w:r>
    </w:p>
    <w:p w:rsidR="000F48AC" w:rsidRPr="00F226EA" w:rsidRDefault="000F48AC" w:rsidP="00405A88">
      <w:pPr>
        <w:ind w:left="720" w:hanging="720"/>
        <w:rPr>
          <w:rStyle w:val="bb-header1"/>
          <w:rFonts w:eastAsia="MS Mincho"/>
          <w:color w:val="auto"/>
        </w:rPr>
      </w:pPr>
      <w:r w:rsidRPr="00B85F93">
        <w:rPr>
          <w:rStyle w:val="bb-header1"/>
          <w:rFonts w:eastAsia="MS Mincho"/>
          <w:color w:val="auto"/>
        </w:rPr>
        <w:t>Croog</w:t>
      </w:r>
      <w:r w:rsidRPr="00F226EA">
        <w:rPr>
          <w:rStyle w:val="bb-header1"/>
          <w:rFonts w:eastAsia="MS Mincho"/>
          <w:color w:val="auto"/>
        </w:rPr>
        <w:t xml:space="preserve">, S. H., Levine, S., Testa, M. A., &amp; Brown, B. (1986). The effect of antihypertensive therapy on the quality of life. </w:t>
      </w:r>
      <w:r w:rsidRPr="00F226EA">
        <w:rPr>
          <w:rStyle w:val="medium-font"/>
          <w:i/>
          <w:iCs/>
        </w:rPr>
        <w:t>The New England Journal of Medicine, 314</w:t>
      </w:r>
      <w:r w:rsidRPr="00F226EA">
        <w:rPr>
          <w:rStyle w:val="medium-font"/>
        </w:rPr>
        <w:t>(26), 1657–1664.</w:t>
      </w:r>
    </w:p>
    <w:p w:rsidR="000F48AC" w:rsidRPr="00B22FF5" w:rsidRDefault="000F48AC" w:rsidP="00405A88">
      <w:pPr>
        <w:ind w:left="720" w:hanging="720"/>
      </w:pPr>
      <w:r w:rsidRPr="00B85F93">
        <w:t xml:space="preserve">Derogatis, L. R. (1993). </w:t>
      </w:r>
      <w:r w:rsidRPr="00B85F93">
        <w:rPr>
          <w:i/>
          <w:iCs/>
        </w:rPr>
        <w:t>SCL-90-R: Symptom checklist-90-R: administration, scoring &amp; procedures manual</w:t>
      </w:r>
      <w:r w:rsidRPr="00B85F93">
        <w:rPr>
          <w:vertAlign w:val="superscript"/>
        </w:rPr>
        <w:t xml:space="preserve"> </w:t>
      </w:r>
      <w:r w:rsidRPr="00B85F93">
        <w:t>(3rd ed.). Minneapolis, MN: National Computer Systems, Inc.</w:t>
      </w:r>
      <w:r w:rsidRPr="00B22FF5">
        <w:t xml:space="preserve"> </w:t>
      </w:r>
    </w:p>
    <w:p w:rsidR="000F48AC" w:rsidRPr="00B22FF5" w:rsidRDefault="000F48AC" w:rsidP="00405A88">
      <w:pPr>
        <w:ind w:left="720" w:hanging="720"/>
      </w:pPr>
      <w:r w:rsidRPr="00B85F93">
        <w:t>Derogatis</w:t>
      </w:r>
      <w:r w:rsidRPr="00350CB5">
        <w:t xml:space="preserve">, L. R. &amp; Coons, H. L. (1993). </w:t>
      </w:r>
      <w:r w:rsidRPr="001747DD">
        <w:rPr>
          <w:i/>
          <w:iCs/>
        </w:rPr>
        <w:t>Self-report measures of stress,</w:t>
      </w:r>
      <w:r w:rsidRPr="00B22FF5">
        <w:t xml:space="preserve"> </w:t>
      </w:r>
      <w:r w:rsidRPr="00B22FF5">
        <w:rPr>
          <w:rStyle w:val="medium-font"/>
        </w:rPr>
        <w:t xml:space="preserve">In L. Goldberger, S. Breznitz (Eds.), </w:t>
      </w:r>
      <w:r w:rsidRPr="00B22FF5">
        <w:rPr>
          <w:i/>
          <w:iCs/>
        </w:rPr>
        <w:t>Handbook of Stress: Theoretical and Clinical Aspects</w:t>
      </w:r>
      <w:r w:rsidRPr="00B22FF5">
        <w:rPr>
          <w:rStyle w:val="medium-font"/>
          <w:i/>
          <w:iCs/>
        </w:rPr>
        <w:t xml:space="preserve"> </w:t>
      </w:r>
      <w:r w:rsidRPr="00B22FF5">
        <w:rPr>
          <w:rStyle w:val="medium-font"/>
        </w:rPr>
        <w:t>(2nd ed</w:t>
      </w:r>
      <w:r>
        <w:rPr>
          <w:rStyle w:val="medium-font"/>
        </w:rPr>
        <w:t>.</w:t>
      </w:r>
      <w:r w:rsidRPr="00B22FF5">
        <w:rPr>
          <w:rStyle w:val="medium-font"/>
        </w:rPr>
        <w:t>)</w:t>
      </w:r>
      <w:r>
        <w:rPr>
          <w:rStyle w:val="medium-font"/>
        </w:rPr>
        <w:t xml:space="preserve">. </w:t>
      </w:r>
      <w:r w:rsidRPr="00B22FF5">
        <w:rPr>
          <w:rStyle w:val="medium-font"/>
        </w:rPr>
        <w:t xml:space="preserve">New York: Simon &amp; Shuster. </w:t>
      </w:r>
    </w:p>
    <w:p w:rsidR="000F48AC" w:rsidRDefault="000F48AC" w:rsidP="00F226EA">
      <w:pPr>
        <w:pStyle w:val="bodytext"/>
        <w:spacing w:after="0" w:line="240" w:lineRule="auto"/>
        <w:rPr>
          <w:color w:val="000000"/>
        </w:rPr>
      </w:pPr>
      <w:r w:rsidRPr="00B85F93">
        <w:rPr>
          <w:color w:val="000000"/>
        </w:rPr>
        <w:t>Festinger</w:t>
      </w:r>
      <w:r w:rsidRPr="00927DEE">
        <w:rPr>
          <w:color w:val="000000"/>
        </w:rPr>
        <w:t xml:space="preserve">, D. S., Marlowe, D. B., Croft, J. S., Dugosh, K., Mastro, N., Lee, P., DeMatteo, D. S., </w:t>
      </w:r>
    </w:p>
    <w:p w:rsidR="000F48AC" w:rsidRDefault="000F48AC" w:rsidP="00F226EA">
      <w:pPr>
        <w:pStyle w:val="bodytext"/>
        <w:spacing w:after="0" w:line="240" w:lineRule="auto"/>
        <w:ind w:left="720"/>
        <w:rPr>
          <w:color w:val="000000"/>
        </w:rPr>
      </w:pPr>
      <w:r w:rsidRPr="00927DEE">
        <w:rPr>
          <w:color w:val="000000"/>
        </w:rPr>
        <w:t xml:space="preserve">&amp; Patapis, N. S. (2005). Do research payments precipitate drug use or coerce participation? </w:t>
      </w:r>
      <w:r w:rsidRPr="00A31760">
        <w:rPr>
          <w:i/>
          <w:color w:val="000000"/>
        </w:rPr>
        <w:t xml:space="preserve">Drug and Alcohol Dependence. 78, </w:t>
      </w:r>
      <w:r>
        <w:rPr>
          <w:color w:val="000000"/>
        </w:rPr>
        <w:t>275–</w:t>
      </w:r>
      <w:r w:rsidRPr="00927DEE">
        <w:rPr>
          <w:color w:val="000000"/>
        </w:rPr>
        <w:t>281.</w:t>
      </w:r>
    </w:p>
    <w:p w:rsidR="000F48AC" w:rsidRDefault="000F48AC" w:rsidP="00A31760">
      <w:pPr>
        <w:pStyle w:val="bodytext"/>
        <w:spacing w:after="0" w:line="240" w:lineRule="auto"/>
        <w:rPr>
          <w:color w:val="000000"/>
        </w:rPr>
      </w:pPr>
      <w:r w:rsidRPr="00B85F93">
        <w:rPr>
          <w:color w:val="000000"/>
        </w:rPr>
        <w:t>Festinger, D. S., Marlowe D. B., Dugosh K. L., Croft J. R., &amp; Arabia P. L. (2008). Higher</w:t>
      </w:r>
      <w:r w:rsidRPr="00927DEE">
        <w:rPr>
          <w:color w:val="000000"/>
        </w:rPr>
        <w:t xml:space="preserve"> </w:t>
      </w:r>
    </w:p>
    <w:p w:rsidR="000F48AC" w:rsidRDefault="000F48AC" w:rsidP="00A31760">
      <w:pPr>
        <w:pStyle w:val="bodytext"/>
        <w:spacing w:after="0" w:line="240" w:lineRule="auto"/>
        <w:ind w:left="720"/>
        <w:rPr>
          <w:color w:val="000000"/>
        </w:rPr>
      </w:pPr>
      <w:r w:rsidRPr="00927DEE">
        <w:rPr>
          <w:color w:val="000000"/>
        </w:rPr>
        <w:t xml:space="preserve">magnitude cash payments improve research follow-up rates without increasing drug use or perceived coercion. </w:t>
      </w:r>
      <w:r w:rsidRPr="00A31760">
        <w:rPr>
          <w:i/>
          <w:color w:val="000000"/>
        </w:rPr>
        <w:t>Drug &amp; Alcohol Dependence, 96,</w:t>
      </w:r>
      <w:r>
        <w:rPr>
          <w:color w:val="000000"/>
        </w:rPr>
        <w:t xml:space="preserve"> 128–</w:t>
      </w:r>
      <w:r w:rsidRPr="00927DEE">
        <w:rPr>
          <w:color w:val="000000"/>
        </w:rPr>
        <w:t>135.</w:t>
      </w:r>
    </w:p>
    <w:p w:rsidR="000F48AC" w:rsidRDefault="000F48AC" w:rsidP="00F226EA">
      <w:pPr>
        <w:ind w:left="720" w:hanging="720"/>
        <w:rPr>
          <w:color w:val="000000"/>
        </w:rPr>
      </w:pPr>
      <w:r w:rsidRPr="00B85F93">
        <w:rPr>
          <w:color w:val="000000"/>
        </w:rPr>
        <w:t>Festinger</w:t>
      </w:r>
      <w:r w:rsidRPr="00927DEE">
        <w:rPr>
          <w:color w:val="000000"/>
        </w:rPr>
        <w:t>, D.</w:t>
      </w:r>
      <w:r>
        <w:rPr>
          <w:color w:val="000000"/>
        </w:rPr>
        <w:t xml:space="preserve"> </w:t>
      </w:r>
      <w:r w:rsidRPr="00927DEE">
        <w:rPr>
          <w:color w:val="000000"/>
        </w:rPr>
        <w:t>S., Marlowe, D.</w:t>
      </w:r>
      <w:r>
        <w:rPr>
          <w:color w:val="000000"/>
        </w:rPr>
        <w:t xml:space="preserve"> </w:t>
      </w:r>
      <w:r w:rsidRPr="00927DEE">
        <w:rPr>
          <w:color w:val="000000"/>
        </w:rPr>
        <w:t>B., Croft, J.</w:t>
      </w:r>
      <w:r>
        <w:rPr>
          <w:color w:val="000000"/>
        </w:rPr>
        <w:t xml:space="preserve"> </w:t>
      </w:r>
      <w:r w:rsidRPr="00927DEE">
        <w:rPr>
          <w:color w:val="000000"/>
        </w:rPr>
        <w:t>R., Dugosh, K.</w:t>
      </w:r>
      <w:r>
        <w:rPr>
          <w:color w:val="000000"/>
        </w:rPr>
        <w:t xml:space="preserve"> </w:t>
      </w:r>
      <w:r w:rsidRPr="00927DEE">
        <w:rPr>
          <w:color w:val="000000"/>
        </w:rPr>
        <w:t>L., Arabia</w:t>
      </w:r>
      <w:r>
        <w:rPr>
          <w:color w:val="000000"/>
        </w:rPr>
        <w:t>, P. L., &amp; Benasutti, K. M. (2009). Monetary incentives improve recall of research c</w:t>
      </w:r>
      <w:r w:rsidRPr="00927DEE">
        <w:rPr>
          <w:color w:val="000000"/>
        </w:rPr>
        <w:t xml:space="preserve">onsent </w:t>
      </w:r>
      <w:r>
        <w:rPr>
          <w:color w:val="000000"/>
        </w:rPr>
        <w:t>information: It pays to r</w:t>
      </w:r>
      <w:r w:rsidRPr="00927DEE">
        <w:rPr>
          <w:color w:val="000000"/>
        </w:rPr>
        <w:t xml:space="preserve">emember. </w:t>
      </w:r>
      <w:r w:rsidRPr="00A31760">
        <w:rPr>
          <w:i/>
          <w:color w:val="000000"/>
        </w:rPr>
        <w:t>Experimental and Clinical Psychopharmacology, 17,</w:t>
      </w:r>
      <w:r>
        <w:rPr>
          <w:color w:val="000000"/>
        </w:rPr>
        <w:t xml:space="preserve"> 99–</w:t>
      </w:r>
      <w:r w:rsidRPr="00927DEE">
        <w:rPr>
          <w:color w:val="000000"/>
        </w:rPr>
        <w:t>104</w:t>
      </w:r>
      <w:r>
        <w:rPr>
          <w:color w:val="000000"/>
        </w:rPr>
        <w:t>.</w:t>
      </w:r>
    </w:p>
    <w:p w:rsidR="000F48AC" w:rsidRPr="005A1A7B" w:rsidRDefault="000F48AC" w:rsidP="00F226EA">
      <w:pPr>
        <w:ind w:left="720" w:hanging="720"/>
        <w:rPr>
          <w:rStyle w:val="bb-header1"/>
          <w:color w:val="auto"/>
        </w:rPr>
      </w:pPr>
      <w:r w:rsidRPr="00B85F93">
        <w:t>Miller</w:t>
      </w:r>
      <w:r w:rsidRPr="00B22FF5">
        <w:t>, W. R. &amp; Tonigan, J. S. (1997). Assessing the drinkers’ motivation for change: the Stages of Change Readiness and Treatment Eagerness Scale (SOCRATES), In A. Marlatt, G. VandenBos (Eds</w:t>
      </w:r>
      <w:r w:rsidRPr="00B22FF5">
        <w:rPr>
          <w:i/>
          <w:iCs/>
        </w:rPr>
        <w:t>.</w:t>
      </w:r>
      <w:r w:rsidRPr="006C7FE5">
        <w:t>),</w:t>
      </w:r>
      <w:r w:rsidRPr="00B22FF5">
        <w:rPr>
          <w:i/>
          <w:iCs/>
        </w:rPr>
        <w:t xml:space="preserve"> </w:t>
      </w:r>
      <w:r w:rsidRPr="00B22FF5">
        <w:rPr>
          <w:rStyle w:val="medium-font"/>
          <w:i/>
          <w:iCs/>
        </w:rPr>
        <w:t xml:space="preserve">Addictive behaviors: Readings on etiology, prevention, and </w:t>
      </w:r>
      <w:r w:rsidRPr="00B22FF5">
        <w:rPr>
          <w:rStyle w:val="Strong"/>
          <w:b w:val="0"/>
          <w:bCs w:val="0"/>
          <w:i/>
          <w:iCs/>
        </w:rPr>
        <w:t>treatment</w:t>
      </w:r>
      <w:r w:rsidRPr="00B9101F">
        <w:rPr>
          <w:rStyle w:val="medium-font"/>
          <w:bCs/>
        </w:rPr>
        <w:t>.</w:t>
      </w:r>
      <w:r w:rsidRPr="00B22FF5">
        <w:rPr>
          <w:i/>
          <w:iCs/>
        </w:rPr>
        <w:t xml:space="preserve"> </w:t>
      </w:r>
      <w:r w:rsidRPr="00B22FF5">
        <w:t>Washington, DC: American Psychological Association</w:t>
      </w:r>
      <w:r w:rsidRPr="005A1A7B">
        <w:t>.</w:t>
      </w:r>
      <w:r w:rsidRPr="005A1A7B">
        <w:rPr>
          <w:i/>
          <w:iCs/>
        </w:rPr>
        <w:t xml:space="preserve"> </w:t>
      </w:r>
    </w:p>
    <w:p w:rsidR="000F48AC" w:rsidRPr="00F226EA" w:rsidRDefault="000F48AC" w:rsidP="00405A88">
      <w:pPr>
        <w:autoSpaceDE w:val="0"/>
        <w:autoSpaceDN w:val="0"/>
        <w:adjustRightInd w:val="0"/>
        <w:ind w:left="720" w:hanging="720"/>
        <w:rPr>
          <w:rStyle w:val="bb-header1"/>
          <w:color w:val="auto"/>
        </w:rPr>
      </w:pPr>
      <w:r w:rsidRPr="00B85F93">
        <w:rPr>
          <w:rStyle w:val="bb-header1"/>
          <w:rFonts w:eastAsia="MS Mincho"/>
          <w:color w:val="auto"/>
        </w:rPr>
        <w:t>Minority</w:t>
      </w:r>
      <w:r w:rsidRPr="00F226EA">
        <w:rPr>
          <w:rStyle w:val="bb-header1"/>
          <w:rFonts w:eastAsia="MS Mincho"/>
          <w:color w:val="auto"/>
        </w:rPr>
        <w:t xml:space="preserve"> A</w:t>
      </w:r>
      <w:r>
        <w:rPr>
          <w:rStyle w:val="bb-header1"/>
          <w:rFonts w:eastAsia="MS Mincho"/>
          <w:color w:val="auto"/>
        </w:rPr>
        <w:t>IDs</w:t>
      </w:r>
      <w:r w:rsidRPr="00F226EA">
        <w:rPr>
          <w:rStyle w:val="bb-header1"/>
          <w:rFonts w:eastAsia="MS Mincho"/>
          <w:color w:val="auto"/>
        </w:rPr>
        <w:t xml:space="preserve"> Initiative. (1998). </w:t>
      </w:r>
      <w:r w:rsidRPr="00F226EA">
        <w:t xml:space="preserve">U.S. Congress, Omnibus Consolidated and Emergency Supplemental Appropriations Act, 1999 (PL 105-277), October 21, 1998. Retrieved on February 12, 2010 at </w:t>
      </w:r>
      <w:r w:rsidRPr="00F226EA">
        <w:rPr>
          <w:i/>
          <w:iCs/>
        </w:rPr>
        <w:t>http://minorityhealth.hhs.gov/templates/browse.aspx?lvl=2&amp;lvlID=36.</w:t>
      </w:r>
    </w:p>
    <w:p w:rsidR="000F48AC" w:rsidRPr="00DF57EA" w:rsidRDefault="000F48AC" w:rsidP="00405A88">
      <w:pPr>
        <w:ind w:left="720" w:hanging="720"/>
        <w:rPr>
          <w:rStyle w:val="bb-header1"/>
          <w:rFonts w:eastAsia="MS Mincho"/>
          <w:color w:val="auto"/>
        </w:rPr>
      </w:pPr>
      <w:r w:rsidRPr="00B85F93">
        <w:rPr>
          <w:rStyle w:val="bb-header1"/>
          <w:rFonts w:eastAsia="MS Mincho"/>
          <w:color w:val="auto"/>
        </w:rPr>
        <w:t>Texas</w:t>
      </w:r>
      <w:r w:rsidRPr="00F226EA">
        <w:rPr>
          <w:rStyle w:val="bb-header1"/>
          <w:rFonts w:eastAsia="MS Mincho"/>
          <w:color w:val="auto"/>
        </w:rPr>
        <w:t xml:space="preserve"> Christian University. (2005). </w:t>
      </w:r>
      <w:r w:rsidRPr="00F226EA">
        <w:t>Client Evaluation of Self and Treatment, Intake Version (TCU CEST-Intake).</w:t>
      </w:r>
      <w:r w:rsidRPr="00F226EA">
        <w:rPr>
          <w:rFonts w:ascii="Verdana" w:hAnsi="Verdana" w:cs="Verdana"/>
          <w:b/>
          <w:bCs/>
        </w:rPr>
        <w:t xml:space="preserve"> </w:t>
      </w:r>
      <w:r w:rsidRPr="00F226EA">
        <w:t>Retrieved February 12,</w:t>
      </w:r>
      <w:r w:rsidRPr="00B22FF5">
        <w:t xml:space="preserve"> 2010 from</w:t>
      </w:r>
      <w:r w:rsidRPr="00B22FF5">
        <w:rPr>
          <w:rFonts w:ascii="Verdana" w:hAnsi="Verdana" w:cs="Verdana"/>
          <w:b/>
          <w:bCs/>
        </w:rPr>
        <w:t xml:space="preserve"> </w:t>
      </w:r>
      <w:hyperlink r:id="rId22" w:anchor="Form-CEST" w:history="1">
        <w:r w:rsidRPr="00B9101F">
          <w:rPr>
            <w:rStyle w:val="Hyperlink"/>
            <w:i/>
            <w:iCs/>
            <w:color w:val="auto"/>
          </w:rPr>
          <w:t>http://www.ibr.tcu.edu/pubs/datacoll/commtrt.html#Form-CEST</w:t>
        </w:r>
      </w:hyperlink>
      <w:r w:rsidRPr="00DF57EA">
        <w:rPr>
          <w:i/>
          <w:iCs/>
        </w:rPr>
        <w:t xml:space="preserve">. </w:t>
      </w:r>
    </w:p>
    <w:p w:rsidR="000F48AC" w:rsidRPr="00DF57EA" w:rsidRDefault="000F48AC" w:rsidP="00405A88">
      <w:pPr>
        <w:ind w:left="720" w:hanging="720"/>
        <w:rPr>
          <w:rStyle w:val="bb-header1"/>
          <w:rFonts w:eastAsia="MS Mincho"/>
          <w:color w:val="auto"/>
        </w:rPr>
      </w:pPr>
      <w:r w:rsidRPr="00B22FF5">
        <w:t>U</w:t>
      </w:r>
      <w:r w:rsidRPr="00B85F93">
        <w:t>.</w:t>
      </w:r>
      <w:r w:rsidRPr="00B22FF5">
        <w:t xml:space="preserve">S. Bureau of Labor Statistics (2008). Retrieved on February 12, 2010 at </w:t>
      </w:r>
      <w:hyperlink r:id="rId23" w:tgtFrame="_blank" w:history="1">
        <w:r w:rsidRPr="00B9101F">
          <w:rPr>
            <w:rStyle w:val="Hyperlink"/>
            <w:i/>
            <w:iCs/>
            <w:color w:val="auto"/>
          </w:rPr>
          <w:t>http://www.bls.gov/oes/2008/may/oes_nat.htm#b21-0000</w:t>
        </w:r>
      </w:hyperlink>
      <w:r w:rsidRPr="00DF57EA">
        <w:rPr>
          <w:i/>
          <w:iCs/>
        </w:rPr>
        <w:t>)</w:t>
      </w:r>
      <w:r w:rsidRPr="00DF57EA">
        <w:t>.</w:t>
      </w:r>
    </w:p>
    <w:p w:rsidR="000F48AC" w:rsidRPr="00DF57EA" w:rsidRDefault="000F48AC" w:rsidP="00405A88">
      <w:r w:rsidRPr="00DF57EA">
        <w:t xml:space="preserve">U.S. Department of Health and Human Services, Office of Disease Prevention and Health </w:t>
      </w:r>
    </w:p>
    <w:p w:rsidR="000F48AC" w:rsidRDefault="000F48AC" w:rsidP="00B9101F">
      <w:pPr>
        <w:ind w:left="720" w:hanging="720"/>
      </w:pPr>
      <w:r w:rsidRPr="00B9101F">
        <w:t xml:space="preserve">Promotion. (2009). Healthy People 2020: The Road Ahead. Retrieved on February 9, 2010, at </w:t>
      </w:r>
      <w:hyperlink r:id="rId24" w:history="1">
        <w:r w:rsidRPr="00B9101F">
          <w:rPr>
            <w:rStyle w:val="Hyperlink"/>
            <w:i/>
            <w:iCs/>
            <w:color w:val="auto"/>
          </w:rPr>
          <w:t>http://www.healthypeople.gov/HP2020/objectives/ViewObjective.aspx?Id=595&amp;TopicArea=Substance+Abuse&amp;Objective=SA+HP2020%e2%80%936&amp;TopicAreaId=46</w:t>
        </w:r>
      </w:hyperlink>
      <w:r w:rsidRPr="00DF57EA">
        <w:t>.</w:t>
      </w:r>
      <w:r w:rsidRPr="00284271">
        <w:t xml:space="preserve">U.S. House of Representatives Committee on </w:t>
      </w:r>
      <w:r>
        <w:t>A</w:t>
      </w:r>
      <w:r w:rsidRPr="00284271">
        <w:t>ppropriations</w:t>
      </w:r>
      <w:r>
        <w:t>.</w:t>
      </w:r>
      <w:r w:rsidRPr="00284271">
        <w:t xml:space="preserve"> </w:t>
      </w:r>
      <w:r>
        <w:t>(</w:t>
      </w:r>
      <w:r w:rsidRPr="00284271">
        <w:t>October 9, 2001</w:t>
      </w:r>
      <w:r>
        <w:t xml:space="preserve">). </w:t>
      </w:r>
      <w:r w:rsidRPr="00284271">
        <w:t>House Report 107-229, Departments of Labor, Health and Human Services and Education and Related Agencies Appropriations Bill.</w:t>
      </w:r>
    </w:p>
    <w:p w:rsidR="000F48AC" w:rsidRPr="00284271" w:rsidRDefault="000F48AC" w:rsidP="00405A88">
      <w:pPr>
        <w:pStyle w:val="EndnoteText"/>
        <w:rPr>
          <w:sz w:val="24"/>
          <w:szCs w:val="24"/>
        </w:rPr>
      </w:pPr>
    </w:p>
    <w:p w:rsidR="000F48AC" w:rsidRDefault="000F48AC" w:rsidP="00067390">
      <w:pPr>
        <w:pStyle w:val="refentry"/>
        <w:tabs>
          <w:tab w:val="left" w:pos="810"/>
        </w:tabs>
        <w:spacing w:before="0" w:beforeAutospacing="0" w:after="0" w:afterAutospacing="0"/>
        <w:jc w:val="center"/>
        <w:rPr>
          <w:b/>
          <w:bCs/>
        </w:rPr>
      </w:pPr>
      <w:r>
        <w:br w:type="page"/>
      </w:r>
      <w:bookmarkEnd w:id="84"/>
      <w:bookmarkEnd w:id="85"/>
      <w:bookmarkEnd w:id="86"/>
      <w:r>
        <w:rPr>
          <w:b/>
          <w:bCs/>
        </w:rPr>
        <w:t>LIST OF ATTACHMENTS</w:t>
      </w:r>
    </w:p>
    <w:p w:rsidR="000F48AC" w:rsidRDefault="000F48AC" w:rsidP="00067390">
      <w:pPr>
        <w:pStyle w:val="refentry"/>
        <w:tabs>
          <w:tab w:val="left" w:pos="810"/>
        </w:tabs>
        <w:spacing w:before="0" w:beforeAutospacing="0" w:after="0" w:afterAutospacing="0"/>
        <w:jc w:val="center"/>
        <w:rPr>
          <w:b/>
          <w:bCs/>
        </w:rPr>
      </w:pPr>
    </w:p>
    <w:p w:rsidR="000F48AC" w:rsidRDefault="000F48AC" w:rsidP="00067390">
      <w:pPr>
        <w:rPr>
          <w:b/>
          <w:bCs/>
        </w:rPr>
      </w:pPr>
    </w:p>
    <w:p w:rsidR="000F48AC" w:rsidRDefault="000F48AC" w:rsidP="00067390">
      <w:pPr>
        <w:rPr>
          <w:b/>
          <w:bCs/>
        </w:rPr>
      </w:pPr>
      <w:r>
        <w:rPr>
          <w:b/>
          <w:bCs/>
        </w:rPr>
        <w:t>Attachment 1a – Client Instruments</w:t>
      </w:r>
    </w:p>
    <w:p w:rsidR="000F48AC" w:rsidRDefault="000F48AC" w:rsidP="00067390">
      <w:pPr>
        <w:pStyle w:val="ListParagraph"/>
        <w:numPr>
          <w:ilvl w:val="0"/>
          <w:numId w:val="29"/>
        </w:numPr>
      </w:pPr>
      <w:r>
        <w:t>Document 1 - Client Focus Group Discussion Guide</w:t>
      </w:r>
    </w:p>
    <w:p w:rsidR="000F48AC" w:rsidRDefault="000F48AC" w:rsidP="00067390">
      <w:pPr>
        <w:pStyle w:val="ListParagraph"/>
        <w:numPr>
          <w:ilvl w:val="0"/>
          <w:numId w:val="29"/>
        </w:numPr>
      </w:pPr>
      <w:r>
        <w:t>Document 2 - Intake/Baseline Client-Level Survey</w:t>
      </w:r>
    </w:p>
    <w:p w:rsidR="000F48AC" w:rsidRDefault="000F48AC" w:rsidP="00067390">
      <w:pPr>
        <w:pStyle w:val="ListParagraph"/>
        <w:numPr>
          <w:ilvl w:val="0"/>
          <w:numId w:val="29"/>
        </w:numPr>
      </w:pPr>
      <w:r>
        <w:t>Document 3 - Discharge Client-Level Survey</w:t>
      </w:r>
    </w:p>
    <w:p w:rsidR="000F48AC" w:rsidRDefault="000F48AC" w:rsidP="00067390">
      <w:pPr>
        <w:pStyle w:val="ListParagraph"/>
        <w:ind w:left="0"/>
      </w:pPr>
    </w:p>
    <w:p w:rsidR="000F48AC" w:rsidRDefault="000F48AC" w:rsidP="00067390">
      <w:pPr>
        <w:pStyle w:val="ListParagraph"/>
        <w:ind w:left="0"/>
        <w:rPr>
          <w:b/>
          <w:bCs/>
        </w:rPr>
      </w:pPr>
      <w:r>
        <w:rPr>
          <w:b/>
          <w:bCs/>
        </w:rPr>
        <w:t>Attachment 1b – Client Instruments Continued</w:t>
      </w:r>
    </w:p>
    <w:p w:rsidR="000F48AC" w:rsidRDefault="000F48AC" w:rsidP="00067390">
      <w:pPr>
        <w:pStyle w:val="ListParagraph"/>
        <w:numPr>
          <w:ilvl w:val="0"/>
          <w:numId w:val="29"/>
        </w:numPr>
      </w:pPr>
      <w:r>
        <w:t>Document 1 – Six Month Follow-Up Client-Level Survey</w:t>
      </w:r>
    </w:p>
    <w:p w:rsidR="000F48AC" w:rsidRDefault="000F48AC" w:rsidP="00067390">
      <w:pPr>
        <w:pStyle w:val="ListParagraph"/>
        <w:numPr>
          <w:ilvl w:val="0"/>
          <w:numId w:val="29"/>
        </w:numPr>
      </w:pPr>
      <w:r>
        <w:t>Document 2 - Client Data Sheet</w:t>
      </w:r>
    </w:p>
    <w:p w:rsidR="000F48AC" w:rsidRDefault="000F48AC" w:rsidP="00067390"/>
    <w:p w:rsidR="000F48AC" w:rsidRDefault="000F48AC" w:rsidP="00067390">
      <w:pPr>
        <w:rPr>
          <w:b/>
          <w:bCs/>
        </w:rPr>
      </w:pPr>
      <w:r>
        <w:rPr>
          <w:b/>
          <w:bCs/>
        </w:rPr>
        <w:t>Attachment 2a – Client Other</w:t>
      </w:r>
    </w:p>
    <w:p w:rsidR="000F48AC" w:rsidRDefault="000F48AC" w:rsidP="00067390">
      <w:pPr>
        <w:pStyle w:val="ListParagraph"/>
        <w:numPr>
          <w:ilvl w:val="0"/>
          <w:numId w:val="30"/>
        </w:numPr>
      </w:pPr>
      <w:r>
        <w:t>Document 1 - JBS International Network Security</w:t>
      </w:r>
    </w:p>
    <w:p w:rsidR="000F48AC" w:rsidRDefault="000F48AC" w:rsidP="00067390">
      <w:pPr>
        <w:pStyle w:val="ListParagraph"/>
        <w:numPr>
          <w:ilvl w:val="0"/>
          <w:numId w:val="30"/>
        </w:numPr>
      </w:pPr>
      <w:r>
        <w:t xml:space="preserve">Document 2 - Project Working Group Feedback Results </w:t>
      </w:r>
    </w:p>
    <w:p w:rsidR="000F48AC" w:rsidRDefault="000F48AC" w:rsidP="00067390">
      <w:pPr>
        <w:pStyle w:val="ListParagraph"/>
        <w:numPr>
          <w:ilvl w:val="0"/>
          <w:numId w:val="30"/>
        </w:numPr>
      </w:pPr>
      <w:r>
        <w:t>Document 3 - 45 CFR 46</w:t>
      </w:r>
    </w:p>
    <w:p w:rsidR="000F48AC" w:rsidRDefault="000F48AC" w:rsidP="00067390">
      <w:pPr>
        <w:pStyle w:val="ListParagraph"/>
        <w:ind w:left="0"/>
      </w:pPr>
    </w:p>
    <w:p w:rsidR="000F48AC" w:rsidRDefault="000F48AC" w:rsidP="00067390">
      <w:pPr>
        <w:pStyle w:val="ListParagraph"/>
        <w:ind w:left="0"/>
        <w:rPr>
          <w:b/>
          <w:bCs/>
        </w:rPr>
      </w:pPr>
      <w:r>
        <w:rPr>
          <w:b/>
          <w:bCs/>
        </w:rPr>
        <w:t>Attachment 2b – Client Other Continued</w:t>
      </w:r>
    </w:p>
    <w:p w:rsidR="000F48AC" w:rsidRDefault="000F48AC" w:rsidP="00067390">
      <w:pPr>
        <w:pStyle w:val="ListParagraph"/>
        <w:numPr>
          <w:ilvl w:val="0"/>
          <w:numId w:val="30"/>
        </w:numPr>
      </w:pPr>
      <w:r>
        <w:t>Document 1 - The Privacy Act of 1974</w:t>
      </w:r>
    </w:p>
    <w:p w:rsidR="000F48AC" w:rsidRDefault="000F48AC" w:rsidP="00067390">
      <w:pPr>
        <w:pStyle w:val="ListParagraph"/>
        <w:numPr>
          <w:ilvl w:val="0"/>
          <w:numId w:val="30"/>
        </w:numPr>
      </w:pPr>
      <w:r>
        <w:t>Document 2 - Client Focus Group Recruitment Flyer</w:t>
      </w:r>
    </w:p>
    <w:p w:rsidR="000F48AC" w:rsidRDefault="000F48AC" w:rsidP="00067390">
      <w:pPr>
        <w:pStyle w:val="ListParagraph"/>
        <w:numPr>
          <w:ilvl w:val="0"/>
          <w:numId w:val="30"/>
        </w:numPr>
      </w:pPr>
      <w:r>
        <w:t>Document 3 - Client Focus Group Sign Up Roster</w:t>
      </w:r>
    </w:p>
    <w:p w:rsidR="000F48AC" w:rsidRDefault="000F48AC" w:rsidP="00067390">
      <w:pPr>
        <w:pStyle w:val="ListParagraph"/>
        <w:numPr>
          <w:ilvl w:val="0"/>
          <w:numId w:val="30"/>
        </w:numPr>
      </w:pPr>
      <w:r>
        <w:t>Document 4 - Client Consent Form</w:t>
      </w:r>
    </w:p>
    <w:p w:rsidR="000F48AC" w:rsidRDefault="000F48AC" w:rsidP="00067390">
      <w:pPr>
        <w:pStyle w:val="ListParagraph"/>
        <w:numPr>
          <w:ilvl w:val="0"/>
          <w:numId w:val="30"/>
        </w:numPr>
      </w:pPr>
      <w:r>
        <w:t>Document 5 – Institutional Review Board (IRB) Approval Letter</w:t>
      </w:r>
    </w:p>
    <w:p w:rsidR="000F48AC" w:rsidRDefault="000F48AC" w:rsidP="00067390">
      <w:pPr>
        <w:pStyle w:val="ListParagraph"/>
        <w:numPr>
          <w:ilvl w:val="0"/>
          <w:numId w:val="30"/>
        </w:numPr>
      </w:pPr>
      <w:r>
        <w:t xml:space="preserve">Document 6 - Certificate of Confidentiality Approval Letter </w:t>
      </w:r>
    </w:p>
    <w:p w:rsidR="000F48AC" w:rsidRDefault="000F48AC" w:rsidP="00067390">
      <w:pPr>
        <w:pStyle w:val="ListParagraph"/>
        <w:ind w:left="0"/>
      </w:pPr>
    </w:p>
    <w:p w:rsidR="000F48AC" w:rsidRDefault="000F48AC" w:rsidP="00067390">
      <w:pPr>
        <w:pStyle w:val="ListParagraph"/>
        <w:ind w:left="0"/>
        <w:rPr>
          <w:b/>
          <w:bCs/>
        </w:rPr>
      </w:pPr>
      <w:r>
        <w:rPr>
          <w:b/>
          <w:bCs/>
        </w:rPr>
        <w:t>Attachment 2c – Client Other Continued</w:t>
      </w:r>
    </w:p>
    <w:p w:rsidR="000F48AC" w:rsidRDefault="000F48AC" w:rsidP="00067390">
      <w:pPr>
        <w:pStyle w:val="ListParagraph"/>
        <w:numPr>
          <w:ilvl w:val="0"/>
          <w:numId w:val="30"/>
        </w:numPr>
      </w:pPr>
      <w:r>
        <w:t>Document 1 - Client-Level Survey Grantee Training Presentation</w:t>
      </w:r>
    </w:p>
    <w:p w:rsidR="000F48AC" w:rsidRDefault="000F48AC" w:rsidP="00067390">
      <w:pPr>
        <w:pStyle w:val="ListParagraph"/>
        <w:ind w:left="0"/>
      </w:pPr>
    </w:p>
    <w:p w:rsidR="000F48AC" w:rsidRDefault="000F48AC" w:rsidP="00067390">
      <w:pPr>
        <w:rPr>
          <w:b/>
          <w:bCs/>
        </w:rPr>
      </w:pPr>
      <w:r>
        <w:rPr>
          <w:b/>
          <w:bCs/>
        </w:rPr>
        <w:t>Attachment 3 - Administrative Staff Instruments</w:t>
      </w:r>
    </w:p>
    <w:p w:rsidR="000F48AC" w:rsidRDefault="000F48AC" w:rsidP="00067390">
      <w:pPr>
        <w:pStyle w:val="ListParagraph"/>
        <w:numPr>
          <w:ilvl w:val="0"/>
          <w:numId w:val="31"/>
        </w:numPr>
      </w:pPr>
      <w:r>
        <w:t>Document 1 - Administrative Staff Semi-Structured Interview Guide</w:t>
      </w:r>
    </w:p>
    <w:p w:rsidR="000F48AC" w:rsidRDefault="000F48AC" w:rsidP="00067390">
      <w:pPr>
        <w:pStyle w:val="ListParagraph"/>
        <w:numPr>
          <w:ilvl w:val="0"/>
          <w:numId w:val="31"/>
        </w:numPr>
      </w:pPr>
      <w:r>
        <w:t xml:space="preserve">Document 2 - Administrative Staff Data Sheet </w:t>
      </w:r>
    </w:p>
    <w:p w:rsidR="000F48AC" w:rsidRDefault="000F48AC" w:rsidP="00067390"/>
    <w:p w:rsidR="000F48AC" w:rsidRDefault="000F48AC" w:rsidP="00067390">
      <w:pPr>
        <w:rPr>
          <w:b/>
          <w:bCs/>
        </w:rPr>
      </w:pPr>
      <w:r>
        <w:rPr>
          <w:b/>
          <w:bCs/>
        </w:rPr>
        <w:t>Attachment 4 – Administrative Staff Other</w:t>
      </w:r>
    </w:p>
    <w:p w:rsidR="000F48AC" w:rsidRDefault="000F48AC" w:rsidP="00067390">
      <w:pPr>
        <w:pStyle w:val="ListParagraph"/>
        <w:numPr>
          <w:ilvl w:val="0"/>
          <w:numId w:val="32"/>
        </w:numPr>
      </w:pPr>
      <w:r>
        <w:t>Document 1 - Pilot Test Results</w:t>
      </w:r>
    </w:p>
    <w:p w:rsidR="000F48AC" w:rsidRDefault="000F48AC" w:rsidP="00067390">
      <w:pPr>
        <w:pStyle w:val="ListParagraph"/>
        <w:numPr>
          <w:ilvl w:val="0"/>
          <w:numId w:val="32"/>
        </w:numPr>
      </w:pPr>
      <w:r>
        <w:t>Document 2 - Proposed Sample and Methods by Stage</w:t>
      </w:r>
    </w:p>
    <w:p w:rsidR="000F48AC" w:rsidRDefault="000F48AC" w:rsidP="00067390">
      <w:pPr>
        <w:pStyle w:val="ListParagraph"/>
        <w:numPr>
          <w:ilvl w:val="0"/>
          <w:numId w:val="32"/>
        </w:numPr>
      </w:pPr>
      <w:r>
        <w:t>Document 3 - Site Visit Call Script</w:t>
      </w:r>
    </w:p>
    <w:p w:rsidR="000F48AC" w:rsidRDefault="000F48AC" w:rsidP="00067390">
      <w:pPr>
        <w:pStyle w:val="ListParagraph"/>
        <w:numPr>
          <w:ilvl w:val="0"/>
          <w:numId w:val="32"/>
        </w:numPr>
      </w:pPr>
      <w:r>
        <w:t>Document 4 - Site Visit Confirmation Letter</w:t>
      </w:r>
    </w:p>
    <w:p w:rsidR="000F48AC" w:rsidRDefault="000F48AC" w:rsidP="00067390">
      <w:pPr>
        <w:pStyle w:val="ListParagraph"/>
        <w:numPr>
          <w:ilvl w:val="0"/>
          <w:numId w:val="32"/>
        </w:numPr>
      </w:pPr>
      <w:r>
        <w:t>Document 5 - Administrative Staff Consent Form</w:t>
      </w:r>
    </w:p>
    <w:p w:rsidR="000F48AC" w:rsidRDefault="000F48AC" w:rsidP="00067390"/>
    <w:p w:rsidR="000F48AC" w:rsidRDefault="000F48AC" w:rsidP="00067390">
      <w:pPr>
        <w:rPr>
          <w:b/>
          <w:bCs/>
        </w:rPr>
      </w:pPr>
      <w:r>
        <w:rPr>
          <w:b/>
          <w:bCs/>
        </w:rPr>
        <w:t>Attachment 5 – Direct Services Staff Instruments</w:t>
      </w:r>
    </w:p>
    <w:p w:rsidR="000F48AC" w:rsidRDefault="000F48AC" w:rsidP="00067390">
      <w:pPr>
        <w:pStyle w:val="ListParagraph"/>
        <w:numPr>
          <w:ilvl w:val="0"/>
          <w:numId w:val="33"/>
        </w:numPr>
      </w:pPr>
      <w:r>
        <w:t>Document 1 - Direct Services Staff Semi-Structured Interview Guide</w:t>
      </w:r>
    </w:p>
    <w:p w:rsidR="000F48AC" w:rsidRDefault="000F48AC" w:rsidP="00067390">
      <w:pPr>
        <w:pStyle w:val="ListParagraph"/>
        <w:numPr>
          <w:ilvl w:val="0"/>
          <w:numId w:val="33"/>
        </w:numPr>
      </w:pPr>
      <w:r>
        <w:t>Document 2 - Direct Services Staff Data Sheet</w:t>
      </w:r>
    </w:p>
    <w:p w:rsidR="000F48AC" w:rsidRDefault="000F48AC" w:rsidP="00067390"/>
    <w:p w:rsidR="000F48AC" w:rsidRDefault="000F48AC" w:rsidP="00067390">
      <w:pPr>
        <w:rPr>
          <w:b/>
          <w:bCs/>
        </w:rPr>
      </w:pPr>
      <w:r>
        <w:rPr>
          <w:b/>
          <w:bCs/>
        </w:rPr>
        <w:t>Attachment 6 – Direct Services Other</w:t>
      </w:r>
    </w:p>
    <w:p w:rsidR="000F48AC" w:rsidRDefault="000F48AC" w:rsidP="00067390">
      <w:pPr>
        <w:pStyle w:val="ListParagraph"/>
        <w:numPr>
          <w:ilvl w:val="0"/>
          <w:numId w:val="34"/>
        </w:numPr>
      </w:pPr>
      <w:r>
        <w:t>Document 1 - Direct Services Staff Consent Form</w:t>
      </w:r>
    </w:p>
    <w:p w:rsidR="000F48AC" w:rsidRDefault="000F48AC" w:rsidP="00067390"/>
    <w:p w:rsidR="000F48AC" w:rsidRDefault="000F48AC" w:rsidP="00067390">
      <w:pPr>
        <w:rPr>
          <w:b/>
          <w:bCs/>
        </w:rPr>
      </w:pPr>
      <w:r>
        <w:rPr>
          <w:b/>
          <w:bCs/>
        </w:rPr>
        <w:t>Attachment 7 – Partner/Collaborator Instruments</w:t>
      </w:r>
    </w:p>
    <w:p w:rsidR="000F48AC" w:rsidRDefault="000F48AC" w:rsidP="00067390">
      <w:pPr>
        <w:pStyle w:val="ListParagraph"/>
        <w:numPr>
          <w:ilvl w:val="0"/>
          <w:numId w:val="34"/>
        </w:numPr>
      </w:pPr>
      <w:r>
        <w:t>Document 1 - Partner/Collaborator Semi-Structured Interview Guide</w:t>
      </w:r>
    </w:p>
    <w:p w:rsidR="000F48AC" w:rsidRDefault="000F48AC" w:rsidP="00067390">
      <w:pPr>
        <w:pStyle w:val="ListParagraph"/>
        <w:numPr>
          <w:ilvl w:val="0"/>
          <w:numId w:val="34"/>
        </w:numPr>
      </w:pPr>
      <w:r>
        <w:t>Document 2 - Partner/Collaborator Data Sheet</w:t>
      </w:r>
    </w:p>
    <w:p w:rsidR="000F48AC" w:rsidRDefault="000F48AC" w:rsidP="00067390"/>
    <w:p w:rsidR="000F48AC" w:rsidRDefault="000F48AC" w:rsidP="00067390">
      <w:pPr>
        <w:rPr>
          <w:b/>
          <w:bCs/>
        </w:rPr>
      </w:pPr>
      <w:r>
        <w:rPr>
          <w:b/>
          <w:bCs/>
        </w:rPr>
        <w:t>Attachment 8 – Partner/Collaborator Other</w:t>
      </w:r>
    </w:p>
    <w:p w:rsidR="000F48AC" w:rsidRDefault="000F48AC" w:rsidP="00067390">
      <w:pPr>
        <w:pStyle w:val="ListParagraph"/>
        <w:numPr>
          <w:ilvl w:val="0"/>
          <w:numId w:val="35"/>
        </w:numPr>
      </w:pPr>
      <w:r>
        <w:t>Document 1 - Partner/Collaborator Consent Form</w:t>
      </w:r>
    </w:p>
    <w:p w:rsidR="000F48AC" w:rsidRDefault="000F48AC" w:rsidP="00067390">
      <w:pPr>
        <w:pStyle w:val="refentry"/>
        <w:tabs>
          <w:tab w:val="left" w:pos="810"/>
        </w:tabs>
        <w:spacing w:before="0" w:beforeAutospacing="0" w:after="0" w:afterAutospacing="0"/>
        <w:jc w:val="center"/>
      </w:pPr>
    </w:p>
    <w:sectPr w:rsidR="000F48AC" w:rsidSect="002D47B1">
      <w:footerReference w:type="even" r:id="rId25"/>
      <w:footerReference w:type="default" r:id="rId26"/>
      <w:type w:val="continuous"/>
      <w:pgSz w:w="12240" w:h="15840" w:code="1"/>
      <w:pgMar w:top="1440" w:right="1440" w:bottom="1440" w:left="1440" w:header="144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8AC" w:rsidRDefault="000F48AC">
      <w:r>
        <w:separator/>
      </w:r>
    </w:p>
  </w:endnote>
  <w:endnote w:type="continuationSeparator" w:id="1">
    <w:p w:rsidR="000F48AC" w:rsidRDefault="000F4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fc"/>
    <w:panose1 w:val="02020609040205080304"/>
    <w:charset w:val="80"/>
    <w:family w:val="modern"/>
    <w:pitch w:val="fixed"/>
    <w:sig w:usb0="A00002BF" w:usb1="68C7FCFB" w:usb2="00000010" w:usb3="00000000" w:csb0="000200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AC" w:rsidRDefault="000F48AC" w:rsidP="00FB40E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0F48AC" w:rsidRDefault="000F48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AC" w:rsidRDefault="000F48AC" w:rsidP="00FB40E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0F48AC" w:rsidRDefault="000F48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8AC" w:rsidRDefault="000F48AC">
      <w:r>
        <w:separator/>
      </w:r>
    </w:p>
  </w:footnote>
  <w:footnote w:type="continuationSeparator" w:id="1">
    <w:p w:rsidR="000F48AC" w:rsidRDefault="000F48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4C5B56"/>
    <w:multiLevelType w:val="hybridMultilevel"/>
    <w:tmpl w:val="417A06D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AEF2B89"/>
    <w:multiLevelType w:val="hybridMultilevel"/>
    <w:tmpl w:val="D86EAE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18C4F59"/>
    <w:multiLevelType w:val="hybridMultilevel"/>
    <w:tmpl w:val="A3D258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23B020D"/>
    <w:multiLevelType w:val="hybridMultilevel"/>
    <w:tmpl w:val="D298C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45421EA"/>
    <w:multiLevelType w:val="hybridMultilevel"/>
    <w:tmpl w:val="AEDA8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145F42C0"/>
    <w:multiLevelType w:val="hybridMultilevel"/>
    <w:tmpl w:val="F9BE868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nsid w:val="16962B1F"/>
    <w:multiLevelType w:val="hybridMultilevel"/>
    <w:tmpl w:val="2D6E3C1A"/>
    <w:lvl w:ilvl="0" w:tplc="92B0E516">
      <w:start w:val="2"/>
      <w:numFmt w:val="decimal"/>
      <w:lvlText w:val="%1."/>
      <w:lvlJc w:val="left"/>
      <w:pPr>
        <w:tabs>
          <w:tab w:val="num" w:pos="1800"/>
        </w:tabs>
        <w:ind w:left="180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
    <w:nsid w:val="1C010D79"/>
    <w:multiLevelType w:val="hybridMultilevel"/>
    <w:tmpl w:val="3B80003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
    <w:nsid w:val="1C9243CC"/>
    <w:multiLevelType w:val="hybridMultilevel"/>
    <w:tmpl w:val="5A34D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0E5935"/>
    <w:multiLevelType w:val="hybridMultilevel"/>
    <w:tmpl w:val="9C94631E"/>
    <w:lvl w:ilvl="0" w:tplc="CB46CE34">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16A068C"/>
    <w:multiLevelType w:val="hybridMultilevel"/>
    <w:tmpl w:val="A348871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1">
    <w:nsid w:val="223A4ABF"/>
    <w:multiLevelType w:val="hybridMultilevel"/>
    <w:tmpl w:val="8EB2B5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nsid w:val="26193EAB"/>
    <w:multiLevelType w:val="hybridMultilevel"/>
    <w:tmpl w:val="CC0C5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77D293A"/>
    <w:multiLevelType w:val="hybridMultilevel"/>
    <w:tmpl w:val="C682EA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279D6660"/>
    <w:multiLevelType w:val="hybridMultilevel"/>
    <w:tmpl w:val="950A3C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8A33E76"/>
    <w:multiLevelType w:val="hybridMultilevel"/>
    <w:tmpl w:val="DD943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F4D6715"/>
    <w:multiLevelType w:val="hybridMultilevel"/>
    <w:tmpl w:val="664CF3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nsid w:val="2F6034D2"/>
    <w:multiLevelType w:val="hybridMultilevel"/>
    <w:tmpl w:val="3A08CB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FBB6269"/>
    <w:multiLevelType w:val="hybridMultilevel"/>
    <w:tmpl w:val="3B3239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2C039B6"/>
    <w:multiLevelType w:val="hybridMultilevel"/>
    <w:tmpl w:val="772E9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3E50C42"/>
    <w:multiLevelType w:val="hybridMultilevel"/>
    <w:tmpl w:val="EBC814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6F22B17"/>
    <w:multiLevelType w:val="hybridMultilevel"/>
    <w:tmpl w:val="B6100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83203F4"/>
    <w:multiLevelType w:val="hybridMultilevel"/>
    <w:tmpl w:val="8D161D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20215D1"/>
    <w:multiLevelType w:val="hybridMultilevel"/>
    <w:tmpl w:val="6F023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8AC3D48"/>
    <w:multiLevelType w:val="hybridMultilevel"/>
    <w:tmpl w:val="5E346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A795487"/>
    <w:multiLevelType w:val="hybridMultilevel"/>
    <w:tmpl w:val="A3FA2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AB1310E"/>
    <w:multiLevelType w:val="hybridMultilevel"/>
    <w:tmpl w:val="2288174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7">
    <w:nsid w:val="4B2B7E1C"/>
    <w:multiLevelType w:val="hybridMultilevel"/>
    <w:tmpl w:val="DCA665A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8">
    <w:nsid w:val="4D167D4B"/>
    <w:multiLevelType w:val="hybridMultilevel"/>
    <w:tmpl w:val="09ECFAA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nsid w:val="4E196A9B"/>
    <w:multiLevelType w:val="hybridMultilevel"/>
    <w:tmpl w:val="143823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4FFD6422"/>
    <w:multiLevelType w:val="hybridMultilevel"/>
    <w:tmpl w:val="86281C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1">
    <w:nsid w:val="523C7E2B"/>
    <w:multiLevelType w:val="hybridMultilevel"/>
    <w:tmpl w:val="16F88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65366A8"/>
    <w:multiLevelType w:val="hybridMultilevel"/>
    <w:tmpl w:val="A96AE47E"/>
    <w:lvl w:ilvl="0" w:tplc="3FDAFB40">
      <w:start w:val="1"/>
      <w:numFmt w:val="bullet"/>
      <w:pStyle w:val="bullets"/>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3">
    <w:nsid w:val="58C66F46"/>
    <w:multiLevelType w:val="hybridMultilevel"/>
    <w:tmpl w:val="38BE61E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nsid w:val="58C67829"/>
    <w:multiLevelType w:val="hybridMultilevel"/>
    <w:tmpl w:val="14C89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9F41E4A"/>
    <w:multiLevelType w:val="hybridMultilevel"/>
    <w:tmpl w:val="783C1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DA25BA2"/>
    <w:multiLevelType w:val="hybridMultilevel"/>
    <w:tmpl w:val="5C44FE4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7">
    <w:nsid w:val="60347ED8"/>
    <w:multiLevelType w:val="hybridMultilevel"/>
    <w:tmpl w:val="12908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nsid w:val="6B461BF6"/>
    <w:multiLevelType w:val="hybridMultilevel"/>
    <w:tmpl w:val="85929B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0">
    <w:nsid w:val="6C64F16E"/>
    <w:multiLevelType w:val="hybridMultilevel"/>
    <w:tmpl w:val="7FF2B25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6DCB4648"/>
    <w:multiLevelType w:val="hybridMultilevel"/>
    <w:tmpl w:val="2360A4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6F52660E"/>
    <w:multiLevelType w:val="hybridMultilevel"/>
    <w:tmpl w:val="B928E596"/>
    <w:lvl w:ilvl="0" w:tplc="2C565B84">
      <w:start w:val="4"/>
      <w:numFmt w:val="decimal"/>
      <w:lvlText w:val="%1."/>
      <w:lvlJc w:val="left"/>
      <w:pPr>
        <w:tabs>
          <w:tab w:val="num" w:pos="1440"/>
        </w:tabs>
        <w:ind w:left="1440" w:hanging="360"/>
      </w:pPr>
      <w:rPr>
        <w:rFonts w:cs="Times New Roman" w:hint="default"/>
        <w:u w:val="none"/>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3">
    <w:nsid w:val="6FC3516B"/>
    <w:multiLevelType w:val="hybridMultilevel"/>
    <w:tmpl w:val="78109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268581E"/>
    <w:multiLevelType w:val="hybridMultilevel"/>
    <w:tmpl w:val="F05A7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CCE39D1"/>
    <w:multiLevelType w:val="hybridMultilevel"/>
    <w:tmpl w:val="2E9C6A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6">
    <w:nsid w:val="7F3A3B0C"/>
    <w:multiLevelType w:val="hybridMultilevel"/>
    <w:tmpl w:val="04AA3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8"/>
  </w:num>
  <w:num w:numId="3">
    <w:abstractNumId w:val="32"/>
  </w:num>
  <w:num w:numId="4">
    <w:abstractNumId w:val="41"/>
  </w:num>
  <w:num w:numId="5">
    <w:abstractNumId w:val="22"/>
  </w:num>
  <w:num w:numId="6">
    <w:abstractNumId w:val="17"/>
  </w:num>
  <w:num w:numId="7">
    <w:abstractNumId w:val="42"/>
  </w:num>
  <w:num w:numId="8">
    <w:abstractNumId w:val="4"/>
  </w:num>
  <w:num w:numId="9">
    <w:abstractNumId w:val="39"/>
  </w:num>
  <w:num w:numId="10">
    <w:abstractNumId w:val="5"/>
  </w:num>
  <w:num w:numId="11">
    <w:abstractNumId w:val="27"/>
  </w:num>
  <w:num w:numId="12">
    <w:abstractNumId w:val="1"/>
  </w:num>
  <w:num w:numId="13">
    <w:abstractNumId w:val="30"/>
  </w:num>
  <w:num w:numId="14">
    <w:abstractNumId w:val="35"/>
  </w:num>
  <w:num w:numId="15">
    <w:abstractNumId w:val="21"/>
  </w:num>
  <w:num w:numId="16">
    <w:abstractNumId w:val="15"/>
  </w:num>
  <w:num w:numId="17">
    <w:abstractNumId w:val="34"/>
  </w:num>
  <w:num w:numId="18">
    <w:abstractNumId w:val="13"/>
  </w:num>
  <w:num w:numId="19">
    <w:abstractNumId w:val="2"/>
  </w:num>
  <w:num w:numId="20">
    <w:abstractNumId w:val="12"/>
  </w:num>
  <w:num w:numId="21">
    <w:abstractNumId w:val="19"/>
  </w:num>
  <w:num w:numId="22">
    <w:abstractNumId w:val="43"/>
  </w:num>
  <w:num w:numId="23">
    <w:abstractNumId w:val="37"/>
  </w:num>
  <w:num w:numId="24">
    <w:abstractNumId w:val="31"/>
  </w:num>
  <w:num w:numId="25">
    <w:abstractNumId w:val="46"/>
  </w:num>
  <w:num w:numId="26">
    <w:abstractNumId w:val="3"/>
  </w:num>
  <w:num w:numId="27">
    <w:abstractNumId w:val="25"/>
  </w:num>
  <w:num w:numId="28">
    <w:abstractNumId w:val="23"/>
  </w:num>
  <w:num w:numId="2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40"/>
  </w:num>
  <w:num w:numId="38">
    <w:abstractNumId w:val="45"/>
  </w:num>
  <w:num w:numId="39">
    <w:abstractNumId w:val="11"/>
  </w:num>
  <w:num w:numId="40">
    <w:abstractNumId w:val="18"/>
  </w:num>
  <w:num w:numId="41">
    <w:abstractNumId w:val="20"/>
  </w:num>
  <w:num w:numId="42">
    <w:abstractNumId w:val="10"/>
  </w:num>
  <w:num w:numId="43">
    <w:abstractNumId w:val="14"/>
  </w:num>
  <w:num w:numId="44">
    <w:abstractNumId w:val="28"/>
  </w:num>
  <w:num w:numId="45">
    <w:abstractNumId w:val="36"/>
  </w:num>
  <w:num w:numId="46">
    <w:abstractNumId w:val="29"/>
  </w:num>
  <w:num w:numId="47">
    <w:abstractNumId w:val="16"/>
  </w:num>
  <w:num w:numId="48">
    <w:abstractNumId w:val="33"/>
  </w:num>
  <w:num w:numId="49">
    <w:abstractNumId w:val="26"/>
  </w:num>
  <w:num w:numId="50">
    <w:abstractNumId w:val="7"/>
  </w:num>
  <w:num w:numId="51">
    <w:abstractNumId w:val="24"/>
  </w:num>
  <w:num w:numId="52">
    <w:abstractNumId w:val="44"/>
  </w:num>
  <w:num w:numId="53">
    <w:abstractNumId w:val="8"/>
  </w:num>
  <w:num w:numId="54">
    <w:abstractNumId w:val="9"/>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gutterAtTop/>
  <w:defaultTabStop w:val="720"/>
  <w:doNotHyphenateCaps/>
  <w:evenAndOddHeaders/>
  <w:drawingGridHorizontalSpacing w:val="120"/>
  <w:displayHorizontalDrawingGridEvery w:val="2"/>
  <w:displayVertic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66D7"/>
    <w:rsid w:val="00000402"/>
    <w:rsid w:val="00000F44"/>
    <w:rsid w:val="00002771"/>
    <w:rsid w:val="0000479A"/>
    <w:rsid w:val="00004EE6"/>
    <w:rsid w:val="0000641D"/>
    <w:rsid w:val="00006A47"/>
    <w:rsid w:val="00007776"/>
    <w:rsid w:val="00014418"/>
    <w:rsid w:val="00015208"/>
    <w:rsid w:val="0001643A"/>
    <w:rsid w:val="000164D4"/>
    <w:rsid w:val="000168D9"/>
    <w:rsid w:val="00017075"/>
    <w:rsid w:val="00017105"/>
    <w:rsid w:val="000203E2"/>
    <w:rsid w:val="00023F5C"/>
    <w:rsid w:val="00024CCD"/>
    <w:rsid w:val="00025A21"/>
    <w:rsid w:val="000260D8"/>
    <w:rsid w:val="00026ED3"/>
    <w:rsid w:val="0003121A"/>
    <w:rsid w:val="00031BF7"/>
    <w:rsid w:val="000357DC"/>
    <w:rsid w:val="00037581"/>
    <w:rsid w:val="00040ED9"/>
    <w:rsid w:val="0004192A"/>
    <w:rsid w:val="000420B3"/>
    <w:rsid w:val="00042904"/>
    <w:rsid w:val="00042EF4"/>
    <w:rsid w:val="000433D5"/>
    <w:rsid w:val="0004366D"/>
    <w:rsid w:val="000444AB"/>
    <w:rsid w:val="000452A1"/>
    <w:rsid w:val="00045AC4"/>
    <w:rsid w:val="000470F5"/>
    <w:rsid w:val="00047369"/>
    <w:rsid w:val="000473AE"/>
    <w:rsid w:val="00047840"/>
    <w:rsid w:val="00047CAD"/>
    <w:rsid w:val="00052DE0"/>
    <w:rsid w:val="0005371D"/>
    <w:rsid w:val="0005470D"/>
    <w:rsid w:val="00055D9A"/>
    <w:rsid w:val="0005707F"/>
    <w:rsid w:val="00057591"/>
    <w:rsid w:val="00060BA4"/>
    <w:rsid w:val="00061EEA"/>
    <w:rsid w:val="00063ED9"/>
    <w:rsid w:val="00065CCF"/>
    <w:rsid w:val="000668CE"/>
    <w:rsid w:val="00066BC7"/>
    <w:rsid w:val="00067390"/>
    <w:rsid w:val="0007024A"/>
    <w:rsid w:val="000709F5"/>
    <w:rsid w:val="0007265A"/>
    <w:rsid w:val="00072B53"/>
    <w:rsid w:val="0007310B"/>
    <w:rsid w:val="000746F1"/>
    <w:rsid w:val="000747F1"/>
    <w:rsid w:val="0007515C"/>
    <w:rsid w:val="000752E0"/>
    <w:rsid w:val="0008166B"/>
    <w:rsid w:val="000821A5"/>
    <w:rsid w:val="00083679"/>
    <w:rsid w:val="00083A36"/>
    <w:rsid w:val="00083AB4"/>
    <w:rsid w:val="00084BDF"/>
    <w:rsid w:val="000916CF"/>
    <w:rsid w:val="00091D22"/>
    <w:rsid w:val="00093027"/>
    <w:rsid w:val="000978A7"/>
    <w:rsid w:val="000A24A8"/>
    <w:rsid w:val="000A410C"/>
    <w:rsid w:val="000A42E1"/>
    <w:rsid w:val="000A4CBB"/>
    <w:rsid w:val="000A5577"/>
    <w:rsid w:val="000A55B0"/>
    <w:rsid w:val="000A591B"/>
    <w:rsid w:val="000A64FB"/>
    <w:rsid w:val="000B0F35"/>
    <w:rsid w:val="000B2265"/>
    <w:rsid w:val="000B5226"/>
    <w:rsid w:val="000B5BDC"/>
    <w:rsid w:val="000B77BF"/>
    <w:rsid w:val="000C1301"/>
    <w:rsid w:val="000C2C18"/>
    <w:rsid w:val="000C5F83"/>
    <w:rsid w:val="000C6009"/>
    <w:rsid w:val="000C6BE8"/>
    <w:rsid w:val="000C712E"/>
    <w:rsid w:val="000C7186"/>
    <w:rsid w:val="000C756D"/>
    <w:rsid w:val="000C7DC8"/>
    <w:rsid w:val="000D025A"/>
    <w:rsid w:val="000D0C74"/>
    <w:rsid w:val="000D2C7B"/>
    <w:rsid w:val="000D2CD2"/>
    <w:rsid w:val="000D5845"/>
    <w:rsid w:val="000D5EF0"/>
    <w:rsid w:val="000D7D8B"/>
    <w:rsid w:val="000E078A"/>
    <w:rsid w:val="000E09F3"/>
    <w:rsid w:val="000E0A5A"/>
    <w:rsid w:val="000E219C"/>
    <w:rsid w:val="000E24D1"/>
    <w:rsid w:val="000E269D"/>
    <w:rsid w:val="000E31E8"/>
    <w:rsid w:val="000E4F62"/>
    <w:rsid w:val="000E6857"/>
    <w:rsid w:val="000E6B9D"/>
    <w:rsid w:val="000F028B"/>
    <w:rsid w:val="000F0A55"/>
    <w:rsid w:val="000F1B1F"/>
    <w:rsid w:val="000F30CA"/>
    <w:rsid w:val="000F331A"/>
    <w:rsid w:val="000F3CE7"/>
    <w:rsid w:val="000F3F08"/>
    <w:rsid w:val="000F48AC"/>
    <w:rsid w:val="000F5088"/>
    <w:rsid w:val="000F53DF"/>
    <w:rsid w:val="000F5A82"/>
    <w:rsid w:val="000F6060"/>
    <w:rsid w:val="000F7419"/>
    <w:rsid w:val="00101B78"/>
    <w:rsid w:val="001035A3"/>
    <w:rsid w:val="001043F9"/>
    <w:rsid w:val="001055B3"/>
    <w:rsid w:val="001056B2"/>
    <w:rsid w:val="00107CF7"/>
    <w:rsid w:val="001103F5"/>
    <w:rsid w:val="001104AE"/>
    <w:rsid w:val="001117FD"/>
    <w:rsid w:val="00111DE7"/>
    <w:rsid w:val="001130E3"/>
    <w:rsid w:val="001141F4"/>
    <w:rsid w:val="0011446F"/>
    <w:rsid w:val="001146F2"/>
    <w:rsid w:val="00114C25"/>
    <w:rsid w:val="00116E69"/>
    <w:rsid w:val="00117A72"/>
    <w:rsid w:val="00117C94"/>
    <w:rsid w:val="00120648"/>
    <w:rsid w:val="00121C85"/>
    <w:rsid w:val="00121FCA"/>
    <w:rsid w:val="00123A7C"/>
    <w:rsid w:val="00123AA9"/>
    <w:rsid w:val="0012414E"/>
    <w:rsid w:val="001255BD"/>
    <w:rsid w:val="00126D40"/>
    <w:rsid w:val="00130163"/>
    <w:rsid w:val="00131B7E"/>
    <w:rsid w:val="00132778"/>
    <w:rsid w:val="00132D5E"/>
    <w:rsid w:val="00133B49"/>
    <w:rsid w:val="00133F03"/>
    <w:rsid w:val="00134A65"/>
    <w:rsid w:val="00135050"/>
    <w:rsid w:val="001379EC"/>
    <w:rsid w:val="00140174"/>
    <w:rsid w:val="0014066D"/>
    <w:rsid w:val="00140AD9"/>
    <w:rsid w:val="00141642"/>
    <w:rsid w:val="001427D9"/>
    <w:rsid w:val="00145F05"/>
    <w:rsid w:val="00146B2F"/>
    <w:rsid w:val="00146FEE"/>
    <w:rsid w:val="001509C4"/>
    <w:rsid w:val="00151C09"/>
    <w:rsid w:val="001532E7"/>
    <w:rsid w:val="001533FD"/>
    <w:rsid w:val="00153FC0"/>
    <w:rsid w:val="00154704"/>
    <w:rsid w:val="0015486B"/>
    <w:rsid w:val="00156D6E"/>
    <w:rsid w:val="001576EF"/>
    <w:rsid w:val="001601AA"/>
    <w:rsid w:val="00160ABC"/>
    <w:rsid w:val="001614F1"/>
    <w:rsid w:val="00163DBF"/>
    <w:rsid w:val="0016699A"/>
    <w:rsid w:val="0017206A"/>
    <w:rsid w:val="00172326"/>
    <w:rsid w:val="00172B3F"/>
    <w:rsid w:val="00172D4E"/>
    <w:rsid w:val="00172E45"/>
    <w:rsid w:val="001747DD"/>
    <w:rsid w:val="00174D4E"/>
    <w:rsid w:val="001765B7"/>
    <w:rsid w:val="00180E59"/>
    <w:rsid w:val="00181483"/>
    <w:rsid w:val="00181556"/>
    <w:rsid w:val="00181F6C"/>
    <w:rsid w:val="00182B52"/>
    <w:rsid w:val="001833DB"/>
    <w:rsid w:val="00184032"/>
    <w:rsid w:val="00184633"/>
    <w:rsid w:val="001848BA"/>
    <w:rsid w:val="00184DC7"/>
    <w:rsid w:val="00186434"/>
    <w:rsid w:val="00187007"/>
    <w:rsid w:val="001874D6"/>
    <w:rsid w:val="00190C44"/>
    <w:rsid w:val="00191D1B"/>
    <w:rsid w:val="00191EDA"/>
    <w:rsid w:val="00192BFE"/>
    <w:rsid w:val="00195322"/>
    <w:rsid w:val="0019532A"/>
    <w:rsid w:val="0019548B"/>
    <w:rsid w:val="001A0E6A"/>
    <w:rsid w:val="001A199C"/>
    <w:rsid w:val="001A444A"/>
    <w:rsid w:val="001A4F1B"/>
    <w:rsid w:val="001A5FFC"/>
    <w:rsid w:val="001A647A"/>
    <w:rsid w:val="001A7BE4"/>
    <w:rsid w:val="001B1726"/>
    <w:rsid w:val="001B3D4B"/>
    <w:rsid w:val="001B5244"/>
    <w:rsid w:val="001B5677"/>
    <w:rsid w:val="001B5A51"/>
    <w:rsid w:val="001B5D7A"/>
    <w:rsid w:val="001B6A4A"/>
    <w:rsid w:val="001C009E"/>
    <w:rsid w:val="001C0AD0"/>
    <w:rsid w:val="001C3F4F"/>
    <w:rsid w:val="001C4B7B"/>
    <w:rsid w:val="001C70AC"/>
    <w:rsid w:val="001C7213"/>
    <w:rsid w:val="001C7662"/>
    <w:rsid w:val="001D1D0B"/>
    <w:rsid w:val="001D2C34"/>
    <w:rsid w:val="001D4A6A"/>
    <w:rsid w:val="001D6DE0"/>
    <w:rsid w:val="001D75FC"/>
    <w:rsid w:val="001E1275"/>
    <w:rsid w:val="001E167A"/>
    <w:rsid w:val="001E1C8C"/>
    <w:rsid w:val="001E2BC9"/>
    <w:rsid w:val="001E353F"/>
    <w:rsid w:val="001E3E0C"/>
    <w:rsid w:val="001E44D1"/>
    <w:rsid w:val="001E473E"/>
    <w:rsid w:val="001E5552"/>
    <w:rsid w:val="001E6B69"/>
    <w:rsid w:val="001E6C41"/>
    <w:rsid w:val="001E6CEA"/>
    <w:rsid w:val="001E7474"/>
    <w:rsid w:val="001E7683"/>
    <w:rsid w:val="001E7DB6"/>
    <w:rsid w:val="001F0B4E"/>
    <w:rsid w:val="001F0EF9"/>
    <w:rsid w:val="001F24A2"/>
    <w:rsid w:val="001F393D"/>
    <w:rsid w:val="001F4087"/>
    <w:rsid w:val="001F4AA1"/>
    <w:rsid w:val="001F4FCA"/>
    <w:rsid w:val="001F51A3"/>
    <w:rsid w:val="001F691F"/>
    <w:rsid w:val="001F7B08"/>
    <w:rsid w:val="00200CC8"/>
    <w:rsid w:val="00200D2E"/>
    <w:rsid w:val="002038A9"/>
    <w:rsid w:val="00203D32"/>
    <w:rsid w:val="002062D6"/>
    <w:rsid w:val="00206609"/>
    <w:rsid w:val="00210157"/>
    <w:rsid w:val="00211201"/>
    <w:rsid w:val="002115E5"/>
    <w:rsid w:val="0021199C"/>
    <w:rsid w:val="00211BF6"/>
    <w:rsid w:val="00212654"/>
    <w:rsid w:val="00213162"/>
    <w:rsid w:val="00216509"/>
    <w:rsid w:val="00220CCD"/>
    <w:rsid w:val="00221499"/>
    <w:rsid w:val="002217E3"/>
    <w:rsid w:val="00222117"/>
    <w:rsid w:val="0022213D"/>
    <w:rsid w:val="00222174"/>
    <w:rsid w:val="0022378E"/>
    <w:rsid w:val="00223E84"/>
    <w:rsid w:val="00225F02"/>
    <w:rsid w:val="00230135"/>
    <w:rsid w:val="00230685"/>
    <w:rsid w:val="00230D91"/>
    <w:rsid w:val="00232FD0"/>
    <w:rsid w:val="00233745"/>
    <w:rsid w:val="0023428A"/>
    <w:rsid w:val="0023496A"/>
    <w:rsid w:val="00234FDE"/>
    <w:rsid w:val="00236878"/>
    <w:rsid w:val="00236CD0"/>
    <w:rsid w:val="002403F8"/>
    <w:rsid w:val="00244233"/>
    <w:rsid w:val="00244549"/>
    <w:rsid w:val="00245C88"/>
    <w:rsid w:val="00245E4F"/>
    <w:rsid w:val="00246074"/>
    <w:rsid w:val="00250173"/>
    <w:rsid w:val="002509FC"/>
    <w:rsid w:val="00250B3F"/>
    <w:rsid w:val="002514D7"/>
    <w:rsid w:val="002524CE"/>
    <w:rsid w:val="00252B59"/>
    <w:rsid w:val="00254032"/>
    <w:rsid w:val="002544E7"/>
    <w:rsid w:val="00254681"/>
    <w:rsid w:val="00254BDA"/>
    <w:rsid w:val="00254CA5"/>
    <w:rsid w:val="00255E03"/>
    <w:rsid w:val="00255F07"/>
    <w:rsid w:val="0025665A"/>
    <w:rsid w:val="00256CFA"/>
    <w:rsid w:val="00256DE3"/>
    <w:rsid w:val="0025706E"/>
    <w:rsid w:val="00257FD6"/>
    <w:rsid w:val="00260177"/>
    <w:rsid w:val="00261A93"/>
    <w:rsid w:val="00261AC6"/>
    <w:rsid w:val="0026202D"/>
    <w:rsid w:val="002621D9"/>
    <w:rsid w:val="00263759"/>
    <w:rsid w:val="002644C1"/>
    <w:rsid w:val="002647EA"/>
    <w:rsid w:val="00265727"/>
    <w:rsid w:val="002666DA"/>
    <w:rsid w:val="00270632"/>
    <w:rsid w:val="00272138"/>
    <w:rsid w:val="0027319F"/>
    <w:rsid w:val="00273F19"/>
    <w:rsid w:val="00276290"/>
    <w:rsid w:val="002810BA"/>
    <w:rsid w:val="0028160F"/>
    <w:rsid w:val="00283152"/>
    <w:rsid w:val="0028377D"/>
    <w:rsid w:val="00283DF8"/>
    <w:rsid w:val="00284271"/>
    <w:rsid w:val="002913FE"/>
    <w:rsid w:val="00293C9D"/>
    <w:rsid w:val="002940A9"/>
    <w:rsid w:val="0029479C"/>
    <w:rsid w:val="0029615A"/>
    <w:rsid w:val="00296C95"/>
    <w:rsid w:val="002A1A67"/>
    <w:rsid w:val="002A1D8C"/>
    <w:rsid w:val="002A2AB4"/>
    <w:rsid w:val="002A2B6B"/>
    <w:rsid w:val="002A6179"/>
    <w:rsid w:val="002A70F5"/>
    <w:rsid w:val="002B0B69"/>
    <w:rsid w:val="002B156C"/>
    <w:rsid w:val="002B1859"/>
    <w:rsid w:val="002B3B00"/>
    <w:rsid w:val="002B41A2"/>
    <w:rsid w:val="002B44B2"/>
    <w:rsid w:val="002B73AB"/>
    <w:rsid w:val="002C01C1"/>
    <w:rsid w:val="002C1727"/>
    <w:rsid w:val="002C1798"/>
    <w:rsid w:val="002C1BAB"/>
    <w:rsid w:val="002C25F9"/>
    <w:rsid w:val="002C3C4F"/>
    <w:rsid w:val="002C3E66"/>
    <w:rsid w:val="002C53DD"/>
    <w:rsid w:val="002C63DF"/>
    <w:rsid w:val="002D2AF6"/>
    <w:rsid w:val="002D33C1"/>
    <w:rsid w:val="002D3471"/>
    <w:rsid w:val="002D3D92"/>
    <w:rsid w:val="002D4335"/>
    <w:rsid w:val="002D43D3"/>
    <w:rsid w:val="002D47B1"/>
    <w:rsid w:val="002D4E74"/>
    <w:rsid w:val="002D4FF2"/>
    <w:rsid w:val="002D5A7D"/>
    <w:rsid w:val="002D5D91"/>
    <w:rsid w:val="002D7294"/>
    <w:rsid w:val="002D7B56"/>
    <w:rsid w:val="002E285F"/>
    <w:rsid w:val="002E51A4"/>
    <w:rsid w:val="002E55CA"/>
    <w:rsid w:val="002E6056"/>
    <w:rsid w:val="002E6FC6"/>
    <w:rsid w:val="002F0385"/>
    <w:rsid w:val="002F1EAC"/>
    <w:rsid w:val="002F22ED"/>
    <w:rsid w:val="002F389E"/>
    <w:rsid w:val="002F40E3"/>
    <w:rsid w:val="002F4177"/>
    <w:rsid w:val="002F66A1"/>
    <w:rsid w:val="002F6BBA"/>
    <w:rsid w:val="002F7159"/>
    <w:rsid w:val="002F7DD8"/>
    <w:rsid w:val="003007EC"/>
    <w:rsid w:val="00301E5A"/>
    <w:rsid w:val="0030210F"/>
    <w:rsid w:val="003029CB"/>
    <w:rsid w:val="003039ED"/>
    <w:rsid w:val="00305480"/>
    <w:rsid w:val="0030573A"/>
    <w:rsid w:val="00306217"/>
    <w:rsid w:val="003078F5"/>
    <w:rsid w:val="00307947"/>
    <w:rsid w:val="003101FF"/>
    <w:rsid w:val="003126B0"/>
    <w:rsid w:val="00313B57"/>
    <w:rsid w:val="0031529C"/>
    <w:rsid w:val="003161EB"/>
    <w:rsid w:val="00317894"/>
    <w:rsid w:val="00317A8A"/>
    <w:rsid w:val="00317D50"/>
    <w:rsid w:val="003217EC"/>
    <w:rsid w:val="003223C4"/>
    <w:rsid w:val="00323184"/>
    <w:rsid w:val="00324319"/>
    <w:rsid w:val="00325892"/>
    <w:rsid w:val="00327C09"/>
    <w:rsid w:val="00327C7B"/>
    <w:rsid w:val="00327E47"/>
    <w:rsid w:val="003310E8"/>
    <w:rsid w:val="003318C3"/>
    <w:rsid w:val="00331BFF"/>
    <w:rsid w:val="003323EC"/>
    <w:rsid w:val="0033296A"/>
    <w:rsid w:val="0033322E"/>
    <w:rsid w:val="00335EE2"/>
    <w:rsid w:val="00336ADD"/>
    <w:rsid w:val="003378CF"/>
    <w:rsid w:val="00337AA4"/>
    <w:rsid w:val="00340DE4"/>
    <w:rsid w:val="00340F99"/>
    <w:rsid w:val="003412AA"/>
    <w:rsid w:val="00341545"/>
    <w:rsid w:val="00343AF4"/>
    <w:rsid w:val="0034455B"/>
    <w:rsid w:val="0034461E"/>
    <w:rsid w:val="00344657"/>
    <w:rsid w:val="00344A78"/>
    <w:rsid w:val="00344DF5"/>
    <w:rsid w:val="0034527B"/>
    <w:rsid w:val="0034718A"/>
    <w:rsid w:val="00347A06"/>
    <w:rsid w:val="00350A68"/>
    <w:rsid w:val="00350CB5"/>
    <w:rsid w:val="00353649"/>
    <w:rsid w:val="003539A7"/>
    <w:rsid w:val="00353DD0"/>
    <w:rsid w:val="00354041"/>
    <w:rsid w:val="003548E2"/>
    <w:rsid w:val="00355652"/>
    <w:rsid w:val="00356458"/>
    <w:rsid w:val="003566D6"/>
    <w:rsid w:val="00362F4D"/>
    <w:rsid w:val="00366098"/>
    <w:rsid w:val="003668FE"/>
    <w:rsid w:val="00366AF4"/>
    <w:rsid w:val="00366B7C"/>
    <w:rsid w:val="00366EBD"/>
    <w:rsid w:val="00367C32"/>
    <w:rsid w:val="00370053"/>
    <w:rsid w:val="00370F9D"/>
    <w:rsid w:val="0037101E"/>
    <w:rsid w:val="00371E22"/>
    <w:rsid w:val="00372BC0"/>
    <w:rsid w:val="00372F5D"/>
    <w:rsid w:val="00373CB9"/>
    <w:rsid w:val="00373CC1"/>
    <w:rsid w:val="00375B5A"/>
    <w:rsid w:val="003760C7"/>
    <w:rsid w:val="003802CC"/>
    <w:rsid w:val="00380BF1"/>
    <w:rsid w:val="003824CE"/>
    <w:rsid w:val="00384D72"/>
    <w:rsid w:val="003850D6"/>
    <w:rsid w:val="003851A7"/>
    <w:rsid w:val="00385C72"/>
    <w:rsid w:val="00385F7B"/>
    <w:rsid w:val="0039067C"/>
    <w:rsid w:val="003916C6"/>
    <w:rsid w:val="00392CCE"/>
    <w:rsid w:val="003934EA"/>
    <w:rsid w:val="00396B58"/>
    <w:rsid w:val="00396E50"/>
    <w:rsid w:val="00397099"/>
    <w:rsid w:val="003A06F2"/>
    <w:rsid w:val="003A1025"/>
    <w:rsid w:val="003A184D"/>
    <w:rsid w:val="003A1F35"/>
    <w:rsid w:val="003A20C2"/>
    <w:rsid w:val="003A2F7E"/>
    <w:rsid w:val="003A60B5"/>
    <w:rsid w:val="003A6274"/>
    <w:rsid w:val="003A6E9D"/>
    <w:rsid w:val="003A7B8B"/>
    <w:rsid w:val="003B1DDA"/>
    <w:rsid w:val="003B3C6B"/>
    <w:rsid w:val="003B417E"/>
    <w:rsid w:val="003B4C2F"/>
    <w:rsid w:val="003B526A"/>
    <w:rsid w:val="003B6212"/>
    <w:rsid w:val="003B7BBE"/>
    <w:rsid w:val="003C0618"/>
    <w:rsid w:val="003C0BBA"/>
    <w:rsid w:val="003C196F"/>
    <w:rsid w:val="003C2577"/>
    <w:rsid w:val="003C2600"/>
    <w:rsid w:val="003C2B93"/>
    <w:rsid w:val="003C2DBD"/>
    <w:rsid w:val="003C497C"/>
    <w:rsid w:val="003C52A6"/>
    <w:rsid w:val="003C6207"/>
    <w:rsid w:val="003C6233"/>
    <w:rsid w:val="003C76B3"/>
    <w:rsid w:val="003D0527"/>
    <w:rsid w:val="003D07F8"/>
    <w:rsid w:val="003D0A80"/>
    <w:rsid w:val="003D0E90"/>
    <w:rsid w:val="003D1BC5"/>
    <w:rsid w:val="003D22F3"/>
    <w:rsid w:val="003D3076"/>
    <w:rsid w:val="003D555C"/>
    <w:rsid w:val="003D6163"/>
    <w:rsid w:val="003D66D7"/>
    <w:rsid w:val="003D7B9A"/>
    <w:rsid w:val="003D7BEA"/>
    <w:rsid w:val="003E13E4"/>
    <w:rsid w:val="003E2B5C"/>
    <w:rsid w:val="003E32D5"/>
    <w:rsid w:val="003E5D90"/>
    <w:rsid w:val="003E7015"/>
    <w:rsid w:val="003F0E7B"/>
    <w:rsid w:val="003F38AE"/>
    <w:rsid w:val="003F3D48"/>
    <w:rsid w:val="003F4159"/>
    <w:rsid w:val="003F54F3"/>
    <w:rsid w:val="003F6C58"/>
    <w:rsid w:val="003F6FA2"/>
    <w:rsid w:val="003F7C18"/>
    <w:rsid w:val="003F7F2B"/>
    <w:rsid w:val="00400C62"/>
    <w:rsid w:val="00400E45"/>
    <w:rsid w:val="00401875"/>
    <w:rsid w:val="004020AB"/>
    <w:rsid w:val="004035A2"/>
    <w:rsid w:val="004045F6"/>
    <w:rsid w:val="00404727"/>
    <w:rsid w:val="00405A88"/>
    <w:rsid w:val="0040679E"/>
    <w:rsid w:val="0040731E"/>
    <w:rsid w:val="004079A3"/>
    <w:rsid w:val="004108AF"/>
    <w:rsid w:val="00410F52"/>
    <w:rsid w:val="004111A0"/>
    <w:rsid w:val="00411272"/>
    <w:rsid w:val="00411974"/>
    <w:rsid w:val="00412220"/>
    <w:rsid w:val="004128E7"/>
    <w:rsid w:val="00413BD2"/>
    <w:rsid w:val="00414417"/>
    <w:rsid w:val="004151E0"/>
    <w:rsid w:val="004160C5"/>
    <w:rsid w:val="00416DDF"/>
    <w:rsid w:val="00416FE5"/>
    <w:rsid w:val="004179CA"/>
    <w:rsid w:val="00420784"/>
    <w:rsid w:val="00420B98"/>
    <w:rsid w:val="004256FB"/>
    <w:rsid w:val="00425E3B"/>
    <w:rsid w:val="00426EE3"/>
    <w:rsid w:val="0043049D"/>
    <w:rsid w:val="00430BC9"/>
    <w:rsid w:val="00432E1F"/>
    <w:rsid w:val="004339C8"/>
    <w:rsid w:val="00435C0F"/>
    <w:rsid w:val="00436191"/>
    <w:rsid w:val="0044051C"/>
    <w:rsid w:val="004417F3"/>
    <w:rsid w:val="00441845"/>
    <w:rsid w:val="0044254A"/>
    <w:rsid w:val="00444021"/>
    <w:rsid w:val="00444726"/>
    <w:rsid w:val="00444B8A"/>
    <w:rsid w:val="0044633D"/>
    <w:rsid w:val="00447645"/>
    <w:rsid w:val="00447AE0"/>
    <w:rsid w:val="0045038F"/>
    <w:rsid w:val="0045103E"/>
    <w:rsid w:val="004534C8"/>
    <w:rsid w:val="0045419F"/>
    <w:rsid w:val="00454352"/>
    <w:rsid w:val="0045640E"/>
    <w:rsid w:val="004606CB"/>
    <w:rsid w:val="00461219"/>
    <w:rsid w:val="00461FA3"/>
    <w:rsid w:val="004656C3"/>
    <w:rsid w:val="00466D8A"/>
    <w:rsid w:val="00466F14"/>
    <w:rsid w:val="004720AF"/>
    <w:rsid w:val="00473306"/>
    <w:rsid w:val="00474303"/>
    <w:rsid w:val="004744AC"/>
    <w:rsid w:val="004768E8"/>
    <w:rsid w:val="00476C6E"/>
    <w:rsid w:val="004772FF"/>
    <w:rsid w:val="004773B8"/>
    <w:rsid w:val="00477BAD"/>
    <w:rsid w:val="00477F8B"/>
    <w:rsid w:val="0048133D"/>
    <w:rsid w:val="00483CBC"/>
    <w:rsid w:val="00483FFC"/>
    <w:rsid w:val="00485435"/>
    <w:rsid w:val="004871CB"/>
    <w:rsid w:val="00487C44"/>
    <w:rsid w:val="00490CF3"/>
    <w:rsid w:val="0049100F"/>
    <w:rsid w:val="004928A9"/>
    <w:rsid w:val="004946FB"/>
    <w:rsid w:val="004950C8"/>
    <w:rsid w:val="004960C7"/>
    <w:rsid w:val="00497FCB"/>
    <w:rsid w:val="004A017B"/>
    <w:rsid w:val="004A0189"/>
    <w:rsid w:val="004A2FEE"/>
    <w:rsid w:val="004A4577"/>
    <w:rsid w:val="004A616E"/>
    <w:rsid w:val="004A6BCA"/>
    <w:rsid w:val="004A76EE"/>
    <w:rsid w:val="004B3402"/>
    <w:rsid w:val="004B4B0F"/>
    <w:rsid w:val="004B5F84"/>
    <w:rsid w:val="004B65FE"/>
    <w:rsid w:val="004B6BA9"/>
    <w:rsid w:val="004B6BBE"/>
    <w:rsid w:val="004B701F"/>
    <w:rsid w:val="004B7467"/>
    <w:rsid w:val="004B7F96"/>
    <w:rsid w:val="004C02D5"/>
    <w:rsid w:val="004C2EDD"/>
    <w:rsid w:val="004C3918"/>
    <w:rsid w:val="004C4173"/>
    <w:rsid w:val="004C500D"/>
    <w:rsid w:val="004C578E"/>
    <w:rsid w:val="004C5944"/>
    <w:rsid w:val="004C59C7"/>
    <w:rsid w:val="004C6208"/>
    <w:rsid w:val="004C7390"/>
    <w:rsid w:val="004D2ED8"/>
    <w:rsid w:val="004D3789"/>
    <w:rsid w:val="004D3BE0"/>
    <w:rsid w:val="004D45A4"/>
    <w:rsid w:val="004D45E0"/>
    <w:rsid w:val="004D4827"/>
    <w:rsid w:val="004D6522"/>
    <w:rsid w:val="004D731B"/>
    <w:rsid w:val="004E10A0"/>
    <w:rsid w:val="004E1F38"/>
    <w:rsid w:val="004E1FBF"/>
    <w:rsid w:val="004E2CB0"/>
    <w:rsid w:val="004E4457"/>
    <w:rsid w:val="004E48AA"/>
    <w:rsid w:val="004E5E96"/>
    <w:rsid w:val="004E6F2D"/>
    <w:rsid w:val="004E705E"/>
    <w:rsid w:val="004E7A7B"/>
    <w:rsid w:val="004F00E0"/>
    <w:rsid w:val="004F07A1"/>
    <w:rsid w:val="004F27F4"/>
    <w:rsid w:val="004F2E40"/>
    <w:rsid w:val="004F479F"/>
    <w:rsid w:val="004F489C"/>
    <w:rsid w:val="004F62A8"/>
    <w:rsid w:val="004F6A00"/>
    <w:rsid w:val="00500690"/>
    <w:rsid w:val="00500724"/>
    <w:rsid w:val="00501260"/>
    <w:rsid w:val="0050174B"/>
    <w:rsid w:val="00501A75"/>
    <w:rsid w:val="0050249B"/>
    <w:rsid w:val="0050499F"/>
    <w:rsid w:val="00505724"/>
    <w:rsid w:val="005067C4"/>
    <w:rsid w:val="00506B7A"/>
    <w:rsid w:val="00511056"/>
    <w:rsid w:val="005144A9"/>
    <w:rsid w:val="00514F44"/>
    <w:rsid w:val="005164EA"/>
    <w:rsid w:val="00521AEB"/>
    <w:rsid w:val="00523A8F"/>
    <w:rsid w:val="00524C2B"/>
    <w:rsid w:val="00525453"/>
    <w:rsid w:val="005260C0"/>
    <w:rsid w:val="0052625B"/>
    <w:rsid w:val="00526291"/>
    <w:rsid w:val="00526D17"/>
    <w:rsid w:val="00530049"/>
    <w:rsid w:val="00530393"/>
    <w:rsid w:val="0053131F"/>
    <w:rsid w:val="0053236D"/>
    <w:rsid w:val="0053504A"/>
    <w:rsid w:val="00535F0F"/>
    <w:rsid w:val="005370DA"/>
    <w:rsid w:val="0054103F"/>
    <w:rsid w:val="00541110"/>
    <w:rsid w:val="005411BC"/>
    <w:rsid w:val="00543169"/>
    <w:rsid w:val="00546536"/>
    <w:rsid w:val="00550099"/>
    <w:rsid w:val="00550758"/>
    <w:rsid w:val="005513A5"/>
    <w:rsid w:val="005517D8"/>
    <w:rsid w:val="00551C4A"/>
    <w:rsid w:val="00552587"/>
    <w:rsid w:val="00554A79"/>
    <w:rsid w:val="00554E56"/>
    <w:rsid w:val="00555461"/>
    <w:rsid w:val="00555D28"/>
    <w:rsid w:val="00562347"/>
    <w:rsid w:val="005623E3"/>
    <w:rsid w:val="00565655"/>
    <w:rsid w:val="00565EA9"/>
    <w:rsid w:val="005670DC"/>
    <w:rsid w:val="00567737"/>
    <w:rsid w:val="005703C5"/>
    <w:rsid w:val="005718D3"/>
    <w:rsid w:val="00572148"/>
    <w:rsid w:val="00573F6B"/>
    <w:rsid w:val="005741A4"/>
    <w:rsid w:val="005756E1"/>
    <w:rsid w:val="00575773"/>
    <w:rsid w:val="0058018C"/>
    <w:rsid w:val="00582CFC"/>
    <w:rsid w:val="005846BD"/>
    <w:rsid w:val="0058538A"/>
    <w:rsid w:val="00586303"/>
    <w:rsid w:val="00587520"/>
    <w:rsid w:val="00587964"/>
    <w:rsid w:val="00590C7C"/>
    <w:rsid w:val="00594529"/>
    <w:rsid w:val="005947B6"/>
    <w:rsid w:val="0059481E"/>
    <w:rsid w:val="0059484B"/>
    <w:rsid w:val="00595191"/>
    <w:rsid w:val="0059579E"/>
    <w:rsid w:val="005958F3"/>
    <w:rsid w:val="00596A84"/>
    <w:rsid w:val="00597009"/>
    <w:rsid w:val="005A1A7B"/>
    <w:rsid w:val="005A213F"/>
    <w:rsid w:val="005A229C"/>
    <w:rsid w:val="005A2490"/>
    <w:rsid w:val="005A26F8"/>
    <w:rsid w:val="005A277D"/>
    <w:rsid w:val="005A30B5"/>
    <w:rsid w:val="005A3163"/>
    <w:rsid w:val="005A365C"/>
    <w:rsid w:val="005A3A67"/>
    <w:rsid w:val="005A3B76"/>
    <w:rsid w:val="005A72DF"/>
    <w:rsid w:val="005A7873"/>
    <w:rsid w:val="005B06B3"/>
    <w:rsid w:val="005B0800"/>
    <w:rsid w:val="005B1182"/>
    <w:rsid w:val="005B11CC"/>
    <w:rsid w:val="005B12DD"/>
    <w:rsid w:val="005B35E4"/>
    <w:rsid w:val="005B36A4"/>
    <w:rsid w:val="005B4E0B"/>
    <w:rsid w:val="005B521C"/>
    <w:rsid w:val="005B70F0"/>
    <w:rsid w:val="005B73C2"/>
    <w:rsid w:val="005B73D1"/>
    <w:rsid w:val="005B7CD9"/>
    <w:rsid w:val="005C47E7"/>
    <w:rsid w:val="005C562E"/>
    <w:rsid w:val="005C5A1E"/>
    <w:rsid w:val="005D0AC1"/>
    <w:rsid w:val="005D18B9"/>
    <w:rsid w:val="005D2A9F"/>
    <w:rsid w:val="005D4DAD"/>
    <w:rsid w:val="005D5474"/>
    <w:rsid w:val="005D63BB"/>
    <w:rsid w:val="005D672B"/>
    <w:rsid w:val="005D68EB"/>
    <w:rsid w:val="005D6A90"/>
    <w:rsid w:val="005D6AA9"/>
    <w:rsid w:val="005D6B75"/>
    <w:rsid w:val="005E0136"/>
    <w:rsid w:val="005E2D19"/>
    <w:rsid w:val="005E466C"/>
    <w:rsid w:val="005E5064"/>
    <w:rsid w:val="005E58B0"/>
    <w:rsid w:val="005E6596"/>
    <w:rsid w:val="005E6C0C"/>
    <w:rsid w:val="005E6F1B"/>
    <w:rsid w:val="005E7727"/>
    <w:rsid w:val="005F0A03"/>
    <w:rsid w:val="005F13DF"/>
    <w:rsid w:val="005F2E92"/>
    <w:rsid w:val="005F5646"/>
    <w:rsid w:val="005F5F94"/>
    <w:rsid w:val="00602D20"/>
    <w:rsid w:val="00604701"/>
    <w:rsid w:val="0060589A"/>
    <w:rsid w:val="00610005"/>
    <w:rsid w:val="006100F0"/>
    <w:rsid w:val="006116A2"/>
    <w:rsid w:val="006131F5"/>
    <w:rsid w:val="0061411F"/>
    <w:rsid w:val="00614CDF"/>
    <w:rsid w:val="00615DC7"/>
    <w:rsid w:val="00615E6A"/>
    <w:rsid w:val="006162C7"/>
    <w:rsid w:val="0061694C"/>
    <w:rsid w:val="00616D29"/>
    <w:rsid w:val="00616D7D"/>
    <w:rsid w:val="00620256"/>
    <w:rsid w:val="006202AB"/>
    <w:rsid w:val="00620343"/>
    <w:rsid w:val="00620806"/>
    <w:rsid w:val="00621EFE"/>
    <w:rsid w:val="00622651"/>
    <w:rsid w:val="00624A28"/>
    <w:rsid w:val="00627AB4"/>
    <w:rsid w:val="00627CA6"/>
    <w:rsid w:val="00633D09"/>
    <w:rsid w:val="00635E8B"/>
    <w:rsid w:val="006365F4"/>
    <w:rsid w:val="00636761"/>
    <w:rsid w:val="00637AD2"/>
    <w:rsid w:val="0064071F"/>
    <w:rsid w:val="0064228D"/>
    <w:rsid w:val="006429F6"/>
    <w:rsid w:val="0064495C"/>
    <w:rsid w:val="006449E5"/>
    <w:rsid w:val="00645768"/>
    <w:rsid w:val="00646998"/>
    <w:rsid w:val="0065064C"/>
    <w:rsid w:val="006516E1"/>
    <w:rsid w:val="00652DE1"/>
    <w:rsid w:val="00652FD9"/>
    <w:rsid w:val="00653FAA"/>
    <w:rsid w:val="00656B5F"/>
    <w:rsid w:val="006610DF"/>
    <w:rsid w:val="006621F9"/>
    <w:rsid w:val="00662F0A"/>
    <w:rsid w:val="00663132"/>
    <w:rsid w:val="006638CD"/>
    <w:rsid w:val="00663A52"/>
    <w:rsid w:val="00663EF4"/>
    <w:rsid w:val="00665A39"/>
    <w:rsid w:val="00665DE7"/>
    <w:rsid w:val="00666364"/>
    <w:rsid w:val="006677E0"/>
    <w:rsid w:val="00670AE8"/>
    <w:rsid w:val="006720CC"/>
    <w:rsid w:val="00674897"/>
    <w:rsid w:val="00675DD6"/>
    <w:rsid w:val="00676A78"/>
    <w:rsid w:val="0067722B"/>
    <w:rsid w:val="0067743C"/>
    <w:rsid w:val="00680838"/>
    <w:rsid w:val="006809CE"/>
    <w:rsid w:val="006809F1"/>
    <w:rsid w:val="0068106D"/>
    <w:rsid w:val="0068194F"/>
    <w:rsid w:val="006823BB"/>
    <w:rsid w:val="00682A6F"/>
    <w:rsid w:val="00683D28"/>
    <w:rsid w:val="006845E7"/>
    <w:rsid w:val="006847A4"/>
    <w:rsid w:val="00685974"/>
    <w:rsid w:val="006870AC"/>
    <w:rsid w:val="00690878"/>
    <w:rsid w:val="00691B3C"/>
    <w:rsid w:val="006949B5"/>
    <w:rsid w:val="006952E3"/>
    <w:rsid w:val="006963D0"/>
    <w:rsid w:val="00697DD1"/>
    <w:rsid w:val="006A053F"/>
    <w:rsid w:val="006A0A6E"/>
    <w:rsid w:val="006A2132"/>
    <w:rsid w:val="006A24C3"/>
    <w:rsid w:val="006A3595"/>
    <w:rsid w:val="006A3AD5"/>
    <w:rsid w:val="006A4C6E"/>
    <w:rsid w:val="006A63B1"/>
    <w:rsid w:val="006B034B"/>
    <w:rsid w:val="006B11EE"/>
    <w:rsid w:val="006B1347"/>
    <w:rsid w:val="006B43EF"/>
    <w:rsid w:val="006B4A66"/>
    <w:rsid w:val="006B4F33"/>
    <w:rsid w:val="006B65D1"/>
    <w:rsid w:val="006B6668"/>
    <w:rsid w:val="006B699F"/>
    <w:rsid w:val="006B7F9C"/>
    <w:rsid w:val="006C05D8"/>
    <w:rsid w:val="006C076D"/>
    <w:rsid w:val="006C0B50"/>
    <w:rsid w:val="006C3D18"/>
    <w:rsid w:val="006C3F8E"/>
    <w:rsid w:val="006C3FD4"/>
    <w:rsid w:val="006C7FE5"/>
    <w:rsid w:val="006D2C7A"/>
    <w:rsid w:val="006D4AAE"/>
    <w:rsid w:val="006D66E7"/>
    <w:rsid w:val="006D6799"/>
    <w:rsid w:val="006D681C"/>
    <w:rsid w:val="006D7C38"/>
    <w:rsid w:val="006D7CB6"/>
    <w:rsid w:val="006E050B"/>
    <w:rsid w:val="006E0908"/>
    <w:rsid w:val="006E0BFE"/>
    <w:rsid w:val="006E0C23"/>
    <w:rsid w:val="006E2945"/>
    <w:rsid w:val="006E2EAD"/>
    <w:rsid w:val="006E3C79"/>
    <w:rsid w:val="006E3ED3"/>
    <w:rsid w:val="006E6629"/>
    <w:rsid w:val="006E6D06"/>
    <w:rsid w:val="006E6D59"/>
    <w:rsid w:val="006E7156"/>
    <w:rsid w:val="006E74C8"/>
    <w:rsid w:val="006F2743"/>
    <w:rsid w:val="006F3137"/>
    <w:rsid w:val="006F3C34"/>
    <w:rsid w:val="006F4B93"/>
    <w:rsid w:val="006F581E"/>
    <w:rsid w:val="006F6EA0"/>
    <w:rsid w:val="006F72BB"/>
    <w:rsid w:val="00700588"/>
    <w:rsid w:val="007014EC"/>
    <w:rsid w:val="00701707"/>
    <w:rsid w:val="0070279E"/>
    <w:rsid w:val="00702A2A"/>
    <w:rsid w:val="00705193"/>
    <w:rsid w:val="007103EE"/>
    <w:rsid w:val="007103EF"/>
    <w:rsid w:val="00710401"/>
    <w:rsid w:val="007104D7"/>
    <w:rsid w:val="0071253F"/>
    <w:rsid w:val="00713E5B"/>
    <w:rsid w:val="007140CD"/>
    <w:rsid w:val="007146F8"/>
    <w:rsid w:val="00714B42"/>
    <w:rsid w:val="00714F9F"/>
    <w:rsid w:val="00715557"/>
    <w:rsid w:val="00715E58"/>
    <w:rsid w:val="00716DF1"/>
    <w:rsid w:val="00717854"/>
    <w:rsid w:val="00717958"/>
    <w:rsid w:val="007214E0"/>
    <w:rsid w:val="00721DB6"/>
    <w:rsid w:val="00723E7C"/>
    <w:rsid w:val="007245B1"/>
    <w:rsid w:val="007251BF"/>
    <w:rsid w:val="00725B67"/>
    <w:rsid w:val="0072690F"/>
    <w:rsid w:val="007269A9"/>
    <w:rsid w:val="00726C9A"/>
    <w:rsid w:val="007305BF"/>
    <w:rsid w:val="0073281B"/>
    <w:rsid w:val="00732FED"/>
    <w:rsid w:val="00733671"/>
    <w:rsid w:val="007339C6"/>
    <w:rsid w:val="007365FC"/>
    <w:rsid w:val="00736721"/>
    <w:rsid w:val="00740DA5"/>
    <w:rsid w:val="007414FF"/>
    <w:rsid w:val="00742301"/>
    <w:rsid w:val="00743609"/>
    <w:rsid w:val="00743BFC"/>
    <w:rsid w:val="00744475"/>
    <w:rsid w:val="00746F09"/>
    <w:rsid w:val="00750306"/>
    <w:rsid w:val="00750EEF"/>
    <w:rsid w:val="007534C9"/>
    <w:rsid w:val="00754A51"/>
    <w:rsid w:val="00757924"/>
    <w:rsid w:val="00757DBB"/>
    <w:rsid w:val="00757FE8"/>
    <w:rsid w:val="007604F5"/>
    <w:rsid w:val="00760C2C"/>
    <w:rsid w:val="00761CAC"/>
    <w:rsid w:val="0076488F"/>
    <w:rsid w:val="007653F8"/>
    <w:rsid w:val="00765493"/>
    <w:rsid w:val="0076614D"/>
    <w:rsid w:val="00766873"/>
    <w:rsid w:val="00767101"/>
    <w:rsid w:val="00770D97"/>
    <w:rsid w:val="007713AD"/>
    <w:rsid w:val="00771BEF"/>
    <w:rsid w:val="0077261C"/>
    <w:rsid w:val="00772BF8"/>
    <w:rsid w:val="00772F84"/>
    <w:rsid w:val="00774201"/>
    <w:rsid w:val="00774384"/>
    <w:rsid w:val="007758AC"/>
    <w:rsid w:val="00776167"/>
    <w:rsid w:val="00777630"/>
    <w:rsid w:val="007805AB"/>
    <w:rsid w:val="00780F36"/>
    <w:rsid w:val="007813F9"/>
    <w:rsid w:val="00782A43"/>
    <w:rsid w:val="0078665A"/>
    <w:rsid w:val="00790CAA"/>
    <w:rsid w:val="00792783"/>
    <w:rsid w:val="00792AD6"/>
    <w:rsid w:val="00792C9F"/>
    <w:rsid w:val="00793BDD"/>
    <w:rsid w:val="00794B6A"/>
    <w:rsid w:val="0079506B"/>
    <w:rsid w:val="00795497"/>
    <w:rsid w:val="007A0A9E"/>
    <w:rsid w:val="007A19C8"/>
    <w:rsid w:val="007A23C9"/>
    <w:rsid w:val="007A3E11"/>
    <w:rsid w:val="007A58C2"/>
    <w:rsid w:val="007B0A41"/>
    <w:rsid w:val="007B1DE8"/>
    <w:rsid w:val="007B2E4B"/>
    <w:rsid w:val="007B2EF8"/>
    <w:rsid w:val="007B54DD"/>
    <w:rsid w:val="007B5724"/>
    <w:rsid w:val="007B77A4"/>
    <w:rsid w:val="007B7D2C"/>
    <w:rsid w:val="007C0ADA"/>
    <w:rsid w:val="007C0C53"/>
    <w:rsid w:val="007C3B76"/>
    <w:rsid w:val="007C58FE"/>
    <w:rsid w:val="007C5BC9"/>
    <w:rsid w:val="007C733E"/>
    <w:rsid w:val="007C7B7A"/>
    <w:rsid w:val="007D06C9"/>
    <w:rsid w:val="007D1DA2"/>
    <w:rsid w:val="007D23E2"/>
    <w:rsid w:val="007D37B0"/>
    <w:rsid w:val="007D47FF"/>
    <w:rsid w:val="007D4F67"/>
    <w:rsid w:val="007D5F70"/>
    <w:rsid w:val="007D7274"/>
    <w:rsid w:val="007D7661"/>
    <w:rsid w:val="007D7CC9"/>
    <w:rsid w:val="007E0046"/>
    <w:rsid w:val="007E1205"/>
    <w:rsid w:val="007E1AE5"/>
    <w:rsid w:val="007E2F0F"/>
    <w:rsid w:val="007E322A"/>
    <w:rsid w:val="007E3A20"/>
    <w:rsid w:val="007E4229"/>
    <w:rsid w:val="007E5127"/>
    <w:rsid w:val="007E5524"/>
    <w:rsid w:val="007E6E60"/>
    <w:rsid w:val="007F007B"/>
    <w:rsid w:val="007F03E3"/>
    <w:rsid w:val="007F07F5"/>
    <w:rsid w:val="007F1423"/>
    <w:rsid w:val="007F286F"/>
    <w:rsid w:val="007F6627"/>
    <w:rsid w:val="007F6B4B"/>
    <w:rsid w:val="007F6CC5"/>
    <w:rsid w:val="007F6DC8"/>
    <w:rsid w:val="00801548"/>
    <w:rsid w:val="00802532"/>
    <w:rsid w:val="00802A6D"/>
    <w:rsid w:val="00802AC3"/>
    <w:rsid w:val="008031FF"/>
    <w:rsid w:val="0080616A"/>
    <w:rsid w:val="0080690D"/>
    <w:rsid w:val="00810DA9"/>
    <w:rsid w:val="00811D21"/>
    <w:rsid w:val="00812B00"/>
    <w:rsid w:val="00812B5E"/>
    <w:rsid w:val="00812DBC"/>
    <w:rsid w:val="008162CD"/>
    <w:rsid w:val="00817193"/>
    <w:rsid w:val="00820461"/>
    <w:rsid w:val="0082157B"/>
    <w:rsid w:val="008215E7"/>
    <w:rsid w:val="00821A0E"/>
    <w:rsid w:val="00823D29"/>
    <w:rsid w:val="008269EF"/>
    <w:rsid w:val="008303C2"/>
    <w:rsid w:val="00833291"/>
    <w:rsid w:val="0083371C"/>
    <w:rsid w:val="008372E4"/>
    <w:rsid w:val="00837801"/>
    <w:rsid w:val="00840451"/>
    <w:rsid w:val="008418F3"/>
    <w:rsid w:val="00841D42"/>
    <w:rsid w:val="0084217A"/>
    <w:rsid w:val="008425BD"/>
    <w:rsid w:val="00842F4B"/>
    <w:rsid w:val="008460C0"/>
    <w:rsid w:val="00846544"/>
    <w:rsid w:val="00846B33"/>
    <w:rsid w:val="008519EC"/>
    <w:rsid w:val="008531AB"/>
    <w:rsid w:val="0085330B"/>
    <w:rsid w:val="008540B3"/>
    <w:rsid w:val="00854E60"/>
    <w:rsid w:val="00856544"/>
    <w:rsid w:val="00860F1C"/>
    <w:rsid w:val="0086285C"/>
    <w:rsid w:val="00863A93"/>
    <w:rsid w:val="0086465A"/>
    <w:rsid w:val="0086473F"/>
    <w:rsid w:val="008647F7"/>
    <w:rsid w:val="00864CF8"/>
    <w:rsid w:val="00865370"/>
    <w:rsid w:val="008701C8"/>
    <w:rsid w:val="00870DE0"/>
    <w:rsid w:val="00871746"/>
    <w:rsid w:val="00874395"/>
    <w:rsid w:val="00874AA2"/>
    <w:rsid w:val="00877094"/>
    <w:rsid w:val="00880741"/>
    <w:rsid w:val="00881037"/>
    <w:rsid w:val="00882B50"/>
    <w:rsid w:val="00882E3E"/>
    <w:rsid w:val="00884197"/>
    <w:rsid w:val="00885334"/>
    <w:rsid w:val="00885FC1"/>
    <w:rsid w:val="00887369"/>
    <w:rsid w:val="0088795D"/>
    <w:rsid w:val="00887CC7"/>
    <w:rsid w:val="0089011A"/>
    <w:rsid w:val="00892295"/>
    <w:rsid w:val="0089230C"/>
    <w:rsid w:val="0089494B"/>
    <w:rsid w:val="00894F77"/>
    <w:rsid w:val="00897363"/>
    <w:rsid w:val="008A168B"/>
    <w:rsid w:val="008A1813"/>
    <w:rsid w:val="008A3141"/>
    <w:rsid w:val="008A50F2"/>
    <w:rsid w:val="008A741F"/>
    <w:rsid w:val="008A77EC"/>
    <w:rsid w:val="008B2B8F"/>
    <w:rsid w:val="008B2F7C"/>
    <w:rsid w:val="008B331F"/>
    <w:rsid w:val="008B470A"/>
    <w:rsid w:val="008B64BB"/>
    <w:rsid w:val="008B67AE"/>
    <w:rsid w:val="008B7159"/>
    <w:rsid w:val="008B7338"/>
    <w:rsid w:val="008B7ED6"/>
    <w:rsid w:val="008C03CD"/>
    <w:rsid w:val="008C0A29"/>
    <w:rsid w:val="008C1EE1"/>
    <w:rsid w:val="008C2DA9"/>
    <w:rsid w:val="008C35ED"/>
    <w:rsid w:val="008C3EC7"/>
    <w:rsid w:val="008C3F8B"/>
    <w:rsid w:val="008C5AE4"/>
    <w:rsid w:val="008C5D7F"/>
    <w:rsid w:val="008C607D"/>
    <w:rsid w:val="008C6893"/>
    <w:rsid w:val="008C7CF3"/>
    <w:rsid w:val="008C7F4C"/>
    <w:rsid w:val="008D0F27"/>
    <w:rsid w:val="008D147F"/>
    <w:rsid w:val="008D26D9"/>
    <w:rsid w:val="008D33D6"/>
    <w:rsid w:val="008D471A"/>
    <w:rsid w:val="008D4D7F"/>
    <w:rsid w:val="008D55AF"/>
    <w:rsid w:val="008D56C7"/>
    <w:rsid w:val="008D5B4D"/>
    <w:rsid w:val="008D5ED1"/>
    <w:rsid w:val="008D5F6E"/>
    <w:rsid w:val="008D77B9"/>
    <w:rsid w:val="008E2079"/>
    <w:rsid w:val="008E2153"/>
    <w:rsid w:val="008E2C49"/>
    <w:rsid w:val="008E42BB"/>
    <w:rsid w:val="008E42E2"/>
    <w:rsid w:val="008E68FF"/>
    <w:rsid w:val="008E78E7"/>
    <w:rsid w:val="008F03C5"/>
    <w:rsid w:val="008F1FA5"/>
    <w:rsid w:val="008F2450"/>
    <w:rsid w:val="008F2BD6"/>
    <w:rsid w:val="008F5F47"/>
    <w:rsid w:val="008F62C8"/>
    <w:rsid w:val="008F672E"/>
    <w:rsid w:val="008F73F9"/>
    <w:rsid w:val="009015DA"/>
    <w:rsid w:val="00903350"/>
    <w:rsid w:val="00904BA3"/>
    <w:rsid w:val="00904C8B"/>
    <w:rsid w:val="00905197"/>
    <w:rsid w:val="00906330"/>
    <w:rsid w:val="009065E0"/>
    <w:rsid w:val="00907043"/>
    <w:rsid w:val="00907CBC"/>
    <w:rsid w:val="00907F45"/>
    <w:rsid w:val="00910420"/>
    <w:rsid w:val="00911356"/>
    <w:rsid w:val="00911549"/>
    <w:rsid w:val="00911856"/>
    <w:rsid w:val="00912033"/>
    <w:rsid w:val="009121D4"/>
    <w:rsid w:val="00912C72"/>
    <w:rsid w:val="0091338B"/>
    <w:rsid w:val="00916A32"/>
    <w:rsid w:val="009176E6"/>
    <w:rsid w:val="00917BBF"/>
    <w:rsid w:val="00917EBC"/>
    <w:rsid w:val="00921156"/>
    <w:rsid w:val="00921B0C"/>
    <w:rsid w:val="009228BA"/>
    <w:rsid w:val="00924715"/>
    <w:rsid w:val="009271C0"/>
    <w:rsid w:val="009278A6"/>
    <w:rsid w:val="00927DEE"/>
    <w:rsid w:val="00931141"/>
    <w:rsid w:val="00931AD7"/>
    <w:rsid w:val="009323D5"/>
    <w:rsid w:val="00933C0B"/>
    <w:rsid w:val="00933EB0"/>
    <w:rsid w:val="00934E37"/>
    <w:rsid w:val="0093658A"/>
    <w:rsid w:val="00936890"/>
    <w:rsid w:val="00936E31"/>
    <w:rsid w:val="00940293"/>
    <w:rsid w:val="009420FC"/>
    <w:rsid w:val="0094223C"/>
    <w:rsid w:val="009440A4"/>
    <w:rsid w:val="00944A85"/>
    <w:rsid w:val="00944F65"/>
    <w:rsid w:val="00947188"/>
    <w:rsid w:val="009502E3"/>
    <w:rsid w:val="00950978"/>
    <w:rsid w:val="00950DA4"/>
    <w:rsid w:val="009520C0"/>
    <w:rsid w:val="00953F21"/>
    <w:rsid w:val="00954549"/>
    <w:rsid w:val="00954551"/>
    <w:rsid w:val="0095521E"/>
    <w:rsid w:val="009569B2"/>
    <w:rsid w:val="00956C4B"/>
    <w:rsid w:val="0096012A"/>
    <w:rsid w:val="00961282"/>
    <w:rsid w:val="0096157E"/>
    <w:rsid w:val="0096459E"/>
    <w:rsid w:val="0096462C"/>
    <w:rsid w:val="00966854"/>
    <w:rsid w:val="00967F3D"/>
    <w:rsid w:val="00970E1F"/>
    <w:rsid w:val="009716F9"/>
    <w:rsid w:val="0097280C"/>
    <w:rsid w:val="00972AFE"/>
    <w:rsid w:val="009735D6"/>
    <w:rsid w:val="00973FBA"/>
    <w:rsid w:val="00974640"/>
    <w:rsid w:val="00974D79"/>
    <w:rsid w:val="0097556A"/>
    <w:rsid w:val="00975F25"/>
    <w:rsid w:val="00975F48"/>
    <w:rsid w:val="00976816"/>
    <w:rsid w:val="009800E3"/>
    <w:rsid w:val="00980CBB"/>
    <w:rsid w:val="0098146A"/>
    <w:rsid w:val="009822A1"/>
    <w:rsid w:val="00982D74"/>
    <w:rsid w:val="00985858"/>
    <w:rsid w:val="0098691D"/>
    <w:rsid w:val="00987B9F"/>
    <w:rsid w:val="0099072B"/>
    <w:rsid w:val="00993589"/>
    <w:rsid w:val="00993614"/>
    <w:rsid w:val="009937BF"/>
    <w:rsid w:val="00993A26"/>
    <w:rsid w:val="00994F0D"/>
    <w:rsid w:val="00996061"/>
    <w:rsid w:val="00997116"/>
    <w:rsid w:val="00997558"/>
    <w:rsid w:val="009A01FD"/>
    <w:rsid w:val="009A09B6"/>
    <w:rsid w:val="009A0C93"/>
    <w:rsid w:val="009A0CB6"/>
    <w:rsid w:val="009A1E41"/>
    <w:rsid w:val="009A2FC7"/>
    <w:rsid w:val="009A3111"/>
    <w:rsid w:val="009A4275"/>
    <w:rsid w:val="009A63A3"/>
    <w:rsid w:val="009A6C3F"/>
    <w:rsid w:val="009A7E34"/>
    <w:rsid w:val="009B1555"/>
    <w:rsid w:val="009B2608"/>
    <w:rsid w:val="009B2BAB"/>
    <w:rsid w:val="009B31EB"/>
    <w:rsid w:val="009B3820"/>
    <w:rsid w:val="009B419D"/>
    <w:rsid w:val="009B6A0E"/>
    <w:rsid w:val="009B749E"/>
    <w:rsid w:val="009B77B8"/>
    <w:rsid w:val="009C13CB"/>
    <w:rsid w:val="009C17AB"/>
    <w:rsid w:val="009C1D31"/>
    <w:rsid w:val="009C1F06"/>
    <w:rsid w:val="009C4AE8"/>
    <w:rsid w:val="009C4B20"/>
    <w:rsid w:val="009C5E4B"/>
    <w:rsid w:val="009C656F"/>
    <w:rsid w:val="009C6AC8"/>
    <w:rsid w:val="009C6D6D"/>
    <w:rsid w:val="009D0603"/>
    <w:rsid w:val="009D0F7E"/>
    <w:rsid w:val="009D0FE7"/>
    <w:rsid w:val="009D1C6D"/>
    <w:rsid w:val="009D1DAB"/>
    <w:rsid w:val="009D244B"/>
    <w:rsid w:val="009D25D9"/>
    <w:rsid w:val="009D284B"/>
    <w:rsid w:val="009D3740"/>
    <w:rsid w:val="009D4F2C"/>
    <w:rsid w:val="009D51A8"/>
    <w:rsid w:val="009D5F42"/>
    <w:rsid w:val="009D65F5"/>
    <w:rsid w:val="009D6B15"/>
    <w:rsid w:val="009D73A6"/>
    <w:rsid w:val="009D7F52"/>
    <w:rsid w:val="009E00DF"/>
    <w:rsid w:val="009E1BFB"/>
    <w:rsid w:val="009E2A72"/>
    <w:rsid w:val="009E38FE"/>
    <w:rsid w:val="009E3EE3"/>
    <w:rsid w:val="009E50D8"/>
    <w:rsid w:val="009E54C4"/>
    <w:rsid w:val="009E65E7"/>
    <w:rsid w:val="009F0F1B"/>
    <w:rsid w:val="009F2529"/>
    <w:rsid w:val="009F4E82"/>
    <w:rsid w:val="009F759D"/>
    <w:rsid w:val="009F7E5C"/>
    <w:rsid w:val="00A000E2"/>
    <w:rsid w:val="00A0184E"/>
    <w:rsid w:val="00A01ABA"/>
    <w:rsid w:val="00A01C60"/>
    <w:rsid w:val="00A02BBC"/>
    <w:rsid w:val="00A02EF3"/>
    <w:rsid w:val="00A03E6E"/>
    <w:rsid w:val="00A04CB5"/>
    <w:rsid w:val="00A05708"/>
    <w:rsid w:val="00A05C04"/>
    <w:rsid w:val="00A05C28"/>
    <w:rsid w:val="00A11250"/>
    <w:rsid w:val="00A12A88"/>
    <w:rsid w:val="00A132B5"/>
    <w:rsid w:val="00A13726"/>
    <w:rsid w:val="00A14368"/>
    <w:rsid w:val="00A1755B"/>
    <w:rsid w:val="00A175FA"/>
    <w:rsid w:val="00A17D3F"/>
    <w:rsid w:val="00A2014B"/>
    <w:rsid w:val="00A20358"/>
    <w:rsid w:val="00A209DE"/>
    <w:rsid w:val="00A24379"/>
    <w:rsid w:val="00A25037"/>
    <w:rsid w:val="00A27900"/>
    <w:rsid w:val="00A3076E"/>
    <w:rsid w:val="00A31760"/>
    <w:rsid w:val="00A31C1D"/>
    <w:rsid w:val="00A34629"/>
    <w:rsid w:val="00A34B6C"/>
    <w:rsid w:val="00A35B3B"/>
    <w:rsid w:val="00A35C5E"/>
    <w:rsid w:val="00A35F40"/>
    <w:rsid w:val="00A403EB"/>
    <w:rsid w:val="00A408D1"/>
    <w:rsid w:val="00A42C74"/>
    <w:rsid w:val="00A46F33"/>
    <w:rsid w:val="00A479A7"/>
    <w:rsid w:val="00A502E6"/>
    <w:rsid w:val="00A51176"/>
    <w:rsid w:val="00A5149D"/>
    <w:rsid w:val="00A52670"/>
    <w:rsid w:val="00A52F6A"/>
    <w:rsid w:val="00A53EB2"/>
    <w:rsid w:val="00A54233"/>
    <w:rsid w:val="00A54406"/>
    <w:rsid w:val="00A546B8"/>
    <w:rsid w:val="00A54D06"/>
    <w:rsid w:val="00A55166"/>
    <w:rsid w:val="00A5516A"/>
    <w:rsid w:val="00A555CE"/>
    <w:rsid w:val="00A55D98"/>
    <w:rsid w:val="00A56150"/>
    <w:rsid w:val="00A575A7"/>
    <w:rsid w:val="00A57AF5"/>
    <w:rsid w:val="00A6003C"/>
    <w:rsid w:val="00A60862"/>
    <w:rsid w:val="00A61682"/>
    <w:rsid w:val="00A62778"/>
    <w:rsid w:val="00A65F4B"/>
    <w:rsid w:val="00A67636"/>
    <w:rsid w:val="00A700B9"/>
    <w:rsid w:val="00A7010F"/>
    <w:rsid w:val="00A713D6"/>
    <w:rsid w:val="00A71B49"/>
    <w:rsid w:val="00A7626D"/>
    <w:rsid w:val="00A76636"/>
    <w:rsid w:val="00A80E40"/>
    <w:rsid w:val="00A80E83"/>
    <w:rsid w:val="00A828D7"/>
    <w:rsid w:val="00A833C4"/>
    <w:rsid w:val="00A83E82"/>
    <w:rsid w:val="00A8422B"/>
    <w:rsid w:val="00A84BE8"/>
    <w:rsid w:val="00A856AB"/>
    <w:rsid w:val="00A85E4E"/>
    <w:rsid w:val="00A95637"/>
    <w:rsid w:val="00A95BF8"/>
    <w:rsid w:val="00A969A8"/>
    <w:rsid w:val="00A96AFD"/>
    <w:rsid w:val="00A97B9C"/>
    <w:rsid w:val="00AA08A7"/>
    <w:rsid w:val="00AA0982"/>
    <w:rsid w:val="00AA0E3D"/>
    <w:rsid w:val="00AA1D34"/>
    <w:rsid w:val="00AA27C2"/>
    <w:rsid w:val="00AA6597"/>
    <w:rsid w:val="00AA69F3"/>
    <w:rsid w:val="00AA73DE"/>
    <w:rsid w:val="00AA7446"/>
    <w:rsid w:val="00AB08C5"/>
    <w:rsid w:val="00AB1A32"/>
    <w:rsid w:val="00AB3372"/>
    <w:rsid w:val="00AB4D33"/>
    <w:rsid w:val="00AB4E0E"/>
    <w:rsid w:val="00AB622B"/>
    <w:rsid w:val="00AB6275"/>
    <w:rsid w:val="00AB69ED"/>
    <w:rsid w:val="00AC100A"/>
    <w:rsid w:val="00AC178E"/>
    <w:rsid w:val="00AC1EFA"/>
    <w:rsid w:val="00AC26C3"/>
    <w:rsid w:val="00AC2AC7"/>
    <w:rsid w:val="00AC5D8F"/>
    <w:rsid w:val="00AC6C29"/>
    <w:rsid w:val="00AC76EF"/>
    <w:rsid w:val="00AD06EC"/>
    <w:rsid w:val="00AD108E"/>
    <w:rsid w:val="00AD23FB"/>
    <w:rsid w:val="00AD5114"/>
    <w:rsid w:val="00AD7279"/>
    <w:rsid w:val="00AE015D"/>
    <w:rsid w:val="00AE0C35"/>
    <w:rsid w:val="00AE1A2F"/>
    <w:rsid w:val="00AE337B"/>
    <w:rsid w:val="00AE4835"/>
    <w:rsid w:val="00AE4A16"/>
    <w:rsid w:val="00AE4D64"/>
    <w:rsid w:val="00AE50EA"/>
    <w:rsid w:val="00AE63BC"/>
    <w:rsid w:val="00AE6925"/>
    <w:rsid w:val="00AF0AB1"/>
    <w:rsid w:val="00AF2884"/>
    <w:rsid w:val="00AF36B2"/>
    <w:rsid w:val="00AF4881"/>
    <w:rsid w:val="00AF4B9C"/>
    <w:rsid w:val="00AF74D8"/>
    <w:rsid w:val="00B00D03"/>
    <w:rsid w:val="00B00EE7"/>
    <w:rsid w:val="00B01327"/>
    <w:rsid w:val="00B020EB"/>
    <w:rsid w:val="00B046D1"/>
    <w:rsid w:val="00B049F2"/>
    <w:rsid w:val="00B04C61"/>
    <w:rsid w:val="00B051AB"/>
    <w:rsid w:val="00B05BB1"/>
    <w:rsid w:val="00B05C62"/>
    <w:rsid w:val="00B102D1"/>
    <w:rsid w:val="00B11814"/>
    <w:rsid w:val="00B11D0C"/>
    <w:rsid w:val="00B120B0"/>
    <w:rsid w:val="00B120E6"/>
    <w:rsid w:val="00B12DE6"/>
    <w:rsid w:val="00B135CE"/>
    <w:rsid w:val="00B1495B"/>
    <w:rsid w:val="00B14A3B"/>
    <w:rsid w:val="00B15038"/>
    <w:rsid w:val="00B15D80"/>
    <w:rsid w:val="00B15F2F"/>
    <w:rsid w:val="00B16F55"/>
    <w:rsid w:val="00B17824"/>
    <w:rsid w:val="00B20A29"/>
    <w:rsid w:val="00B21A0D"/>
    <w:rsid w:val="00B22177"/>
    <w:rsid w:val="00B22FF5"/>
    <w:rsid w:val="00B23159"/>
    <w:rsid w:val="00B249CF"/>
    <w:rsid w:val="00B24E9F"/>
    <w:rsid w:val="00B27001"/>
    <w:rsid w:val="00B30017"/>
    <w:rsid w:val="00B30175"/>
    <w:rsid w:val="00B305B3"/>
    <w:rsid w:val="00B317E5"/>
    <w:rsid w:val="00B32B24"/>
    <w:rsid w:val="00B33F89"/>
    <w:rsid w:val="00B34DF4"/>
    <w:rsid w:val="00B35032"/>
    <w:rsid w:val="00B35644"/>
    <w:rsid w:val="00B35B59"/>
    <w:rsid w:val="00B35B88"/>
    <w:rsid w:val="00B37E06"/>
    <w:rsid w:val="00B37F3C"/>
    <w:rsid w:val="00B40272"/>
    <w:rsid w:val="00B41465"/>
    <w:rsid w:val="00B4182B"/>
    <w:rsid w:val="00B4184D"/>
    <w:rsid w:val="00B4331B"/>
    <w:rsid w:val="00B43AA3"/>
    <w:rsid w:val="00B44206"/>
    <w:rsid w:val="00B47B43"/>
    <w:rsid w:val="00B5042E"/>
    <w:rsid w:val="00B505BE"/>
    <w:rsid w:val="00B51056"/>
    <w:rsid w:val="00B51C6A"/>
    <w:rsid w:val="00B5383D"/>
    <w:rsid w:val="00B548D3"/>
    <w:rsid w:val="00B550A4"/>
    <w:rsid w:val="00B55ECA"/>
    <w:rsid w:val="00B56DB2"/>
    <w:rsid w:val="00B57434"/>
    <w:rsid w:val="00B57947"/>
    <w:rsid w:val="00B604A4"/>
    <w:rsid w:val="00B6057F"/>
    <w:rsid w:val="00B609AB"/>
    <w:rsid w:val="00B60CA6"/>
    <w:rsid w:val="00B62AB6"/>
    <w:rsid w:val="00B62F58"/>
    <w:rsid w:val="00B635B4"/>
    <w:rsid w:val="00B644F6"/>
    <w:rsid w:val="00B6596B"/>
    <w:rsid w:val="00B66A69"/>
    <w:rsid w:val="00B678C0"/>
    <w:rsid w:val="00B67C5F"/>
    <w:rsid w:val="00B70303"/>
    <w:rsid w:val="00B70B46"/>
    <w:rsid w:val="00B70CF8"/>
    <w:rsid w:val="00B720F1"/>
    <w:rsid w:val="00B737FD"/>
    <w:rsid w:val="00B73B26"/>
    <w:rsid w:val="00B80FA1"/>
    <w:rsid w:val="00B812B7"/>
    <w:rsid w:val="00B813DC"/>
    <w:rsid w:val="00B84E95"/>
    <w:rsid w:val="00B8535B"/>
    <w:rsid w:val="00B85588"/>
    <w:rsid w:val="00B85D50"/>
    <w:rsid w:val="00B85DDE"/>
    <w:rsid w:val="00B85F93"/>
    <w:rsid w:val="00B90A5D"/>
    <w:rsid w:val="00B9101F"/>
    <w:rsid w:val="00B91915"/>
    <w:rsid w:val="00B91CD1"/>
    <w:rsid w:val="00B948EE"/>
    <w:rsid w:val="00B960A5"/>
    <w:rsid w:val="00BA0361"/>
    <w:rsid w:val="00BA0B32"/>
    <w:rsid w:val="00BA12F6"/>
    <w:rsid w:val="00BA23A1"/>
    <w:rsid w:val="00BA2596"/>
    <w:rsid w:val="00BA2695"/>
    <w:rsid w:val="00BA3AF7"/>
    <w:rsid w:val="00BA3BDD"/>
    <w:rsid w:val="00BA3D21"/>
    <w:rsid w:val="00BA4276"/>
    <w:rsid w:val="00BA4B25"/>
    <w:rsid w:val="00BB1502"/>
    <w:rsid w:val="00BB16AC"/>
    <w:rsid w:val="00BB2B86"/>
    <w:rsid w:val="00BB3228"/>
    <w:rsid w:val="00BB36EF"/>
    <w:rsid w:val="00BB3E08"/>
    <w:rsid w:val="00BB48E8"/>
    <w:rsid w:val="00BB57E3"/>
    <w:rsid w:val="00BB5D89"/>
    <w:rsid w:val="00BB6351"/>
    <w:rsid w:val="00BB66D5"/>
    <w:rsid w:val="00BB6E1D"/>
    <w:rsid w:val="00BC0EA2"/>
    <w:rsid w:val="00BC148E"/>
    <w:rsid w:val="00BC1F40"/>
    <w:rsid w:val="00BC1F9B"/>
    <w:rsid w:val="00BC2508"/>
    <w:rsid w:val="00BC2774"/>
    <w:rsid w:val="00BC44C9"/>
    <w:rsid w:val="00BC6140"/>
    <w:rsid w:val="00BC6481"/>
    <w:rsid w:val="00BC75D9"/>
    <w:rsid w:val="00BD0062"/>
    <w:rsid w:val="00BD1071"/>
    <w:rsid w:val="00BD12EE"/>
    <w:rsid w:val="00BD1309"/>
    <w:rsid w:val="00BD1385"/>
    <w:rsid w:val="00BD42E6"/>
    <w:rsid w:val="00BD471C"/>
    <w:rsid w:val="00BD5E8E"/>
    <w:rsid w:val="00BD6756"/>
    <w:rsid w:val="00BD7735"/>
    <w:rsid w:val="00BD785D"/>
    <w:rsid w:val="00BD79CD"/>
    <w:rsid w:val="00BD7B72"/>
    <w:rsid w:val="00BE13D5"/>
    <w:rsid w:val="00BE44F4"/>
    <w:rsid w:val="00BE48B3"/>
    <w:rsid w:val="00BE538F"/>
    <w:rsid w:val="00BE6698"/>
    <w:rsid w:val="00BE6CFD"/>
    <w:rsid w:val="00BE79D7"/>
    <w:rsid w:val="00BF078B"/>
    <w:rsid w:val="00BF1BD4"/>
    <w:rsid w:val="00BF3863"/>
    <w:rsid w:val="00BF443A"/>
    <w:rsid w:val="00BF5E44"/>
    <w:rsid w:val="00BF6DB5"/>
    <w:rsid w:val="00C00A8A"/>
    <w:rsid w:val="00C00FD5"/>
    <w:rsid w:val="00C01F53"/>
    <w:rsid w:val="00C03855"/>
    <w:rsid w:val="00C03C24"/>
    <w:rsid w:val="00C04F42"/>
    <w:rsid w:val="00C05CC8"/>
    <w:rsid w:val="00C102B4"/>
    <w:rsid w:val="00C10750"/>
    <w:rsid w:val="00C10E10"/>
    <w:rsid w:val="00C12366"/>
    <w:rsid w:val="00C1340A"/>
    <w:rsid w:val="00C141E2"/>
    <w:rsid w:val="00C165B6"/>
    <w:rsid w:val="00C16878"/>
    <w:rsid w:val="00C16EAC"/>
    <w:rsid w:val="00C17118"/>
    <w:rsid w:val="00C20CE9"/>
    <w:rsid w:val="00C21408"/>
    <w:rsid w:val="00C23047"/>
    <w:rsid w:val="00C248A9"/>
    <w:rsid w:val="00C24E66"/>
    <w:rsid w:val="00C26320"/>
    <w:rsid w:val="00C265D1"/>
    <w:rsid w:val="00C26D23"/>
    <w:rsid w:val="00C27032"/>
    <w:rsid w:val="00C271FF"/>
    <w:rsid w:val="00C27844"/>
    <w:rsid w:val="00C27DB3"/>
    <w:rsid w:val="00C300ED"/>
    <w:rsid w:val="00C30AC9"/>
    <w:rsid w:val="00C31D8C"/>
    <w:rsid w:val="00C31D95"/>
    <w:rsid w:val="00C328B7"/>
    <w:rsid w:val="00C3522E"/>
    <w:rsid w:val="00C361CB"/>
    <w:rsid w:val="00C36376"/>
    <w:rsid w:val="00C36718"/>
    <w:rsid w:val="00C36C19"/>
    <w:rsid w:val="00C37E6B"/>
    <w:rsid w:val="00C40A72"/>
    <w:rsid w:val="00C40CFF"/>
    <w:rsid w:val="00C417CD"/>
    <w:rsid w:val="00C41FF0"/>
    <w:rsid w:val="00C4250C"/>
    <w:rsid w:val="00C42B20"/>
    <w:rsid w:val="00C42BA3"/>
    <w:rsid w:val="00C43CD9"/>
    <w:rsid w:val="00C43E57"/>
    <w:rsid w:val="00C44029"/>
    <w:rsid w:val="00C44D40"/>
    <w:rsid w:val="00C465D8"/>
    <w:rsid w:val="00C46A17"/>
    <w:rsid w:val="00C477B9"/>
    <w:rsid w:val="00C50CB6"/>
    <w:rsid w:val="00C52CBF"/>
    <w:rsid w:val="00C53ACD"/>
    <w:rsid w:val="00C53F79"/>
    <w:rsid w:val="00C559FB"/>
    <w:rsid w:val="00C561E7"/>
    <w:rsid w:val="00C605AA"/>
    <w:rsid w:val="00C609F6"/>
    <w:rsid w:val="00C60C06"/>
    <w:rsid w:val="00C61362"/>
    <w:rsid w:val="00C616F3"/>
    <w:rsid w:val="00C618EE"/>
    <w:rsid w:val="00C61C29"/>
    <w:rsid w:val="00C62E1F"/>
    <w:rsid w:val="00C64894"/>
    <w:rsid w:val="00C65261"/>
    <w:rsid w:val="00C659E3"/>
    <w:rsid w:val="00C660EB"/>
    <w:rsid w:val="00C66339"/>
    <w:rsid w:val="00C66CCA"/>
    <w:rsid w:val="00C671D0"/>
    <w:rsid w:val="00C677FF"/>
    <w:rsid w:val="00C67C37"/>
    <w:rsid w:val="00C70E48"/>
    <w:rsid w:val="00C71EF8"/>
    <w:rsid w:val="00C72753"/>
    <w:rsid w:val="00C72F2D"/>
    <w:rsid w:val="00C73162"/>
    <w:rsid w:val="00C7320C"/>
    <w:rsid w:val="00C73F25"/>
    <w:rsid w:val="00C76225"/>
    <w:rsid w:val="00C80C50"/>
    <w:rsid w:val="00C8238A"/>
    <w:rsid w:val="00C8430B"/>
    <w:rsid w:val="00C85B3D"/>
    <w:rsid w:val="00C87DC1"/>
    <w:rsid w:val="00C90112"/>
    <w:rsid w:val="00C926B5"/>
    <w:rsid w:val="00C93682"/>
    <w:rsid w:val="00C93DA1"/>
    <w:rsid w:val="00C95F29"/>
    <w:rsid w:val="00C96624"/>
    <w:rsid w:val="00C978EC"/>
    <w:rsid w:val="00CA0C7D"/>
    <w:rsid w:val="00CA0FD3"/>
    <w:rsid w:val="00CA177A"/>
    <w:rsid w:val="00CA1AC0"/>
    <w:rsid w:val="00CA4739"/>
    <w:rsid w:val="00CA48C0"/>
    <w:rsid w:val="00CA53D3"/>
    <w:rsid w:val="00CA641B"/>
    <w:rsid w:val="00CA678F"/>
    <w:rsid w:val="00CA7B58"/>
    <w:rsid w:val="00CA7E0B"/>
    <w:rsid w:val="00CB054B"/>
    <w:rsid w:val="00CB0A50"/>
    <w:rsid w:val="00CB0B69"/>
    <w:rsid w:val="00CB128D"/>
    <w:rsid w:val="00CB168B"/>
    <w:rsid w:val="00CB2201"/>
    <w:rsid w:val="00CB47C1"/>
    <w:rsid w:val="00CB4C87"/>
    <w:rsid w:val="00CB5C58"/>
    <w:rsid w:val="00CB6CF5"/>
    <w:rsid w:val="00CB7D29"/>
    <w:rsid w:val="00CB7F95"/>
    <w:rsid w:val="00CC02B3"/>
    <w:rsid w:val="00CC0DFC"/>
    <w:rsid w:val="00CC0FA7"/>
    <w:rsid w:val="00CC178C"/>
    <w:rsid w:val="00CC1BFF"/>
    <w:rsid w:val="00CC1DC0"/>
    <w:rsid w:val="00CC2F07"/>
    <w:rsid w:val="00CC3678"/>
    <w:rsid w:val="00CC48BD"/>
    <w:rsid w:val="00CC4DAD"/>
    <w:rsid w:val="00CC56CC"/>
    <w:rsid w:val="00CC6DF8"/>
    <w:rsid w:val="00CC6F68"/>
    <w:rsid w:val="00CC7505"/>
    <w:rsid w:val="00CD0CEB"/>
    <w:rsid w:val="00CD13CC"/>
    <w:rsid w:val="00CD3862"/>
    <w:rsid w:val="00CD42B8"/>
    <w:rsid w:val="00CD6D39"/>
    <w:rsid w:val="00CE186E"/>
    <w:rsid w:val="00CE38B2"/>
    <w:rsid w:val="00CE5343"/>
    <w:rsid w:val="00CE554F"/>
    <w:rsid w:val="00CE7D94"/>
    <w:rsid w:val="00CF220E"/>
    <w:rsid w:val="00CF2815"/>
    <w:rsid w:val="00CF3523"/>
    <w:rsid w:val="00CF3AEC"/>
    <w:rsid w:val="00CF4578"/>
    <w:rsid w:val="00CF4C6C"/>
    <w:rsid w:val="00CF667B"/>
    <w:rsid w:val="00CF75CF"/>
    <w:rsid w:val="00CF7AC8"/>
    <w:rsid w:val="00CF7E56"/>
    <w:rsid w:val="00CF7F30"/>
    <w:rsid w:val="00D0313D"/>
    <w:rsid w:val="00D031FC"/>
    <w:rsid w:val="00D052F9"/>
    <w:rsid w:val="00D0533C"/>
    <w:rsid w:val="00D059B6"/>
    <w:rsid w:val="00D05C5A"/>
    <w:rsid w:val="00D07B52"/>
    <w:rsid w:val="00D10153"/>
    <w:rsid w:val="00D10A37"/>
    <w:rsid w:val="00D12FE6"/>
    <w:rsid w:val="00D1303C"/>
    <w:rsid w:val="00D167D6"/>
    <w:rsid w:val="00D16FDE"/>
    <w:rsid w:val="00D203E0"/>
    <w:rsid w:val="00D20436"/>
    <w:rsid w:val="00D20769"/>
    <w:rsid w:val="00D20993"/>
    <w:rsid w:val="00D219E0"/>
    <w:rsid w:val="00D21F20"/>
    <w:rsid w:val="00D22C45"/>
    <w:rsid w:val="00D238F8"/>
    <w:rsid w:val="00D25E6D"/>
    <w:rsid w:val="00D27002"/>
    <w:rsid w:val="00D278B4"/>
    <w:rsid w:val="00D27CF7"/>
    <w:rsid w:val="00D3052C"/>
    <w:rsid w:val="00D31116"/>
    <w:rsid w:val="00D32585"/>
    <w:rsid w:val="00D32A7F"/>
    <w:rsid w:val="00D330DD"/>
    <w:rsid w:val="00D347C3"/>
    <w:rsid w:val="00D34CBF"/>
    <w:rsid w:val="00D357C3"/>
    <w:rsid w:val="00D35801"/>
    <w:rsid w:val="00D35B76"/>
    <w:rsid w:val="00D3640A"/>
    <w:rsid w:val="00D37812"/>
    <w:rsid w:val="00D409B9"/>
    <w:rsid w:val="00D4132E"/>
    <w:rsid w:val="00D41470"/>
    <w:rsid w:val="00D41572"/>
    <w:rsid w:val="00D424DF"/>
    <w:rsid w:val="00D43216"/>
    <w:rsid w:val="00D43BEB"/>
    <w:rsid w:val="00D43C79"/>
    <w:rsid w:val="00D45233"/>
    <w:rsid w:val="00D45C39"/>
    <w:rsid w:val="00D468D4"/>
    <w:rsid w:val="00D46E23"/>
    <w:rsid w:val="00D47E90"/>
    <w:rsid w:val="00D50F97"/>
    <w:rsid w:val="00D511EE"/>
    <w:rsid w:val="00D5120B"/>
    <w:rsid w:val="00D5123D"/>
    <w:rsid w:val="00D51CBA"/>
    <w:rsid w:val="00D52735"/>
    <w:rsid w:val="00D534F1"/>
    <w:rsid w:val="00D55688"/>
    <w:rsid w:val="00D55786"/>
    <w:rsid w:val="00D55CC9"/>
    <w:rsid w:val="00D55F62"/>
    <w:rsid w:val="00D5618D"/>
    <w:rsid w:val="00D5739C"/>
    <w:rsid w:val="00D57434"/>
    <w:rsid w:val="00D624A0"/>
    <w:rsid w:val="00D62612"/>
    <w:rsid w:val="00D638FD"/>
    <w:rsid w:val="00D63D73"/>
    <w:rsid w:val="00D6443E"/>
    <w:rsid w:val="00D65A3D"/>
    <w:rsid w:val="00D678DB"/>
    <w:rsid w:val="00D67D76"/>
    <w:rsid w:val="00D67F1F"/>
    <w:rsid w:val="00D7027D"/>
    <w:rsid w:val="00D70DEC"/>
    <w:rsid w:val="00D715B5"/>
    <w:rsid w:val="00D7174C"/>
    <w:rsid w:val="00D72626"/>
    <w:rsid w:val="00D72CCB"/>
    <w:rsid w:val="00D73677"/>
    <w:rsid w:val="00D759E0"/>
    <w:rsid w:val="00D76553"/>
    <w:rsid w:val="00D76CF8"/>
    <w:rsid w:val="00D80E89"/>
    <w:rsid w:val="00D82B58"/>
    <w:rsid w:val="00D84DED"/>
    <w:rsid w:val="00D8548C"/>
    <w:rsid w:val="00D85666"/>
    <w:rsid w:val="00D86390"/>
    <w:rsid w:val="00D87992"/>
    <w:rsid w:val="00D927D5"/>
    <w:rsid w:val="00D92D7B"/>
    <w:rsid w:val="00D94397"/>
    <w:rsid w:val="00D9566C"/>
    <w:rsid w:val="00D95B4D"/>
    <w:rsid w:val="00D96990"/>
    <w:rsid w:val="00D9725B"/>
    <w:rsid w:val="00DA1351"/>
    <w:rsid w:val="00DA1C5D"/>
    <w:rsid w:val="00DA292A"/>
    <w:rsid w:val="00DA4CE6"/>
    <w:rsid w:val="00DB0166"/>
    <w:rsid w:val="00DB161E"/>
    <w:rsid w:val="00DB1CDE"/>
    <w:rsid w:val="00DB2178"/>
    <w:rsid w:val="00DB2CB0"/>
    <w:rsid w:val="00DB3D85"/>
    <w:rsid w:val="00DB4432"/>
    <w:rsid w:val="00DB71DA"/>
    <w:rsid w:val="00DC0052"/>
    <w:rsid w:val="00DC0807"/>
    <w:rsid w:val="00DC0F7B"/>
    <w:rsid w:val="00DC1118"/>
    <w:rsid w:val="00DC2F6C"/>
    <w:rsid w:val="00DC38AA"/>
    <w:rsid w:val="00DC65B1"/>
    <w:rsid w:val="00DC7201"/>
    <w:rsid w:val="00DC784F"/>
    <w:rsid w:val="00DC7A0B"/>
    <w:rsid w:val="00DD063A"/>
    <w:rsid w:val="00DD06A2"/>
    <w:rsid w:val="00DD0B22"/>
    <w:rsid w:val="00DD2356"/>
    <w:rsid w:val="00DD2C73"/>
    <w:rsid w:val="00DD3275"/>
    <w:rsid w:val="00DD62BF"/>
    <w:rsid w:val="00DD7E2E"/>
    <w:rsid w:val="00DE139C"/>
    <w:rsid w:val="00DE2D68"/>
    <w:rsid w:val="00DE312D"/>
    <w:rsid w:val="00DE4E58"/>
    <w:rsid w:val="00DE5FA7"/>
    <w:rsid w:val="00DE629A"/>
    <w:rsid w:val="00DE6626"/>
    <w:rsid w:val="00DE744A"/>
    <w:rsid w:val="00DF002D"/>
    <w:rsid w:val="00DF0BA8"/>
    <w:rsid w:val="00DF1DAF"/>
    <w:rsid w:val="00DF1E7C"/>
    <w:rsid w:val="00DF1F2B"/>
    <w:rsid w:val="00DF29CA"/>
    <w:rsid w:val="00DF37A5"/>
    <w:rsid w:val="00DF4362"/>
    <w:rsid w:val="00DF44F3"/>
    <w:rsid w:val="00DF57EA"/>
    <w:rsid w:val="00DF7649"/>
    <w:rsid w:val="00E00225"/>
    <w:rsid w:val="00E00A0B"/>
    <w:rsid w:val="00E016C6"/>
    <w:rsid w:val="00E03119"/>
    <w:rsid w:val="00E03DE4"/>
    <w:rsid w:val="00E042A0"/>
    <w:rsid w:val="00E05460"/>
    <w:rsid w:val="00E06C49"/>
    <w:rsid w:val="00E10B20"/>
    <w:rsid w:val="00E11C6B"/>
    <w:rsid w:val="00E120EB"/>
    <w:rsid w:val="00E12DB6"/>
    <w:rsid w:val="00E1303A"/>
    <w:rsid w:val="00E138E8"/>
    <w:rsid w:val="00E139C7"/>
    <w:rsid w:val="00E13AA8"/>
    <w:rsid w:val="00E13ABD"/>
    <w:rsid w:val="00E14DC5"/>
    <w:rsid w:val="00E14F33"/>
    <w:rsid w:val="00E1585F"/>
    <w:rsid w:val="00E158A2"/>
    <w:rsid w:val="00E15E38"/>
    <w:rsid w:val="00E16BE4"/>
    <w:rsid w:val="00E17C39"/>
    <w:rsid w:val="00E17D92"/>
    <w:rsid w:val="00E2095C"/>
    <w:rsid w:val="00E22EAC"/>
    <w:rsid w:val="00E24198"/>
    <w:rsid w:val="00E24CAF"/>
    <w:rsid w:val="00E25182"/>
    <w:rsid w:val="00E2593F"/>
    <w:rsid w:val="00E25EA4"/>
    <w:rsid w:val="00E26174"/>
    <w:rsid w:val="00E27857"/>
    <w:rsid w:val="00E27FF2"/>
    <w:rsid w:val="00E31DE1"/>
    <w:rsid w:val="00E32111"/>
    <w:rsid w:val="00E33783"/>
    <w:rsid w:val="00E33DFA"/>
    <w:rsid w:val="00E405F7"/>
    <w:rsid w:val="00E40611"/>
    <w:rsid w:val="00E40EF3"/>
    <w:rsid w:val="00E41479"/>
    <w:rsid w:val="00E419A5"/>
    <w:rsid w:val="00E41C39"/>
    <w:rsid w:val="00E433AB"/>
    <w:rsid w:val="00E43432"/>
    <w:rsid w:val="00E44A0B"/>
    <w:rsid w:val="00E45C7D"/>
    <w:rsid w:val="00E45E08"/>
    <w:rsid w:val="00E46367"/>
    <w:rsid w:val="00E46DF4"/>
    <w:rsid w:val="00E476E6"/>
    <w:rsid w:val="00E51939"/>
    <w:rsid w:val="00E52FA3"/>
    <w:rsid w:val="00E53D43"/>
    <w:rsid w:val="00E55D21"/>
    <w:rsid w:val="00E6100C"/>
    <w:rsid w:val="00E61D5D"/>
    <w:rsid w:val="00E628E6"/>
    <w:rsid w:val="00E62DCE"/>
    <w:rsid w:val="00E63C56"/>
    <w:rsid w:val="00E63FD8"/>
    <w:rsid w:val="00E6507B"/>
    <w:rsid w:val="00E66EA9"/>
    <w:rsid w:val="00E66FD7"/>
    <w:rsid w:val="00E7087C"/>
    <w:rsid w:val="00E70C9F"/>
    <w:rsid w:val="00E719D1"/>
    <w:rsid w:val="00E72269"/>
    <w:rsid w:val="00E726A8"/>
    <w:rsid w:val="00E72789"/>
    <w:rsid w:val="00E73900"/>
    <w:rsid w:val="00E739D5"/>
    <w:rsid w:val="00E74FF3"/>
    <w:rsid w:val="00E75F76"/>
    <w:rsid w:val="00E76098"/>
    <w:rsid w:val="00E76729"/>
    <w:rsid w:val="00E76774"/>
    <w:rsid w:val="00E77EF1"/>
    <w:rsid w:val="00E81345"/>
    <w:rsid w:val="00E81DEC"/>
    <w:rsid w:val="00E820C4"/>
    <w:rsid w:val="00E820E3"/>
    <w:rsid w:val="00E8279D"/>
    <w:rsid w:val="00E82BB6"/>
    <w:rsid w:val="00E8327C"/>
    <w:rsid w:val="00E8375F"/>
    <w:rsid w:val="00E84C94"/>
    <w:rsid w:val="00E854C3"/>
    <w:rsid w:val="00E85D05"/>
    <w:rsid w:val="00E85FED"/>
    <w:rsid w:val="00E8615E"/>
    <w:rsid w:val="00E87234"/>
    <w:rsid w:val="00E873E9"/>
    <w:rsid w:val="00E877BC"/>
    <w:rsid w:val="00E907BD"/>
    <w:rsid w:val="00E91376"/>
    <w:rsid w:val="00E9159E"/>
    <w:rsid w:val="00E94A8D"/>
    <w:rsid w:val="00E962C0"/>
    <w:rsid w:val="00E97732"/>
    <w:rsid w:val="00E97C0E"/>
    <w:rsid w:val="00EA046F"/>
    <w:rsid w:val="00EA3556"/>
    <w:rsid w:val="00EA4729"/>
    <w:rsid w:val="00EA4A39"/>
    <w:rsid w:val="00EA5095"/>
    <w:rsid w:val="00EA6DC2"/>
    <w:rsid w:val="00EB1066"/>
    <w:rsid w:val="00EB1E12"/>
    <w:rsid w:val="00EB37AA"/>
    <w:rsid w:val="00EB43B2"/>
    <w:rsid w:val="00EB53FE"/>
    <w:rsid w:val="00EB71E7"/>
    <w:rsid w:val="00EC06D1"/>
    <w:rsid w:val="00EC0F1C"/>
    <w:rsid w:val="00EC29CD"/>
    <w:rsid w:val="00EC56CE"/>
    <w:rsid w:val="00EC5B74"/>
    <w:rsid w:val="00EC6923"/>
    <w:rsid w:val="00EC6BDC"/>
    <w:rsid w:val="00ED0B13"/>
    <w:rsid w:val="00ED1A03"/>
    <w:rsid w:val="00ED24E6"/>
    <w:rsid w:val="00ED3540"/>
    <w:rsid w:val="00ED3814"/>
    <w:rsid w:val="00ED63EB"/>
    <w:rsid w:val="00ED6406"/>
    <w:rsid w:val="00ED6E36"/>
    <w:rsid w:val="00EE02ED"/>
    <w:rsid w:val="00EE0791"/>
    <w:rsid w:val="00EE1D99"/>
    <w:rsid w:val="00EE2F06"/>
    <w:rsid w:val="00EE31D0"/>
    <w:rsid w:val="00EE3A11"/>
    <w:rsid w:val="00EE3E2A"/>
    <w:rsid w:val="00EE4101"/>
    <w:rsid w:val="00EE5092"/>
    <w:rsid w:val="00EF425B"/>
    <w:rsid w:val="00EF5FB2"/>
    <w:rsid w:val="00EF687F"/>
    <w:rsid w:val="00EF7F87"/>
    <w:rsid w:val="00F014D5"/>
    <w:rsid w:val="00F01A76"/>
    <w:rsid w:val="00F028E9"/>
    <w:rsid w:val="00F03C9C"/>
    <w:rsid w:val="00F03DB5"/>
    <w:rsid w:val="00F043EA"/>
    <w:rsid w:val="00F06383"/>
    <w:rsid w:val="00F06AB7"/>
    <w:rsid w:val="00F0775A"/>
    <w:rsid w:val="00F07985"/>
    <w:rsid w:val="00F11054"/>
    <w:rsid w:val="00F1117B"/>
    <w:rsid w:val="00F113FC"/>
    <w:rsid w:val="00F11808"/>
    <w:rsid w:val="00F16303"/>
    <w:rsid w:val="00F17566"/>
    <w:rsid w:val="00F226EA"/>
    <w:rsid w:val="00F227A8"/>
    <w:rsid w:val="00F22E32"/>
    <w:rsid w:val="00F23020"/>
    <w:rsid w:val="00F24DDF"/>
    <w:rsid w:val="00F260C4"/>
    <w:rsid w:val="00F266A5"/>
    <w:rsid w:val="00F27952"/>
    <w:rsid w:val="00F30AE7"/>
    <w:rsid w:val="00F312C4"/>
    <w:rsid w:val="00F361A7"/>
    <w:rsid w:val="00F362A8"/>
    <w:rsid w:val="00F36F6B"/>
    <w:rsid w:val="00F416DC"/>
    <w:rsid w:val="00F4242E"/>
    <w:rsid w:val="00F43C9E"/>
    <w:rsid w:val="00F45BB5"/>
    <w:rsid w:val="00F47380"/>
    <w:rsid w:val="00F4760D"/>
    <w:rsid w:val="00F504C5"/>
    <w:rsid w:val="00F51579"/>
    <w:rsid w:val="00F5244D"/>
    <w:rsid w:val="00F5399A"/>
    <w:rsid w:val="00F544D3"/>
    <w:rsid w:val="00F5452C"/>
    <w:rsid w:val="00F54739"/>
    <w:rsid w:val="00F54CE5"/>
    <w:rsid w:val="00F55216"/>
    <w:rsid w:val="00F57B2B"/>
    <w:rsid w:val="00F60A67"/>
    <w:rsid w:val="00F615DF"/>
    <w:rsid w:val="00F61AD7"/>
    <w:rsid w:val="00F62115"/>
    <w:rsid w:val="00F64D36"/>
    <w:rsid w:val="00F70685"/>
    <w:rsid w:val="00F70A0A"/>
    <w:rsid w:val="00F717D8"/>
    <w:rsid w:val="00F71CDE"/>
    <w:rsid w:val="00F7376A"/>
    <w:rsid w:val="00F73A28"/>
    <w:rsid w:val="00F7493F"/>
    <w:rsid w:val="00F74B78"/>
    <w:rsid w:val="00F80671"/>
    <w:rsid w:val="00F819E5"/>
    <w:rsid w:val="00F81B7E"/>
    <w:rsid w:val="00F82FD1"/>
    <w:rsid w:val="00F8449C"/>
    <w:rsid w:val="00F86260"/>
    <w:rsid w:val="00F86805"/>
    <w:rsid w:val="00F87C87"/>
    <w:rsid w:val="00F9147D"/>
    <w:rsid w:val="00F92BA2"/>
    <w:rsid w:val="00F93189"/>
    <w:rsid w:val="00F9495E"/>
    <w:rsid w:val="00F95E6B"/>
    <w:rsid w:val="00F9682E"/>
    <w:rsid w:val="00F97473"/>
    <w:rsid w:val="00F97725"/>
    <w:rsid w:val="00FA03C1"/>
    <w:rsid w:val="00FA0625"/>
    <w:rsid w:val="00FA0943"/>
    <w:rsid w:val="00FA4CFF"/>
    <w:rsid w:val="00FA5C8A"/>
    <w:rsid w:val="00FA69E3"/>
    <w:rsid w:val="00FA7535"/>
    <w:rsid w:val="00FA7F13"/>
    <w:rsid w:val="00FB0134"/>
    <w:rsid w:val="00FB0685"/>
    <w:rsid w:val="00FB075D"/>
    <w:rsid w:val="00FB098A"/>
    <w:rsid w:val="00FB2C1A"/>
    <w:rsid w:val="00FB35C2"/>
    <w:rsid w:val="00FB40EB"/>
    <w:rsid w:val="00FB42E4"/>
    <w:rsid w:val="00FB4E68"/>
    <w:rsid w:val="00FB5AE9"/>
    <w:rsid w:val="00FC0732"/>
    <w:rsid w:val="00FC091F"/>
    <w:rsid w:val="00FC0DA0"/>
    <w:rsid w:val="00FC1915"/>
    <w:rsid w:val="00FC3597"/>
    <w:rsid w:val="00FC5086"/>
    <w:rsid w:val="00FC5EDC"/>
    <w:rsid w:val="00FC6471"/>
    <w:rsid w:val="00FC7060"/>
    <w:rsid w:val="00FC7E83"/>
    <w:rsid w:val="00FD135B"/>
    <w:rsid w:val="00FD15D0"/>
    <w:rsid w:val="00FD2211"/>
    <w:rsid w:val="00FD2427"/>
    <w:rsid w:val="00FD265C"/>
    <w:rsid w:val="00FD321B"/>
    <w:rsid w:val="00FD3E21"/>
    <w:rsid w:val="00FD57FB"/>
    <w:rsid w:val="00FD72EB"/>
    <w:rsid w:val="00FE2479"/>
    <w:rsid w:val="00FE2952"/>
    <w:rsid w:val="00FE4445"/>
    <w:rsid w:val="00FE4FB5"/>
    <w:rsid w:val="00FE53EF"/>
    <w:rsid w:val="00FE688B"/>
    <w:rsid w:val="00FE6AF2"/>
    <w:rsid w:val="00FE6EFA"/>
    <w:rsid w:val="00FE7A19"/>
    <w:rsid w:val="00FF01C4"/>
    <w:rsid w:val="00FF0682"/>
    <w:rsid w:val="00FF0973"/>
    <w:rsid w:val="00FF0E93"/>
    <w:rsid w:val="00FF3860"/>
    <w:rsid w:val="00FF5331"/>
    <w:rsid w:val="00FF551F"/>
    <w:rsid w:val="00FF59CB"/>
    <w:rsid w:val="00FF7267"/>
    <w:rsid w:val="00FF76FE"/>
    <w:rsid w:val="00FF794D"/>
    <w:rsid w:val="00FF7A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D66D7"/>
    <w:rPr>
      <w:sz w:val="24"/>
      <w:szCs w:val="24"/>
    </w:rPr>
  </w:style>
  <w:style w:type="paragraph" w:styleId="Heading1">
    <w:name w:val="heading 1"/>
    <w:basedOn w:val="Normal"/>
    <w:next w:val="Normal"/>
    <w:link w:val="Heading1Char"/>
    <w:uiPriority w:val="99"/>
    <w:qFormat/>
    <w:rsid w:val="003D66D7"/>
    <w:pPr>
      <w:keepNext/>
      <w:spacing w:before="120" w:after="120"/>
      <w:outlineLvl w:val="0"/>
    </w:pPr>
    <w:rPr>
      <w:rFonts w:ascii="Times New Roman Bold" w:hAnsi="Times New Roman Bold" w:cs="Times New Roman Bold"/>
      <w:b/>
      <w:bCs/>
      <w:caps/>
    </w:rPr>
  </w:style>
  <w:style w:type="paragraph" w:styleId="Heading2">
    <w:name w:val="heading 2"/>
    <w:basedOn w:val="Normal"/>
    <w:next w:val="Normal"/>
    <w:link w:val="Heading2Char"/>
    <w:uiPriority w:val="99"/>
    <w:qFormat/>
    <w:rsid w:val="003D66D7"/>
    <w:pPr>
      <w:keepNext/>
      <w:spacing w:before="240" w:after="240"/>
      <w:ind w:left="720" w:hanging="720"/>
      <w:outlineLvl w:val="1"/>
    </w:pPr>
    <w:rPr>
      <w:b/>
      <w:bCs/>
    </w:rPr>
  </w:style>
  <w:style w:type="paragraph" w:styleId="Heading3">
    <w:name w:val="heading 3"/>
    <w:aliases w:val="l3"/>
    <w:basedOn w:val="Normal"/>
    <w:next w:val="Normal"/>
    <w:link w:val="Heading3Char"/>
    <w:uiPriority w:val="99"/>
    <w:qFormat/>
    <w:rsid w:val="003D66D7"/>
    <w:pPr>
      <w:keepNext/>
      <w:spacing w:before="240" w:after="240"/>
      <w:ind w:left="720" w:hanging="720"/>
      <w:outlineLvl w:val="2"/>
    </w:pPr>
    <w:rPr>
      <w:b/>
      <w:bCs/>
      <w:i/>
      <w:iCs/>
    </w:rPr>
  </w:style>
  <w:style w:type="paragraph" w:styleId="Heading4">
    <w:name w:val="heading 4"/>
    <w:basedOn w:val="Normal"/>
    <w:next w:val="Normal"/>
    <w:link w:val="Heading4Char"/>
    <w:uiPriority w:val="99"/>
    <w:qFormat/>
    <w:rsid w:val="003D66D7"/>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3D66D7"/>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3D66D7"/>
    <w:pPr>
      <w:keepNext/>
      <w:jc w:val="center"/>
      <w:outlineLvl w:val="5"/>
    </w:pPr>
    <w:rPr>
      <w:rFonts w:ascii="Arial" w:hAnsi="Arial" w:cs="Arial"/>
      <w:b/>
      <w:bCs/>
    </w:rPr>
  </w:style>
  <w:style w:type="paragraph" w:styleId="Heading7">
    <w:name w:val="heading 7"/>
    <w:basedOn w:val="Normal"/>
    <w:next w:val="Normal"/>
    <w:link w:val="Heading7Char"/>
    <w:uiPriority w:val="99"/>
    <w:qFormat/>
    <w:rsid w:val="003D66D7"/>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9"/>
    <w:qFormat/>
    <w:rsid w:val="003D66D7"/>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3D66D7"/>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0A6E"/>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6A0A6E"/>
    <w:rPr>
      <w:rFonts w:ascii="Cambria" w:hAnsi="Cambria" w:cs="Cambria"/>
      <w:b/>
      <w:bCs/>
      <w:i/>
      <w:iCs/>
      <w:sz w:val="28"/>
      <w:szCs w:val="28"/>
    </w:rPr>
  </w:style>
  <w:style w:type="character" w:customStyle="1" w:styleId="Heading3Char">
    <w:name w:val="Heading 3 Char"/>
    <w:aliases w:val="l3 Char"/>
    <w:basedOn w:val="DefaultParagraphFont"/>
    <w:link w:val="Heading3"/>
    <w:uiPriority w:val="99"/>
    <w:semiHidden/>
    <w:locked/>
    <w:rsid w:val="006A0A6E"/>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A0A6E"/>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6A0A6E"/>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6A0A6E"/>
    <w:rPr>
      <w:rFonts w:ascii="Calibri" w:hAnsi="Calibri" w:cs="Calibri"/>
      <w:b/>
      <w:bCs/>
    </w:rPr>
  </w:style>
  <w:style w:type="character" w:customStyle="1" w:styleId="Heading7Char">
    <w:name w:val="Heading 7 Char"/>
    <w:basedOn w:val="DefaultParagraphFont"/>
    <w:link w:val="Heading7"/>
    <w:uiPriority w:val="99"/>
    <w:semiHidden/>
    <w:locked/>
    <w:rsid w:val="003D66D7"/>
    <w:rPr>
      <w:rFonts w:cs="Times New Roman"/>
      <w:b/>
      <w:bCs/>
      <w:snapToGrid w:val="0"/>
      <w:sz w:val="24"/>
      <w:szCs w:val="24"/>
      <w:u w:val="single"/>
      <w:lang w:val="en-US" w:eastAsia="en-US"/>
    </w:rPr>
  </w:style>
  <w:style w:type="character" w:customStyle="1" w:styleId="Heading8Char">
    <w:name w:val="Heading 8 Char"/>
    <w:basedOn w:val="DefaultParagraphFont"/>
    <w:link w:val="Heading8"/>
    <w:uiPriority w:val="99"/>
    <w:semiHidden/>
    <w:locked/>
    <w:rsid w:val="006A0A6E"/>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6A0A6E"/>
    <w:rPr>
      <w:rFonts w:ascii="Cambria" w:hAnsi="Cambria" w:cs="Cambria"/>
    </w:rPr>
  </w:style>
  <w:style w:type="paragraph" w:styleId="BalloonText">
    <w:name w:val="Balloon Text"/>
    <w:basedOn w:val="Normal"/>
    <w:link w:val="BalloonTextChar"/>
    <w:uiPriority w:val="99"/>
    <w:semiHidden/>
    <w:rsid w:val="003D66D7"/>
    <w:pPr>
      <w:numPr>
        <w:numId w:val="2"/>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A6E"/>
    <w:rPr>
      <w:rFonts w:cs="Times New Roman"/>
      <w:sz w:val="2"/>
      <w:szCs w:val="2"/>
    </w:rPr>
  </w:style>
  <w:style w:type="character" w:styleId="CommentReference">
    <w:name w:val="annotation reference"/>
    <w:basedOn w:val="DefaultParagraphFont"/>
    <w:uiPriority w:val="99"/>
    <w:semiHidden/>
    <w:rsid w:val="003D66D7"/>
    <w:rPr>
      <w:rFonts w:cs="Times New Roman"/>
      <w:sz w:val="16"/>
      <w:szCs w:val="16"/>
    </w:rPr>
  </w:style>
  <w:style w:type="character" w:styleId="Hyperlink">
    <w:name w:val="Hyperlink"/>
    <w:basedOn w:val="DefaultParagraphFont"/>
    <w:uiPriority w:val="99"/>
    <w:semiHidden/>
    <w:rsid w:val="003D66D7"/>
    <w:rPr>
      <w:rFonts w:cs="Times New Roman"/>
      <w:color w:val="0000FF"/>
      <w:u w:val="single"/>
    </w:rPr>
  </w:style>
  <w:style w:type="paragraph" w:customStyle="1" w:styleId="bullets">
    <w:name w:val="bullets"/>
    <w:basedOn w:val="Normal"/>
    <w:uiPriority w:val="99"/>
    <w:rsid w:val="003D66D7"/>
    <w:pPr>
      <w:numPr>
        <w:numId w:val="3"/>
      </w:numPr>
      <w:spacing w:after="240"/>
      <w:ind w:left="1080"/>
    </w:pPr>
    <w:rPr>
      <w:color w:val="000000"/>
    </w:rPr>
  </w:style>
  <w:style w:type="paragraph" w:customStyle="1" w:styleId="App4Heading2">
    <w:name w:val="App4 Heading 2"/>
    <w:basedOn w:val="Heading2"/>
    <w:uiPriority w:val="99"/>
    <w:rsid w:val="003D66D7"/>
    <w:pPr>
      <w:tabs>
        <w:tab w:val="right" w:pos="9360"/>
      </w:tabs>
      <w:ind w:left="0" w:firstLine="0"/>
      <w:jc w:val="both"/>
      <w:outlineLvl w:val="9"/>
    </w:pPr>
    <w:rPr>
      <w:i/>
      <w:iCs/>
      <w:bdr w:val="single" w:sz="4" w:space="0" w:color="auto"/>
      <w:shd w:val="clear" w:color="auto" w:fill="E6E6E6"/>
    </w:rPr>
  </w:style>
  <w:style w:type="table" w:styleId="TableGrid">
    <w:name w:val="Table Grid"/>
    <w:basedOn w:val="TableNormal"/>
    <w:uiPriority w:val="99"/>
    <w:rsid w:val="003D66D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
    <w:uiPriority w:val="99"/>
    <w:rsid w:val="003D66D7"/>
  </w:style>
  <w:style w:type="character" w:customStyle="1" w:styleId="bodytextChar">
    <w:name w:val="body text Char"/>
    <w:basedOn w:val="DefaultParagraphFont"/>
    <w:link w:val="bodytext"/>
    <w:uiPriority w:val="99"/>
    <w:locked/>
    <w:rsid w:val="003D66D7"/>
    <w:rPr>
      <w:rFonts w:cs="Times New Roman"/>
      <w:sz w:val="24"/>
      <w:szCs w:val="24"/>
      <w:lang w:val="en-US" w:eastAsia="en-US"/>
    </w:rPr>
  </w:style>
  <w:style w:type="paragraph" w:customStyle="1" w:styleId="tableheadCharChar">
    <w:name w:val="table head Char Char"/>
    <w:basedOn w:val="Normal"/>
    <w:uiPriority w:val="99"/>
    <w:rsid w:val="003D66D7"/>
    <w:pPr>
      <w:autoSpaceDE w:val="0"/>
      <w:autoSpaceDN w:val="0"/>
      <w:adjustRightInd w:val="0"/>
      <w:spacing w:before="80" w:after="80"/>
      <w:jc w:val="center"/>
    </w:pPr>
    <w:rPr>
      <w:rFonts w:ascii="Arial" w:hAnsi="Arial" w:cs="Arial"/>
      <w:b/>
      <w:bCs/>
      <w:sz w:val="22"/>
      <w:szCs w:val="22"/>
    </w:rPr>
  </w:style>
  <w:style w:type="paragraph" w:customStyle="1" w:styleId="tablehead">
    <w:name w:val="table head"/>
    <w:basedOn w:val="Normal"/>
    <w:uiPriority w:val="99"/>
    <w:rsid w:val="003D66D7"/>
    <w:pPr>
      <w:keepNext/>
      <w:numPr>
        <w:ilvl w:val="12"/>
      </w:numPr>
      <w:autoSpaceDE w:val="0"/>
      <w:autoSpaceDN w:val="0"/>
      <w:adjustRightInd w:val="0"/>
      <w:spacing w:before="120" w:after="120"/>
      <w:jc w:val="center"/>
    </w:pPr>
    <w:rPr>
      <w:rFonts w:ascii="Arial" w:hAnsi="Arial" w:cs="Arial"/>
      <w:b/>
      <w:bCs/>
    </w:rPr>
  </w:style>
  <w:style w:type="paragraph" w:customStyle="1" w:styleId="paragraph">
    <w:name w:val="paragraph"/>
    <w:basedOn w:val="Normal"/>
    <w:uiPriority w:val="99"/>
    <w:rsid w:val="003D66D7"/>
    <w:pPr>
      <w:spacing w:before="200" w:line="320" w:lineRule="exact"/>
      <w:ind w:left="1440"/>
    </w:pPr>
  </w:style>
  <w:style w:type="paragraph" w:customStyle="1" w:styleId="bullets-blank">
    <w:name w:val="bullets-blank"/>
    <w:basedOn w:val="Normal"/>
    <w:uiPriority w:val="99"/>
    <w:rsid w:val="003D66D7"/>
    <w:pPr>
      <w:spacing w:after="240"/>
      <w:ind w:left="720" w:hanging="360"/>
    </w:pPr>
  </w:style>
  <w:style w:type="paragraph" w:styleId="FootnoteText">
    <w:name w:val="footnote text"/>
    <w:aliases w:val="ft,fo"/>
    <w:basedOn w:val="Normal"/>
    <w:link w:val="FootnoteTextChar"/>
    <w:uiPriority w:val="99"/>
    <w:semiHidden/>
    <w:rsid w:val="003D66D7"/>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uiPriority w:val="99"/>
    <w:semiHidden/>
    <w:locked/>
    <w:rsid w:val="006A0A6E"/>
    <w:rPr>
      <w:rFonts w:cs="Times New Roman"/>
      <w:sz w:val="20"/>
      <w:szCs w:val="20"/>
    </w:rPr>
  </w:style>
  <w:style w:type="character" w:styleId="FootnoteReference">
    <w:name w:val="footnote reference"/>
    <w:aliases w:val="fr"/>
    <w:basedOn w:val="DefaultParagraphFont"/>
    <w:uiPriority w:val="99"/>
    <w:semiHidden/>
    <w:rsid w:val="003D66D7"/>
    <w:rPr>
      <w:rFonts w:ascii="Courier New" w:hAnsi="Courier New" w:cs="Courier New"/>
      <w:sz w:val="24"/>
      <w:szCs w:val="24"/>
    </w:rPr>
  </w:style>
  <w:style w:type="character" w:customStyle="1" w:styleId="medium-normal">
    <w:name w:val="medium-normal"/>
    <w:basedOn w:val="DefaultParagraphFont"/>
    <w:uiPriority w:val="99"/>
    <w:rsid w:val="003D66D7"/>
    <w:rPr>
      <w:rFonts w:cs="Times New Roman"/>
    </w:rPr>
  </w:style>
  <w:style w:type="paragraph" w:styleId="CommentText">
    <w:name w:val="annotation text"/>
    <w:basedOn w:val="Normal"/>
    <w:link w:val="CommentTextChar"/>
    <w:uiPriority w:val="99"/>
    <w:semiHidden/>
    <w:rsid w:val="003D66D7"/>
    <w:rPr>
      <w:sz w:val="20"/>
      <w:szCs w:val="20"/>
    </w:rPr>
  </w:style>
  <w:style w:type="character" w:customStyle="1" w:styleId="CommentTextChar">
    <w:name w:val="Comment Text Char"/>
    <w:basedOn w:val="DefaultParagraphFont"/>
    <w:link w:val="CommentText"/>
    <w:uiPriority w:val="99"/>
    <w:semiHidden/>
    <w:locked/>
    <w:rsid w:val="00AB4E0E"/>
    <w:rPr>
      <w:rFonts w:cs="Times New Roman"/>
      <w:lang w:val="en-US" w:eastAsia="en-US"/>
    </w:rPr>
  </w:style>
  <w:style w:type="paragraph" w:customStyle="1" w:styleId="heading10">
    <w:name w:val="heading1"/>
    <w:basedOn w:val="Normal"/>
    <w:next w:val="Normal"/>
    <w:uiPriority w:val="99"/>
    <w:semiHidden/>
    <w:rsid w:val="003D66D7"/>
    <w:pPr>
      <w:spacing w:before="120" w:after="120"/>
    </w:pPr>
    <w:rPr>
      <w:b/>
      <w:bCs/>
      <w:sz w:val="22"/>
      <w:szCs w:val="22"/>
    </w:rPr>
  </w:style>
  <w:style w:type="paragraph" w:styleId="CommentSubject">
    <w:name w:val="annotation subject"/>
    <w:basedOn w:val="CommentText"/>
    <w:next w:val="CommentText"/>
    <w:link w:val="CommentSubjectChar"/>
    <w:uiPriority w:val="99"/>
    <w:semiHidden/>
    <w:rsid w:val="003D66D7"/>
    <w:rPr>
      <w:b/>
      <w:bCs/>
    </w:rPr>
  </w:style>
  <w:style w:type="character" w:customStyle="1" w:styleId="CommentSubjectChar">
    <w:name w:val="Comment Subject Char"/>
    <w:basedOn w:val="CommentTextChar"/>
    <w:link w:val="CommentSubject"/>
    <w:uiPriority w:val="99"/>
    <w:semiHidden/>
    <w:locked/>
    <w:rsid w:val="006A0A6E"/>
    <w:rPr>
      <w:b/>
      <w:bCs/>
      <w:sz w:val="20"/>
      <w:szCs w:val="20"/>
    </w:rPr>
  </w:style>
  <w:style w:type="paragraph" w:customStyle="1" w:styleId="heading20">
    <w:name w:val="heading2"/>
    <w:basedOn w:val="Heading3"/>
    <w:next w:val="Normal"/>
    <w:uiPriority w:val="99"/>
    <w:semiHidden/>
    <w:rsid w:val="003D66D7"/>
    <w:pPr>
      <w:spacing w:before="120"/>
    </w:pPr>
  </w:style>
  <w:style w:type="paragraph" w:customStyle="1" w:styleId="Appxheading-1">
    <w:name w:val="Appx heading-1"/>
    <w:basedOn w:val="Heading1"/>
    <w:uiPriority w:val="99"/>
    <w:rsid w:val="003D66D7"/>
    <w:pPr>
      <w:jc w:val="center"/>
    </w:pPr>
  </w:style>
  <w:style w:type="paragraph" w:styleId="PlainText">
    <w:name w:val="Plain Text"/>
    <w:basedOn w:val="Normal"/>
    <w:link w:val="PlainTextChar"/>
    <w:uiPriority w:val="99"/>
    <w:rsid w:val="003D66D7"/>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A0A6E"/>
    <w:rPr>
      <w:rFonts w:ascii="Courier New" w:hAnsi="Courier New" w:cs="Courier New"/>
      <w:sz w:val="20"/>
      <w:szCs w:val="20"/>
    </w:rPr>
  </w:style>
  <w:style w:type="paragraph" w:styleId="BodyText0">
    <w:name w:val="Body Text"/>
    <w:aliases w:val="Body Text-A4"/>
    <w:basedOn w:val="Normal"/>
    <w:link w:val="BodyTextChar0"/>
    <w:uiPriority w:val="99"/>
    <w:rsid w:val="003D66D7"/>
    <w:rPr>
      <w:sz w:val="22"/>
      <w:szCs w:val="22"/>
    </w:rPr>
  </w:style>
  <w:style w:type="character" w:customStyle="1" w:styleId="BodyTextChar0">
    <w:name w:val="Body Text Char"/>
    <w:aliases w:val="Body Text-A4 Char"/>
    <w:basedOn w:val="DefaultParagraphFont"/>
    <w:link w:val="BodyText0"/>
    <w:uiPriority w:val="99"/>
    <w:semiHidden/>
    <w:locked/>
    <w:rsid w:val="006A0A6E"/>
    <w:rPr>
      <w:rFonts w:cs="Times New Roman"/>
      <w:sz w:val="24"/>
      <w:szCs w:val="24"/>
    </w:rPr>
  </w:style>
  <w:style w:type="paragraph" w:customStyle="1" w:styleId="tabfigtitle">
    <w:name w:val="tab/fig title"/>
    <w:basedOn w:val="Normal"/>
    <w:link w:val="tabfigtitleChar"/>
    <w:uiPriority w:val="99"/>
    <w:rsid w:val="003D66D7"/>
    <w:pPr>
      <w:keepNext/>
      <w:keepLines/>
      <w:spacing w:before="240" w:after="240"/>
    </w:pPr>
    <w:rPr>
      <w:b/>
      <w:bCs/>
    </w:rPr>
  </w:style>
  <w:style w:type="paragraph" w:styleId="Header">
    <w:name w:val="header"/>
    <w:basedOn w:val="Normal"/>
    <w:link w:val="HeaderChar"/>
    <w:uiPriority w:val="99"/>
    <w:rsid w:val="003D66D7"/>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6A0A6E"/>
    <w:rPr>
      <w:rFonts w:cs="Times New Roman"/>
      <w:sz w:val="24"/>
      <w:szCs w:val="24"/>
    </w:rPr>
  </w:style>
  <w:style w:type="paragraph" w:styleId="Footer">
    <w:name w:val="footer"/>
    <w:basedOn w:val="Normal"/>
    <w:link w:val="FooterChar"/>
    <w:uiPriority w:val="99"/>
    <w:rsid w:val="003D66D7"/>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6A0A6E"/>
    <w:rPr>
      <w:rFonts w:cs="Times New Roman"/>
      <w:sz w:val="24"/>
      <w:szCs w:val="24"/>
    </w:rPr>
  </w:style>
  <w:style w:type="character" w:styleId="PageNumber">
    <w:name w:val="page number"/>
    <w:basedOn w:val="DefaultParagraphFont"/>
    <w:uiPriority w:val="99"/>
    <w:rsid w:val="003D66D7"/>
    <w:rPr>
      <w:rFonts w:ascii="Times New Roman" w:hAnsi="Times New Roman" w:cs="Times New Roman"/>
      <w:sz w:val="24"/>
      <w:szCs w:val="24"/>
    </w:rPr>
  </w:style>
  <w:style w:type="character" w:customStyle="1" w:styleId="tabfigtitleChar">
    <w:name w:val="tab/fig title Char"/>
    <w:basedOn w:val="DefaultParagraphFont"/>
    <w:link w:val="tabfigtitle"/>
    <w:uiPriority w:val="99"/>
    <w:locked/>
    <w:rsid w:val="003D66D7"/>
    <w:rPr>
      <w:rFonts w:cs="Times New Roman"/>
      <w:b/>
      <w:bCs/>
      <w:sz w:val="24"/>
      <w:szCs w:val="24"/>
      <w:lang w:val="en-US" w:eastAsia="en-US"/>
    </w:rPr>
  </w:style>
  <w:style w:type="paragraph" w:customStyle="1" w:styleId="exhibitsource">
    <w:name w:val="exhibit source"/>
    <w:basedOn w:val="tabfigsourcefullpg"/>
    <w:uiPriority w:val="99"/>
    <w:rsid w:val="003D66D7"/>
    <w:pPr>
      <w:spacing w:after="360"/>
      <w:ind w:left="187" w:hanging="187"/>
    </w:pPr>
    <w:rPr>
      <w:rFonts w:ascii="Times New Roman" w:hAnsi="Times New Roman" w:cs="Times New Roman"/>
      <w:sz w:val="20"/>
      <w:szCs w:val="20"/>
    </w:rPr>
  </w:style>
  <w:style w:type="paragraph" w:customStyle="1" w:styleId="bodytextindent">
    <w:name w:val="bodytext indent"/>
    <w:basedOn w:val="bodytext"/>
    <w:link w:val="bodytextindentChar"/>
    <w:uiPriority w:val="99"/>
    <w:rsid w:val="003D66D7"/>
    <w:pPr>
      <w:spacing w:after="160" w:line="320" w:lineRule="exact"/>
      <w:ind w:left="1152" w:hanging="432"/>
    </w:pPr>
    <w:rPr>
      <w:rFonts w:ascii="Verdana" w:eastAsia="MS Mincho" w:hAnsi="Verdana" w:cs="Verdana"/>
      <w:b/>
      <w:bCs/>
      <w:sz w:val="22"/>
      <w:szCs w:val="22"/>
    </w:rPr>
  </w:style>
  <w:style w:type="character" w:customStyle="1" w:styleId="bodytextindentChar">
    <w:name w:val="bodytext indent Char"/>
    <w:basedOn w:val="bodytextChar"/>
    <w:link w:val="bodytextindent"/>
    <w:uiPriority w:val="99"/>
    <w:locked/>
    <w:rsid w:val="003D66D7"/>
    <w:rPr>
      <w:rFonts w:ascii="Verdana" w:eastAsia="MS Mincho" w:hAnsi="Verdana" w:cs="Verdana"/>
      <w:b/>
      <w:bCs/>
    </w:rPr>
  </w:style>
  <w:style w:type="paragraph" w:styleId="EndnoteText">
    <w:name w:val="endnote text"/>
    <w:basedOn w:val="Normal"/>
    <w:link w:val="EndnoteTextChar"/>
    <w:uiPriority w:val="99"/>
    <w:semiHidden/>
    <w:rsid w:val="003D66D7"/>
    <w:rPr>
      <w:sz w:val="20"/>
      <w:szCs w:val="20"/>
    </w:rPr>
  </w:style>
  <w:style w:type="character" w:customStyle="1" w:styleId="EndnoteTextChar">
    <w:name w:val="Endnote Text Char"/>
    <w:basedOn w:val="DefaultParagraphFont"/>
    <w:link w:val="EndnoteText"/>
    <w:uiPriority w:val="99"/>
    <w:semiHidden/>
    <w:locked/>
    <w:rsid w:val="006A0A6E"/>
    <w:rPr>
      <w:rFonts w:cs="Times New Roman"/>
      <w:sz w:val="20"/>
      <w:szCs w:val="20"/>
    </w:rPr>
  </w:style>
  <w:style w:type="character" w:styleId="EndnoteReference">
    <w:name w:val="endnote reference"/>
    <w:basedOn w:val="DefaultParagraphFont"/>
    <w:uiPriority w:val="99"/>
    <w:semiHidden/>
    <w:rsid w:val="003D66D7"/>
    <w:rPr>
      <w:rFonts w:cs="Times New Roman"/>
      <w:vertAlign w:val="superscript"/>
    </w:rPr>
  </w:style>
  <w:style w:type="paragraph" w:styleId="Title">
    <w:name w:val="Title"/>
    <w:basedOn w:val="Normal"/>
    <w:link w:val="TitleChar"/>
    <w:uiPriority w:val="99"/>
    <w:qFormat/>
    <w:rsid w:val="003D66D7"/>
    <w:pPr>
      <w:ind w:left="-270"/>
      <w:jc w:val="center"/>
    </w:pPr>
    <w:rPr>
      <w:b/>
      <w:bCs/>
    </w:rPr>
  </w:style>
  <w:style w:type="character" w:customStyle="1" w:styleId="TitleChar">
    <w:name w:val="Title Char"/>
    <w:basedOn w:val="DefaultParagraphFont"/>
    <w:link w:val="Title"/>
    <w:uiPriority w:val="99"/>
    <w:locked/>
    <w:rsid w:val="006A0A6E"/>
    <w:rPr>
      <w:rFonts w:ascii="Cambria" w:hAnsi="Cambria" w:cs="Cambria"/>
      <w:b/>
      <w:bCs/>
      <w:kern w:val="28"/>
      <w:sz w:val="32"/>
      <w:szCs w:val="32"/>
    </w:rPr>
  </w:style>
  <w:style w:type="paragraph" w:customStyle="1" w:styleId="Answer">
    <w:name w:val="Answer"/>
    <w:basedOn w:val="Normal"/>
    <w:uiPriority w:val="99"/>
    <w:rsid w:val="003D66D7"/>
    <w:pPr>
      <w:tabs>
        <w:tab w:val="right" w:leader="underscore" w:pos="9360"/>
      </w:tabs>
      <w:spacing w:before="40" w:after="40"/>
      <w:ind w:left="1260" w:hanging="540"/>
    </w:pPr>
    <w:rPr>
      <w:rFonts w:ascii="Arial" w:hAnsi="Arial" w:cs="Arial"/>
      <w:sz w:val="22"/>
      <w:szCs w:val="22"/>
    </w:rPr>
  </w:style>
  <w:style w:type="paragraph" w:customStyle="1" w:styleId="Level1">
    <w:name w:val="Level 1"/>
    <w:basedOn w:val="Normal"/>
    <w:link w:val="Level1Char"/>
    <w:uiPriority w:val="99"/>
    <w:rsid w:val="003D66D7"/>
    <w:pPr>
      <w:widowControl w:val="0"/>
      <w:autoSpaceDE w:val="0"/>
      <w:autoSpaceDN w:val="0"/>
      <w:adjustRightInd w:val="0"/>
      <w:ind w:left="720" w:hanging="720"/>
    </w:pPr>
  </w:style>
  <w:style w:type="paragraph" w:customStyle="1" w:styleId="AnswerLine">
    <w:name w:val="Answer Line"/>
    <w:basedOn w:val="Answer"/>
    <w:uiPriority w:val="99"/>
    <w:rsid w:val="003D66D7"/>
    <w:pPr>
      <w:ind w:left="900" w:firstLine="0"/>
    </w:pPr>
    <w:rPr>
      <w:caps/>
    </w:rPr>
  </w:style>
  <w:style w:type="paragraph" w:customStyle="1" w:styleId="Direction">
    <w:name w:val="Direction"/>
    <w:basedOn w:val="Normal"/>
    <w:uiPriority w:val="99"/>
    <w:rsid w:val="003D66D7"/>
    <w:pPr>
      <w:pBdr>
        <w:top w:val="single" w:sz="6" w:space="6" w:color="auto" w:shadow="1"/>
        <w:left w:val="single" w:sz="6" w:space="6" w:color="auto" w:shadow="1"/>
        <w:bottom w:val="single" w:sz="6" w:space="6" w:color="auto" w:shadow="1"/>
        <w:right w:val="single" w:sz="6" w:space="6" w:color="auto" w:shadow="1"/>
      </w:pBdr>
      <w:spacing w:before="240" w:after="240"/>
      <w:ind w:left="2160" w:right="2160"/>
      <w:jc w:val="center"/>
    </w:pPr>
    <w:rPr>
      <w:rFonts w:ascii="Arial" w:hAnsi="Arial" w:cs="Arial"/>
      <w:b/>
      <w:bCs/>
      <w:i/>
      <w:iCs/>
      <w:sz w:val="22"/>
      <w:szCs w:val="22"/>
    </w:rPr>
  </w:style>
  <w:style w:type="paragraph" w:customStyle="1" w:styleId="QuestionCharCharCharChar">
    <w:name w:val="Question Char Char Char Char"/>
    <w:basedOn w:val="Normal"/>
    <w:link w:val="QuestionCharCharCharCharChar"/>
    <w:uiPriority w:val="99"/>
    <w:rsid w:val="003D66D7"/>
    <w:pPr>
      <w:keepNext/>
      <w:keepLines/>
      <w:spacing w:before="240" w:after="120"/>
      <w:ind w:left="720" w:hanging="720"/>
    </w:pPr>
    <w:rPr>
      <w:b/>
      <w:bCs/>
    </w:rPr>
  </w:style>
  <w:style w:type="paragraph" w:customStyle="1" w:styleId="tabfigsourcefullpg">
    <w:name w:val="tab/fig source (full pg)"/>
    <w:basedOn w:val="Normal"/>
    <w:uiPriority w:val="99"/>
    <w:rsid w:val="003D66D7"/>
    <w:pPr>
      <w:keepLines/>
      <w:spacing w:before="120" w:after="400"/>
      <w:ind w:left="-2700" w:hanging="180"/>
    </w:pPr>
    <w:rPr>
      <w:rFonts w:ascii="Arial" w:hAnsi="Arial" w:cs="Arial"/>
      <w:sz w:val="18"/>
      <w:szCs w:val="18"/>
    </w:rPr>
  </w:style>
  <w:style w:type="paragraph" w:customStyle="1" w:styleId="tabfigsourceinline">
    <w:name w:val="tab/fig source (inline)"/>
    <w:basedOn w:val="Normal"/>
    <w:uiPriority w:val="99"/>
    <w:rsid w:val="003D66D7"/>
    <w:pPr>
      <w:keepLines/>
      <w:spacing w:before="120" w:after="400"/>
      <w:ind w:left="180" w:hanging="180"/>
    </w:pPr>
    <w:rPr>
      <w:rFonts w:ascii="Arial" w:hAnsi="Arial" w:cs="Arial"/>
      <w:sz w:val="18"/>
      <w:szCs w:val="18"/>
    </w:rPr>
  </w:style>
  <w:style w:type="paragraph" w:customStyle="1" w:styleId="tabfigtitlefullpg">
    <w:name w:val="tab/fig title (full pg)"/>
    <w:basedOn w:val="Normal"/>
    <w:uiPriority w:val="99"/>
    <w:rsid w:val="003D66D7"/>
    <w:pPr>
      <w:keepNext/>
      <w:keepLines/>
      <w:spacing w:before="320"/>
      <w:ind w:left="-2880"/>
    </w:pPr>
    <w:rPr>
      <w:rFonts w:ascii="Helvetica Black" w:hAnsi="Helvetica Black" w:cs="Helvetica Black"/>
      <w:sz w:val="18"/>
      <w:szCs w:val="18"/>
    </w:rPr>
  </w:style>
  <w:style w:type="paragraph" w:customStyle="1" w:styleId="C1-CtrBoldHd">
    <w:name w:val="C1-Ctr BoldHd"/>
    <w:uiPriority w:val="99"/>
    <w:rsid w:val="003D66D7"/>
    <w:pPr>
      <w:keepNext/>
      <w:spacing w:after="720" w:line="240" w:lineRule="atLeast"/>
      <w:jc w:val="center"/>
    </w:pPr>
    <w:rPr>
      <w:rFonts w:ascii="Arial" w:hAnsi="Arial" w:cs="Arial"/>
      <w:b/>
      <w:bCs/>
      <w:caps/>
    </w:rPr>
  </w:style>
  <w:style w:type="character" w:customStyle="1" w:styleId="QuestionCharCharCharCharChar">
    <w:name w:val="Question Char Char Char Char Char"/>
    <w:basedOn w:val="DefaultParagraphFont"/>
    <w:link w:val="QuestionCharCharCharChar"/>
    <w:uiPriority w:val="99"/>
    <w:locked/>
    <w:rsid w:val="003D66D7"/>
    <w:rPr>
      <w:rFonts w:cs="Times New Roman"/>
      <w:b/>
      <w:bCs/>
      <w:sz w:val="24"/>
      <w:szCs w:val="24"/>
      <w:lang w:val="en-US" w:eastAsia="en-US"/>
    </w:rPr>
  </w:style>
  <w:style w:type="paragraph" w:customStyle="1" w:styleId="SurveyHeading1">
    <w:name w:val="Survey Heading 1"/>
    <w:basedOn w:val="Normal"/>
    <w:uiPriority w:val="99"/>
    <w:rsid w:val="003D66D7"/>
    <w:pPr>
      <w:pBdr>
        <w:top w:val="single" w:sz="24" w:space="6" w:color="auto" w:shadow="1"/>
        <w:left w:val="single" w:sz="24" w:space="6" w:color="auto" w:shadow="1"/>
        <w:bottom w:val="single" w:sz="24" w:space="6" w:color="auto" w:shadow="1"/>
        <w:right w:val="single" w:sz="24" w:space="6" w:color="auto" w:shadow="1"/>
      </w:pBdr>
      <w:jc w:val="center"/>
    </w:pPr>
    <w:rPr>
      <w:rFonts w:ascii="Arial" w:hAnsi="Arial" w:cs="Arial"/>
      <w:b/>
      <w:bCs/>
    </w:rPr>
  </w:style>
  <w:style w:type="paragraph" w:customStyle="1" w:styleId="SurveyHeading2">
    <w:name w:val="Survey Heading 2"/>
    <w:basedOn w:val="Normal"/>
    <w:uiPriority w:val="99"/>
    <w:rsid w:val="003D66D7"/>
    <w:pPr>
      <w:keepNext/>
      <w:spacing w:before="360" w:after="120"/>
      <w:jc w:val="center"/>
    </w:pPr>
    <w:rPr>
      <w:rFonts w:ascii="Arial" w:hAnsi="Arial" w:cs="Arial"/>
      <w:b/>
      <w:bCs/>
      <w:sz w:val="22"/>
      <w:szCs w:val="22"/>
    </w:rPr>
  </w:style>
  <w:style w:type="paragraph" w:customStyle="1" w:styleId="SurveyHeading3">
    <w:name w:val="Survey Heading 3"/>
    <w:basedOn w:val="Normal"/>
    <w:uiPriority w:val="99"/>
    <w:rsid w:val="003D66D7"/>
    <w:pPr>
      <w:keepNext/>
      <w:spacing w:before="360" w:after="120"/>
    </w:pPr>
    <w:rPr>
      <w:rFonts w:ascii="Arial" w:hAnsi="Arial" w:cs="Arial"/>
      <w:b/>
      <w:bCs/>
      <w:i/>
      <w:iCs/>
      <w:sz w:val="22"/>
      <w:szCs w:val="22"/>
    </w:rPr>
  </w:style>
  <w:style w:type="paragraph" w:customStyle="1" w:styleId="SurveyHeading4">
    <w:name w:val="Survey Heading 4"/>
    <w:basedOn w:val="Normal"/>
    <w:uiPriority w:val="99"/>
    <w:rsid w:val="003D66D7"/>
    <w:pPr>
      <w:keepNext/>
      <w:spacing w:before="240" w:after="120"/>
    </w:pPr>
    <w:rPr>
      <w:rFonts w:ascii="Arial" w:hAnsi="Arial" w:cs="Arial"/>
      <w:i/>
      <w:iCs/>
      <w:sz w:val="22"/>
      <w:szCs w:val="22"/>
    </w:rPr>
  </w:style>
  <w:style w:type="character" w:customStyle="1" w:styleId="QuestionChar">
    <w:name w:val="Question Char"/>
    <w:basedOn w:val="DefaultParagraphFont"/>
    <w:link w:val="Question"/>
    <w:uiPriority w:val="99"/>
    <w:locked/>
    <w:rsid w:val="003D66D7"/>
    <w:rPr>
      <w:rFonts w:ascii="Optima" w:hAnsi="Optima" w:cs="Optima"/>
      <w:sz w:val="22"/>
      <w:szCs w:val="22"/>
      <w:lang w:val="en-US" w:eastAsia="en-US"/>
    </w:rPr>
  </w:style>
  <w:style w:type="paragraph" w:customStyle="1" w:styleId="Q1-FirstLevelQuestion">
    <w:name w:val="Q1-First Level Question"/>
    <w:link w:val="Q1-FirstLevelQuestionChar"/>
    <w:uiPriority w:val="99"/>
    <w:rsid w:val="003D66D7"/>
    <w:pPr>
      <w:keepNext/>
      <w:keepLines/>
      <w:tabs>
        <w:tab w:val="left" w:pos="720"/>
      </w:tabs>
      <w:spacing w:before="240" w:after="120" w:line="240" w:lineRule="atLeast"/>
      <w:ind w:left="720" w:hanging="720"/>
    </w:pPr>
    <w:rPr>
      <w:rFonts w:ascii="Arial" w:hAnsi="Arial" w:cs="Arial"/>
      <w:sz w:val="20"/>
      <w:szCs w:val="20"/>
    </w:rPr>
  </w:style>
  <w:style w:type="paragraph" w:customStyle="1" w:styleId="Q2-SecondLevelQuestion">
    <w:name w:val="Q2-Second Level Question"/>
    <w:uiPriority w:val="99"/>
    <w:rsid w:val="003D66D7"/>
    <w:pPr>
      <w:keepNext/>
      <w:keepLines/>
      <w:tabs>
        <w:tab w:val="left" w:pos="1440"/>
      </w:tabs>
      <w:spacing w:before="240" w:after="120" w:line="240" w:lineRule="atLeast"/>
      <w:ind w:left="1440" w:hanging="720"/>
      <w:jc w:val="both"/>
    </w:pPr>
    <w:rPr>
      <w:rFonts w:ascii="Arial" w:hAnsi="Arial" w:cs="Arial"/>
      <w:sz w:val="20"/>
      <w:szCs w:val="20"/>
    </w:rPr>
  </w:style>
  <w:style w:type="paragraph" w:customStyle="1" w:styleId="Y3-YNTabLeader">
    <w:name w:val="Y3-Y/N Tab Leader"/>
    <w:uiPriority w:val="99"/>
    <w:rsid w:val="003D66D7"/>
    <w:pPr>
      <w:tabs>
        <w:tab w:val="left" w:pos="1872"/>
        <w:tab w:val="right" w:leader="dot" w:pos="7200"/>
        <w:tab w:val="center" w:pos="7632"/>
        <w:tab w:val="center" w:pos="8352"/>
        <w:tab w:val="center" w:pos="9072"/>
      </w:tabs>
      <w:spacing w:line="240" w:lineRule="atLeast"/>
      <w:ind w:left="1440"/>
    </w:pPr>
    <w:rPr>
      <w:rFonts w:ascii="Arial" w:hAnsi="Arial" w:cs="Arial"/>
      <w:sz w:val="20"/>
      <w:szCs w:val="20"/>
    </w:rPr>
  </w:style>
  <w:style w:type="paragraph" w:customStyle="1" w:styleId="A3-1stTabLeader">
    <w:name w:val="A3-1st Tab Leader"/>
    <w:uiPriority w:val="99"/>
    <w:rsid w:val="003D66D7"/>
    <w:pPr>
      <w:tabs>
        <w:tab w:val="left" w:pos="1872"/>
        <w:tab w:val="right" w:leader="dot" w:pos="7200"/>
        <w:tab w:val="right" w:pos="7488"/>
        <w:tab w:val="left" w:pos="7632"/>
      </w:tabs>
      <w:spacing w:line="240" w:lineRule="atLeast"/>
      <w:ind w:left="1440"/>
    </w:pPr>
    <w:rPr>
      <w:rFonts w:ascii="Arial" w:hAnsi="Arial" w:cs="Arial"/>
      <w:sz w:val="20"/>
      <w:szCs w:val="20"/>
    </w:rPr>
  </w:style>
  <w:style w:type="character" w:customStyle="1" w:styleId="N4-4thBulletaChar">
    <w:name w:val="N4-4th Bulleta Char"/>
    <w:basedOn w:val="DefaultParagraphFont"/>
    <w:uiPriority w:val="99"/>
    <w:rsid w:val="003D66D7"/>
    <w:rPr>
      <w:rFonts w:cs="Times New Roman"/>
      <w:sz w:val="22"/>
      <w:szCs w:val="22"/>
      <w:lang w:val="en-US" w:eastAsia="en-US"/>
    </w:rPr>
  </w:style>
  <w:style w:type="paragraph" w:customStyle="1" w:styleId="Quick1">
    <w:name w:val="Quick 1."/>
    <w:basedOn w:val="Normal"/>
    <w:uiPriority w:val="99"/>
    <w:rsid w:val="003D66D7"/>
    <w:pPr>
      <w:widowControl w:val="0"/>
    </w:pPr>
  </w:style>
  <w:style w:type="paragraph" w:customStyle="1" w:styleId="A1-1stLeader">
    <w:name w:val="A1-1st Leader"/>
    <w:uiPriority w:val="99"/>
    <w:rsid w:val="003D66D7"/>
    <w:pPr>
      <w:tabs>
        <w:tab w:val="right" w:leader="underscore" w:pos="9360"/>
      </w:tabs>
      <w:spacing w:line="240" w:lineRule="atLeast"/>
      <w:ind w:left="1080" w:hanging="360"/>
    </w:pPr>
    <w:rPr>
      <w:rFonts w:ascii="Arial" w:hAnsi="Arial" w:cs="Arial"/>
      <w:sz w:val="20"/>
      <w:szCs w:val="20"/>
    </w:rPr>
  </w:style>
  <w:style w:type="paragraph" w:customStyle="1" w:styleId="Y0-YNHead">
    <w:name w:val="Y0-Y/N Head"/>
    <w:uiPriority w:val="99"/>
    <w:rsid w:val="003D66D7"/>
    <w:pPr>
      <w:tabs>
        <w:tab w:val="center" w:pos="7632"/>
        <w:tab w:val="center" w:pos="8352"/>
        <w:tab w:val="center" w:pos="9072"/>
      </w:tabs>
      <w:spacing w:line="240" w:lineRule="atLeast"/>
      <w:ind w:left="7200"/>
    </w:pPr>
    <w:rPr>
      <w:rFonts w:ascii="Arial" w:hAnsi="Arial" w:cs="Arial"/>
      <w:sz w:val="20"/>
      <w:szCs w:val="20"/>
      <w:u w:val="words"/>
    </w:rPr>
  </w:style>
  <w:style w:type="paragraph" w:customStyle="1" w:styleId="Default">
    <w:name w:val="Default"/>
    <w:uiPriority w:val="99"/>
    <w:rsid w:val="003D66D7"/>
    <w:pPr>
      <w:autoSpaceDE w:val="0"/>
      <w:autoSpaceDN w:val="0"/>
      <w:adjustRightInd w:val="0"/>
    </w:pPr>
    <w:rPr>
      <w:color w:val="000000"/>
      <w:sz w:val="24"/>
      <w:szCs w:val="24"/>
    </w:rPr>
  </w:style>
  <w:style w:type="paragraph" w:customStyle="1" w:styleId="bibliogrpahy">
    <w:name w:val="bibliogrpahy"/>
    <w:uiPriority w:val="99"/>
    <w:rsid w:val="003D66D7"/>
    <w:pPr>
      <w:spacing w:after="110"/>
      <w:ind w:left="720" w:hanging="720"/>
    </w:pPr>
    <w:rPr>
      <w:sz w:val="24"/>
      <w:szCs w:val="24"/>
    </w:rPr>
  </w:style>
  <w:style w:type="paragraph" w:styleId="BodyTextIndent0">
    <w:name w:val="Body Text Indent"/>
    <w:basedOn w:val="Default"/>
    <w:next w:val="Default"/>
    <w:link w:val="BodyTextIndentChar0"/>
    <w:uiPriority w:val="99"/>
    <w:rsid w:val="003D66D7"/>
    <w:rPr>
      <w:color w:val="auto"/>
    </w:rPr>
  </w:style>
  <w:style w:type="character" w:customStyle="1" w:styleId="BodyTextIndentChar0">
    <w:name w:val="Body Text Indent Char"/>
    <w:basedOn w:val="DefaultParagraphFont"/>
    <w:link w:val="BodyTextIndent0"/>
    <w:uiPriority w:val="99"/>
    <w:semiHidden/>
    <w:locked/>
    <w:rsid w:val="00153FC0"/>
    <w:rPr>
      <w:rFonts w:cs="Times New Roman"/>
      <w:sz w:val="24"/>
      <w:szCs w:val="24"/>
      <w:lang w:val="en-US" w:eastAsia="en-US"/>
    </w:rPr>
  </w:style>
  <w:style w:type="paragraph" w:styleId="BodyTextIndent2">
    <w:name w:val="Body Text Indent 2"/>
    <w:basedOn w:val="Default"/>
    <w:next w:val="Default"/>
    <w:link w:val="BodyTextIndent2Char"/>
    <w:uiPriority w:val="99"/>
    <w:rsid w:val="003D66D7"/>
    <w:rPr>
      <w:color w:val="auto"/>
    </w:rPr>
  </w:style>
  <w:style w:type="character" w:customStyle="1" w:styleId="BodyTextIndent2Char">
    <w:name w:val="Body Text Indent 2 Char"/>
    <w:basedOn w:val="DefaultParagraphFont"/>
    <w:link w:val="BodyTextIndent2"/>
    <w:uiPriority w:val="99"/>
    <w:semiHidden/>
    <w:locked/>
    <w:rsid w:val="006A0A6E"/>
    <w:rPr>
      <w:rFonts w:cs="Times New Roman"/>
      <w:sz w:val="24"/>
      <w:szCs w:val="24"/>
    </w:rPr>
  </w:style>
  <w:style w:type="paragraph" w:customStyle="1" w:styleId="ExhibitTitlecont">
    <w:name w:val="Exhibit Title cont"/>
    <w:basedOn w:val="ExhibitTitle"/>
    <w:uiPriority w:val="99"/>
    <w:rsid w:val="003D66D7"/>
  </w:style>
  <w:style w:type="paragraph" w:styleId="E-mailSignature">
    <w:name w:val="E-mail Signature"/>
    <w:basedOn w:val="Normal"/>
    <w:link w:val="E-mailSignatureChar"/>
    <w:uiPriority w:val="99"/>
    <w:rsid w:val="003D66D7"/>
  </w:style>
  <w:style w:type="character" w:customStyle="1" w:styleId="E-mailSignatureChar">
    <w:name w:val="E-mail Signature Char"/>
    <w:basedOn w:val="DefaultParagraphFont"/>
    <w:link w:val="E-mailSignature"/>
    <w:uiPriority w:val="99"/>
    <w:semiHidden/>
    <w:locked/>
    <w:rsid w:val="006A0A6E"/>
    <w:rPr>
      <w:rFonts w:cs="Times New Roman"/>
      <w:sz w:val="24"/>
      <w:szCs w:val="24"/>
    </w:rPr>
  </w:style>
  <w:style w:type="paragraph" w:customStyle="1" w:styleId="footnotetex">
    <w:name w:val="footnote tex"/>
    <w:uiPriority w:val="99"/>
    <w:rsid w:val="003D66D7"/>
    <w:pPr>
      <w:autoSpaceDE w:val="0"/>
      <w:autoSpaceDN w:val="0"/>
      <w:adjustRightInd w:val="0"/>
    </w:pPr>
    <w:rPr>
      <w:sz w:val="20"/>
      <w:szCs w:val="20"/>
    </w:rPr>
  </w:style>
  <w:style w:type="paragraph" w:styleId="NormalWeb">
    <w:name w:val="Normal (Web)"/>
    <w:basedOn w:val="Normal"/>
    <w:uiPriority w:val="99"/>
    <w:rsid w:val="003D66D7"/>
    <w:pPr>
      <w:spacing w:before="100" w:beforeAutospacing="1" w:after="100" w:afterAutospacing="1"/>
    </w:pPr>
    <w:rPr>
      <w:rFonts w:ascii="Arial" w:hAnsi="Arial" w:cs="Arial"/>
      <w:color w:val="000000"/>
    </w:rPr>
  </w:style>
  <w:style w:type="character" w:styleId="Strong">
    <w:name w:val="Strong"/>
    <w:basedOn w:val="DefaultParagraphFont"/>
    <w:uiPriority w:val="99"/>
    <w:qFormat/>
    <w:rsid w:val="003D66D7"/>
    <w:rPr>
      <w:rFonts w:cs="Times New Roman"/>
      <w:b/>
      <w:bCs/>
    </w:rPr>
  </w:style>
  <w:style w:type="character" w:styleId="Emphasis">
    <w:name w:val="Emphasis"/>
    <w:basedOn w:val="DefaultParagraphFont"/>
    <w:uiPriority w:val="99"/>
    <w:qFormat/>
    <w:rsid w:val="003D66D7"/>
    <w:rPr>
      <w:rFonts w:cs="Times New Roman"/>
      <w:i/>
      <w:iCs/>
    </w:rPr>
  </w:style>
  <w:style w:type="paragraph" w:styleId="HTMLPreformatted">
    <w:name w:val="HTML Preformatted"/>
    <w:basedOn w:val="Normal"/>
    <w:link w:val="HTMLPreformattedChar"/>
    <w:uiPriority w:val="99"/>
    <w:semiHidden/>
    <w:rsid w:val="003D6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A0A6E"/>
    <w:rPr>
      <w:rFonts w:ascii="Courier New" w:hAnsi="Courier New" w:cs="Courier New"/>
      <w:sz w:val="20"/>
      <w:szCs w:val="20"/>
    </w:rPr>
  </w:style>
  <w:style w:type="paragraph" w:styleId="TOC1">
    <w:name w:val="toc 1"/>
    <w:basedOn w:val="Normal"/>
    <w:next w:val="Normal"/>
    <w:autoRedefine/>
    <w:uiPriority w:val="99"/>
    <w:semiHidden/>
    <w:rsid w:val="003D66D7"/>
    <w:pPr>
      <w:tabs>
        <w:tab w:val="right" w:leader="dot" w:pos="9350"/>
      </w:tabs>
      <w:spacing w:before="160" w:after="120"/>
      <w:ind w:left="720" w:hanging="360"/>
    </w:pPr>
    <w:rPr>
      <w:noProof/>
    </w:rPr>
  </w:style>
  <w:style w:type="paragraph" w:customStyle="1" w:styleId="bodytext">
    <w:name w:val="body text"/>
    <w:aliases w:val="bt,body tx,indent,flush + First line:  0&quot;,flush"/>
    <w:basedOn w:val="Normal"/>
    <w:link w:val="bodytextChar"/>
    <w:uiPriority w:val="99"/>
    <w:rsid w:val="003D66D7"/>
    <w:pPr>
      <w:spacing w:after="240" w:line="360" w:lineRule="auto"/>
    </w:pPr>
  </w:style>
  <w:style w:type="paragraph" w:styleId="TOC2">
    <w:name w:val="toc 2"/>
    <w:basedOn w:val="Normal"/>
    <w:next w:val="Normal"/>
    <w:autoRedefine/>
    <w:uiPriority w:val="99"/>
    <w:semiHidden/>
    <w:rsid w:val="003D66D7"/>
    <w:pPr>
      <w:tabs>
        <w:tab w:val="right" w:leader="dot" w:pos="9350"/>
      </w:tabs>
      <w:spacing w:before="120" w:after="120"/>
      <w:ind w:left="1350" w:hanging="630"/>
    </w:pPr>
    <w:rPr>
      <w:noProof/>
    </w:rPr>
  </w:style>
  <w:style w:type="character" w:customStyle="1" w:styleId="EmailStyle1081">
    <w:name w:val="EmailStyle108"/>
    <w:aliases w:val="EmailStyle108"/>
    <w:basedOn w:val="DefaultParagraphFont"/>
    <w:uiPriority w:val="99"/>
    <w:semiHidden/>
    <w:personal/>
    <w:rsid w:val="003D66D7"/>
    <w:rPr>
      <w:rFonts w:ascii="Arial" w:hAnsi="Arial" w:cs="Arial"/>
      <w:color w:val="000080"/>
      <w:sz w:val="20"/>
      <w:szCs w:val="20"/>
    </w:rPr>
  </w:style>
  <w:style w:type="paragraph" w:customStyle="1" w:styleId="SurveyH1">
    <w:name w:val="Survey H1"/>
    <w:basedOn w:val="Normal"/>
    <w:uiPriority w:val="99"/>
    <w:rsid w:val="003D66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bCs/>
    </w:rPr>
  </w:style>
  <w:style w:type="character" w:customStyle="1" w:styleId="Q1-FirstLevelQuestionChar">
    <w:name w:val="Q1-First Level Question Char"/>
    <w:basedOn w:val="DefaultParagraphFont"/>
    <w:link w:val="Q1-FirstLevelQuestion"/>
    <w:uiPriority w:val="99"/>
    <w:locked/>
    <w:rsid w:val="003D66D7"/>
    <w:rPr>
      <w:rFonts w:ascii="Arial" w:hAnsi="Arial" w:cs="Arial"/>
      <w:lang w:val="en-US" w:eastAsia="en-US" w:bidi="ar-SA"/>
    </w:rPr>
  </w:style>
  <w:style w:type="character" w:customStyle="1" w:styleId="Level1Char">
    <w:name w:val="Level 1 Char"/>
    <w:basedOn w:val="DefaultParagraphFont"/>
    <w:link w:val="Level1"/>
    <w:uiPriority w:val="99"/>
    <w:locked/>
    <w:rsid w:val="003D66D7"/>
    <w:rPr>
      <w:rFonts w:cs="Times New Roman"/>
      <w:sz w:val="24"/>
      <w:szCs w:val="24"/>
      <w:lang w:val="en-US" w:eastAsia="en-US"/>
    </w:rPr>
  </w:style>
  <w:style w:type="paragraph" w:customStyle="1" w:styleId="Cov-Date">
    <w:name w:val="Cov-Date"/>
    <w:basedOn w:val="Normal"/>
    <w:uiPriority w:val="99"/>
    <w:rsid w:val="003D66D7"/>
    <w:pPr>
      <w:jc w:val="right"/>
    </w:pPr>
    <w:rPr>
      <w:rFonts w:ascii="Arial" w:hAnsi="Arial" w:cs="Arial"/>
      <w:b/>
      <w:bCs/>
      <w:sz w:val="28"/>
      <w:szCs w:val="28"/>
    </w:rPr>
  </w:style>
  <w:style w:type="paragraph" w:customStyle="1" w:styleId="Cov-Title">
    <w:name w:val="Cov-Title"/>
    <w:basedOn w:val="Normal"/>
    <w:uiPriority w:val="99"/>
    <w:rsid w:val="003D66D7"/>
    <w:pPr>
      <w:jc w:val="right"/>
    </w:pPr>
    <w:rPr>
      <w:rFonts w:ascii="Arial Black" w:hAnsi="Arial Black" w:cs="Arial Black"/>
      <w:sz w:val="48"/>
      <w:szCs w:val="48"/>
    </w:rPr>
  </w:style>
  <w:style w:type="paragraph" w:customStyle="1" w:styleId="Cov-Author">
    <w:name w:val="Cov-Author"/>
    <w:basedOn w:val="Normal"/>
    <w:uiPriority w:val="99"/>
    <w:rsid w:val="003D66D7"/>
    <w:pPr>
      <w:jc w:val="right"/>
    </w:pPr>
    <w:rPr>
      <w:rFonts w:ascii="Arial Black" w:hAnsi="Arial Black" w:cs="Arial Black"/>
    </w:rPr>
  </w:style>
  <w:style w:type="paragraph" w:customStyle="1" w:styleId="Cov-Address">
    <w:name w:val="Cov-Address"/>
    <w:basedOn w:val="Normal"/>
    <w:uiPriority w:val="99"/>
    <w:rsid w:val="003D66D7"/>
    <w:pPr>
      <w:jc w:val="right"/>
    </w:pPr>
    <w:rPr>
      <w:rFonts w:ascii="Arial" w:hAnsi="Arial" w:cs="Arial"/>
    </w:rPr>
  </w:style>
  <w:style w:type="paragraph" w:styleId="DocumentMap">
    <w:name w:val="Document Map"/>
    <w:basedOn w:val="Normal"/>
    <w:link w:val="DocumentMapChar"/>
    <w:uiPriority w:val="99"/>
    <w:semiHidden/>
    <w:rsid w:val="003D66D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A0A6E"/>
    <w:rPr>
      <w:rFonts w:cs="Times New Roman"/>
      <w:sz w:val="2"/>
      <w:szCs w:val="2"/>
    </w:rPr>
  </w:style>
  <w:style w:type="character" w:customStyle="1" w:styleId="Heading4Char1">
    <w:name w:val="Heading 4 Char1"/>
    <w:aliases w:val="l4 Char Char,l4 Char1"/>
    <w:basedOn w:val="DefaultParagraphFont"/>
    <w:uiPriority w:val="99"/>
    <w:rsid w:val="003D66D7"/>
    <w:rPr>
      <w:rFonts w:cs="Times New Roman"/>
      <w:i/>
      <w:iCs/>
      <w:sz w:val="24"/>
      <w:szCs w:val="24"/>
      <w:lang w:val="en-US" w:eastAsia="en-US"/>
    </w:rPr>
  </w:style>
  <w:style w:type="paragraph" w:styleId="TOC4">
    <w:name w:val="toc 4"/>
    <w:basedOn w:val="Normal"/>
    <w:next w:val="Normal"/>
    <w:autoRedefine/>
    <w:uiPriority w:val="99"/>
    <w:semiHidden/>
    <w:rsid w:val="003D66D7"/>
    <w:pPr>
      <w:tabs>
        <w:tab w:val="right" w:leader="dot" w:pos="9360"/>
      </w:tabs>
      <w:spacing w:before="60"/>
      <w:ind w:left="3240" w:hanging="720"/>
    </w:pPr>
  </w:style>
  <w:style w:type="paragraph" w:styleId="TOC3">
    <w:name w:val="toc 3"/>
    <w:basedOn w:val="Normal"/>
    <w:next w:val="Normal"/>
    <w:autoRedefine/>
    <w:uiPriority w:val="99"/>
    <w:semiHidden/>
    <w:rsid w:val="003D66D7"/>
    <w:pPr>
      <w:tabs>
        <w:tab w:val="right" w:leader="dot" w:pos="9360"/>
      </w:tabs>
      <w:spacing w:before="80" w:after="40"/>
      <w:ind w:left="2340" w:right="720" w:hanging="900"/>
    </w:pPr>
    <w:rPr>
      <w:noProof/>
    </w:rPr>
  </w:style>
  <w:style w:type="paragraph" w:customStyle="1" w:styleId="Question">
    <w:name w:val="Question"/>
    <w:basedOn w:val="Normal"/>
    <w:link w:val="QuestionChar"/>
    <w:uiPriority w:val="99"/>
    <w:semiHidden/>
    <w:rsid w:val="003D66D7"/>
    <w:pPr>
      <w:keepNext/>
      <w:keepLines/>
      <w:spacing w:before="160" w:after="60"/>
      <w:ind w:left="900" w:hanging="547"/>
    </w:pPr>
    <w:rPr>
      <w:rFonts w:ascii="Optima" w:hAnsi="Optima" w:cs="Optima"/>
      <w:sz w:val="22"/>
      <w:szCs w:val="22"/>
    </w:rPr>
  </w:style>
  <w:style w:type="paragraph" w:styleId="TOC5">
    <w:name w:val="toc 5"/>
    <w:basedOn w:val="Normal"/>
    <w:next w:val="Normal"/>
    <w:autoRedefine/>
    <w:uiPriority w:val="99"/>
    <w:semiHidden/>
    <w:rsid w:val="003D66D7"/>
    <w:pPr>
      <w:tabs>
        <w:tab w:val="right" w:leader="dot" w:pos="9360"/>
      </w:tabs>
      <w:spacing w:before="40" w:after="40"/>
      <w:ind w:left="1080" w:right="720" w:hanging="1080"/>
    </w:pPr>
    <w:rPr>
      <w:noProof/>
    </w:rPr>
  </w:style>
  <w:style w:type="paragraph" w:styleId="Index2">
    <w:name w:val="index 2"/>
    <w:basedOn w:val="Normal"/>
    <w:next w:val="Normal"/>
    <w:autoRedefine/>
    <w:uiPriority w:val="99"/>
    <w:semiHidden/>
    <w:rsid w:val="003D66D7"/>
    <w:pPr>
      <w:ind w:left="360"/>
    </w:pPr>
  </w:style>
  <w:style w:type="paragraph" w:styleId="Index1">
    <w:name w:val="index 1"/>
    <w:basedOn w:val="Normal"/>
    <w:next w:val="Normal"/>
    <w:autoRedefine/>
    <w:uiPriority w:val="99"/>
    <w:semiHidden/>
    <w:rsid w:val="003D66D7"/>
  </w:style>
  <w:style w:type="character" w:styleId="LineNumber">
    <w:name w:val="line number"/>
    <w:basedOn w:val="DefaultParagraphFont"/>
    <w:uiPriority w:val="99"/>
    <w:semiHidden/>
    <w:rsid w:val="003D66D7"/>
    <w:rPr>
      <w:rFonts w:cs="Times New Roman"/>
    </w:rPr>
  </w:style>
  <w:style w:type="paragraph" w:customStyle="1" w:styleId="equation">
    <w:name w:val="equation"/>
    <w:uiPriority w:val="99"/>
    <w:rsid w:val="003D66D7"/>
    <w:pPr>
      <w:tabs>
        <w:tab w:val="center" w:pos="4680"/>
        <w:tab w:val="right" w:pos="9360"/>
      </w:tabs>
      <w:spacing w:after="240" w:line="480" w:lineRule="atLeast"/>
      <w:ind w:firstLine="720"/>
    </w:pPr>
    <w:rPr>
      <w:sz w:val="24"/>
      <w:szCs w:val="24"/>
    </w:rPr>
  </w:style>
  <w:style w:type="paragraph" w:customStyle="1" w:styleId="figurewobox">
    <w:name w:val="figure w/o box"/>
    <w:basedOn w:val="Normal"/>
    <w:uiPriority w:val="99"/>
    <w:rsid w:val="003D66D7"/>
    <w:pPr>
      <w:keepNext/>
      <w:spacing w:before="240"/>
      <w:jc w:val="center"/>
    </w:pPr>
  </w:style>
  <w:style w:type="paragraph" w:customStyle="1" w:styleId="TOC0">
    <w:name w:val="TOC 0"/>
    <w:basedOn w:val="Normal"/>
    <w:uiPriority w:val="99"/>
    <w:rsid w:val="003D66D7"/>
    <w:pPr>
      <w:spacing w:after="240"/>
      <w:jc w:val="center"/>
    </w:pPr>
    <w:rPr>
      <w:b/>
      <w:bCs/>
      <w:caps/>
      <w:sz w:val="28"/>
      <w:szCs w:val="28"/>
    </w:rPr>
  </w:style>
  <w:style w:type="paragraph" w:customStyle="1" w:styleId="toc-tabfig">
    <w:name w:val="toc-tab/fig"/>
    <w:basedOn w:val="Normal"/>
    <w:uiPriority w:val="99"/>
    <w:semiHidden/>
    <w:rsid w:val="003D66D7"/>
    <w:pPr>
      <w:tabs>
        <w:tab w:val="right" w:leader="dot" w:pos="9360"/>
      </w:tabs>
      <w:spacing w:before="240" w:after="80"/>
      <w:ind w:left="900" w:hanging="540"/>
    </w:pPr>
  </w:style>
  <w:style w:type="paragraph" w:customStyle="1" w:styleId="TOCHeader">
    <w:name w:val="TOC Header"/>
    <w:basedOn w:val="Normal"/>
    <w:uiPriority w:val="99"/>
    <w:rsid w:val="003D66D7"/>
    <w:pPr>
      <w:tabs>
        <w:tab w:val="right" w:pos="9360"/>
      </w:tabs>
      <w:spacing w:after="240"/>
    </w:pPr>
    <w:rPr>
      <w:u w:val="words"/>
    </w:rPr>
  </w:style>
  <w:style w:type="paragraph" w:customStyle="1" w:styleId="bullets-2ndlevel">
    <w:name w:val="bullets-2nd level"/>
    <w:basedOn w:val="Normal"/>
    <w:uiPriority w:val="99"/>
    <w:rsid w:val="003D66D7"/>
    <w:pPr>
      <w:spacing w:after="120" w:line="240" w:lineRule="exact"/>
      <w:ind w:left="1440" w:hanging="360"/>
    </w:pPr>
  </w:style>
  <w:style w:type="paragraph" w:customStyle="1" w:styleId="biblio">
    <w:name w:val="biblio"/>
    <w:basedOn w:val="Normal"/>
    <w:uiPriority w:val="99"/>
    <w:rsid w:val="003D66D7"/>
    <w:pPr>
      <w:keepLines/>
      <w:spacing w:after="240"/>
      <w:ind w:left="720" w:hanging="720"/>
    </w:pPr>
  </w:style>
  <w:style w:type="paragraph" w:customStyle="1" w:styleId="NumberBullets">
    <w:name w:val="Number Bullets"/>
    <w:basedOn w:val="Normal"/>
    <w:uiPriority w:val="99"/>
    <w:semiHidden/>
    <w:rsid w:val="003D66D7"/>
    <w:pPr>
      <w:tabs>
        <w:tab w:val="left" w:pos="720"/>
        <w:tab w:val="num" w:pos="1080"/>
      </w:tabs>
      <w:ind w:left="1080" w:hanging="720"/>
    </w:pPr>
  </w:style>
  <w:style w:type="paragraph" w:styleId="List3">
    <w:name w:val="List 3"/>
    <w:basedOn w:val="Normal"/>
    <w:uiPriority w:val="99"/>
    <w:semiHidden/>
    <w:rsid w:val="003D66D7"/>
    <w:pPr>
      <w:ind w:left="1915" w:hanging="360"/>
    </w:pPr>
    <w:rPr>
      <w:rFonts w:ascii="Arial" w:hAnsi="Arial" w:cs="Arial"/>
      <w:spacing w:val="-5"/>
      <w:sz w:val="20"/>
      <w:szCs w:val="20"/>
    </w:rPr>
  </w:style>
  <w:style w:type="paragraph" w:customStyle="1" w:styleId="FigureTitle">
    <w:name w:val="Figure Title"/>
    <w:basedOn w:val="Normal"/>
    <w:uiPriority w:val="99"/>
    <w:rsid w:val="003D66D7"/>
    <w:pPr>
      <w:keepNext/>
      <w:keepLines/>
      <w:spacing w:before="240" w:after="240"/>
    </w:pPr>
    <w:rPr>
      <w:b/>
      <w:bCs/>
    </w:rPr>
  </w:style>
  <w:style w:type="character" w:styleId="FollowedHyperlink">
    <w:name w:val="FollowedHyperlink"/>
    <w:basedOn w:val="DefaultParagraphFont"/>
    <w:uiPriority w:val="99"/>
    <w:rsid w:val="00B35032"/>
    <w:rPr>
      <w:rFonts w:cs="Times New Roman"/>
      <w:color w:val="800080"/>
      <w:u w:val="single"/>
    </w:rPr>
  </w:style>
  <w:style w:type="character" w:customStyle="1" w:styleId="bb-header1">
    <w:name w:val="bb-header1"/>
    <w:basedOn w:val="DefaultParagraphFont"/>
    <w:uiPriority w:val="99"/>
    <w:rsid w:val="00E25182"/>
    <w:rPr>
      <w:rFonts w:cs="Times New Roman"/>
      <w:color w:val="333399"/>
    </w:rPr>
  </w:style>
  <w:style w:type="paragraph" w:customStyle="1" w:styleId="EvalDesignLevel1">
    <w:name w:val="Eval Design Level 1"/>
    <w:basedOn w:val="Heading2"/>
    <w:uiPriority w:val="99"/>
    <w:rsid w:val="00E25182"/>
    <w:pPr>
      <w:keepLines/>
      <w:spacing w:after="0"/>
      <w:ind w:left="0" w:right="-630" w:firstLine="0"/>
      <w:jc w:val="center"/>
    </w:pPr>
    <w:rPr>
      <w:rFonts w:ascii="Arial" w:hAnsi="Arial" w:cs="Arial"/>
      <w:caps/>
    </w:rPr>
  </w:style>
  <w:style w:type="paragraph" w:styleId="ListParagraph">
    <w:name w:val="List Paragraph"/>
    <w:basedOn w:val="Normal"/>
    <w:uiPriority w:val="99"/>
    <w:qFormat/>
    <w:rsid w:val="008C1EE1"/>
    <w:pPr>
      <w:ind w:left="720"/>
    </w:pPr>
  </w:style>
  <w:style w:type="character" w:customStyle="1" w:styleId="flushChar">
    <w:name w:val="flush Char"/>
    <w:basedOn w:val="DefaultParagraphFont"/>
    <w:uiPriority w:val="99"/>
    <w:rsid w:val="00541110"/>
    <w:rPr>
      <w:rFonts w:ascii="Verdana" w:eastAsia="MS Mincho" w:hAnsi="Verdana" w:cs="Verdana"/>
      <w:sz w:val="20"/>
      <w:szCs w:val="20"/>
    </w:rPr>
  </w:style>
  <w:style w:type="paragraph" w:styleId="BodyText2">
    <w:name w:val="Body Text 2"/>
    <w:basedOn w:val="Normal"/>
    <w:link w:val="BodyText2Char"/>
    <w:uiPriority w:val="99"/>
    <w:rsid w:val="005411BC"/>
    <w:pPr>
      <w:spacing w:after="120" w:line="480" w:lineRule="auto"/>
    </w:pPr>
  </w:style>
  <w:style w:type="character" w:customStyle="1" w:styleId="BodyText2Char">
    <w:name w:val="Body Text 2 Char"/>
    <w:basedOn w:val="DefaultParagraphFont"/>
    <w:link w:val="BodyText2"/>
    <w:uiPriority w:val="99"/>
    <w:semiHidden/>
    <w:locked/>
    <w:rsid w:val="006A0A6E"/>
    <w:rPr>
      <w:rFonts w:cs="Times New Roman"/>
      <w:sz w:val="24"/>
      <w:szCs w:val="24"/>
    </w:rPr>
  </w:style>
  <w:style w:type="paragraph" w:styleId="BodyTextIndent3">
    <w:name w:val="Body Text Indent 3"/>
    <w:basedOn w:val="Normal"/>
    <w:link w:val="BodyTextIndent3Char"/>
    <w:uiPriority w:val="99"/>
    <w:rsid w:val="00921B0C"/>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6A0A6E"/>
    <w:rPr>
      <w:rFonts w:cs="Times New Roman"/>
      <w:sz w:val="16"/>
      <w:szCs w:val="16"/>
    </w:rPr>
  </w:style>
  <w:style w:type="paragraph" w:styleId="HTMLAddress">
    <w:name w:val="HTML Address"/>
    <w:basedOn w:val="Normal"/>
    <w:link w:val="HTMLAddressChar"/>
    <w:uiPriority w:val="99"/>
    <w:rsid w:val="00E26174"/>
    <w:rPr>
      <w:i/>
      <w:iCs/>
    </w:rPr>
  </w:style>
  <w:style w:type="character" w:customStyle="1" w:styleId="HTMLAddressChar">
    <w:name w:val="HTML Address Char"/>
    <w:basedOn w:val="DefaultParagraphFont"/>
    <w:link w:val="HTMLAddress"/>
    <w:uiPriority w:val="99"/>
    <w:semiHidden/>
    <w:locked/>
    <w:rsid w:val="006A0A6E"/>
    <w:rPr>
      <w:rFonts w:cs="Times New Roman"/>
      <w:i/>
      <w:iCs/>
      <w:sz w:val="24"/>
      <w:szCs w:val="24"/>
    </w:rPr>
  </w:style>
  <w:style w:type="character" w:customStyle="1" w:styleId="spelle">
    <w:name w:val="spelle"/>
    <w:basedOn w:val="DefaultParagraphFont"/>
    <w:uiPriority w:val="99"/>
    <w:rsid w:val="00D31116"/>
    <w:rPr>
      <w:rFonts w:cs="Times New Roman"/>
    </w:rPr>
  </w:style>
  <w:style w:type="paragraph" w:customStyle="1" w:styleId="CM46">
    <w:name w:val="CM46"/>
    <w:basedOn w:val="Default"/>
    <w:next w:val="Default"/>
    <w:uiPriority w:val="99"/>
    <w:rsid w:val="00530393"/>
    <w:pPr>
      <w:spacing w:after="263"/>
    </w:pPr>
    <w:rPr>
      <w:color w:val="auto"/>
    </w:rPr>
  </w:style>
  <w:style w:type="character" w:customStyle="1" w:styleId="title-link-wrapper">
    <w:name w:val="title-link-wrapper"/>
    <w:basedOn w:val="DefaultParagraphFont"/>
    <w:uiPriority w:val="99"/>
    <w:rsid w:val="004339C8"/>
    <w:rPr>
      <w:rFonts w:cs="Times New Roman"/>
    </w:rPr>
  </w:style>
  <w:style w:type="character" w:customStyle="1" w:styleId="medium-font">
    <w:name w:val="medium-font"/>
    <w:basedOn w:val="DefaultParagraphFont"/>
    <w:uiPriority w:val="99"/>
    <w:rsid w:val="004339C8"/>
    <w:rPr>
      <w:rFonts w:cs="Times New Roman"/>
    </w:rPr>
  </w:style>
  <w:style w:type="paragraph" w:customStyle="1" w:styleId="refentry">
    <w:name w:val="refentry"/>
    <w:basedOn w:val="Normal"/>
    <w:uiPriority w:val="99"/>
    <w:rsid w:val="00802532"/>
    <w:pPr>
      <w:spacing w:before="100" w:beforeAutospacing="1" w:after="100" w:afterAutospacing="1"/>
    </w:pPr>
  </w:style>
  <w:style w:type="character" w:customStyle="1" w:styleId="CharChar1">
    <w:name w:val="Char Char1"/>
    <w:basedOn w:val="DefaultParagraphFont"/>
    <w:uiPriority w:val="99"/>
    <w:semiHidden/>
    <w:locked/>
    <w:rsid w:val="00405A88"/>
    <w:rPr>
      <w:rFonts w:cs="Times New Roman"/>
      <w:lang w:val="en-US" w:eastAsia="en-US"/>
    </w:rPr>
  </w:style>
  <w:style w:type="paragraph" w:styleId="Revision">
    <w:name w:val="Revision"/>
    <w:hidden/>
    <w:uiPriority w:val="99"/>
    <w:semiHidden/>
    <w:rsid w:val="00F226EA"/>
    <w:rPr>
      <w:sz w:val="24"/>
      <w:szCs w:val="24"/>
    </w:rPr>
  </w:style>
</w:styles>
</file>

<file path=word/webSettings.xml><?xml version="1.0" encoding="utf-8"?>
<w:webSettings xmlns:r="http://schemas.openxmlformats.org/officeDocument/2006/relationships" xmlns:w="http://schemas.openxmlformats.org/wordprocessingml/2006/main">
  <w:divs>
    <w:div w:id="1998604716">
      <w:marLeft w:val="0"/>
      <w:marRight w:val="0"/>
      <w:marTop w:val="0"/>
      <w:marBottom w:val="0"/>
      <w:divBdr>
        <w:top w:val="none" w:sz="0" w:space="0" w:color="auto"/>
        <w:left w:val="none" w:sz="0" w:space="0" w:color="auto"/>
        <w:bottom w:val="none" w:sz="0" w:space="0" w:color="auto"/>
        <w:right w:val="none" w:sz="0" w:space="0" w:color="auto"/>
      </w:divBdr>
    </w:div>
    <w:div w:id="1998604717">
      <w:marLeft w:val="0"/>
      <w:marRight w:val="0"/>
      <w:marTop w:val="0"/>
      <w:marBottom w:val="0"/>
      <w:divBdr>
        <w:top w:val="none" w:sz="0" w:space="0" w:color="auto"/>
        <w:left w:val="none" w:sz="0" w:space="0" w:color="auto"/>
        <w:bottom w:val="none" w:sz="0" w:space="0" w:color="auto"/>
        <w:right w:val="none" w:sz="0" w:space="0" w:color="auto"/>
      </w:divBdr>
      <w:divsChild>
        <w:div w:id="1998604740">
          <w:marLeft w:val="0"/>
          <w:marRight w:val="0"/>
          <w:marTop w:val="0"/>
          <w:marBottom w:val="0"/>
          <w:divBdr>
            <w:top w:val="none" w:sz="0" w:space="0" w:color="auto"/>
            <w:left w:val="none" w:sz="0" w:space="0" w:color="auto"/>
            <w:bottom w:val="none" w:sz="0" w:space="0" w:color="auto"/>
            <w:right w:val="none" w:sz="0" w:space="0" w:color="auto"/>
          </w:divBdr>
          <w:divsChild>
            <w:div w:id="1998604735">
              <w:marLeft w:val="0"/>
              <w:marRight w:val="0"/>
              <w:marTop w:val="0"/>
              <w:marBottom w:val="0"/>
              <w:divBdr>
                <w:top w:val="none" w:sz="0" w:space="0" w:color="auto"/>
                <w:left w:val="none" w:sz="0" w:space="0" w:color="auto"/>
                <w:bottom w:val="none" w:sz="0" w:space="0" w:color="auto"/>
                <w:right w:val="none" w:sz="0" w:space="0" w:color="auto"/>
              </w:divBdr>
              <w:divsChild>
                <w:div w:id="1998604718">
                  <w:marLeft w:val="0"/>
                  <w:marRight w:val="0"/>
                  <w:marTop w:val="0"/>
                  <w:marBottom w:val="0"/>
                  <w:divBdr>
                    <w:top w:val="none" w:sz="0" w:space="0" w:color="auto"/>
                    <w:left w:val="none" w:sz="0" w:space="0" w:color="auto"/>
                    <w:bottom w:val="none" w:sz="0" w:space="0" w:color="auto"/>
                    <w:right w:val="none" w:sz="0" w:space="0" w:color="auto"/>
                  </w:divBdr>
                  <w:divsChild>
                    <w:div w:id="1998604725">
                      <w:marLeft w:val="0"/>
                      <w:marRight w:val="0"/>
                      <w:marTop w:val="0"/>
                      <w:marBottom w:val="0"/>
                      <w:divBdr>
                        <w:top w:val="none" w:sz="0" w:space="0" w:color="auto"/>
                        <w:left w:val="none" w:sz="0" w:space="0" w:color="auto"/>
                        <w:bottom w:val="none" w:sz="0" w:space="0" w:color="auto"/>
                        <w:right w:val="none" w:sz="0" w:space="0" w:color="auto"/>
                      </w:divBdr>
                      <w:divsChild>
                        <w:div w:id="1998604737">
                          <w:marLeft w:val="0"/>
                          <w:marRight w:val="0"/>
                          <w:marTop w:val="0"/>
                          <w:marBottom w:val="0"/>
                          <w:divBdr>
                            <w:top w:val="none" w:sz="0" w:space="0" w:color="auto"/>
                            <w:left w:val="none" w:sz="0" w:space="0" w:color="auto"/>
                            <w:bottom w:val="none" w:sz="0" w:space="0" w:color="auto"/>
                            <w:right w:val="none" w:sz="0" w:space="0" w:color="auto"/>
                          </w:divBdr>
                          <w:divsChild>
                            <w:div w:id="1998604739">
                              <w:marLeft w:val="0"/>
                              <w:marRight w:val="0"/>
                              <w:marTop w:val="0"/>
                              <w:marBottom w:val="0"/>
                              <w:divBdr>
                                <w:top w:val="none" w:sz="0" w:space="0" w:color="auto"/>
                                <w:left w:val="none" w:sz="0" w:space="0" w:color="auto"/>
                                <w:bottom w:val="none" w:sz="0" w:space="0" w:color="auto"/>
                                <w:right w:val="none" w:sz="0" w:space="0" w:color="auto"/>
                              </w:divBdr>
                              <w:divsChild>
                                <w:div w:id="1998604732">
                                  <w:marLeft w:val="0"/>
                                  <w:marRight w:val="0"/>
                                  <w:marTop w:val="0"/>
                                  <w:marBottom w:val="0"/>
                                  <w:divBdr>
                                    <w:top w:val="none" w:sz="0" w:space="0" w:color="auto"/>
                                    <w:left w:val="none" w:sz="0" w:space="0" w:color="auto"/>
                                    <w:bottom w:val="none" w:sz="0" w:space="0" w:color="auto"/>
                                    <w:right w:val="none" w:sz="0" w:space="0" w:color="auto"/>
                                  </w:divBdr>
                                  <w:divsChild>
                                    <w:div w:id="1998604724">
                                      <w:marLeft w:val="0"/>
                                      <w:marRight w:val="0"/>
                                      <w:marTop w:val="0"/>
                                      <w:marBottom w:val="0"/>
                                      <w:divBdr>
                                        <w:top w:val="none" w:sz="0" w:space="0" w:color="auto"/>
                                        <w:left w:val="none" w:sz="0" w:space="0" w:color="auto"/>
                                        <w:bottom w:val="none" w:sz="0" w:space="0" w:color="auto"/>
                                        <w:right w:val="none" w:sz="0" w:space="0" w:color="auto"/>
                                      </w:divBdr>
                                      <w:divsChild>
                                        <w:div w:id="1998604733">
                                          <w:marLeft w:val="0"/>
                                          <w:marRight w:val="0"/>
                                          <w:marTop w:val="0"/>
                                          <w:marBottom w:val="0"/>
                                          <w:divBdr>
                                            <w:top w:val="none" w:sz="0" w:space="0" w:color="auto"/>
                                            <w:left w:val="none" w:sz="0" w:space="0" w:color="auto"/>
                                            <w:bottom w:val="none" w:sz="0" w:space="0" w:color="auto"/>
                                            <w:right w:val="none" w:sz="0" w:space="0" w:color="auto"/>
                                          </w:divBdr>
                                          <w:divsChild>
                                            <w:div w:id="1998604728">
                                              <w:marLeft w:val="0"/>
                                              <w:marRight w:val="0"/>
                                              <w:marTop w:val="0"/>
                                              <w:marBottom w:val="0"/>
                                              <w:divBdr>
                                                <w:top w:val="none" w:sz="0" w:space="0" w:color="auto"/>
                                                <w:left w:val="none" w:sz="0" w:space="0" w:color="auto"/>
                                                <w:bottom w:val="none" w:sz="0" w:space="0" w:color="auto"/>
                                                <w:right w:val="none" w:sz="0" w:space="0" w:color="auto"/>
                                              </w:divBdr>
                                              <w:divsChild>
                                                <w:div w:id="19986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8604722">
      <w:marLeft w:val="0"/>
      <w:marRight w:val="0"/>
      <w:marTop w:val="0"/>
      <w:marBottom w:val="0"/>
      <w:divBdr>
        <w:top w:val="none" w:sz="0" w:space="0" w:color="auto"/>
        <w:left w:val="none" w:sz="0" w:space="0" w:color="auto"/>
        <w:bottom w:val="none" w:sz="0" w:space="0" w:color="auto"/>
        <w:right w:val="none" w:sz="0" w:space="0" w:color="auto"/>
      </w:divBdr>
      <w:divsChild>
        <w:div w:id="1998604719">
          <w:marLeft w:val="0"/>
          <w:marRight w:val="0"/>
          <w:marTop w:val="0"/>
          <w:marBottom w:val="0"/>
          <w:divBdr>
            <w:top w:val="none" w:sz="0" w:space="0" w:color="auto"/>
            <w:left w:val="none" w:sz="0" w:space="0" w:color="auto"/>
            <w:bottom w:val="none" w:sz="0" w:space="0" w:color="auto"/>
            <w:right w:val="none" w:sz="0" w:space="0" w:color="auto"/>
          </w:divBdr>
        </w:div>
      </w:divsChild>
    </w:div>
    <w:div w:id="1998604723">
      <w:marLeft w:val="0"/>
      <w:marRight w:val="0"/>
      <w:marTop w:val="0"/>
      <w:marBottom w:val="0"/>
      <w:divBdr>
        <w:top w:val="none" w:sz="0" w:space="0" w:color="auto"/>
        <w:left w:val="none" w:sz="0" w:space="0" w:color="auto"/>
        <w:bottom w:val="none" w:sz="0" w:space="0" w:color="auto"/>
        <w:right w:val="none" w:sz="0" w:space="0" w:color="auto"/>
      </w:divBdr>
    </w:div>
    <w:div w:id="1998604726">
      <w:marLeft w:val="0"/>
      <w:marRight w:val="0"/>
      <w:marTop w:val="0"/>
      <w:marBottom w:val="0"/>
      <w:divBdr>
        <w:top w:val="none" w:sz="0" w:space="0" w:color="auto"/>
        <w:left w:val="none" w:sz="0" w:space="0" w:color="auto"/>
        <w:bottom w:val="none" w:sz="0" w:space="0" w:color="auto"/>
        <w:right w:val="none" w:sz="0" w:space="0" w:color="auto"/>
      </w:divBdr>
      <w:divsChild>
        <w:div w:id="1998604736">
          <w:marLeft w:val="0"/>
          <w:marRight w:val="0"/>
          <w:marTop w:val="0"/>
          <w:marBottom w:val="0"/>
          <w:divBdr>
            <w:top w:val="none" w:sz="0" w:space="0" w:color="auto"/>
            <w:left w:val="none" w:sz="0" w:space="0" w:color="auto"/>
            <w:bottom w:val="none" w:sz="0" w:space="0" w:color="auto"/>
            <w:right w:val="none" w:sz="0" w:space="0" w:color="auto"/>
          </w:divBdr>
          <w:divsChild>
            <w:div w:id="199860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727">
      <w:marLeft w:val="0"/>
      <w:marRight w:val="0"/>
      <w:marTop w:val="0"/>
      <w:marBottom w:val="0"/>
      <w:divBdr>
        <w:top w:val="none" w:sz="0" w:space="0" w:color="auto"/>
        <w:left w:val="none" w:sz="0" w:space="0" w:color="auto"/>
        <w:bottom w:val="none" w:sz="0" w:space="0" w:color="auto"/>
        <w:right w:val="none" w:sz="0" w:space="0" w:color="auto"/>
      </w:divBdr>
      <w:divsChild>
        <w:div w:id="1998604720">
          <w:marLeft w:val="0"/>
          <w:marRight w:val="0"/>
          <w:marTop w:val="0"/>
          <w:marBottom w:val="0"/>
          <w:divBdr>
            <w:top w:val="none" w:sz="0" w:space="0" w:color="auto"/>
            <w:left w:val="none" w:sz="0" w:space="0" w:color="auto"/>
            <w:bottom w:val="none" w:sz="0" w:space="0" w:color="auto"/>
            <w:right w:val="none" w:sz="0" w:space="0" w:color="auto"/>
          </w:divBdr>
        </w:div>
      </w:divsChild>
    </w:div>
    <w:div w:id="1998604729">
      <w:marLeft w:val="0"/>
      <w:marRight w:val="0"/>
      <w:marTop w:val="0"/>
      <w:marBottom w:val="0"/>
      <w:divBdr>
        <w:top w:val="none" w:sz="0" w:space="0" w:color="auto"/>
        <w:left w:val="none" w:sz="0" w:space="0" w:color="auto"/>
        <w:bottom w:val="none" w:sz="0" w:space="0" w:color="auto"/>
        <w:right w:val="none" w:sz="0" w:space="0" w:color="auto"/>
      </w:divBdr>
    </w:div>
    <w:div w:id="1998604730">
      <w:marLeft w:val="0"/>
      <w:marRight w:val="0"/>
      <w:marTop w:val="0"/>
      <w:marBottom w:val="0"/>
      <w:divBdr>
        <w:top w:val="none" w:sz="0" w:space="0" w:color="auto"/>
        <w:left w:val="none" w:sz="0" w:space="0" w:color="auto"/>
        <w:bottom w:val="none" w:sz="0" w:space="0" w:color="auto"/>
        <w:right w:val="none" w:sz="0" w:space="0" w:color="auto"/>
      </w:divBdr>
    </w:div>
    <w:div w:id="1998604731">
      <w:marLeft w:val="0"/>
      <w:marRight w:val="0"/>
      <w:marTop w:val="0"/>
      <w:marBottom w:val="0"/>
      <w:divBdr>
        <w:top w:val="none" w:sz="0" w:space="0" w:color="auto"/>
        <w:left w:val="none" w:sz="0" w:space="0" w:color="auto"/>
        <w:bottom w:val="none" w:sz="0" w:space="0" w:color="auto"/>
        <w:right w:val="none" w:sz="0" w:space="0" w:color="auto"/>
      </w:divBdr>
    </w:div>
    <w:div w:id="1998604734">
      <w:marLeft w:val="0"/>
      <w:marRight w:val="0"/>
      <w:marTop w:val="0"/>
      <w:marBottom w:val="0"/>
      <w:divBdr>
        <w:top w:val="none" w:sz="0" w:space="0" w:color="auto"/>
        <w:left w:val="none" w:sz="0" w:space="0" w:color="auto"/>
        <w:bottom w:val="none" w:sz="0" w:space="0" w:color="auto"/>
        <w:right w:val="none" w:sz="0" w:space="0" w:color="auto"/>
      </w:divBdr>
    </w:div>
    <w:div w:id="1998604741">
      <w:marLeft w:val="0"/>
      <w:marRight w:val="0"/>
      <w:marTop w:val="0"/>
      <w:marBottom w:val="0"/>
      <w:divBdr>
        <w:top w:val="none" w:sz="0" w:space="0" w:color="auto"/>
        <w:left w:val="none" w:sz="0" w:space="0" w:color="auto"/>
        <w:bottom w:val="none" w:sz="0" w:space="0" w:color="auto"/>
        <w:right w:val="none" w:sz="0" w:space="0" w:color="auto"/>
      </w:divBdr>
    </w:div>
    <w:div w:id="1998604742">
      <w:marLeft w:val="0"/>
      <w:marRight w:val="0"/>
      <w:marTop w:val="0"/>
      <w:marBottom w:val="0"/>
      <w:divBdr>
        <w:top w:val="none" w:sz="0" w:space="0" w:color="auto"/>
        <w:left w:val="none" w:sz="0" w:space="0" w:color="auto"/>
        <w:bottom w:val="none" w:sz="0" w:space="0" w:color="auto"/>
        <w:right w:val="none" w:sz="0" w:space="0" w:color="auto"/>
      </w:divBdr>
    </w:div>
    <w:div w:id="1998604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zbelgra@vcu.edu" TargetMode="External"/><Relationship Id="rId13" Type="http://schemas.openxmlformats.org/officeDocument/2006/relationships/hyperlink" Target="mailto:jfriedman@liaac.com" TargetMode="External"/><Relationship Id="rId18" Type="http://schemas.openxmlformats.org/officeDocument/2006/relationships/hyperlink" Target="mailto:sybilwardjccsi@comcast.ne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rg650@columbia.edu" TargetMode="External"/><Relationship Id="rId7" Type="http://schemas.openxmlformats.org/officeDocument/2006/relationships/image" Target="media/image1.emf"/><Relationship Id="rId12" Type="http://schemas.openxmlformats.org/officeDocument/2006/relationships/hyperlink" Target="mailto:aeke@cdc.gov" TargetMode="External"/><Relationship Id="rId17" Type="http://schemas.openxmlformats.org/officeDocument/2006/relationships/hyperlink" Target="mailto:jnormand@nida.nih.go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llundgre@bu.edu" TargetMode="External"/><Relationship Id="rId20" Type="http://schemas.openxmlformats.org/officeDocument/2006/relationships/hyperlink" Target="mailto:nzaller@lifesp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unning@montefiore.org" TargetMode="External"/><Relationship Id="rId24" Type="http://schemas.openxmlformats.org/officeDocument/2006/relationships/hyperlink" Target="http://www.healthypeople.gov/HP2020/objectives/ViewObjective.aspx?Id=595&amp;TopicArea=Substance+Abuse&amp;Objective=SA+HP2020%e2%80%936&amp;TopicAreaId=46" TargetMode="External"/><Relationship Id="rId5" Type="http://schemas.openxmlformats.org/officeDocument/2006/relationships/footnotes" Target="footnotes.xml"/><Relationship Id="rId15" Type="http://schemas.openxmlformats.org/officeDocument/2006/relationships/hyperlink" Target="mailto:rg650@columbia.edu" TargetMode="External"/><Relationship Id="rId23" Type="http://schemas.openxmlformats.org/officeDocument/2006/relationships/hyperlink" Target="https://webmail2.jbsinternational.com/owa/redir.aspx?C=a74b3dee91c84f3aa4d65a790e8ff9e9&amp;URL=http%3a%2f%2fwww.bls.gov%2foes%2f2008%2fmay%2foes_nat.htm%23b21-0000" TargetMode="External"/><Relationship Id="rId28" Type="http://schemas.openxmlformats.org/officeDocument/2006/relationships/theme" Target="theme/theme1.xml"/><Relationship Id="rId10" Type="http://schemas.openxmlformats.org/officeDocument/2006/relationships/hyperlink" Target="mailto:karen.corsi@uchsc.edu" TargetMode="External"/><Relationship Id="rId19" Type="http://schemas.openxmlformats.org/officeDocument/2006/relationships/hyperlink" Target="mailto:chevy@uic.edu" TargetMode="External"/><Relationship Id="rId4" Type="http://schemas.openxmlformats.org/officeDocument/2006/relationships/webSettings" Target="webSettings.xml"/><Relationship Id="rId9" Type="http://schemas.openxmlformats.org/officeDocument/2006/relationships/hyperlink" Target="mailto:benjamin.bowser@csueastbay.edu" TargetMode="External"/><Relationship Id="rId14" Type="http://schemas.openxmlformats.org/officeDocument/2006/relationships/hyperlink" Target="mailto:ref5@columbia.edu" TargetMode="External"/><Relationship Id="rId22" Type="http://schemas.openxmlformats.org/officeDocument/2006/relationships/hyperlink" Target="http://www.ibr.tcu.edu/pubs/datacoll/commtrt.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43</Pages>
  <Words>16698</Words>
  <Characters>-32766</Characters>
  <Application>Microsoft Office Outlook</Application>
  <DocSecurity>0</DocSecurity>
  <Lines>0</Lines>
  <Paragraphs>0</Paragraphs>
  <ScaleCrop>false</ScaleCrop>
  <Company>SAMHSA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proth</dc:creator>
  <cp:keywords/>
  <dc:description/>
  <cp:lastModifiedBy>SKING</cp:lastModifiedBy>
  <cp:revision>14</cp:revision>
  <cp:lastPrinted>2010-10-19T18:31:00Z</cp:lastPrinted>
  <dcterms:created xsi:type="dcterms:W3CDTF">2010-10-19T19:20:00Z</dcterms:created>
  <dcterms:modified xsi:type="dcterms:W3CDTF">2010-10-22T18:17:00Z</dcterms:modified>
</cp:coreProperties>
</file>