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16" w:rsidRDefault="00674216" w:rsidP="001014B4">
      <w:pPr>
        <w:tabs>
          <w:tab w:val="left" w:pos="720"/>
        </w:tabs>
        <w:rPr>
          <w:b/>
          <w:smallCaps/>
          <w:szCs w:val="24"/>
        </w:rPr>
      </w:pPr>
    </w:p>
    <w:p w:rsidR="00674216" w:rsidRPr="0025689F" w:rsidRDefault="00674216" w:rsidP="00674216">
      <w:pPr>
        <w:tabs>
          <w:tab w:val="left" w:pos="720"/>
        </w:tabs>
        <w:jc w:val="center"/>
        <w:rPr>
          <w:b/>
          <w:sz w:val="32"/>
          <w:szCs w:val="32"/>
        </w:rPr>
      </w:pPr>
      <w:r w:rsidRPr="0025689F">
        <w:rPr>
          <w:b/>
          <w:sz w:val="32"/>
          <w:szCs w:val="32"/>
        </w:rPr>
        <w:t>BTOP Comprehensive Community Infrastructure</w:t>
      </w:r>
    </w:p>
    <w:p w:rsidR="0025689F" w:rsidRPr="0025689F" w:rsidRDefault="00780DCF" w:rsidP="008763D5">
      <w:pPr>
        <w:tabs>
          <w:tab w:val="left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Baseline </w:t>
      </w:r>
      <w:r w:rsidR="008763D5">
        <w:rPr>
          <w:b/>
          <w:sz w:val="32"/>
          <w:szCs w:val="32"/>
        </w:rPr>
        <w:t>Project Plan</w:t>
      </w:r>
    </w:p>
    <w:p w:rsidR="00CA04E2" w:rsidRDefault="00CA04E2" w:rsidP="00CA04E2">
      <w:pPr>
        <w:tabs>
          <w:tab w:val="left" w:pos="720"/>
        </w:tabs>
        <w:rPr>
          <w:b/>
          <w:sz w:val="32"/>
        </w:rPr>
      </w:pPr>
    </w:p>
    <w:p w:rsidR="001014B4" w:rsidRDefault="00CA04E2" w:rsidP="001014B4">
      <w:pPr>
        <w:tabs>
          <w:tab w:val="left" w:pos="720"/>
        </w:tabs>
        <w:rPr>
          <w:b/>
          <w:smallCaps/>
          <w:color w:val="FF0000"/>
          <w:szCs w:val="24"/>
        </w:rPr>
      </w:pPr>
      <w:r w:rsidRPr="00CA04E2">
        <w:pict>
          <v:line id="_x0000_s1027" style="position:absolute;flip:y;z-index:251658752" from="0,.95pt" to="655.6pt,.95pt" strokecolor="#17365d" strokeweight=".25pt"/>
        </w:pict>
      </w:r>
    </w:p>
    <w:p w:rsidR="001B153C" w:rsidRDefault="00320252" w:rsidP="001014B4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>NTIA</w:t>
      </w:r>
      <w:r w:rsidRPr="00320252">
        <w:t xml:space="preserve"> understand</w:t>
      </w:r>
      <w:r>
        <w:t>s</w:t>
      </w:r>
      <w:r w:rsidRPr="00320252">
        <w:t xml:space="preserve"> that your previously estimated milestones and key indicators may have changed as a result of Federal bidding requirements, special award conditions, new information, or other events. </w:t>
      </w:r>
      <w:r>
        <w:t>Therefore,</w:t>
      </w:r>
      <w:r w:rsidR="00256846">
        <w:t xml:space="preserve"> as part of your baseline</w:t>
      </w:r>
      <w:r w:rsidR="008A3386">
        <w:t xml:space="preserve"> report</w:t>
      </w:r>
      <w:r w:rsidR="00256846">
        <w:t>,</w:t>
      </w:r>
      <w:r>
        <w:t xml:space="preserve"> we request</w:t>
      </w:r>
      <w:r w:rsidR="003644A3">
        <w:t xml:space="preserve"> </w:t>
      </w:r>
      <w:r w:rsidR="00281D01">
        <w:t xml:space="preserve">an updated </w:t>
      </w:r>
      <w:r w:rsidR="003644A3">
        <w:t>version of the</w:t>
      </w:r>
      <w:r>
        <w:t xml:space="preserve"> project plan</w:t>
      </w:r>
      <w:r w:rsidR="003644A3">
        <w:t xml:space="preserve"> </w:t>
      </w:r>
      <w:r w:rsidR="00281D01">
        <w:t xml:space="preserve">chart </w:t>
      </w:r>
      <w:r>
        <w:t xml:space="preserve">that you </w:t>
      </w:r>
      <w:r w:rsidR="00281D01">
        <w:t xml:space="preserve">submitted with </w:t>
      </w:r>
      <w:r w:rsidR="003644A3">
        <w:t>your</w:t>
      </w:r>
      <w:r>
        <w:t xml:space="preserve"> original</w:t>
      </w:r>
      <w:r w:rsidR="00281D01">
        <w:t xml:space="preserve"> application</w:t>
      </w:r>
      <w:r w:rsidR="003644A3">
        <w:t>.</w:t>
      </w:r>
    </w:p>
    <w:p w:rsidR="001014B4" w:rsidRDefault="001014B4" w:rsidP="001014B4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>Use the following table to list the major network build-out phases and milestones that can demonstrate that your entire project will be substantially complete by the end of Year 2 and fully complete by the end of Year 3.   This is to be done at the aggregate level (combining all service areas.)</w:t>
      </w:r>
    </w:p>
    <w:p w:rsidR="0013702B" w:rsidRDefault="00686433" w:rsidP="001014B4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>The recipient</w:t>
      </w:r>
      <w:r w:rsidR="001014B4">
        <w:t xml:space="preserve"> should consider such project areas as: a) network design; b) securing all relevant licenses and agreements; c) site preparation; d) inside plant deployment; e) outside plan deployment; f) deployment of business &amp; operational support systems; g) network testing; f) network operational. </w:t>
      </w:r>
      <w:r>
        <w:t>The recipient</w:t>
      </w:r>
      <w:r w:rsidR="001014B4">
        <w:t xml:space="preserve"> may provide any other milestones that it believes showcase progress. </w:t>
      </w:r>
    </w:p>
    <w:p w:rsidR="006B7602" w:rsidRDefault="001014B4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 xml:space="preserve">Project inception (Year </w:t>
      </w:r>
      <w:r w:rsidR="00B85D6C">
        <w:t>1, Qtr. 1</w:t>
      </w:r>
      <w:r>
        <w:t xml:space="preserve">) </w:t>
      </w:r>
      <w:r w:rsidR="00281D01">
        <w:t>begins on the recipient’s award start date.</w:t>
      </w:r>
      <w:r w:rsidR="00281D01" w:rsidDel="00281D01">
        <w:t xml:space="preserve"> </w:t>
      </w:r>
    </w:p>
    <w:p w:rsidR="00EB3573" w:rsidRDefault="00EB3573">
      <w:pPr>
        <w:numPr>
          <w:ilvl w:val="0"/>
          <w:numId w:val="4"/>
        </w:numPr>
        <w:tabs>
          <w:tab w:val="left" w:pos="720"/>
        </w:tabs>
        <w:spacing w:before="120" w:after="120"/>
      </w:pPr>
      <w:r>
        <w:t xml:space="preserve">You may choose to use the Narrative </w:t>
      </w:r>
      <w:r w:rsidR="000B3E6B">
        <w:t>E</w:t>
      </w:r>
      <w:r>
        <w:t>xplanation column to explain briefly how this timeline differs from the schedule provided in your original application.</w:t>
      </w:r>
    </w:p>
    <w:p w:rsidR="0067003B" w:rsidRDefault="0067003B" w:rsidP="0067003B">
      <w:pPr>
        <w:tabs>
          <w:tab w:val="left" w:pos="720"/>
        </w:tabs>
        <w:spacing w:before="120" w:after="120"/>
        <w:ind w:left="720"/>
      </w:pPr>
    </w:p>
    <w:tbl>
      <w:tblPr>
        <w:tblW w:w="12888" w:type="dxa"/>
        <w:tblLook w:val="0000"/>
      </w:tblPr>
      <w:tblGrid>
        <w:gridCol w:w="1188"/>
        <w:gridCol w:w="1080"/>
        <w:gridCol w:w="5490"/>
        <w:gridCol w:w="5130"/>
      </w:tblGrid>
      <w:tr w:rsidR="001014B4">
        <w:trPr>
          <w:trHeight w:val="320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Time Period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 xml:space="preserve">Quarter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14B4" w:rsidRDefault="00101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Milestones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14B4" w:rsidRDefault="002E05F8" w:rsidP="000B3E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Narrative </w:t>
            </w:r>
            <w:r w:rsidR="000B3E6B">
              <w:rPr>
                <w:sz w:val="20"/>
              </w:rPr>
              <w:t xml:space="preserve">Explanation </w:t>
            </w:r>
            <w:r>
              <w:rPr>
                <w:sz w:val="20"/>
              </w:rPr>
              <w:t>(if any)</w:t>
            </w:r>
          </w:p>
        </w:tc>
      </w:tr>
      <w:tr w:rsidR="001014B4">
        <w:trPr>
          <w:trHeight w:val="3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Year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ind w:left="330"/>
              <w:rPr>
                <w:sz w:val="20"/>
              </w:rPr>
            </w:pPr>
          </w:p>
          <w:p w:rsidR="001014B4" w:rsidRDefault="001014B4">
            <w:pPr>
              <w:ind w:left="330"/>
              <w:rPr>
                <w:sz w:val="20"/>
              </w:rPr>
            </w:pPr>
          </w:p>
          <w:p w:rsidR="001014B4" w:rsidRDefault="001014B4">
            <w:pPr>
              <w:ind w:left="330"/>
              <w:rPr>
                <w:sz w:val="20"/>
              </w:rPr>
            </w:pPr>
          </w:p>
          <w:p w:rsidR="001014B4" w:rsidRDefault="001014B4">
            <w:pPr>
              <w:ind w:left="330"/>
              <w:rPr>
                <w:sz w:val="20"/>
              </w:rPr>
            </w:pPr>
          </w:p>
          <w:p w:rsidR="001014B4" w:rsidRDefault="001014B4">
            <w:pPr>
              <w:ind w:left="330"/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Year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Year 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  <w:tr w:rsidR="001014B4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4B4" w:rsidRDefault="001014B4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>
            <w:pPr>
              <w:rPr>
                <w:sz w:val="20"/>
              </w:rPr>
            </w:pPr>
            <w:r>
              <w:rPr>
                <w:sz w:val="20"/>
              </w:rPr>
              <w:t>Qtr. 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B4" w:rsidRDefault="001014B4" w:rsidP="001014B4">
            <w:pPr>
              <w:numPr>
                <w:ilvl w:val="0"/>
                <w:numId w:val="5"/>
              </w:numPr>
              <w:ind w:left="330" w:hanging="270"/>
              <w:rPr>
                <w:sz w:val="20"/>
              </w:rPr>
            </w:pPr>
            <w:r>
              <w:rPr>
                <w:sz w:val="20"/>
              </w:rPr>
              <w:t xml:space="preserve">List all relevant milestones </w:t>
            </w: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  <w:p w:rsidR="001014B4" w:rsidRDefault="001014B4">
            <w:pPr>
              <w:rPr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E2" w:rsidRDefault="00CA04E2" w:rsidP="00CA04E2">
            <w:pPr>
              <w:ind w:left="330"/>
              <w:rPr>
                <w:sz w:val="20"/>
              </w:rPr>
            </w:pPr>
          </w:p>
        </w:tc>
      </w:tr>
    </w:tbl>
    <w:p w:rsidR="002E4B97" w:rsidRPr="008763D5" w:rsidRDefault="00CA04E2" w:rsidP="00C72E96">
      <w:pPr>
        <w:tabs>
          <w:tab w:val="left" w:pos="720"/>
        </w:tabs>
        <w:rPr>
          <w:b/>
          <w:smallCaps/>
          <w:color w:val="FF0000"/>
        </w:rPr>
      </w:pPr>
      <w:r w:rsidRPr="00CA04E2">
        <w:rPr>
          <w:b/>
          <w:smallCaps/>
          <w:noProof/>
          <w:color w:val="FF0000"/>
          <w:szCs w:val="24"/>
        </w:rPr>
        <w:pict>
          <v:line id="_x0000_s1026" style="position:absolute;flip:y;z-index:251656704;mso-position-horizontal-relative:text;mso-position-vertical-relative:text" from="0,.95pt" to="655.6pt,.95pt" strokecolor="#17365d" strokeweight=".25pt"/>
        </w:pict>
      </w:r>
    </w:p>
    <w:sectPr w:rsidR="002E4B97" w:rsidRPr="008763D5" w:rsidSect="00C72941">
      <w:headerReference w:type="default" r:id="rId10"/>
      <w:pgSz w:w="15840" w:h="12240" w:orient="landscape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32" w:rsidRDefault="00174532" w:rsidP="00511F08">
      <w:r>
        <w:separator/>
      </w:r>
    </w:p>
  </w:endnote>
  <w:endnote w:type="continuationSeparator" w:id="0">
    <w:p w:rsidR="00174532" w:rsidRDefault="00174532" w:rsidP="0051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32" w:rsidRDefault="00174532" w:rsidP="00511F08">
      <w:r>
        <w:separator/>
      </w:r>
    </w:p>
  </w:footnote>
  <w:footnote w:type="continuationSeparator" w:id="0">
    <w:p w:rsidR="00174532" w:rsidRDefault="00174532" w:rsidP="00511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3C" w:rsidRPr="005A6E3C" w:rsidRDefault="00174532" w:rsidP="005A6E3C">
    <w:pPr>
      <w:pStyle w:val="Header"/>
      <w:tabs>
        <w:tab w:val="clear" w:pos="9360"/>
        <w:tab w:val="center" w:pos="3500"/>
        <w:tab w:val="right" w:pos="9000"/>
      </w:tabs>
      <w:rPr>
        <w:rFonts w:ascii="Verdana" w:hAnsi="Verdana"/>
        <w:b/>
        <w:i/>
        <w:cap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-109220</wp:posOffset>
          </wp:positionV>
          <wp:extent cx="409575" cy="417195"/>
          <wp:effectExtent l="19050" t="0" r="9525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6E3C">
      <w:rPr>
        <w:b/>
        <w:bCs/>
      </w:rPr>
      <w:tab/>
    </w:r>
    <w:r w:rsidR="005A6E3C" w:rsidRPr="005A6E3C">
      <w:rPr>
        <w:rFonts w:ascii="Verdana" w:hAnsi="Verdana"/>
        <w:b/>
        <w:bCs/>
        <w:caps/>
        <w:sz w:val="16"/>
        <w:szCs w:val="16"/>
      </w:rPr>
      <w:t>Broadband Technology Opportunities Program</w:t>
    </w:r>
    <w:r w:rsidR="005A6E3C" w:rsidRPr="005A6E3C">
      <w:rPr>
        <w:rFonts w:ascii="Verdana" w:hAnsi="Verdana"/>
        <w:b/>
        <w:bCs/>
        <w:caps/>
        <w:sz w:val="16"/>
        <w:szCs w:val="16"/>
      </w:rPr>
      <w:tab/>
    </w:r>
    <w:r w:rsidR="005A6E3C" w:rsidRPr="005A6E3C">
      <w:rPr>
        <w:rFonts w:ascii="Verdana" w:hAnsi="Verdana"/>
        <w:b/>
        <w:bCs/>
        <w:caps/>
        <w:sz w:val="16"/>
        <w:szCs w:val="16"/>
      </w:rPr>
      <w:tab/>
    </w:r>
    <w:r w:rsidR="005A6E3C" w:rsidRPr="005A6E3C">
      <w:rPr>
        <w:rFonts w:ascii="Verdana" w:hAnsi="Verdana"/>
        <w:b/>
        <w:caps/>
        <w:sz w:val="16"/>
        <w:szCs w:val="16"/>
      </w:rPr>
      <w:t>omb</w:t>
    </w:r>
    <w:r w:rsidR="005A6E3C" w:rsidRPr="005A6E3C">
      <w:rPr>
        <w:rFonts w:ascii="Verdana" w:hAnsi="Verdana"/>
        <w:b/>
        <w:i/>
        <w:caps/>
        <w:sz w:val="16"/>
        <w:szCs w:val="16"/>
      </w:rPr>
      <w:t xml:space="preserve"> </w:t>
    </w:r>
    <w:r w:rsidR="005A6E3C" w:rsidRPr="005A6E3C">
      <w:rPr>
        <w:rFonts w:ascii="Verdana" w:hAnsi="Verdana"/>
        <w:b/>
        <w:caps/>
        <w:sz w:val="16"/>
        <w:szCs w:val="16"/>
      </w:rPr>
      <w:t>control No. 0660-</w:t>
    </w:r>
    <w:r w:rsidR="00A344CC">
      <w:rPr>
        <w:rFonts w:ascii="Verdana" w:hAnsi="Verdana"/>
        <w:b/>
        <w:caps/>
        <w:sz w:val="16"/>
        <w:szCs w:val="16"/>
      </w:rPr>
      <w:t>XXXX</w:t>
    </w:r>
  </w:p>
  <w:p w:rsidR="005A6E3C" w:rsidRDefault="005A6E3C" w:rsidP="005A6E3C">
    <w:pPr>
      <w:pStyle w:val="Header"/>
      <w:tabs>
        <w:tab w:val="clear" w:pos="9360"/>
        <w:tab w:val="right" w:pos="9000"/>
      </w:tabs>
    </w:pPr>
    <w:r w:rsidRPr="005A6E3C">
      <w:rPr>
        <w:rFonts w:ascii="Verdana" w:hAnsi="Verdana"/>
        <w:b/>
        <w:i/>
        <w:caps/>
        <w:sz w:val="16"/>
        <w:szCs w:val="16"/>
      </w:rPr>
      <w:tab/>
    </w:r>
    <w:r w:rsidRPr="005A6E3C">
      <w:rPr>
        <w:rFonts w:ascii="Verdana" w:hAnsi="Verdana"/>
        <w:b/>
        <w:i/>
        <w:caps/>
        <w:sz w:val="16"/>
        <w:szCs w:val="16"/>
      </w:rPr>
      <w:tab/>
    </w:r>
    <w:r w:rsidRPr="005A6E3C">
      <w:rPr>
        <w:rFonts w:ascii="Verdana" w:hAnsi="Verdana"/>
        <w:b/>
        <w:i/>
        <w:caps/>
        <w:sz w:val="16"/>
        <w:szCs w:val="16"/>
      </w:rPr>
      <w:tab/>
    </w:r>
    <w:r w:rsidRPr="005A6E3C">
      <w:rPr>
        <w:rFonts w:ascii="Verdana" w:hAnsi="Verdana"/>
        <w:b/>
        <w:caps/>
        <w:sz w:val="16"/>
        <w:szCs w:val="16"/>
      </w:rPr>
      <w:t>expiration Date</w:t>
    </w:r>
    <w:r w:rsidRPr="005A6E3C">
      <w:rPr>
        <w:rFonts w:ascii="Verdana" w:hAnsi="Verdana"/>
        <w:b/>
        <w:i/>
        <w:caps/>
        <w:sz w:val="16"/>
        <w:szCs w:val="16"/>
      </w:rPr>
      <w:t xml:space="preserve">: </w:t>
    </w:r>
    <w:r w:rsidR="00A344CC">
      <w:rPr>
        <w:rFonts w:ascii="Verdana" w:hAnsi="Verdana"/>
        <w:b/>
        <w:caps/>
        <w:sz w:val="16"/>
        <w:szCs w:val="16"/>
      </w:rPr>
      <w:t>XX/XX/XXXX</w:t>
    </w:r>
  </w:p>
  <w:p w:rsidR="00511F08" w:rsidRDefault="00511F08" w:rsidP="00511F08">
    <w:pPr>
      <w:tabs>
        <w:tab w:val="left" w:pos="72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1555"/>
    <w:multiLevelType w:val="hybridMultilevel"/>
    <w:tmpl w:val="2AC8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17309"/>
    <w:multiLevelType w:val="hybridMultilevel"/>
    <w:tmpl w:val="EBB4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E388A"/>
    <w:multiLevelType w:val="hybridMultilevel"/>
    <w:tmpl w:val="FB546E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B0DE9"/>
    <w:multiLevelType w:val="hybridMultilevel"/>
    <w:tmpl w:val="B71C1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149AA"/>
    <w:multiLevelType w:val="hybridMultilevel"/>
    <w:tmpl w:val="0D0CF0C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A670F"/>
    <w:rsid w:val="000001F3"/>
    <w:rsid w:val="00003E92"/>
    <w:rsid w:val="00027E28"/>
    <w:rsid w:val="00035329"/>
    <w:rsid w:val="000454D2"/>
    <w:rsid w:val="00052FA8"/>
    <w:rsid w:val="00077FA5"/>
    <w:rsid w:val="00085A02"/>
    <w:rsid w:val="000927D9"/>
    <w:rsid w:val="000A0F62"/>
    <w:rsid w:val="000A5292"/>
    <w:rsid w:val="000B3E6B"/>
    <w:rsid w:val="000D517E"/>
    <w:rsid w:val="001014B4"/>
    <w:rsid w:val="0012585B"/>
    <w:rsid w:val="0013344B"/>
    <w:rsid w:val="0013702B"/>
    <w:rsid w:val="0014403E"/>
    <w:rsid w:val="00150A24"/>
    <w:rsid w:val="00174532"/>
    <w:rsid w:val="0019367E"/>
    <w:rsid w:val="001B153C"/>
    <w:rsid w:val="00202079"/>
    <w:rsid w:val="002033C6"/>
    <w:rsid w:val="00204B78"/>
    <w:rsid w:val="00205E1F"/>
    <w:rsid w:val="00227333"/>
    <w:rsid w:val="00230E82"/>
    <w:rsid w:val="00256846"/>
    <w:rsid w:val="0025689F"/>
    <w:rsid w:val="00280E69"/>
    <w:rsid w:val="00281D01"/>
    <w:rsid w:val="00294214"/>
    <w:rsid w:val="0029593A"/>
    <w:rsid w:val="00297DFC"/>
    <w:rsid w:val="002C74F9"/>
    <w:rsid w:val="002C7D55"/>
    <w:rsid w:val="002E05F8"/>
    <w:rsid w:val="002E4B97"/>
    <w:rsid w:val="002E5ADE"/>
    <w:rsid w:val="00320252"/>
    <w:rsid w:val="00323BD1"/>
    <w:rsid w:val="00351B7B"/>
    <w:rsid w:val="003644A3"/>
    <w:rsid w:val="003D24B4"/>
    <w:rsid w:val="00421B38"/>
    <w:rsid w:val="00442042"/>
    <w:rsid w:val="004921B5"/>
    <w:rsid w:val="004A3251"/>
    <w:rsid w:val="004E1958"/>
    <w:rsid w:val="004E4C57"/>
    <w:rsid w:val="00506895"/>
    <w:rsid w:val="00511F08"/>
    <w:rsid w:val="00515875"/>
    <w:rsid w:val="00525CB8"/>
    <w:rsid w:val="005406AA"/>
    <w:rsid w:val="00580726"/>
    <w:rsid w:val="005826B4"/>
    <w:rsid w:val="005838FD"/>
    <w:rsid w:val="00585E92"/>
    <w:rsid w:val="005A4BA5"/>
    <w:rsid w:val="005A670F"/>
    <w:rsid w:val="005A6E3C"/>
    <w:rsid w:val="005B2AFB"/>
    <w:rsid w:val="005C1DDE"/>
    <w:rsid w:val="005D7969"/>
    <w:rsid w:val="005E4DC5"/>
    <w:rsid w:val="00622DE2"/>
    <w:rsid w:val="006367A7"/>
    <w:rsid w:val="006518BD"/>
    <w:rsid w:val="00657BF3"/>
    <w:rsid w:val="0067003B"/>
    <w:rsid w:val="00674216"/>
    <w:rsid w:val="00686433"/>
    <w:rsid w:val="006A11CB"/>
    <w:rsid w:val="006B7602"/>
    <w:rsid w:val="006E28FB"/>
    <w:rsid w:val="006F1A8E"/>
    <w:rsid w:val="0073357F"/>
    <w:rsid w:val="0076681C"/>
    <w:rsid w:val="007707DD"/>
    <w:rsid w:val="00771C02"/>
    <w:rsid w:val="00780DCF"/>
    <w:rsid w:val="00784FB1"/>
    <w:rsid w:val="00791375"/>
    <w:rsid w:val="007A0685"/>
    <w:rsid w:val="007A43FA"/>
    <w:rsid w:val="007C0C26"/>
    <w:rsid w:val="007C628F"/>
    <w:rsid w:val="007D779E"/>
    <w:rsid w:val="00802027"/>
    <w:rsid w:val="008208C9"/>
    <w:rsid w:val="00822442"/>
    <w:rsid w:val="00833FBD"/>
    <w:rsid w:val="00864E7D"/>
    <w:rsid w:val="0086610C"/>
    <w:rsid w:val="008714A2"/>
    <w:rsid w:val="008763D5"/>
    <w:rsid w:val="00876E3B"/>
    <w:rsid w:val="00896C15"/>
    <w:rsid w:val="008A2687"/>
    <w:rsid w:val="008A3386"/>
    <w:rsid w:val="0092300C"/>
    <w:rsid w:val="0092351C"/>
    <w:rsid w:val="00935C5D"/>
    <w:rsid w:val="009700FD"/>
    <w:rsid w:val="00975CA4"/>
    <w:rsid w:val="00991AD8"/>
    <w:rsid w:val="009B2FAE"/>
    <w:rsid w:val="00A0101D"/>
    <w:rsid w:val="00A042C7"/>
    <w:rsid w:val="00A20E0B"/>
    <w:rsid w:val="00A344CC"/>
    <w:rsid w:val="00A43940"/>
    <w:rsid w:val="00A56C56"/>
    <w:rsid w:val="00AA1648"/>
    <w:rsid w:val="00AD5AA9"/>
    <w:rsid w:val="00AE02E6"/>
    <w:rsid w:val="00AE6E23"/>
    <w:rsid w:val="00B25E6D"/>
    <w:rsid w:val="00B25FFE"/>
    <w:rsid w:val="00B35F5A"/>
    <w:rsid w:val="00B5559D"/>
    <w:rsid w:val="00B83825"/>
    <w:rsid w:val="00B85D6C"/>
    <w:rsid w:val="00BF4BBD"/>
    <w:rsid w:val="00C23A2F"/>
    <w:rsid w:val="00C4721D"/>
    <w:rsid w:val="00C618F4"/>
    <w:rsid w:val="00C72941"/>
    <w:rsid w:val="00C72E96"/>
    <w:rsid w:val="00CA04E2"/>
    <w:rsid w:val="00CB3675"/>
    <w:rsid w:val="00CC33F7"/>
    <w:rsid w:val="00CD750C"/>
    <w:rsid w:val="00D10932"/>
    <w:rsid w:val="00D1482E"/>
    <w:rsid w:val="00D67DB8"/>
    <w:rsid w:val="00D80D6D"/>
    <w:rsid w:val="00D84C0E"/>
    <w:rsid w:val="00DE74FE"/>
    <w:rsid w:val="00DF45A5"/>
    <w:rsid w:val="00E116F9"/>
    <w:rsid w:val="00E133A4"/>
    <w:rsid w:val="00E27839"/>
    <w:rsid w:val="00E57AEF"/>
    <w:rsid w:val="00E75463"/>
    <w:rsid w:val="00E75602"/>
    <w:rsid w:val="00EA27A2"/>
    <w:rsid w:val="00EB3573"/>
    <w:rsid w:val="00EE72AF"/>
    <w:rsid w:val="00EF74A6"/>
    <w:rsid w:val="00F438C3"/>
    <w:rsid w:val="00F63BAD"/>
    <w:rsid w:val="00F832C3"/>
    <w:rsid w:val="00F83DB3"/>
    <w:rsid w:val="00F91813"/>
    <w:rsid w:val="00FA1E1F"/>
    <w:rsid w:val="00FB173C"/>
    <w:rsid w:val="00FB6815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92"/>
    <w:rPr>
      <w:sz w:val="24"/>
    </w:rPr>
  </w:style>
  <w:style w:type="paragraph" w:styleId="Heading1">
    <w:name w:val="heading 1"/>
    <w:aliases w:val="1 ghost,g"/>
    <w:basedOn w:val="Normal"/>
    <w:next w:val="Normal"/>
    <w:link w:val="Heading1Char"/>
    <w:uiPriority w:val="99"/>
    <w:qFormat/>
    <w:rsid w:val="005A6E3C"/>
    <w:pPr>
      <w:pBdr>
        <w:bottom w:val="single" w:sz="8" w:space="6" w:color="0B1F65"/>
      </w:pBdr>
      <w:tabs>
        <w:tab w:val="num" w:pos="144"/>
      </w:tabs>
      <w:autoSpaceDE w:val="0"/>
      <w:autoSpaceDN w:val="0"/>
      <w:spacing w:before="120" w:after="240" w:line="300" w:lineRule="exact"/>
      <w:ind w:left="144" w:hanging="144"/>
      <w:outlineLvl w:val="0"/>
    </w:pPr>
    <w:rPr>
      <w:rFonts w:ascii="Arial Black" w:hAnsi="Arial Black" w:cs="Arial"/>
      <w:bCs/>
      <w:noProof/>
      <w:color w:val="0202A2"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E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Running Header"/>
    <w:basedOn w:val="Normal"/>
    <w:link w:val="HeaderChar"/>
    <w:uiPriority w:val="99"/>
    <w:rsid w:val="00511F0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Running Header Char"/>
    <w:basedOn w:val="DefaultParagraphFont"/>
    <w:link w:val="Header"/>
    <w:uiPriority w:val="99"/>
    <w:rsid w:val="00511F08"/>
    <w:rPr>
      <w:sz w:val="24"/>
    </w:rPr>
  </w:style>
  <w:style w:type="paragraph" w:styleId="Footer">
    <w:name w:val="footer"/>
    <w:basedOn w:val="Normal"/>
    <w:link w:val="FooterChar"/>
    <w:rsid w:val="0051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1F08"/>
    <w:rPr>
      <w:sz w:val="24"/>
    </w:rPr>
  </w:style>
  <w:style w:type="paragraph" w:styleId="ListParagraph">
    <w:name w:val="List Paragraph"/>
    <w:basedOn w:val="Normal"/>
    <w:uiPriority w:val="34"/>
    <w:qFormat/>
    <w:rsid w:val="008A268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00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1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1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1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 ghost Char,g Char"/>
    <w:basedOn w:val="DefaultParagraphFont"/>
    <w:link w:val="Heading1"/>
    <w:uiPriority w:val="99"/>
    <w:rsid w:val="005A6E3C"/>
    <w:rPr>
      <w:rFonts w:ascii="Arial Black" w:hAnsi="Arial Black" w:cs="Arial"/>
      <w:bCs/>
      <w:noProof/>
      <w:color w:val="0202A2"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C81B-A68E-4A21-A1E9-BC41C449A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A0FEB-0A66-4B1A-A613-609606B637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6C6001-768F-4657-873A-E7BA110A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 OF PROJECT COSTS</vt:lpstr>
    </vt:vector>
  </TitlesOfParts>
  <Company>USDA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 OF PROJECT COSTS</dc:title>
  <dc:subject/>
  <cp:keywords/>
  <cp:lastModifiedBy>Katherine M. Scott</cp:lastModifiedBy>
  <cp:revision>3</cp:revision>
  <dcterms:created xsi:type="dcterms:W3CDTF">2010-09-27T15:40:00Z</dcterms:created>
  <dcterms:modified xsi:type="dcterms:W3CDTF">2010-09-27T15:44:00Z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gAAAdya76B99d4hLGUR1rQ+8TxTv0GGEPdix</vt:lpwstr>
  </property>
</Properties>
</file>