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00" w:rsidRPr="00234555" w:rsidRDefault="008C0F00" w:rsidP="008C0F00">
      <w:pPr>
        <w:pStyle w:val="Header"/>
        <w:jc w:val="center"/>
        <w:rPr>
          <w:b/>
          <w:bCs/>
          <w:szCs w:val="24"/>
        </w:rPr>
      </w:pPr>
      <w:r w:rsidRPr="00234555">
        <w:rPr>
          <w:b/>
          <w:bCs/>
          <w:szCs w:val="24"/>
        </w:rPr>
        <w:t>Supporting Statement B</w:t>
      </w:r>
    </w:p>
    <w:p w:rsidR="006D0856" w:rsidRPr="00234555" w:rsidRDefault="006D0856" w:rsidP="006D0856">
      <w:pPr>
        <w:tabs>
          <w:tab w:val="left" w:pos="-1440"/>
          <w:tab w:val="left" w:pos="-720"/>
          <w:tab w:val="left" w:pos="0"/>
          <w:tab w:val="left" w:pos="1080"/>
        </w:tabs>
        <w:ind w:left="1080" w:hanging="1080"/>
        <w:jc w:val="center"/>
        <w:rPr>
          <w:b/>
          <w:szCs w:val="24"/>
        </w:rPr>
      </w:pPr>
      <w:r w:rsidRPr="00234555">
        <w:rPr>
          <w:b/>
          <w:szCs w:val="24"/>
        </w:rPr>
        <w:t xml:space="preserve">Survey of Finance Companies </w:t>
      </w:r>
    </w:p>
    <w:p w:rsidR="006D0856" w:rsidRPr="00234555" w:rsidRDefault="006D0856" w:rsidP="006D0856">
      <w:pPr>
        <w:tabs>
          <w:tab w:val="left" w:pos="-1440"/>
          <w:tab w:val="left" w:pos="-720"/>
          <w:tab w:val="left" w:pos="0"/>
          <w:tab w:val="left" w:pos="1080"/>
        </w:tabs>
        <w:ind w:left="1080" w:hanging="1080"/>
        <w:jc w:val="center"/>
        <w:rPr>
          <w:b/>
          <w:szCs w:val="24"/>
        </w:rPr>
      </w:pPr>
      <w:r w:rsidRPr="00234555">
        <w:rPr>
          <w:b/>
          <w:szCs w:val="24"/>
        </w:rPr>
        <w:t>(FR 3033; OMB No. 7100-0277)</w:t>
      </w:r>
    </w:p>
    <w:p w:rsidR="006D0856" w:rsidRPr="00234555" w:rsidRDefault="008C0F00" w:rsidP="008C0F00">
      <w:pPr>
        <w:jc w:val="center"/>
        <w:rPr>
          <w:b/>
          <w:bCs/>
          <w:szCs w:val="24"/>
        </w:rPr>
      </w:pPr>
      <w:r w:rsidRPr="00234555">
        <w:rPr>
          <w:b/>
          <w:bCs/>
          <w:szCs w:val="24"/>
        </w:rPr>
        <w:t xml:space="preserve">Attachment </w:t>
      </w:r>
    </w:p>
    <w:p w:rsidR="008C0F00" w:rsidRPr="00234555" w:rsidRDefault="008C0F00" w:rsidP="008C0F00">
      <w:pPr>
        <w:jc w:val="center"/>
        <w:rPr>
          <w:b/>
          <w:bCs/>
          <w:szCs w:val="24"/>
        </w:rPr>
      </w:pPr>
      <w:r w:rsidRPr="00234555">
        <w:rPr>
          <w:b/>
          <w:bCs/>
          <w:szCs w:val="24"/>
        </w:rPr>
        <w:t>Overview of Statistical Methods</w:t>
      </w:r>
    </w:p>
    <w:p w:rsidR="008C0F00" w:rsidRPr="00234555" w:rsidRDefault="008C0F00" w:rsidP="008C0F00">
      <w:pPr>
        <w:pStyle w:val="Heading1"/>
        <w:rPr>
          <w:szCs w:val="24"/>
        </w:rPr>
      </w:pPr>
    </w:p>
    <w:p w:rsidR="008C0F00" w:rsidRPr="00234555" w:rsidRDefault="008C0F00" w:rsidP="008C0F00">
      <w:pPr>
        <w:pStyle w:val="Heading1"/>
        <w:rPr>
          <w:szCs w:val="24"/>
        </w:rPr>
      </w:pPr>
    </w:p>
    <w:p w:rsidR="008C0F00" w:rsidRPr="00234555" w:rsidRDefault="008C0F00" w:rsidP="008C0F00">
      <w:pPr>
        <w:pStyle w:val="Heading1"/>
        <w:rPr>
          <w:szCs w:val="24"/>
        </w:rPr>
      </w:pPr>
      <w:r w:rsidRPr="00234555">
        <w:rPr>
          <w:szCs w:val="24"/>
        </w:rPr>
        <w:t xml:space="preserve">Statistical Methods </w:t>
      </w:r>
    </w:p>
    <w:p w:rsidR="001F6A92" w:rsidRPr="00234555" w:rsidRDefault="001F6A92" w:rsidP="001F6A92">
      <w:pPr>
        <w:tabs>
          <w:tab w:val="center" w:pos="4680"/>
        </w:tabs>
        <w:jc w:val="center"/>
        <w:rPr>
          <w:szCs w:val="24"/>
        </w:rPr>
      </w:pPr>
    </w:p>
    <w:p w:rsidR="00484CA1" w:rsidRPr="00D40E5B" w:rsidRDefault="007F1C93" w:rsidP="007F1C93">
      <w:pPr>
        <w:tabs>
          <w:tab w:val="center" w:pos="4680"/>
        </w:tabs>
        <w:ind w:firstLine="720"/>
        <w:rPr>
          <w:szCs w:val="24"/>
        </w:rPr>
      </w:pPr>
      <w:r>
        <w:t xml:space="preserve">The Federal Reserve proposes </w:t>
      </w:r>
      <w:r w:rsidRPr="001E4474">
        <w:rPr>
          <w:szCs w:val="24"/>
        </w:rPr>
        <w:t>to conduct, with revision</w:t>
      </w:r>
      <w:r w:rsidR="00484CA1">
        <w:rPr>
          <w:szCs w:val="24"/>
        </w:rPr>
        <w:t xml:space="preserve">, the </w:t>
      </w:r>
      <w:r w:rsidR="00484CA1" w:rsidRPr="008377C5">
        <w:rPr>
          <w:szCs w:val="24"/>
        </w:rPr>
        <w:t>Census of Finance Companies</w:t>
      </w:r>
      <w:r w:rsidR="00484CA1">
        <w:rPr>
          <w:szCs w:val="24"/>
        </w:rPr>
        <w:t xml:space="preserve"> </w:t>
      </w:r>
      <w:r w:rsidR="00484CA1" w:rsidRPr="008377C5">
        <w:t>and Survey of Finance Companies</w:t>
      </w:r>
      <w:r w:rsidR="00484CA1" w:rsidRPr="001E4474">
        <w:rPr>
          <w:szCs w:val="24"/>
        </w:rPr>
        <w:t>, continuing the regular five-year sur</w:t>
      </w:r>
      <w:r w:rsidR="00484CA1" w:rsidRPr="00253A6E">
        <w:rPr>
          <w:szCs w:val="24"/>
        </w:rPr>
        <w:t xml:space="preserve">vey series (the </w:t>
      </w:r>
      <w:r w:rsidR="00484CA1">
        <w:rPr>
          <w:szCs w:val="24"/>
        </w:rPr>
        <w:t xml:space="preserve"> </w:t>
      </w:r>
      <w:r w:rsidR="00484CA1" w:rsidRPr="00253A6E">
        <w:rPr>
          <w:szCs w:val="24"/>
        </w:rPr>
        <w:t xml:space="preserve">"quinquennial") (FR 3033; OMB No. 7100-0277).  </w:t>
      </w:r>
      <w:r w:rsidR="00484CA1" w:rsidRPr="007624B4">
        <w:rPr>
          <w:szCs w:val="24"/>
        </w:rPr>
        <w:t xml:space="preserve">This information collection includes </w:t>
      </w:r>
      <w:r w:rsidR="00484CA1">
        <w:rPr>
          <w:szCs w:val="24"/>
        </w:rPr>
        <w:t xml:space="preserve">both </w:t>
      </w:r>
      <w:r w:rsidR="00484CA1" w:rsidRPr="007624B4">
        <w:rPr>
          <w:szCs w:val="24"/>
        </w:rPr>
        <w:t xml:space="preserve">the </w:t>
      </w:r>
      <w:r w:rsidR="00484CA1" w:rsidRPr="008377C5">
        <w:rPr>
          <w:szCs w:val="24"/>
        </w:rPr>
        <w:t>Census of Finance Companies</w:t>
      </w:r>
      <w:r w:rsidR="00484CA1" w:rsidRPr="00C13961">
        <w:rPr>
          <w:b/>
        </w:rPr>
        <w:t xml:space="preserve"> </w:t>
      </w:r>
      <w:r w:rsidR="00484CA1" w:rsidRPr="007624B4">
        <w:rPr>
          <w:szCs w:val="24"/>
        </w:rPr>
        <w:t>(FR 3033</w:t>
      </w:r>
      <w:r w:rsidR="00484CA1">
        <w:rPr>
          <w:szCs w:val="24"/>
        </w:rPr>
        <w:t>p</w:t>
      </w:r>
      <w:r w:rsidR="00484CA1" w:rsidRPr="007624B4">
        <w:rPr>
          <w:szCs w:val="24"/>
        </w:rPr>
        <w:t>)</w:t>
      </w:r>
      <w:r w:rsidR="00484CA1">
        <w:rPr>
          <w:szCs w:val="24"/>
        </w:rPr>
        <w:t xml:space="preserve"> and the Survey of Finance Companies (FR 3033s). </w:t>
      </w:r>
      <w:r w:rsidR="00484CA1" w:rsidRPr="00D40E5B">
        <w:rPr>
          <w:szCs w:val="24"/>
        </w:rPr>
        <w:t xml:space="preserve">The data collected from this voluntary survey would be used to benchmark the consumer and business finance series collected on the monthly Domestic Finance Company Report of Consolidated Assets and Liabilities (FR 2248; OMB No. 7100-0005).  </w:t>
      </w:r>
    </w:p>
    <w:p w:rsidR="00484CA1" w:rsidRPr="00D40E5B" w:rsidRDefault="00484CA1" w:rsidP="00484CA1">
      <w:pPr>
        <w:rPr>
          <w:szCs w:val="24"/>
        </w:rPr>
      </w:pPr>
    </w:p>
    <w:p w:rsidR="00484CA1" w:rsidRDefault="00484CA1" w:rsidP="00484CA1">
      <w:pPr>
        <w:tabs>
          <w:tab w:val="left" w:pos="-1440"/>
          <w:tab w:val="left" w:pos="720"/>
          <w:tab w:val="left" w:pos="1080"/>
        </w:tabs>
        <w:rPr>
          <w:szCs w:val="24"/>
        </w:rPr>
      </w:pPr>
      <w:r>
        <w:rPr>
          <w:szCs w:val="24"/>
        </w:rPr>
        <w:tab/>
      </w:r>
      <w:r w:rsidRPr="00253A6E">
        <w:rPr>
          <w:szCs w:val="24"/>
        </w:rPr>
        <w:t>The first stage of the quinquennial, the FR 3033p</w:t>
      </w:r>
      <w:r>
        <w:rPr>
          <w:szCs w:val="24"/>
        </w:rPr>
        <w:t xml:space="preserve"> </w:t>
      </w:r>
      <w:r w:rsidRPr="00253A6E">
        <w:rPr>
          <w:szCs w:val="24"/>
        </w:rPr>
        <w:t>was implemented in April 2010.  The FR 3033p was sent to all companies that met the criteria developed to identify the potential universe of domestic finance companies.</w:t>
      </w:r>
      <w:r>
        <w:rPr>
          <w:szCs w:val="24"/>
        </w:rPr>
        <w:t xml:space="preserve">  </w:t>
      </w:r>
      <w:r w:rsidRPr="007624B4">
        <w:rPr>
          <w:snapToGrid/>
          <w:color w:val="000000"/>
          <w:szCs w:val="24"/>
        </w:rPr>
        <w:t xml:space="preserve">An accurate census </w:t>
      </w:r>
      <w:r>
        <w:rPr>
          <w:snapToGrid/>
          <w:color w:val="000000"/>
          <w:szCs w:val="24"/>
        </w:rPr>
        <w:t>was</w:t>
      </w:r>
      <w:r w:rsidRPr="007624B4">
        <w:rPr>
          <w:snapToGrid/>
          <w:color w:val="000000"/>
          <w:szCs w:val="24"/>
        </w:rPr>
        <w:t xml:space="preserve"> required to form a representative sample of finance companies, to which a more detailed survey would be sent.</w:t>
      </w:r>
      <w:r w:rsidRPr="007624B4">
        <w:rPr>
          <w:snapToGrid/>
          <w:color w:val="000000"/>
          <w:sz w:val="20"/>
        </w:rPr>
        <w:t xml:space="preserve">  </w:t>
      </w:r>
      <w:r w:rsidRPr="007624B4">
        <w:rPr>
          <w:szCs w:val="24"/>
        </w:rPr>
        <w:t>The census gather</w:t>
      </w:r>
      <w:r>
        <w:rPr>
          <w:szCs w:val="24"/>
        </w:rPr>
        <w:t>ed</w:t>
      </w:r>
      <w:r w:rsidRPr="007624B4">
        <w:rPr>
          <w:szCs w:val="24"/>
        </w:rPr>
        <w:t xml:space="preserve"> limited information including total assets, areas of specialization, and information on the corporate structure of the companies.  The Federal Reserve identified approximately 30,000 firms to which the census </w:t>
      </w:r>
      <w:r>
        <w:rPr>
          <w:szCs w:val="24"/>
        </w:rPr>
        <w:t>was</w:t>
      </w:r>
      <w:r w:rsidRPr="007624B4">
        <w:rPr>
          <w:szCs w:val="24"/>
        </w:rPr>
        <w:t xml:space="preserve"> sent.  </w:t>
      </w:r>
      <w:r w:rsidRPr="00253A6E">
        <w:rPr>
          <w:szCs w:val="24"/>
        </w:rPr>
        <w:t xml:space="preserve">  </w:t>
      </w:r>
    </w:p>
    <w:p w:rsidR="00484CA1" w:rsidRDefault="00484CA1" w:rsidP="00484CA1">
      <w:pPr>
        <w:tabs>
          <w:tab w:val="left" w:pos="-1440"/>
          <w:tab w:val="left" w:pos="720"/>
          <w:tab w:val="left" w:pos="1080"/>
        </w:tabs>
        <w:rPr>
          <w:szCs w:val="24"/>
        </w:rPr>
      </w:pPr>
    </w:p>
    <w:p w:rsidR="00484CA1" w:rsidRPr="00253A6E" w:rsidRDefault="00484CA1" w:rsidP="00484CA1">
      <w:pPr>
        <w:tabs>
          <w:tab w:val="left" w:pos="-1440"/>
          <w:tab w:val="left" w:pos="720"/>
          <w:tab w:val="left" w:pos="1080"/>
        </w:tabs>
        <w:rPr>
          <w:b/>
          <w:szCs w:val="24"/>
        </w:rPr>
      </w:pPr>
      <w:r>
        <w:rPr>
          <w:szCs w:val="24"/>
        </w:rPr>
        <w:tab/>
      </w:r>
      <w:r w:rsidRPr="00253A6E">
        <w:rPr>
          <w:szCs w:val="24"/>
        </w:rPr>
        <w:t>From the universe of finance companies as determined by the FR 3033p, a stratified random sample of 3,000 finance companies would be drawn for the FR 3033s.  The survey would be sent in February 2011 and collect detailed information, as of December 31, 2010, from both sides of the respondents' balance sheets, as well as companies’ geographic scope of operations and servicing activities.  The data collected from this voluntary survey would be used for two purposes: to benchmark the consumer and business finance series collected on the monthly Domestic Finance Company Report of Consolidated Assets and Liabilities (FR 2248; OMB No. 7100-0005) and to increase the Federal Reserve’s understanding of an important part of the financial system.</w:t>
      </w:r>
    </w:p>
    <w:p w:rsidR="006D0856" w:rsidRPr="00234555" w:rsidRDefault="006D0856" w:rsidP="00484CA1">
      <w:pPr>
        <w:tabs>
          <w:tab w:val="left" w:pos="-1440"/>
          <w:tab w:val="left" w:pos="720"/>
          <w:tab w:val="left" w:pos="1080"/>
        </w:tabs>
        <w:rPr>
          <w:szCs w:val="24"/>
        </w:rPr>
      </w:pPr>
    </w:p>
    <w:p w:rsidR="006D0856" w:rsidRDefault="006D0856" w:rsidP="006D0856">
      <w:pPr>
        <w:ind w:firstLine="720"/>
        <w:rPr>
          <w:szCs w:val="24"/>
        </w:rPr>
      </w:pPr>
      <w:r w:rsidRPr="00234555">
        <w:rPr>
          <w:szCs w:val="24"/>
        </w:rPr>
        <w:t xml:space="preserve">The survey would collect balance sheet data on major categories of consumer and business credit receivables and major liabilities.  The respondent panel of 3,000 companies would include 45 companies that are FR 2248 reporters and 2,955 non-FR 2248 companies.  Respondents would be directed to either complete the survey online or mail responses to the Federal Reserve Board.  Once the data from FR 3033s have been analyzed, they would be used as a benchmark to the FR 2248 for the period December 2005 through December 2010.  </w:t>
      </w:r>
    </w:p>
    <w:p w:rsidR="00234555" w:rsidRDefault="00234555" w:rsidP="006D0856">
      <w:pPr>
        <w:ind w:firstLine="720"/>
        <w:rPr>
          <w:szCs w:val="24"/>
        </w:rPr>
      </w:pPr>
    </w:p>
    <w:p w:rsidR="00234555" w:rsidRDefault="00234555" w:rsidP="00234555">
      <w:pPr>
        <w:ind w:firstLine="720"/>
        <w:rPr>
          <w:szCs w:val="24"/>
        </w:rPr>
      </w:pPr>
      <w:r w:rsidRPr="00B83712">
        <w:rPr>
          <w:szCs w:val="24"/>
        </w:rPr>
        <w:t>Given the important changes in the market, the uncertainty about the composition of the previously unknown part of the universe of finance companies, the uncertainty about response patterns within the size groups and specialization categories, and the length of time between</w:t>
      </w:r>
      <w:r w:rsidRPr="00AA460B">
        <w:rPr>
          <w:szCs w:val="24"/>
        </w:rPr>
        <w:t xml:space="preserve"> benchmark surveys, </w:t>
      </w:r>
      <w:r w:rsidR="00283CA8">
        <w:rPr>
          <w:szCs w:val="24"/>
        </w:rPr>
        <w:t>the Federal Reserve</w:t>
      </w:r>
      <w:r w:rsidRPr="00AA460B">
        <w:rPr>
          <w:szCs w:val="24"/>
        </w:rPr>
        <w:t xml:space="preserve"> </w:t>
      </w:r>
      <w:r>
        <w:rPr>
          <w:szCs w:val="24"/>
        </w:rPr>
        <w:t>proposes</w:t>
      </w:r>
      <w:r w:rsidRPr="00AA460B">
        <w:rPr>
          <w:szCs w:val="24"/>
        </w:rPr>
        <w:t xml:space="preserve"> increasing the</w:t>
      </w:r>
      <w:r>
        <w:rPr>
          <w:szCs w:val="24"/>
        </w:rPr>
        <w:t xml:space="preserve"> authorized FR 3033s</w:t>
      </w:r>
      <w:r w:rsidRPr="00AA460B">
        <w:rPr>
          <w:szCs w:val="24"/>
        </w:rPr>
        <w:t xml:space="preserve"> survey </w:t>
      </w:r>
      <w:r w:rsidRPr="00AA460B">
        <w:rPr>
          <w:szCs w:val="24"/>
        </w:rPr>
        <w:lastRenderedPageBreak/>
        <w:t xml:space="preserve">sample size to 3,000 </w:t>
      </w:r>
      <w:r>
        <w:rPr>
          <w:szCs w:val="24"/>
        </w:rPr>
        <w:t xml:space="preserve">finance </w:t>
      </w:r>
      <w:r w:rsidRPr="00AA460B">
        <w:rPr>
          <w:szCs w:val="24"/>
        </w:rPr>
        <w:t>companies.</w:t>
      </w:r>
      <w:r>
        <w:rPr>
          <w:szCs w:val="24"/>
        </w:rPr>
        <w:t xml:space="preserve">  Therefore, if approved, the </w:t>
      </w:r>
      <w:r w:rsidRPr="00AA460B">
        <w:rPr>
          <w:szCs w:val="24"/>
        </w:rPr>
        <w:t>respondent panel size</w:t>
      </w:r>
      <w:r>
        <w:rPr>
          <w:szCs w:val="24"/>
        </w:rPr>
        <w:t xml:space="preserve"> will increase from 750 finance companies to 3,000.  </w:t>
      </w:r>
      <w:r w:rsidRPr="00AA460B">
        <w:rPr>
          <w:szCs w:val="24"/>
        </w:rPr>
        <w:t xml:space="preserve">As a result of the FR 3033p responses, </w:t>
      </w:r>
      <w:r w:rsidR="00484CA1">
        <w:rPr>
          <w:szCs w:val="24"/>
        </w:rPr>
        <w:t>the Federal Reserve</w:t>
      </w:r>
      <w:r w:rsidRPr="00AA460B">
        <w:rPr>
          <w:szCs w:val="24"/>
        </w:rPr>
        <w:t xml:space="preserve"> </w:t>
      </w:r>
      <w:r>
        <w:rPr>
          <w:szCs w:val="24"/>
        </w:rPr>
        <w:t xml:space="preserve">has </w:t>
      </w:r>
      <w:r w:rsidRPr="00AA460B">
        <w:rPr>
          <w:szCs w:val="24"/>
        </w:rPr>
        <w:t>identified the universe of finance companies for the survey.</w:t>
      </w:r>
      <w:r w:rsidRPr="00AA460B">
        <w:rPr>
          <w:rStyle w:val="FootnoteReference"/>
          <w:szCs w:val="24"/>
        </w:rPr>
        <w:footnoteReference w:id="1"/>
      </w:r>
      <w:r w:rsidRPr="00AA460B">
        <w:rPr>
          <w:szCs w:val="24"/>
        </w:rPr>
        <w:t xml:space="preserve">  The survey would be stratified by size of total assets and by specialization in receivables.  The survey sample would likely include all FR 3033p respondents that reported at least $1 billion in total </w:t>
      </w:r>
      <w:r>
        <w:rPr>
          <w:szCs w:val="24"/>
        </w:rPr>
        <w:t>assets</w:t>
      </w:r>
      <w:r w:rsidRPr="00AA460B">
        <w:rPr>
          <w:szCs w:val="24"/>
        </w:rPr>
        <w:t>.  For coverage of smaller respondents</w:t>
      </w:r>
      <w:r w:rsidRPr="00AA460B">
        <w:rPr>
          <w:rStyle w:val="FootnoteReference"/>
          <w:szCs w:val="24"/>
        </w:rPr>
        <w:footnoteReference w:id="2"/>
      </w:r>
      <w:r w:rsidRPr="00AA460B">
        <w:rPr>
          <w:szCs w:val="24"/>
        </w:rPr>
        <w:t xml:space="preserve">, the main survey sample would include a sufficient number of companies with assets under $1 billion to provide adequate representation for the expected analytical purposes. </w:t>
      </w:r>
    </w:p>
    <w:p w:rsidR="00234555" w:rsidRPr="00234555" w:rsidRDefault="00234555" w:rsidP="006D0856">
      <w:pPr>
        <w:ind w:firstLine="720"/>
        <w:rPr>
          <w:szCs w:val="24"/>
        </w:rPr>
      </w:pPr>
    </w:p>
    <w:p w:rsidR="00234555" w:rsidRPr="00234555" w:rsidRDefault="00234555" w:rsidP="00234555">
      <w:pPr>
        <w:ind w:firstLine="720"/>
        <w:rPr>
          <w:szCs w:val="24"/>
        </w:rPr>
      </w:pPr>
      <w:r w:rsidRPr="00234555">
        <w:rPr>
          <w:szCs w:val="24"/>
        </w:rPr>
        <w:t>The 2005 population size, total sample, and the number of responses in each stratum are shown in Table 1.  Table 1 also shows the estimated response rate associated with two panel sizes (750 and 3,000 companies), based on the response rates to the 2005 survey.</w:t>
      </w:r>
      <w:r w:rsidRPr="00234555">
        <w:rPr>
          <w:rStyle w:val="FootnoteReference"/>
          <w:szCs w:val="24"/>
        </w:rPr>
        <w:footnoteReference w:id="3"/>
      </w:r>
      <w:r w:rsidRPr="00234555">
        <w:rPr>
          <w:szCs w:val="24"/>
        </w:rPr>
        <w:t xml:space="preserve"> </w:t>
      </w:r>
    </w:p>
    <w:p w:rsidR="00234555" w:rsidRPr="00234555" w:rsidRDefault="00234555" w:rsidP="00234555">
      <w:pPr>
        <w:ind w:firstLine="360"/>
        <w:rPr>
          <w:szCs w:val="24"/>
        </w:rPr>
      </w:pPr>
      <w:r w:rsidRPr="00234555">
        <w:rPr>
          <w:szCs w:val="24"/>
        </w:rPr>
        <w:t xml:space="preserve">  </w:t>
      </w:r>
    </w:p>
    <w:p w:rsidR="00834B56" w:rsidRDefault="00234555" w:rsidP="00234555">
      <w:pPr>
        <w:ind w:firstLine="720"/>
        <w:rPr>
          <w:szCs w:val="24"/>
        </w:rPr>
      </w:pPr>
      <w:r w:rsidRPr="00234555">
        <w:rPr>
          <w:szCs w:val="24"/>
        </w:rPr>
        <w:t xml:space="preserve">Given that the universe of finance companies has probably changed significantly since December 2005, error estimates based on the 2005 data must be interpreted as a rough guideline for the census panel structure.  The Federal Reserve has considered the error implications associated with two panel sizes (750 and 3,000 companies) and their associated response patterns. </w:t>
      </w:r>
    </w:p>
    <w:p w:rsidR="00834B56" w:rsidRDefault="00834B56" w:rsidP="00234555">
      <w:pPr>
        <w:ind w:firstLine="720"/>
        <w:rPr>
          <w:szCs w:val="24"/>
        </w:rPr>
      </w:pPr>
    </w:p>
    <w:p w:rsidR="00834B56" w:rsidRPr="00AA460B" w:rsidRDefault="00834B56" w:rsidP="00834B56">
      <w:pPr>
        <w:ind w:firstLine="720"/>
        <w:rPr>
          <w:szCs w:val="24"/>
        </w:rPr>
      </w:pPr>
      <w:r w:rsidRPr="00AA460B">
        <w:rPr>
          <w:szCs w:val="24"/>
        </w:rPr>
        <w:t xml:space="preserve">To maximize the response rate, the timing of the FR 3033s would coincide as closely as possible to fourth-quarter SEC 10-K filings.  </w:t>
      </w:r>
      <w:r>
        <w:rPr>
          <w:szCs w:val="24"/>
        </w:rPr>
        <w:t>The Federal Reserve</w:t>
      </w:r>
      <w:r w:rsidRPr="00AA460B">
        <w:rPr>
          <w:szCs w:val="24"/>
        </w:rPr>
        <w:t xml:space="preserve"> believes that by targeting the time period just after the 10-K filings, it is more likely that respondents will have the necessary information readily on hand to complete the FR 3033s. The survey would be mailed after February 15, 2011, with instructions to respond by March 15, 2011.  After March 15, 2011, follow-up mailings would be sent to companies that do not respond and follow-up calls would be made after April 1, 2011.</w:t>
      </w:r>
    </w:p>
    <w:p w:rsidR="00484CA1" w:rsidRDefault="00234555" w:rsidP="00234555">
      <w:pPr>
        <w:ind w:firstLine="720"/>
        <w:rPr>
          <w:szCs w:val="24"/>
        </w:rPr>
      </w:pPr>
      <w:r w:rsidRPr="00234555">
        <w:rPr>
          <w:szCs w:val="24"/>
        </w:rPr>
        <w:t xml:space="preserve"> </w:t>
      </w:r>
    </w:p>
    <w:p w:rsidR="00484CA1" w:rsidRDefault="00484CA1">
      <w:pPr>
        <w:rPr>
          <w:szCs w:val="24"/>
        </w:rPr>
      </w:pPr>
      <w:r>
        <w:rPr>
          <w:szCs w:val="24"/>
        </w:rPr>
        <w:br w:type="page"/>
      </w:r>
    </w:p>
    <w:p w:rsidR="00234555" w:rsidRDefault="00234555" w:rsidP="00234555">
      <w:pPr>
        <w:ind w:firstLine="720"/>
        <w:rPr>
          <w:szCs w:val="24"/>
        </w:rPr>
      </w:pPr>
    </w:p>
    <w:p w:rsidR="00234555" w:rsidRPr="00234555" w:rsidRDefault="00234555" w:rsidP="00234555">
      <w:pPr>
        <w:ind w:firstLine="720"/>
        <w:rPr>
          <w:szCs w:val="24"/>
        </w:rPr>
      </w:pPr>
    </w:p>
    <w:p w:rsidR="00234555" w:rsidRPr="00234555" w:rsidRDefault="00234555" w:rsidP="00234555">
      <w:pPr>
        <w:tabs>
          <w:tab w:val="left" w:pos="0"/>
          <w:tab w:val="center" w:pos="5040"/>
        </w:tabs>
        <w:jc w:val="center"/>
        <w:rPr>
          <w:rFonts w:eastAsia="SimSun"/>
          <w:szCs w:val="24"/>
        </w:rPr>
      </w:pPr>
      <w:r w:rsidRPr="00234555">
        <w:rPr>
          <w:rFonts w:eastAsia="SimSun"/>
          <w:b/>
          <w:bCs/>
          <w:szCs w:val="24"/>
        </w:rPr>
        <w:t>Table 1</w:t>
      </w:r>
    </w:p>
    <w:p w:rsidR="00234555" w:rsidRPr="00234555" w:rsidRDefault="00234555" w:rsidP="00234555">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jc w:val="center"/>
        <w:rPr>
          <w:rFonts w:eastAsia="SimSun"/>
          <w:b/>
          <w:iCs/>
          <w:szCs w:val="24"/>
        </w:rPr>
      </w:pPr>
      <w:r w:rsidRPr="00234555">
        <w:rPr>
          <w:rFonts w:eastAsia="SimSun"/>
          <w:b/>
          <w:iCs/>
          <w:szCs w:val="24"/>
        </w:rPr>
        <w:t>Survey Response Distribution by Asset Size of Finance Company</w:t>
      </w:r>
    </w:p>
    <w:p w:rsidR="00234555" w:rsidRPr="00234555" w:rsidRDefault="00234555" w:rsidP="00234555">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jc w:val="center"/>
        <w:rPr>
          <w:rFonts w:eastAsia="SimSun"/>
          <w:b/>
          <w:iCs/>
          <w:szCs w:val="24"/>
        </w:rPr>
      </w:pPr>
    </w:p>
    <w:tbl>
      <w:tblPr>
        <w:tblW w:w="8820" w:type="dxa"/>
        <w:tblInd w:w="62" w:type="dxa"/>
        <w:tblLayout w:type="fixed"/>
        <w:tblCellMar>
          <w:left w:w="62" w:type="dxa"/>
          <w:right w:w="62" w:type="dxa"/>
        </w:tblCellMar>
        <w:tblLook w:val="0000"/>
      </w:tblPr>
      <w:tblGrid>
        <w:gridCol w:w="2790"/>
        <w:gridCol w:w="1260"/>
        <w:gridCol w:w="900"/>
        <w:gridCol w:w="1350"/>
        <w:gridCol w:w="1260"/>
        <w:gridCol w:w="1260"/>
      </w:tblGrid>
      <w:tr w:rsidR="00234555" w:rsidRPr="00234555" w:rsidTr="00FD6483">
        <w:trPr>
          <w:cantSplit/>
        </w:trPr>
        <w:tc>
          <w:tcPr>
            <w:tcW w:w="2790" w:type="dxa"/>
            <w:vMerge w:val="restart"/>
            <w:tcBorders>
              <w:top w:val="double" w:sz="12" w:space="0" w:color="000000"/>
              <w:left w:val="double" w:sz="12" w:space="0" w:color="000000"/>
              <w:bottom w:val="double" w:sz="9" w:space="0" w:color="000000"/>
              <w:right w:val="double" w:sz="9" w:space="0" w:color="000000"/>
            </w:tcBorders>
            <w:vAlign w:val="center"/>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jc w:val="center"/>
              <w:rPr>
                <w:rFonts w:eastAsia="SimSun"/>
                <w:szCs w:val="24"/>
              </w:rPr>
            </w:pPr>
          </w:p>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jc w:val="center"/>
              <w:rPr>
                <w:rFonts w:eastAsia="SimSun"/>
                <w:szCs w:val="24"/>
              </w:rPr>
            </w:pPr>
          </w:p>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after="33"/>
              <w:jc w:val="center"/>
              <w:rPr>
                <w:rFonts w:eastAsia="SimSun"/>
                <w:szCs w:val="24"/>
              </w:rPr>
            </w:pPr>
            <w:r w:rsidRPr="00234555">
              <w:rPr>
                <w:rFonts w:eastAsia="SimSun"/>
                <w:szCs w:val="24"/>
              </w:rPr>
              <w:t>Asset size</w:t>
            </w:r>
          </w:p>
        </w:tc>
        <w:tc>
          <w:tcPr>
            <w:tcW w:w="1260" w:type="dxa"/>
            <w:tcBorders>
              <w:top w:val="double" w:sz="12" w:space="0" w:color="000000"/>
              <w:left w:val="double" w:sz="9"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4"/>
              <w:jc w:val="center"/>
              <w:rPr>
                <w:szCs w:val="24"/>
              </w:rPr>
            </w:pPr>
            <w:r w:rsidRPr="00234555">
              <w:rPr>
                <w:szCs w:val="24"/>
              </w:rPr>
              <w:t>2005</w:t>
            </w:r>
          </w:p>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4"/>
              <w:jc w:val="center"/>
              <w:rPr>
                <w:rFonts w:eastAsia="SimSun"/>
                <w:szCs w:val="24"/>
              </w:rPr>
            </w:pPr>
            <w:r w:rsidRPr="00234555">
              <w:rPr>
                <w:rFonts w:eastAsia="SimSun"/>
                <w:szCs w:val="24"/>
              </w:rPr>
              <w:t>FR 3033p</w:t>
            </w:r>
          </w:p>
        </w:tc>
        <w:tc>
          <w:tcPr>
            <w:tcW w:w="2250" w:type="dxa"/>
            <w:gridSpan w:val="2"/>
            <w:tcBorders>
              <w:top w:val="double" w:sz="12"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2005</w:t>
            </w:r>
          </w:p>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rFonts w:eastAsia="SimSun"/>
                <w:szCs w:val="24"/>
              </w:rPr>
              <w:t>FR 3033s</w:t>
            </w:r>
          </w:p>
        </w:tc>
        <w:tc>
          <w:tcPr>
            <w:tcW w:w="2520" w:type="dxa"/>
            <w:gridSpan w:val="2"/>
            <w:tcBorders>
              <w:top w:val="double" w:sz="12" w:space="0" w:color="000000"/>
              <w:left w:val="single" w:sz="6" w:space="0" w:color="000000"/>
              <w:bottom w:val="nil"/>
              <w:right w:val="double" w:sz="12" w:space="0" w:color="000000"/>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szCs w:val="24"/>
              </w:rPr>
            </w:pPr>
            <w:r w:rsidRPr="00234555">
              <w:rPr>
                <w:szCs w:val="24"/>
              </w:rPr>
              <w:t>2010 Estimated response for</w:t>
            </w:r>
          </w:p>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szCs w:val="24"/>
              </w:rPr>
            </w:pPr>
            <w:r w:rsidRPr="00234555">
              <w:rPr>
                <w:szCs w:val="24"/>
              </w:rPr>
              <w:t>FR 3033s panel size</w:t>
            </w:r>
          </w:p>
        </w:tc>
      </w:tr>
      <w:tr w:rsidR="00234555" w:rsidRPr="00234555" w:rsidTr="00FD6483">
        <w:trPr>
          <w:cantSplit/>
          <w:trHeight w:val="859"/>
        </w:trPr>
        <w:tc>
          <w:tcPr>
            <w:tcW w:w="2790" w:type="dxa"/>
            <w:vMerge/>
            <w:tcBorders>
              <w:top w:val="single" w:sz="6" w:space="0" w:color="000000"/>
              <w:left w:val="double" w:sz="12" w:space="0" w:color="000000"/>
              <w:bottom w:val="double" w:sz="9" w:space="0" w:color="000000"/>
              <w:right w:val="double" w:sz="9" w:space="0" w:color="000000"/>
            </w:tcBorders>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rPr>
                <w:rFonts w:eastAsia="SimSun"/>
                <w:szCs w:val="24"/>
              </w:rPr>
            </w:pPr>
          </w:p>
        </w:tc>
        <w:tc>
          <w:tcPr>
            <w:tcW w:w="1260" w:type="dxa"/>
            <w:tcBorders>
              <w:top w:val="single" w:sz="6" w:space="0" w:color="000000"/>
              <w:left w:val="double" w:sz="9" w:space="0" w:color="000000"/>
              <w:right w:val="nil"/>
            </w:tcBorders>
            <w:shd w:val="pct10" w:color="000000" w:fill="FFFFFF"/>
            <w:vAlign w:val="center"/>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4"/>
              <w:jc w:val="center"/>
              <w:rPr>
                <w:rFonts w:eastAsia="SimSun"/>
                <w:bCs/>
                <w:szCs w:val="24"/>
              </w:rPr>
            </w:pPr>
            <w:r w:rsidRPr="00234555">
              <w:rPr>
                <w:bCs/>
                <w:szCs w:val="24"/>
              </w:rPr>
              <w:t>Estimated population</w:t>
            </w:r>
          </w:p>
        </w:tc>
        <w:tc>
          <w:tcPr>
            <w:tcW w:w="900" w:type="dxa"/>
            <w:tcBorders>
              <w:top w:val="single" w:sz="6" w:space="0" w:color="000000"/>
              <w:left w:val="single" w:sz="6" w:space="0" w:color="000000"/>
              <w:right w:val="nil"/>
            </w:tcBorders>
            <w:shd w:val="pct10" w:color="000000" w:fill="FFFFFF"/>
            <w:vAlign w:val="center"/>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4"/>
              <w:jc w:val="center"/>
              <w:rPr>
                <w:rFonts w:eastAsia="SimSun"/>
                <w:szCs w:val="24"/>
              </w:rPr>
            </w:pPr>
            <w:r w:rsidRPr="00234555">
              <w:rPr>
                <w:rFonts w:eastAsia="SimSun"/>
                <w:bCs/>
                <w:szCs w:val="24"/>
              </w:rPr>
              <w:t>Total</w:t>
            </w:r>
            <w:r w:rsidRPr="00234555">
              <w:rPr>
                <w:bCs/>
                <w:szCs w:val="24"/>
              </w:rPr>
              <w:t xml:space="preserve"> </w:t>
            </w:r>
            <w:r w:rsidRPr="00234555">
              <w:rPr>
                <w:bCs/>
                <w:szCs w:val="24"/>
              </w:rPr>
              <w:br/>
            </w:r>
            <w:r w:rsidRPr="00234555">
              <w:rPr>
                <w:rFonts w:eastAsia="SimSun"/>
                <w:bCs/>
                <w:szCs w:val="24"/>
              </w:rPr>
              <w:t>sam</w:t>
            </w:r>
            <w:r w:rsidRPr="00234555">
              <w:rPr>
                <w:rFonts w:eastAsia="SimSun"/>
                <w:bCs/>
                <w:szCs w:val="24"/>
              </w:rPr>
              <w:softHyphen/>
              <w:t>ple</w:t>
            </w:r>
          </w:p>
        </w:tc>
        <w:tc>
          <w:tcPr>
            <w:tcW w:w="1350" w:type="dxa"/>
            <w:tcBorders>
              <w:top w:val="single" w:sz="6" w:space="0" w:color="000000"/>
              <w:left w:val="single" w:sz="6" w:space="0" w:color="000000"/>
              <w:right w:val="nil"/>
            </w:tcBorders>
            <w:shd w:val="pct10" w:color="000000" w:fill="FFFFFF"/>
            <w:vAlign w:val="center"/>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rFonts w:eastAsia="SimSun"/>
                <w:bCs/>
                <w:szCs w:val="24"/>
              </w:rPr>
              <w:t xml:space="preserve">Number of </w:t>
            </w:r>
            <w:r w:rsidRPr="00234555">
              <w:rPr>
                <w:bCs/>
                <w:szCs w:val="24"/>
              </w:rPr>
              <w:br/>
              <w:t xml:space="preserve">usable </w:t>
            </w:r>
            <w:r w:rsidRPr="00234555">
              <w:rPr>
                <w:bCs/>
                <w:szCs w:val="24"/>
              </w:rPr>
              <w:br/>
            </w:r>
            <w:r w:rsidRPr="00234555">
              <w:rPr>
                <w:rFonts w:eastAsia="SimSun"/>
                <w:bCs/>
                <w:szCs w:val="24"/>
              </w:rPr>
              <w:t>re</w:t>
            </w:r>
            <w:r w:rsidRPr="00234555">
              <w:rPr>
                <w:rFonts w:eastAsia="SimSun"/>
                <w:bCs/>
                <w:szCs w:val="24"/>
              </w:rPr>
              <w:softHyphen/>
              <w:t>sponses</w:t>
            </w:r>
          </w:p>
        </w:tc>
        <w:tc>
          <w:tcPr>
            <w:tcW w:w="1260" w:type="dxa"/>
            <w:tcBorders>
              <w:top w:val="single" w:sz="6" w:space="0" w:color="000000"/>
              <w:left w:val="single" w:sz="6" w:space="0" w:color="000000"/>
              <w:bottom w:val="single" w:sz="6" w:space="0" w:color="000000"/>
              <w:right w:val="single" w:sz="6" w:space="0" w:color="000000"/>
            </w:tcBorders>
            <w:shd w:val="pct10" w:color="000000" w:fill="FFFFFF"/>
            <w:vAlign w:val="center"/>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szCs w:val="24"/>
              </w:rPr>
            </w:pPr>
            <w:r w:rsidRPr="00234555">
              <w:rPr>
                <w:szCs w:val="24"/>
              </w:rPr>
              <w:t>75</w:t>
            </w:r>
            <w:r w:rsidRPr="00234555">
              <w:rPr>
                <w:rFonts w:eastAsia="SimSun"/>
                <w:szCs w:val="24"/>
              </w:rPr>
              <w:t>0</w:t>
            </w:r>
          </w:p>
        </w:tc>
        <w:tc>
          <w:tcPr>
            <w:tcW w:w="1260" w:type="dxa"/>
            <w:tcBorders>
              <w:top w:val="single" w:sz="6" w:space="0" w:color="000000"/>
              <w:left w:val="single" w:sz="6" w:space="0" w:color="000000"/>
              <w:right w:val="double" w:sz="12" w:space="0" w:color="000000"/>
            </w:tcBorders>
            <w:shd w:val="pct10" w:color="000000" w:fill="FFFFFF"/>
            <w:vAlign w:val="center"/>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szCs w:val="24"/>
              </w:rPr>
            </w:pPr>
            <w:r w:rsidRPr="00234555">
              <w:rPr>
                <w:szCs w:val="24"/>
              </w:rPr>
              <w:t>3000</w:t>
            </w:r>
          </w:p>
        </w:tc>
      </w:tr>
      <w:tr w:rsidR="00234555" w:rsidRPr="00234555" w:rsidTr="00FD6483">
        <w:trPr>
          <w:cantSplit/>
        </w:trPr>
        <w:tc>
          <w:tcPr>
            <w:tcW w:w="2790" w:type="dxa"/>
            <w:tcBorders>
              <w:top w:val="single" w:sz="6" w:space="0" w:color="000000"/>
              <w:left w:val="double" w:sz="12" w:space="0" w:color="000000"/>
              <w:bottom w:val="nil"/>
              <w:right w:val="double" w:sz="9" w:space="0" w:color="000000"/>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rPr>
                <w:szCs w:val="24"/>
              </w:rPr>
            </w:pPr>
            <w:r w:rsidRPr="00234555">
              <w:rPr>
                <w:szCs w:val="24"/>
              </w:rPr>
              <w:t>Less than $1 million</w:t>
            </w:r>
          </w:p>
        </w:tc>
        <w:tc>
          <w:tcPr>
            <w:tcW w:w="1260" w:type="dxa"/>
            <w:tcBorders>
              <w:top w:val="single" w:sz="6" w:space="0" w:color="000000"/>
              <w:left w:val="double" w:sz="9"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szCs w:val="24"/>
              </w:rPr>
            </w:pPr>
            <w:r w:rsidRPr="00234555">
              <w:rPr>
                <w:szCs w:val="24"/>
              </w:rPr>
              <w:t>381</w:t>
            </w:r>
          </w:p>
        </w:tc>
        <w:tc>
          <w:tcPr>
            <w:tcW w:w="90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szCs w:val="24"/>
              </w:rPr>
            </w:pPr>
            <w:r w:rsidRPr="00234555">
              <w:rPr>
                <w:szCs w:val="24"/>
              </w:rPr>
              <w:t>18</w:t>
            </w:r>
          </w:p>
        </w:tc>
        <w:tc>
          <w:tcPr>
            <w:tcW w:w="135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szCs w:val="24"/>
              </w:rPr>
            </w:pPr>
            <w:r w:rsidRPr="00234555">
              <w:rPr>
                <w:szCs w:val="24"/>
              </w:rPr>
              <w:t>3</w:t>
            </w:r>
          </w:p>
        </w:tc>
        <w:tc>
          <w:tcPr>
            <w:tcW w:w="126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szCs w:val="24"/>
              </w:rPr>
            </w:pPr>
            <w:r w:rsidRPr="00234555">
              <w:rPr>
                <w:szCs w:val="24"/>
              </w:rPr>
              <w:t>33</w:t>
            </w:r>
          </w:p>
        </w:tc>
        <w:tc>
          <w:tcPr>
            <w:tcW w:w="1260" w:type="dxa"/>
            <w:tcBorders>
              <w:top w:val="single" w:sz="6" w:space="0" w:color="000000"/>
              <w:left w:val="single" w:sz="6" w:space="0" w:color="000000"/>
              <w:bottom w:val="nil"/>
              <w:right w:val="double" w:sz="12" w:space="0" w:color="000000"/>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szCs w:val="24"/>
              </w:rPr>
            </w:pPr>
            <w:r w:rsidRPr="00234555">
              <w:rPr>
                <w:szCs w:val="24"/>
              </w:rPr>
              <w:t>182</w:t>
            </w:r>
          </w:p>
        </w:tc>
      </w:tr>
      <w:tr w:rsidR="00234555" w:rsidRPr="00234555" w:rsidTr="00FD6483">
        <w:trPr>
          <w:cantSplit/>
        </w:trPr>
        <w:tc>
          <w:tcPr>
            <w:tcW w:w="2790" w:type="dxa"/>
            <w:tcBorders>
              <w:top w:val="single" w:sz="6" w:space="0" w:color="000000"/>
              <w:left w:val="double" w:sz="12" w:space="0" w:color="000000"/>
              <w:bottom w:val="nil"/>
              <w:right w:val="double" w:sz="9" w:space="0" w:color="000000"/>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rPr>
                <w:rFonts w:eastAsia="SimSun"/>
                <w:szCs w:val="24"/>
              </w:rPr>
            </w:pPr>
            <w:r w:rsidRPr="00234555">
              <w:rPr>
                <w:szCs w:val="24"/>
              </w:rPr>
              <w:t>$1 to</w:t>
            </w:r>
            <w:r w:rsidRPr="00234555">
              <w:rPr>
                <w:rFonts w:eastAsia="SimSun"/>
                <w:szCs w:val="24"/>
              </w:rPr>
              <w:t xml:space="preserve"> less than $10 million</w:t>
            </w:r>
          </w:p>
        </w:tc>
        <w:tc>
          <w:tcPr>
            <w:tcW w:w="1260" w:type="dxa"/>
            <w:tcBorders>
              <w:top w:val="single" w:sz="6" w:space="0" w:color="000000"/>
              <w:left w:val="double" w:sz="9"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574</w:t>
            </w:r>
          </w:p>
        </w:tc>
        <w:tc>
          <w:tcPr>
            <w:tcW w:w="90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332</w:t>
            </w:r>
          </w:p>
        </w:tc>
        <w:tc>
          <w:tcPr>
            <w:tcW w:w="135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41</w:t>
            </w:r>
          </w:p>
        </w:tc>
        <w:tc>
          <w:tcPr>
            <w:tcW w:w="126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rFonts w:eastAsia="SimSun"/>
                <w:szCs w:val="24"/>
              </w:rPr>
              <w:t>24</w:t>
            </w:r>
          </w:p>
        </w:tc>
        <w:tc>
          <w:tcPr>
            <w:tcW w:w="1260" w:type="dxa"/>
            <w:tcBorders>
              <w:top w:val="single" w:sz="6" w:space="0" w:color="000000"/>
              <w:left w:val="single" w:sz="6" w:space="0" w:color="000000"/>
              <w:bottom w:val="nil"/>
              <w:right w:val="double" w:sz="12" w:space="0" w:color="000000"/>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rFonts w:eastAsia="SimSun"/>
                <w:szCs w:val="24"/>
              </w:rPr>
              <w:t>104</w:t>
            </w:r>
          </w:p>
        </w:tc>
      </w:tr>
      <w:tr w:rsidR="00234555" w:rsidRPr="00234555" w:rsidTr="00FD6483">
        <w:trPr>
          <w:cantSplit/>
        </w:trPr>
        <w:tc>
          <w:tcPr>
            <w:tcW w:w="2790" w:type="dxa"/>
            <w:tcBorders>
              <w:top w:val="single" w:sz="6" w:space="0" w:color="000000"/>
              <w:left w:val="double" w:sz="12" w:space="0" w:color="000000"/>
              <w:bottom w:val="nil"/>
              <w:right w:val="double" w:sz="9" w:space="0" w:color="000000"/>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rPr>
                <w:rFonts w:eastAsia="SimSun"/>
                <w:szCs w:val="24"/>
              </w:rPr>
            </w:pPr>
            <w:r w:rsidRPr="00234555">
              <w:rPr>
                <w:szCs w:val="24"/>
              </w:rPr>
              <w:t xml:space="preserve">$10 to less than $100 </w:t>
            </w:r>
            <w:r w:rsidRPr="00234555">
              <w:rPr>
                <w:rFonts w:eastAsia="SimSun"/>
                <w:szCs w:val="24"/>
              </w:rPr>
              <w:t xml:space="preserve"> million</w:t>
            </w:r>
          </w:p>
        </w:tc>
        <w:tc>
          <w:tcPr>
            <w:tcW w:w="1260" w:type="dxa"/>
            <w:tcBorders>
              <w:top w:val="single" w:sz="6" w:space="0" w:color="000000"/>
              <w:left w:val="double" w:sz="9"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347</w:t>
            </w:r>
          </w:p>
        </w:tc>
        <w:tc>
          <w:tcPr>
            <w:tcW w:w="90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219</w:t>
            </w:r>
          </w:p>
        </w:tc>
        <w:tc>
          <w:tcPr>
            <w:tcW w:w="135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52</w:t>
            </w:r>
          </w:p>
        </w:tc>
        <w:tc>
          <w:tcPr>
            <w:tcW w:w="126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rFonts w:eastAsia="SimSun"/>
                <w:szCs w:val="24"/>
              </w:rPr>
              <w:t>36</w:t>
            </w:r>
          </w:p>
        </w:tc>
        <w:tc>
          <w:tcPr>
            <w:tcW w:w="1260" w:type="dxa"/>
            <w:tcBorders>
              <w:top w:val="single" w:sz="6" w:space="0" w:color="000000"/>
              <w:left w:val="single" w:sz="6" w:space="0" w:color="000000"/>
              <w:bottom w:val="nil"/>
              <w:right w:val="double" w:sz="12" w:space="0" w:color="000000"/>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rFonts w:eastAsia="SimSun"/>
                <w:szCs w:val="24"/>
              </w:rPr>
              <w:t>179</w:t>
            </w:r>
          </w:p>
        </w:tc>
      </w:tr>
      <w:tr w:rsidR="00234555" w:rsidRPr="00234555" w:rsidTr="00FD6483">
        <w:trPr>
          <w:cantSplit/>
        </w:trPr>
        <w:tc>
          <w:tcPr>
            <w:tcW w:w="2790" w:type="dxa"/>
            <w:tcBorders>
              <w:top w:val="single" w:sz="6" w:space="0" w:color="000000"/>
              <w:left w:val="double" w:sz="12" w:space="0" w:color="000000"/>
              <w:bottom w:val="nil"/>
              <w:right w:val="double" w:sz="9" w:space="0" w:color="000000"/>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rPr>
                <w:rFonts w:eastAsia="SimSun"/>
                <w:szCs w:val="24"/>
              </w:rPr>
            </w:pPr>
            <w:r w:rsidRPr="00234555">
              <w:rPr>
                <w:szCs w:val="24"/>
              </w:rPr>
              <w:t xml:space="preserve">$100 million </w:t>
            </w:r>
            <w:r w:rsidRPr="00234555">
              <w:rPr>
                <w:rFonts w:eastAsia="SimSun"/>
                <w:szCs w:val="24"/>
              </w:rPr>
              <w:t xml:space="preserve"> to less than $1</w:t>
            </w:r>
            <w:r w:rsidRPr="00234555">
              <w:rPr>
                <w:szCs w:val="24"/>
              </w:rPr>
              <w:t xml:space="preserve"> billion</w:t>
            </w:r>
          </w:p>
        </w:tc>
        <w:tc>
          <w:tcPr>
            <w:tcW w:w="1260" w:type="dxa"/>
            <w:tcBorders>
              <w:top w:val="single" w:sz="6" w:space="0" w:color="000000"/>
              <w:left w:val="double" w:sz="9"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131</w:t>
            </w:r>
          </w:p>
        </w:tc>
        <w:tc>
          <w:tcPr>
            <w:tcW w:w="90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98</w:t>
            </w:r>
          </w:p>
        </w:tc>
        <w:tc>
          <w:tcPr>
            <w:tcW w:w="135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25</w:t>
            </w:r>
          </w:p>
        </w:tc>
        <w:tc>
          <w:tcPr>
            <w:tcW w:w="126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rFonts w:eastAsia="SimSun"/>
                <w:szCs w:val="24"/>
              </w:rPr>
              <w:t>32</w:t>
            </w:r>
          </w:p>
        </w:tc>
        <w:tc>
          <w:tcPr>
            <w:tcW w:w="1260" w:type="dxa"/>
            <w:tcBorders>
              <w:top w:val="single" w:sz="6" w:space="0" w:color="000000"/>
              <w:left w:val="single" w:sz="6" w:space="0" w:color="000000"/>
              <w:bottom w:val="nil"/>
              <w:right w:val="double" w:sz="12" w:space="0" w:color="000000"/>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szCs w:val="24"/>
              </w:rPr>
            </w:pPr>
            <w:r w:rsidRPr="00234555">
              <w:rPr>
                <w:szCs w:val="24"/>
              </w:rPr>
              <w:t>64</w:t>
            </w:r>
          </w:p>
        </w:tc>
      </w:tr>
      <w:tr w:rsidR="00234555" w:rsidRPr="00234555" w:rsidTr="00FD6483">
        <w:trPr>
          <w:cantSplit/>
        </w:trPr>
        <w:tc>
          <w:tcPr>
            <w:tcW w:w="2790" w:type="dxa"/>
            <w:tcBorders>
              <w:top w:val="single" w:sz="6" w:space="0" w:color="000000"/>
              <w:left w:val="double" w:sz="12" w:space="0" w:color="000000"/>
              <w:bottom w:val="nil"/>
              <w:right w:val="double" w:sz="9" w:space="0" w:color="000000"/>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rPr>
                <w:rFonts w:eastAsia="SimSun"/>
                <w:szCs w:val="24"/>
              </w:rPr>
            </w:pPr>
            <w:r w:rsidRPr="00234555">
              <w:rPr>
                <w:szCs w:val="24"/>
              </w:rPr>
              <w:t>$1 to less than $3 billion</w:t>
            </w:r>
          </w:p>
        </w:tc>
        <w:tc>
          <w:tcPr>
            <w:tcW w:w="1260" w:type="dxa"/>
            <w:tcBorders>
              <w:top w:val="single" w:sz="6" w:space="0" w:color="000000"/>
              <w:left w:val="double" w:sz="9"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23</w:t>
            </w:r>
          </w:p>
        </w:tc>
        <w:tc>
          <w:tcPr>
            <w:tcW w:w="90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23</w:t>
            </w:r>
          </w:p>
        </w:tc>
        <w:tc>
          <w:tcPr>
            <w:tcW w:w="135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10</w:t>
            </w:r>
          </w:p>
        </w:tc>
        <w:tc>
          <w:tcPr>
            <w:tcW w:w="126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10</w:t>
            </w:r>
          </w:p>
        </w:tc>
        <w:tc>
          <w:tcPr>
            <w:tcW w:w="1260" w:type="dxa"/>
            <w:tcBorders>
              <w:top w:val="single" w:sz="6" w:space="0" w:color="000000"/>
              <w:left w:val="single" w:sz="6" w:space="0" w:color="000000"/>
              <w:bottom w:val="nil"/>
              <w:right w:val="double" w:sz="12" w:space="0" w:color="000000"/>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rFonts w:eastAsia="SimSun"/>
                <w:szCs w:val="24"/>
              </w:rPr>
              <w:t>10</w:t>
            </w:r>
          </w:p>
        </w:tc>
      </w:tr>
      <w:tr w:rsidR="00234555" w:rsidRPr="00234555" w:rsidTr="00FD6483">
        <w:trPr>
          <w:cantSplit/>
        </w:trPr>
        <w:tc>
          <w:tcPr>
            <w:tcW w:w="2790" w:type="dxa"/>
            <w:tcBorders>
              <w:top w:val="single" w:sz="6" w:space="0" w:color="000000"/>
              <w:left w:val="double" w:sz="12" w:space="0" w:color="000000"/>
              <w:bottom w:val="nil"/>
              <w:right w:val="double" w:sz="9" w:space="0" w:color="000000"/>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rPr>
                <w:rFonts w:eastAsia="SimSun"/>
                <w:szCs w:val="24"/>
              </w:rPr>
            </w:pPr>
            <w:r w:rsidRPr="00234555">
              <w:rPr>
                <w:szCs w:val="24"/>
              </w:rPr>
              <w:t>$3 to less than $20</w:t>
            </w:r>
            <w:r w:rsidRPr="00234555">
              <w:rPr>
                <w:rFonts w:eastAsia="SimSun"/>
                <w:szCs w:val="24"/>
              </w:rPr>
              <w:t xml:space="preserve"> billion</w:t>
            </w:r>
          </w:p>
        </w:tc>
        <w:tc>
          <w:tcPr>
            <w:tcW w:w="1260" w:type="dxa"/>
            <w:tcBorders>
              <w:top w:val="single" w:sz="6" w:space="0" w:color="000000"/>
              <w:left w:val="double" w:sz="9"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34</w:t>
            </w:r>
          </w:p>
        </w:tc>
        <w:tc>
          <w:tcPr>
            <w:tcW w:w="90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31</w:t>
            </w:r>
          </w:p>
        </w:tc>
        <w:tc>
          <w:tcPr>
            <w:tcW w:w="135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11</w:t>
            </w:r>
          </w:p>
        </w:tc>
        <w:tc>
          <w:tcPr>
            <w:tcW w:w="126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11</w:t>
            </w:r>
          </w:p>
        </w:tc>
        <w:tc>
          <w:tcPr>
            <w:tcW w:w="1260" w:type="dxa"/>
            <w:tcBorders>
              <w:top w:val="single" w:sz="6" w:space="0" w:color="000000"/>
              <w:left w:val="single" w:sz="6" w:space="0" w:color="000000"/>
              <w:bottom w:val="nil"/>
              <w:right w:val="double" w:sz="12" w:space="0" w:color="000000"/>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rFonts w:eastAsia="SimSun"/>
                <w:szCs w:val="24"/>
              </w:rPr>
              <w:t>11</w:t>
            </w:r>
          </w:p>
        </w:tc>
      </w:tr>
      <w:tr w:rsidR="00234555" w:rsidRPr="00234555" w:rsidTr="00FD6483">
        <w:trPr>
          <w:cantSplit/>
        </w:trPr>
        <w:tc>
          <w:tcPr>
            <w:tcW w:w="2790" w:type="dxa"/>
            <w:tcBorders>
              <w:top w:val="single" w:sz="6" w:space="0" w:color="000000"/>
              <w:left w:val="double" w:sz="12" w:space="0" w:color="000000"/>
              <w:bottom w:val="nil"/>
              <w:right w:val="double" w:sz="9" w:space="0" w:color="000000"/>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rPr>
                <w:rFonts w:eastAsia="SimSun"/>
                <w:szCs w:val="24"/>
              </w:rPr>
            </w:pPr>
            <w:r w:rsidRPr="00234555">
              <w:rPr>
                <w:rFonts w:eastAsia="SimSun"/>
                <w:szCs w:val="24"/>
              </w:rPr>
              <w:t>$</w:t>
            </w:r>
            <w:r w:rsidRPr="00234555">
              <w:rPr>
                <w:szCs w:val="24"/>
              </w:rPr>
              <w:t>20 billion or more</w:t>
            </w:r>
          </w:p>
        </w:tc>
        <w:tc>
          <w:tcPr>
            <w:tcW w:w="1260" w:type="dxa"/>
            <w:tcBorders>
              <w:top w:val="single" w:sz="6" w:space="0" w:color="000000"/>
              <w:left w:val="double" w:sz="9"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19</w:t>
            </w:r>
          </w:p>
        </w:tc>
        <w:tc>
          <w:tcPr>
            <w:tcW w:w="90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19</w:t>
            </w:r>
          </w:p>
        </w:tc>
        <w:tc>
          <w:tcPr>
            <w:tcW w:w="135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19</w:t>
            </w:r>
          </w:p>
        </w:tc>
        <w:tc>
          <w:tcPr>
            <w:tcW w:w="1260" w:type="dxa"/>
            <w:tcBorders>
              <w:top w:val="single" w:sz="6" w:space="0" w:color="000000"/>
              <w:left w:val="single" w:sz="6" w:space="0" w:color="000000"/>
              <w:bottom w:val="nil"/>
              <w:right w:val="nil"/>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szCs w:val="24"/>
              </w:rPr>
              <w:t>19</w:t>
            </w:r>
          </w:p>
        </w:tc>
        <w:tc>
          <w:tcPr>
            <w:tcW w:w="1260" w:type="dxa"/>
            <w:tcBorders>
              <w:top w:val="single" w:sz="6" w:space="0" w:color="000000"/>
              <w:left w:val="single" w:sz="6" w:space="0" w:color="000000"/>
              <w:bottom w:val="nil"/>
              <w:right w:val="double" w:sz="12" w:space="0" w:color="000000"/>
            </w:tcBorders>
            <w:vAlign w:val="bottom"/>
          </w:tcPr>
          <w:p w:rsidR="00234555" w:rsidRPr="00234555" w:rsidRDefault="00234555" w:rsidP="00FD6483">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spacing w:before="98" w:after="33"/>
              <w:jc w:val="center"/>
              <w:rPr>
                <w:rFonts w:eastAsia="SimSun"/>
                <w:szCs w:val="24"/>
              </w:rPr>
            </w:pPr>
            <w:r w:rsidRPr="00234555">
              <w:rPr>
                <w:rFonts w:eastAsia="SimSun"/>
                <w:szCs w:val="24"/>
              </w:rPr>
              <w:t>19</w:t>
            </w:r>
          </w:p>
        </w:tc>
      </w:tr>
      <w:tr w:rsidR="00234555" w:rsidRPr="00234555" w:rsidTr="00FD6483">
        <w:trPr>
          <w:cantSplit/>
        </w:trPr>
        <w:tc>
          <w:tcPr>
            <w:tcW w:w="2790" w:type="dxa"/>
            <w:tcBorders>
              <w:top w:val="single" w:sz="6" w:space="0" w:color="000000"/>
              <w:left w:val="double" w:sz="12" w:space="0" w:color="000000"/>
              <w:bottom w:val="double" w:sz="12" w:space="0" w:color="000000"/>
              <w:right w:val="double" w:sz="9" w:space="0" w:color="000000"/>
            </w:tcBorders>
            <w:vAlign w:val="bottom"/>
          </w:tcPr>
          <w:p w:rsidR="00234555" w:rsidRPr="00234555" w:rsidRDefault="00234555" w:rsidP="00FD6483">
            <w:pPr>
              <w:tabs>
                <w:tab w:val="right" w:pos="10080"/>
              </w:tabs>
              <w:spacing w:before="98" w:after="33"/>
              <w:jc w:val="right"/>
              <w:rPr>
                <w:rFonts w:eastAsia="SimSun"/>
                <w:szCs w:val="24"/>
              </w:rPr>
            </w:pPr>
            <w:r w:rsidRPr="00234555">
              <w:rPr>
                <w:szCs w:val="24"/>
              </w:rPr>
              <w:t>Total</w:t>
            </w:r>
            <w:r w:rsidRPr="00234555">
              <w:rPr>
                <w:rFonts w:eastAsia="SimSun"/>
                <w:szCs w:val="24"/>
              </w:rPr>
              <w:t>s</w:t>
            </w:r>
          </w:p>
        </w:tc>
        <w:tc>
          <w:tcPr>
            <w:tcW w:w="1260" w:type="dxa"/>
            <w:tcBorders>
              <w:top w:val="single" w:sz="6" w:space="0" w:color="000000"/>
              <w:left w:val="double" w:sz="9" w:space="0" w:color="000000"/>
              <w:bottom w:val="double" w:sz="12" w:space="0" w:color="000000"/>
              <w:right w:val="nil"/>
            </w:tcBorders>
            <w:vAlign w:val="bottom"/>
          </w:tcPr>
          <w:p w:rsidR="00234555" w:rsidRPr="00234555" w:rsidRDefault="00234555" w:rsidP="00FD6483">
            <w:pPr>
              <w:spacing w:before="98" w:after="33"/>
              <w:jc w:val="center"/>
              <w:rPr>
                <w:rFonts w:eastAsia="SimSun"/>
                <w:szCs w:val="24"/>
              </w:rPr>
            </w:pPr>
            <w:r w:rsidRPr="00234555">
              <w:rPr>
                <w:szCs w:val="24"/>
              </w:rPr>
              <w:t>1,509</w:t>
            </w:r>
          </w:p>
        </w:tc>
        <w:tc>
          <w:tcPr>
            <w:tcW w:w="900" w:type="dxa"/>
            <w:tcBorders>
              <w:top w:val="single" w:sz="6" w:space="0" w:color="000000"/>
              <w:left w:val="single" w:sz="6" w:space="0" w:color="000000"/>
              <w:bottom w:val="double" w:sz="12" w:space="0" w:color="000000"/>
              <w:right w:val="nil"/>
            </w:tcBorders>
            <w:vAlign w:val="bottom"/>
          </w:tcPr>
          <w:p w:rsidR="00234555" w:rsidRPr="00234555" w:rsidRDefault="00234555" w:rsidP="00FD6483">
            <w:pPr>
              <w:spacing w:before="98" w:after="33"/>
              <w:jc w:val="center"/>
              <w:rPr>
                <w:rFonts w:eastAsia="SimSun"/>
                <w:szCs w:val="24"/>
              </w:rPr>
            </w:pPr>
            <w:r w:rsidRPr="00234555">
              <w:rPr>
                <w:szCs w:val="24"/>
              </w:rPr>
              <w:t>740</w:t>
            </w:r>
          </w:p>
        </w:tc>
        <w:tc>
          <w:tcPr>
            <w:tcW w:w="1350" w:type="dxa"/>
            <w:tcBorders>
              <w:top w:val="single" w:sz="6" w:space="0" w:color="000000"/>
              <w:left w:val="single" w:sz="6" w:space="0" w:color="000000"/>
              <w:bottom w:val="double" w:sz="12" w:space="0" w:color="000000"/>
              <w:right w:val="nil"/>
            </w:tcBorders>
            <w:vAlign w:val="bottom"/>
          </w:tcPr>
          <w:p w:rsidR="00234555" w:rsidRPr="00234555" w:rsidRDefault="00234555" w:rsidP="00FD6483">
            <w:pPr>
              <w:spacing w:before="98" w:after="33"/>
              <w:jc w:val="center"/>
              <w:rPr>
                <w:rFonts w:eastAsia="SimSun"/>
                <w:szCs w:val="24"/>
              </w:rPr>
            </w:pPr>
            <w:r w:rsidRPr="00234555">
              <w:rPr>
                <w:szCs w:val="24"/>
              </w:rPr>
              <w:t>161</w:t>
            </w:r>
          </w:p>
        </w:tc>
        <w:tc>
          <w:tcPr>
            <w:tcW w:w="1260" w:type="dxa"/>
            <w:tcBorders>
              <w:top w:val="single" w:sz="6" w:space="0" w:color="000000"/>
              <w:left w:val="single" w:sz="6" w:space="0" w:color="000000"/>
              <w:bottom w:val="double" w:sz="12" w:space="0" w:color="000000"/>
              <w:right w:val="nil"/>
            </w:tcBorders>
            <w:vAlign w:val="bottom"/>
          </w:tcPr>
          <w:p w:rsidR="00234555" w:rsidRPr="00234555" w:rsidRDefault="00234555" w:rsidP="00FD6483">
            <w:pPr>
              <w:spacing w:before="98" w:after="33"/>
              <w:jc w:val="center"/>
              <w:rPr>
                <w:rFonts w:eastAsia="SimSun"/>
                <w:szCs w:val="24"/>
              </w:rPr>
            </w:pPr>
            <w:r w:rsidRPr="00234555">
              <w:rPr>
                <w:szCs w:val="24"/>
              </w:rPr>
              <w:t>165</w:t>
            </w:r>
          </w:p>
        </w:tc>
        <w:tc>
          <w:tcPr>
            <w:tcW w:w="1260" w:type="dxa"/>
            <w:tcBorders>
              <w:top w:val="single" w:sz="6" w:space="0" w:color="000000"/>
              <w:left w:val="single" w:sz="6" w:space="0" w:color="000000"/>
              <w:bottom w:val="double" w:sz="12" w:space="0" w:color="000000"/>
              <w:right w:val="double" w:sz="12" w:space="0" w:color="000000"/>
            </w:tcBorders>
            <w:vAlign w:val="bottom"/>
          </w:tcPr>
          <w:p w:rsidR="00234555" w:rsidRPr="00234555" w:rsidRDefault="00234555" w:rsidP="00FD6483">
            <w:pPr>
              <w:spacing w:before="98" w:after="33"/>
              <w:jc w:val="center"/>
              <w:rPr>
                <w:rFonts w:eastAsia="SimSun"/>
                <w:szCs w:val="24"/>
              </w:rPr>
            </w:pPr>
            <w:r w:rsidRPr="00234555">
              <w:rPr>
                <w:rFonts w:eastAsia="SimSun"/>
                <w:szCs w:val="24"/>
              </w:rPr>
              <w:t>569</w:t>
            </w:r>
          </w:p>
        </w:tc>
      </w:tr>
    </w:tbl>
    <w:p w:rsidR="00234555" w:rsidRPr="00234555" w:rsidRDefault="00234555" w:rsidP="00234555">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jc w:val="center"/>
        <w:rPr>
          <w:rFonts w:eastAsia="SimSun"/>
          <w:b/>
          <w:iCs/>
          <w:szCs w:val="24"/>
        </w:rPr>
      </w:pPr>
    </w:p>
    <w:p w:rsidR="00234555" w:rsidRPr="00234555" w:rsidRDefault="00234555" w:rsidP="00234555">
      <w:pPr>
        <w:ind w:firstLine="720"/>
        <w:rPr>
          <w:szCs w:val="24"/>
        </w:rPr>
      </w:pPr>
    </w:p>
    <w:p w:rsidR="00234555" w:rsidRPr="00234555" w:rsidRDefault="00234555" w:rsidP="00234555">
      <w:pPr>
        <w:ind w:firstLine="720"/>
        <w:rPr>
          <w:szCs w:val="24"/>
        </w:rPr>
      </w:pPr>
      <w:r w:rsidRPr="00234555">
        <w:rPr>
          <w:szCs w:val="24"/>
        </w:rPr>
        <w:t xml:space="preserve">The estimated response distributions, shown in Table 2, assume that the response rate for each size and specialization combination would be no greater than the level attained in 2005. The Federal Reserve calculated the standard errors of the simple expansion estimator that is used to derive population aggregates under the assumption that whether a company responded or not was completely random.  Strictly speaking, the standard errors for sample sizes (assuming the response rate mentioned above) can only be said to hold for the 2005 survey population.  Response rates may fall below the level of 2005, but the Federal Reserve intends to make a concerted effort to raise response rates substantially; the estimated standard errors would fall if this effort is successful. </w:t>
      </w:r>
    </w:p>
    <w:p w:rsidR="00234555" w:rsidRPr="00234555" w:rsidRDefault="00234555" w:rsidP="00234555">
      <w:pPr>
        <w:jc w:val="center"/>
        <w:rPr>
          <w:b/>
          <w:bCs/>
          <w:szCs w:val="24"/>
        </w:rPr>
      </w:pPr>
    </w:p>
    <w:p w:rsidR="00234555" w:rsidRPr="00234555" w:rsidRDefault="00234555" w:rsidP="00234555">
      <w:pPr>
        <w:jc w:val="center"/>
        <w:rPr>
          <w:szCs w:val="24"/>
        </w:rPr>
      </w:pPr>
      <w:r w:rsidRPr="00234555">
        <w:rPr>
          <w:b/>
          <w:bCs/>
          <w:szCs w:val="24"/>
        </w:rPr>
        <w:br w:type="page"/>
      </w:r>
      <w:r w:rsidRPr="00234555">
        <w:rPr>
          <w:b/>
          <w:bCs/>
          <w:szCs w:val="24"/>
        </w:rPr>
        <w:lastRenderedPageBreak/>
        <w:t>Table 2</w:t>
      </w:r>
    </w:p>
    <w:p w:rsidR="00234555" w:rsidRPr="00234555" w:rsidRDefault="00234555" w:rsidP="00234555">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jc w:val="center"/>
        <w:rPr>
          <w:b/>
          <w:iCs/>
          <w:szCs w:val="24"/>
        </w:rPr>
      </w:pPr>
      <w:r w:rsidRPr="00234555">
        <w:rPr>
          <w:b/>
          <w:iCs/>
          <w:szCs w:val="24"/>
        </w:rPr>
        <w:t>Estimated Standard Errors of Aggregate Levels of Finance Company</w:t>
      </w:r>
    </w:p>
    <w:p w:rsidR="00234555" w:rsidRPr="00234555" w:rsidRDefault="00234555" w:rsidP="00234555">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jc w:val="center"/>
        <w:rPr>
          <w:b/>
          <w:iCs/>
          <w:szCs w:val="24"/>
        </w:rPr>
      </w:pPr>
      <w:r w:rsidRPr="00234555">
        <w:rPr>
          <w:b/>
          <w:iCs/>
          <w:szCs w:val="24"/>
        </w:rPr>
        <w:t>Receivables in Selected Balance Sheet Categories for Alternate Panel Sizes</w:t>
      </w:r>
    </w:p>
    <w:p w:rsidR="00234555" w:rsidRPr="00234555" w:rsidRDefault="00234555" w:rsidP="00234555">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jc w:val="center"/>
        <w:rPr>
          <w:b/>
          <w:iCs/>
          <w:szCs w:val="24"/>
        </w:rPr>
      </w:pPr>
    </w:p>
    <w:p w:rsidR="00234555" w:rsidRPr="00234555" w:rsidRDefault="00234555" w:rsidP="00234555">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jc w:val="center"/>
        <w:rPr>
          <w:iCs/>
          <w:szCs w:val="24"/>
        </w:rPr>
      </w:pPr>
      <w:r w:rsidRPr="00234555">
        <w:rPr>
          <w:iCs/>
          <w:szCs w:val="24"/>
        </w:rPr>
        <w:t>(Based on 2005 benchmark data; $ in billions with % of outstanding in parentheses)</w:t>
      </w:r>
    </w:p>
    <w:p w:rsidR="00234555" w:rsidRPr="00234555" w:rsidRDefault="00234555" w:rsidP="00234555">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jc w:val="center"/>
        <w:rPr>
          <w:iCs/>
          <w:szCs w:val="24"/>
        </w:rPr>
      </w:pP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CellMar>
          <w:top w:w="72" w:type="dxa"/>
          <w:left w:w="115" w:type="dxa"/>
          <w:bottom w:w="72" w:type="dxa"/>
          <w:right w:w="115" w:type="dxa"/>
        </w:tblCellMar>
        <w:tblLook w:val="04A0"/>
      </w:tblPr>
      <w:tblGrid>
        <w:gridCol w:w="3102"/>
        <w:gridCol w:w="3102"/>
        <w:gridCol w:w="3102"/>
      </w:tblGrid>
      <w:tr w:rsidR="00234555" w:rsidRPr="00234555" w:rsidTr="00FD6483">
        <w:trPr>
          <w:trHeight w:val="279"/>
          <w:jc w:val="center"/>
        </w:trPr>
        <w:tc>
          <w:tcPr>
            <w:tcW w:w="3102" w:type="dxa"/>
            <w:vMerge w:val="restart"/>
            <w:tcBorders>
              <w:top w:val="double" w:sz="12" w:space="0" w:color="auto"/>
              <w:bottom w:val="double" w:sz="12" w:space="0" w:color="auto"/>
              <w:right w:val="double" w:sz="12" w:space="0" w:color="auto"/>
            </w:tcBorders>
            <w:vAlign w:val="center"/>
          </w:tcPr>
          <w:p w:rsidR="00234555" w:rsidRPr="00234555" w:rsidRDefault="00234555" w:rsidP="00FD6483">
            <w:pPr>
              <w:tabs>
                <w:tab w:val="left" w:pos="-1440"/>
                <w:tab w:val="left" w:pos="1080"/>
              </w:tabs>
              <w:spacing w:line="360" w:lineRule="auto"/>
              <w:rPr>
                <w:b/>
                <w:szCs w:val="24"/>
              </w:rPr>
            </w:pPr>
            <w:r w:rsidRPr="00234555">
              <w:rPr>
                <w:b/>
                <w:szCs w:val="24"/>
              </w:rPr>
              <w:t>Financial items</w:t>
            </w:r>
          </w:p>
        </w:tc>
        <w:tc>
          <w:tcPr>
            <w:tcW w:w="6204" w:type="dxa"/>
            <w:gridSpan w:val="2"/>
            <w:tcBorders>
              <w:left w:val="double" w:sz="12" w:space="0" w:color="auto"/>
            </w:tcBorders>
            <w:shd w:val="pct10" w:color="000000" w:fill="auto"/>
            <w:vAlign w:val="center"/>
          </w:tcPr>
          <w:p w:rsidR="00234555" w:rsidRPr="00234555" w:rsidRDefault="00234555" w:rsidP="00FD6483">
            <w:pPr>
              <w:pStyle w:val="NoSpacing"/>
              <w:jc w:val="center"/>
              <w:rPr>
                <w:rFonts w:ascii="Times New Roman" w:hAnsi="Times New Roman"/>
                <w:b/>
                <w:sz w:val="24"/>
                <w:szCs w:val="24"/>
              </w:rPr>
            </w:pPr>
            <w:r w:rsidRPr="00234555">
              <w:rPr>
                <w:rFonts w:ascii="Times New Roman" w:hAnsi="Times New Roman"/>
                <w:b/>
                <w:sz w:val="24"/>
                <w:szCs w:val="24"/>
              </w:rPr>
              <w:t>Panel size</w:t>
            </w:r>
          </w:p>
        </w:tc>
      </w:tr>
      <w:tr w:rsidR="00234555" w:rsidRPr="00234555" w:rsidTr="00FD6483">
        <w:trPr>
          <w:trHeight w:val="279"/>
          <w:jc w:val="center"/>
        </w:trPr>
        <w:tc>
          <w:tcPr>
            <w:tcW w:w="3102" w:type="dxa"/>
            <w:vMerge/>
            <w:tcBorders>
              <w:top w:val="single" w:sz="6" w:space="0" w:color="auto"/>
              <w:bottom w:val="double" w:sz="12" w:space="0" w:color="auto"/>
              <w:right w:val="double" w:sz="12" w:space="0" w:color="auto"/>
            </w:tcBorders>
            <w:vAlign w:val="center"/>
          </w:tcPr>
          <w:p w:rsidR="00234555" w:rsidRPr="00234555" w:rsidRDefault="00234555" w:rsidP="00FD6483">
            <w:pPr>
              <w:tabs>
                <w:tab w:val="left" w:pos="-1440"/>
                <w:tab w:val="left" w:pos="1080"/>
              </w:tabs>
              <w:spacing w:line="360" w:lineRule="auto"/>
              <w:rPr>
                <w:szCs w:val="24"/>
              </w:rPr>
            </w:pPr>
          </w:p>
        </w:tc>
        <w:tc>
          <w:tcPr>
            <w:tcW w:w="3102" w:type="dxa"/>
            <w:tcBorders>
              <w:left w:val="double" w:sz="12" w:space="0" w:color="auto"/>
            </w:tcBorders>
            <w:vAlign w:val="center"/>
          </w:tcPr>
          <w:p w:rsidR="00234555" w:rsidRPr="00234555" w:rsidRDefault="00234555" w:rsidP="00FD6483">
            <w:pPr>
              <w:tabs>
                <w:tab w:val="left" w:pos="-1440"/>
                <w:tab w:val="left" w:pos="1080"/>
              </w:tabs>
              <w:jc w:val="center"/>
              <w:rPr>
                <w:szCs w:val="24"/>
              </w:rPr>
            </w:pPr>
            <w:r w:rsidRPr="00234555">
              <w:rPr>
                <w:szCs w:val="24"/>
              </w:rPr>
              <w:t>750</w:t>
            </w:r>
          </w:p>
        </w:tc>
        <w:tc>
          <w:tcPr>
            <w:tcW w:w="3102" w:type="dxa"/>
            <w:vAlign w:val="center"/>
          </w:tcPr>
          <w:p w:rsidR="00234555" w:rsidRPr="00234555" w:rsidRDefault="00234555" w:rsidP="00FD6483">
            <w:pPr>
              <w:tabs>
                <w:tab w:val="left" w:pos="-1440"/>
                <w:tab w:val="left" w:pos="1080"/>
              </w:tabs>
              <w:jc w:val="center"/>
              <w:rPr>
                <w:szCs w:val="24"/>
              </w:rPr>
            </w:pPr>
            <w:r w:rsidRPr="00234555">
              <w:rPr>
                <w:szCs w:val="24"/>
              </w:rPr>
              <w:t>3,000</w:t>
            </w:r>
          </w:p>
        </w:tc>
      </w:tr>
      <w:tr w:rsidR="00234555" w:rsidRPr="00234555" w:rsidTr="00FD6483">
        <w:trPr>
          <w:trHeight w:val="279"/>
          <w:jc w:val="center"/>
        </w:trPr>
        <w:tc>
          <w:tcPr>
            <w:tcW w:w="3102" w:type="dxa"/>
            <w:vMerge/>
            <w:tcBorders>
              <w:top w:val="single" w:sz="6" w:space="0" w:color="auto"/>
              <w:bottom w:val="double" w:sz="12" w:space="0" w:color="auto"/>
              <w:right w:val="double" w:sz="12" w:space="0" w:color="auto"/>
            </w:tcBorders>
            <w:vAlign w:val="center"/>
          </w:tcPr>
          <w:p w:rsidR="00234555" w:rsidRPr="00234555" w:rsidRDefault="00234555" w:rsidP="00FD6483">
            <w:pPr>
              <w:tabs>
                <w:tab w:val="left" w:pos="-1440"/>
                <w:tab w:val="left" w:pos="1080"/>
              </w:tabs>
              <w:spacing w:line="360" w:lineRule="auto"/>
              <w:rPr>
                <w:szCs w:val="24"/>
              </w:rPr>
            </w:pPr>
          </w:p>
        </w:tc>
        <w:tc>
          <w:tcPr>
            <w:tcW w:w="6204" w:type="dxa"/>
            <w:gridSpan w:val="2"/>
            <w:tcBorders>
              <w:left w:val="double" w:sz="12" w:space="0" w:color="auto"/>
              <w:bottom w:val="single" w:sz="6" w:space="0" w:color="auto"/>
            </w:tcBorders>
            <w:shd w:val="pct10" w:color="000000" w:fill="auto"/>
            <w:vAlign w:val="center"/>
          </w:tcPr>
          <w:p w:rsidR="00234555" w:rsidRPr="00234555" w:rsidRDefault="00234555" w:rsidP="00FD6483">
            <w:pPr>
              <w:tabs>
                <w:tab w:val="left" w:pos="-1440"/>
                <w:tab w:val="left" w:pos="1080"/>
              </w:tabs>
              <w:jc w:val="center"/>
              <w:rPr>
                <w:b/>
                <w:szCs w:val="24"/>
              </w:rPr>
            </w:pPr>
            <w:r w:rsidRPr="00234555">
              <w:rPr>
                <w:b/>
                <w:szCs w:val="24"/>
              </w:rPr>
              <w:t>Estimated number of responses</w:t>
            </w:r>
          </w:p>
        </w:tc>
      </w:tr>
      <w:tr w:rsidR="00234555" w:rsidRPr="00234555" w:rsidTr="00FD6483">
        <w:trPr>
          <w:trHeight w:val="279"/>
          <w:jc w:val="center"/>
        </w:trPr>
        <w:tc>
          <w:tcPr>
            <w:tcW w:w="3102" w:type="dxa"/>
            <w:vMerge/>
            <w:tcBorders>
              <w:top w:val="single" w:sz="6" w:space="0" w:color="auto"/>
              <w:bottom w:val="double" w:sz="12" w:space="0" w:color="auto"/>
              <w:right w:val="double" w:sz="12" w:space="0" w:color="auto"/>
            </w:tcBorders>
            <w:vAlign w:val="center"/>
          </w:tcPr>
          <w:p w:rsidR="00234555" w:rsidRPr="00234555" w:rsidRDefault="00234555" w:rsidP="00FD6483">
            <w:pPr>
              <w:tabs>
                <w:tab w:val="left" w:pos="-1440"/>
                <w:tab w:val="left" w:pos="1080"/>
              </w:tabs>
              <w:spacing w:line="360" w:lineRule="auto"/>
              <w:rPr>
                <w:szCs w:val="24"/>
              </w:rPr>
            </w:pPr>
          </w:p>
        </w:tc>
        <w:tc>
          <w:tcPr>
            <w:tcW w:w="3102" w:type="dxa"/>
            <w:tcBorders>
              <w:top w:val="single" w:sz="6" w:space="0" w:color="auto"/>
              <w:left w:val="double" w:sz="12" w:space="0" w:color="auto"/>
              <w:bottom w:val="double" w:sz="12" w:space="0" w:color="auto"/>
            </w:tcBorders>
            <w:vAlign w:val="center"/>
          </w:tcPr>
          <w:p w:rsidR="00234555" w:rsidRPr="00234555" w:rsidRDefault="00234555" w:rsidP="00FD6483">
            <w:pPr>
              <w:tabs>
                <w:tab w:val="left" w:pos="-1440"/>
                <w:tab w:val="left" w:pos="1080"/>
              </w:tabs>
              <w:jc w:val="center"/>
              <w:rPr>
                <w:szCs w:val="24"/>
              </w:rPr>
            </w:pPr>
            <w:r w:rsidRPr="00234555">
              <w:rPr>
                <w:szCs w:val="24"/>
              </w:rPr>
              <w:t>165</w:t>
            </w:r>
          </w:p>
        </w:tc>
        <w:tc>
          <w:tcPr>
            <w:tcW w:w="3102" w:type="dxa"/>
            <w:tcBorders>
              <w:top w:val="single" w:sz="6" w:space="0" w:color="auto"/>
              <w:bottom w:val="double" w:sz="12" w:space="0" w:color="auto"/>
            </w:tcBorders>
            <w:vAlign w:val="center"/>
          </w:tcPr>
          <w:p w:rsidR="00234555" w:rsidRPr="00234555" w:rsidRDefault="00234555" w:rsidP="00FD6483">
            <w:pPr>
              <w:tabs>
                <w:tab w:val="left" w:pos="-1440"/>
                <w:tab w:val="left" w:pos="1080"/>
              </w:tabs>
              <w:jc w:val="center"/>
              <w:rPr>
                <w:szCs w:val="24"/>
              </w:rPr>
            </w:pPr>
            <w:r w:rsidRPr="00234555">
              <w:rPr>
                <w:szCs w:val="24"/>
              </w:rPr>
              <w:t>569</w:t>
            </w:r>
          </w:p>
        </w:tc>
      </w:tr>
      <w:tr w:rsidR="00234555" w:rsidRPr="00234555" w:rsidTr="00FD6483">
        <w:trPr>
          <w:trHeight w:val="20"/>
          <w:jc w:val="center"/>
        </w:trPr>
        <w:tc>
          <w:tcPr>
            <w:tcW w:w="3102" w:type="dxa"/>
            <w:tcBorders>
              <w:top w:val="double" w:sz="12" w:space="0" w:color="auto"/>
              <w:bottom w:val="single" w:sz="6" w:space="0" w:color="auto"/>
              <w:right w:val="double" w:sz="12" w:space="0" w:color="auto"/>
            </w:tcBorders>
            <w:vAlign w:val="center"/>
          </w:tcPr>
          <w:p w:rsidR="00234555" w:rsidRPr="00234555" w:rsidRDefault="00234555" w:rsidP="00FD6483">
            <w:pPr>
              <w:tabs>
                <w:tab w:val="left" w:pos="-1440"/>
                <w:tab w:val="left" w:pos="1080"/>
              </w:tabs>
              <w:rPr>
                <w:szCs w:val="24"/>
              </w:rPr>
            </w:pPr>
            <w:r w:rsidRPr="00234555">
              <w:rPr>
                <w:szCs w:val="24"/>
              </w:rPr>
              <w:t>Total</w:t>
            </w:r>
          </w:p>
        </w:tc>
        <w:tc>
          <w:tcPr>
            <w:tcW w:w="3102" w:type="dxa"/>
            <w:tcBorders>
              <w:top w:val="double" w:sz="12" w:space="0" w:color="auto"/>
              <w:left w:val="double" w:sz="12" w:space="0" w:color="auto"/>
            </w:tcBorders>
            <w:vAlign w:val="bottom"/>
          </w:tcPr>
          <w:p w:rsidR="00234555" w:rsidRPr="00234555" w:rsidRDefault="00234555" w:rsidP="00FD6483">
            <w:pPr>
              <w:jc w:val="center"/>
              <w:rPr>
                <w:bCs/>
                <w:color w:val="000000"/>
                <w:szCs w:val="24"/>
              </w:rPr>
            </w:pPr>
            <w:r w:rsidRPr="00234555">
              <w:rPr>
                <w:bCs/>
                <w:color w:val="000000"/>
                <w:szCs w:val="24"/>
              </w:rPr>
              <w:t>46.67 (2.12)</w:t>
            </w:r>
          </w:p>
        </w:tc>
        <w:tc>
          <w:tcPr>
            <w:tcW w:w="3102" w:type="dxa"/>
            <w:tcBorders>
              <w:top w:val="double" w:sz="12" w:space="0" w:color="auto"/>
            </w:tcBorders>
            <w:vAlign w:val="bottom"/>
          </w:tcPr>
          <w:p w:rsidR="00234555" w:rsidRPr="00234555" w:rsidRDefault="00234555" w:rsidP="00FD6483">
            <w:pPr>
              <w:jc w:val="center"/>
              <w:rPr>
                <w:bCs/>
                <w:color w:val="000000"/>
                <w:szCs w:val="24"/>
              </w:rPr>
            </w:pPr>
            <w:r w:rsidRPr="00234555">
              <w:rPr>
                <w:bCs/>
                <w:color w:val="000000"/>
                <w:szCs w:val="24"/>
              </w:rPr>
              <w:t>46.01 (2.09)</w:t>
            </w:r>
          </w:p>
        </w:tc>
      </w:tr>
      <w:tr w:rsidR="00234555" w:rsidRPr="00234555" w:rsidTr="00FD6483">
        <w:trPr>
          <w:trHeight w:val="20"/>
          <w:jc w:val="center"/>
        </w:trPr>
        <w:tc>
          <w:tcPr>
            <w:tcW w:w="3102" w:type="dxa"/>
            <w:tcBorders>
              <w:top w:val="single" w:sz="6" w:space="0" w:color="auto"/>
              <w:bottom w:val="single" w:sz="6" w:space="0" w:color="auto"/>
              <w:right w:val="double" w:sz="12" w:space="0" w:color="auto"/>
            </w:tcBorders>
            <w:vAlign w:val="center"/>
          </w:tcPr>
          <w:p w:rsidR="00234555" w:rsidRPr="00234555" w:rsidRDefault="00234555" w:rsidP="00FD6483">
            <w:pPr>
              <w:tabs>
                <w:tab w:val="left" w:pos="-1440"/>
                <w:tab w:val="left" w:pos="1080"/>
              </w:tabs>
              <w:rPr>
                <w:szCs w:val="24"/>
              </w:rPr>
            </w:pPr>
            <w:r w:rsidRPr="00234555">
              <w:rPr>
                <w:szCs w:val="24"/>
              </w:rPr>
              <w:t>Total consumer</w:t>
            </w:r>
          </w:p>
        </w:tc>
        <w:tc>
          <w:tcPr>
            <w:tcW w:w="3102" w:type="dxa"/>
            <w:tcBorders>
              <w:left w:val="double" w:sz="12" w:space="0" w:color="auto"/>
            </w:tcBorders>
            <w:vAlign w:val="bottom"/>
          </w:tcPr>
          <w:p w:rsidR="00234555" w:rsidRPr="00234555" w:rsidRDefault="00234555" w:rsidP="00FD6483">
            <w:pPr>
              <w:jc w:val="center"/>
              <w:rPr>
                <w:bCs/>
                <w:color w:val="000000"/>
                <w:szCs w:val="24"/>
              </w:rPr>
            </w:pPr>
            <w:r w:rsidRPr="00234555">
              <w:rPr>
                <w:bCs/>
                <w:color w:val="000000"/>
                <w:szCs w:val="24"/>
              </w:rPr>
              <w:t>23.82 (3.88)</w:t>
            </w:r>
          </w:p>
        </w:tc>
        <w:tc>
          <w:tcPr>
            <w:tcW w:w="3102" w:type="dxa"/>
            <w:vAlign w:val="bottom"/>
          </w:tcPr>
          <w:p w:rsidR="00234555" w:rsidRPr="00234555" w:rsidRDefault="00234555" w:rsidP="00FD6483">
            <w:pPr>
              <w:jc w:val="center"/>
              <w:rPr>
                <w:bCs/>
                <w:color w:val="000000"/>
                <w:szCs w:val="24"/>
              </w:rPr>
            </w:pPr>
            <w:r w:rsidRPr="00234555">
              <w:rPr>
                <w:bCs/>
                <w:color w:val="000000"/>
                <w:szCs w:val="24"/>
              </w:rPr>
              <w:t>23.32 (3.80)</w:t>
            </w:r>
          </w:p>
        </w:tc>
      </w:tr>
      <w:tr w:rsidR="00234555" w:rsidRPr="00234555" w:rsidTr="00FD6483">
        <w:trPr>
          <w:trHeight w:val="20"/>
          <w:jc w:val="center"/>
        </w:trPr>
        <w:tc>
          <w:tcPr>
            <w:tcW w:w="3102" w:type="dxa"/>
            <w:tcBorders>
              <w:top w:val="single" w:sz="6" w:space="0" w:color="auto"/>
              <w:bottom w:val="single" w:sz="6" w:space="0" w:color="auto"/>
              <w:right w:val="double" w:sz="12" w:space="0" w:color="auto"/>
            </w:tcBorders>
            <w:vAlign w:val="center"/>
          </w:tcPr>
          <w:p w:rsidR="00234555" w:rsidRPr="00234555" w:rsidRDefault="00234555" w:rsidP="00FD6483">
            <w:pPr>
              <w:tabs>
                <w:tab w:val="left" w:pos="-1440"/>
                <w:tab w:val="left" w:pos="1080"/>
              </w:tabs>
              <w:ind w:left="432"/>
              <w:rPr>
                <w:szCs w:val="24"/>
              </w:rPr>
            </w:pPr>
            <w:r w:rsidRPr="00234555">
              <w:rPr>
                <w:szCs w:val="24"/>
              </w:rPr>
              <w:t>Motor vehicle</w:t>
            </w:r>
          </w:p>
        </w:tc>
        <w:tc>
          <w:tcPr>
            <w:tcW w:w="3102" w:type="dxa"/>
            <w:tcBorders>
              <w:left w:val="double" w:sz="12" w:space="0" w:color="auto"/>
            </w:tcBorders>
            <w:vAlign w:val="bottom"/>
          </w:tcPr>
          <w:p w:rsidR="00234555" w:rsidRPr="00234555" w:rsidRDefault="00234555" w:rsidP="00FD6483">
            <w:pPr>
              <w:tabs>
                <w:tab w:val="left" w:pos="-1440"/>
                <w:tab w:val="left" w:pos="1080"/>
              </w:tabs>
              <w:jc w:val="center"/>
              <w:rPr>
                <w:szCs w:val="24"/>
              </w:rPr>
            </w:pPr>
            <w:r w:rsidRPr="00234555">
              <w:rPr>
                <w:szCs w:val="24"/>
              </w:rPr>
              <w:t>37.51 (11.10)</w:t>
            </w:r>
          </w:p>
        </w:tc>
        <w:tc>
          <w:tcPr>
            <w:tcW w:w="3102" w:type="dxa"/>
            <w:vAlign w:val="bottom"/>
          </w:tcPr>
          <w:p w:rsidR="00234555" w:rsidRPr="00234555" w:rsidRDefault="00234555" w:rsidP="00FD6483">
            <w:pPr>
              <w:tabs>
                <w:tab w:val="left" w:pos="-1440"/>
                <w:tab w:val="left" w:pos="1080"/>
              </w:tabs>
              <w:jc w:val="center"/>
              <w:rPr>
                <w:szCs w:val="24"/>
              </w:rPr>
            </w:pPr>
            <w:r w:rsidRPr="00234555">
              <w:rPr>
                <w:szCs w:val="24"/>
              </w:rPr>
              <w:t>37.49 (11.10)</w:t>
            </w:r>
          </w:p>
        </w:tc>
      </w:tr>
      <w:tr w:rsidR="00234555" w:rsidRPr="00234555" w:rsidTr="00FD6483">
        <w:trPr>
          <w:trHeight w:val="20"/>
          <w:jc w:val="center"/>
        </w:trPr>
        <w:tc>
          <w:tcPr>
            <w:tcW w:w="3102" w:type="dxa"/>
            <w:tcBorders>
              <w:top w:val="single" w:sz="6" w:space="0" w:color="auto"/>
              <w:bottom w:val="single" w:sz="6" w:space="0" w:color="auto"/>
              <w:right w:val="double" w:sz="12" w:space="0" w:color="auto"/>
            </w:tcBorders>
            <w:vAlign w:val="center"/>
          </w:tcPr>
          <w:p w:rsidR="00234555" w:rsidRPr="00234555" w:rsidRDefault="00234555" w:rsidP="00FD6483">
            <w:pPr>
              <w:tabs>
                <w:tab w:val="left" w:pos="-1440"/>
                <w:tab w:val="left" w:pos="1080"/>
              </w:tabs>
              <w:ind w:left="432"/>
              <w:rPr>
                <w:szCs w:val="24"/>
              </w:rPr>
            </w:pPr>
            <w:r w:rsidRPr="00234555">
              <w:rPr>
                <w:szCs w:val="24"/>
              </w:rPr>
              <w:t>Revolving</w:t>
            </w:r>
          </w:p>
        </w:tc>
        <w:tc>
          <w:tcPr>
            <w:tcW w:w="3102" w:type="dxa"/>
            <w:tcBorders>
              <w:left w:val="double" w:sz="12" w:space="0" w:color="auto"/>
            </w:tcBorders>
            <w:vAlign w:val="bottom"/>
          </w:tcPr>
          <w:p w:rsidR="00234555" w:rsidRPr="00234555" w:rsidRDefault="00234555" w:rsidP="00FD6483">
            <w:pPr>
              <w:tabs>
                <w:tab w:val="left" w:pos="-1440"/>
                <w:tab w:val="left" w:pos="1080"/>
              </w:tabs>
              <w:jc w:val="center"/>
              <w:rPr>
                <w:szCs w:val="24"/>
              </w:rPr>
            </w:pPr>
            <w:r w:rsidRPr="00234555">
              <w:rPr>
                <w:szCs w:val="24"/>
              </w:rPr>
              <w:t>3.07 (4.57)</w:t>
            </w:r>
          </w:p>
        </w:tc>
        <w:tc>
          <w:tcPr>
            <w:tcW w:w="3102" w:type="dxa"/>
            <w:vAlign w:val="bottom"/>
          </w:tcPr>
          <w:p w:rsidR="00234555" w:rsidRPr="00234555" w:rsidRDefault="00234555" w:rsidP="00FD6483">
            <w:pPr>
              <w:tabs>
                <w:tab w:val="left" w:pos="-1440"/>
                <w:tab w:val="left" w:pos="1080"/>
              </w:tabs>
              <w:jc w:val="center"/>
              <w:rPr>
                <w:szCs w:val="24"/>
              </w:rPr>
            </w:pPr>
            <w:r w:rsidRPr="00234555">
              <w:rPr>
                <w:szCs w:val="24"/>
              </w:rPr>
              <w:t>3.05 (4.54)</w:t>
            </w:r>
          </w:p>
        </w:tc>
      </w:tr>
      <w:tr w:rsidR="00234555" w:rsidRPr="00234555" w:rsidTr="00FD6483">
        <w:trPr>
          <w:trHeight w:val="20"/>
          <w:jc w:val="center"/>
        </w:trPr>
        <w:tc>
          <w:tcPr>
            <w:tcW w:w="3102" w:type="dxa"/>
            <w:tcBorders>
              <w:top w:val="single" w:sz="6" w:space="0" w:color="auto"/>
              <w:bottom w:val="single" w:sz="6" w:space="0" w:color="auto"/>
              <w:right w:val="double" w:sz="12" w:space="0" w:color="auto"/>
            </w:tcBorders>
            <w:vAlign w:val="center"/>
          </w:tcPr>
          <w:p w:rsidR="00234555" w:rsidRPr="00234555" w:rsidRDefault="00234555" w:rsidP="00FD6483">
            <w:pPr>
              <w:tabs>
                <w:tab w:val="left" w:pos="-1440"/>
                <w:tab w:val="left" w:pos="1080"/>
              </w:tabs>
              <w:ind w:left="432"/>
              <w:rPr>
                <w:szCs w:val="24"/>
              </w:rPr>
            </w:pPr>
            <w:r w:rsidRPr="00234555">
              <w:rPr>
                <w:szCs w:val="24"/>
              </w:rPr>
              <w:t>Other</w:t>
            </w:r>
          </w:p>
        </w:tc>
        <w:tc>
          <w:tcPr>
            <w:tcW w:w="3102" w:type="dxa"/>
            <w:tcBorders>
              <w:left w:val="double" w:sz="12" w:space="0" w:color="auto"/>
            </w:tcBorders>
            <w:vAlign w:val="bottom"/>
          </w:tcPr>
          <w:p w:rsidR="00234555" w:rsidRPr="00234555" w:rsidRDefault="00234555" w:rsidP="00FD6483">
            <w:pPr>
              <w:tabs>
                <w:tab w:val="left" w:pos="-1440"/>
                <w:tab w:val="left" w:pos="1080"/>
              </w:tabs>
              <w:jc w:val="center"/>
              <w:rPr>
                <w:szCs w:val="24"/>
              </w:rPr>
            </w:pPr>
            <w:r w:rsidRPr="00234555">
              <w:rPr>
                <w:szCs w:val="24"/>
              </w:rPr>
              <w:t>16.67 (8.91)</w:t>
            </w:r>
          </w:p>
        </w:tc>
        <w:tc>
          <w:tcPr>
            <w:tcW w:w="3102" w:type="dxa"/>
            <w:vAlign w:val="bottom"/>
          </w:tcPr>
          <w:p w:rsidR="00234555" w:rsidRPr="00234555" w:rsidRDefault="00234555" w:rsidP="00FD6483">
            <w:pPr>
              <w:tabs>
                <w:tab w:val="left" w:pos="-1440"/>
                <w:tab w:val="left" w:pos="1080"/>
              </w:tabs>
              <w:jc w:val="center"/>
              <w:rPr>
                <w:szCs w:val="24"/>
              </w:rPr>
            </w:pPr>
            <w:r w:rsidRPr="00234555">
              <w:rPr>
                <w:szCs w:val="24"/>
              </w:rPr>
              <w:t>15.84 (8.47)</w:t>
            </w:r>
          </w:p>
        </w:tc>
      </w:tr>
      <w:tr w:rsidR="00234555" w:rsidRPr="00234555" w:rsidTr="00FD6483">
        <w:trPr>
          <w:trHeight w:val="20"/>
          <w:jc w:val="center"/>
        </w:trPr>
        <w:tc>
          <w:tcPr>
            <w:tcW w:w="3102" w:type="dxa"/>
            <w:tcBorders>
              <w:top w:val="single" w:sz="6" w:space="0" w:color="auto"/>
              <w:bottom w:val="single" w:sz="6" w:space="0" w:color="auto"/>
              <w:right w:val="double" w:sz="12" w:space="0" w:color="auto"/>
            </w:tcBorders>
            <w:vAlign w:val="center"/>
          </w:tcPr>
          <w:p w:rsidR="00234555" w:rsidRPr="00234555" w:rsidRDefault="00234555" w:rsidP="00FD6483">
            <w:pPr>
              <w:tabs>
                <w:tab w:val="left" w:pos="-1440"/>
                <w:tab w:val="left" w:pos="1080"/>
              </w:tabs>
              <w:rPr>
                <w:szCs w:val="24"/>
              </w:rPr>
            </w:pPr>
            <w:r w:rsidRPr="00234555">
              <w:rPr>
                <w:szCs w:val="24"/>
              </w:rPr>
              <w:t>Real estate</w:t>
            </w:r>
          </w:p>
        </w:tc>
        <w:tc>
          <w:tcPr>
            <w:tcW w:w="3102" w:type="dxa"/>
            <w:tcBorders>
              <w:left w:val="double" w:sz="12" w:space="0" w:color="auto"/>
            </w:tcBorders>
            <w:vAlign w:val="bottom"/>
          </w:tcPr>
          <w:p w:rsidR="00234555" w:rsidRPr="00234555" w:rsidRDefault="00234555" w:rsidP="00FD6483">
            <w:pPr>
              <w:tabs>
                <w:tab w:val="left" w:pos="-1440"/>
                <w:tab w:val="left" w:pos="1080"/>
              </w:tabs>
              <w:jc w:val="center"/>
              <w:rPr>
                <w:szCs w:val="24"/>
              </w:rPr>
            </w:pPr>
            <w:r w:rsidRPr="00234555">
              <w:rPr>
                <w:szCs w:val="24"/>
              </w:rPr>
              <w:t>16.60 (3.12)</w:t>
            </w:r>
          </w:p>
        </w:tc>
        <w:tc>
          <w:tcPr>
            <w:tcW w:w="3102" w:type="dxa"/>
            <w:vAlign w:val="bottom"/>
          </w:tcPr>
          <w:p w:rsidR="00234555" w:rsidRPr="00234555" w:rsidRDefault="00234555" w:rsidP="00FD6483">
            <w:pPr>
              <w:tabs>
                <w:tab w:val="left" w:pos="-1440"/>
                <w:tab w:val="left" w:pos="1080"/>
              </w:tabs>
              <w:jc w:val="center"/>
              <w:rPr>
                <w:szCs w:val="24"/>
              </w:rPr>
            </w:pPr>
            <w:r w:rsidRPr="00234555">
              <w:rPr>
                <w:szCs w:val="24"/>
              </w:rPr>
              <w:t>16.32 (3.07)</w:t>
            </w:r>
          </w:p>
        </w:tc>
      </w:tr>
      <w:tr w:rsidR="00234555" w:rsidRPr="00234555" w:rsidTr="00FD6483">
        <w:trPr>
          <w:trHeight w:val="20"/>
          <w:jc w:val="center"/>
        </w:trPr>
        <w:tc>
          <w:tcPr>
            <w:tcW w:w="3102" w:type="dxa"/>
            <w:tcBorders>
              <w:top w:val="single" w:sz="6" w:space="0" w:color="auto"/>
              <w:bottom w:val="single" w:sz="6" w:space="0" w:color="auto"/>
              <w:right w:val="double" w:sz="12" w:space="0" w:color="auto"/>
            </w:tcBorders>
            <w:vAlign w:val="center"/>
          </w:tcPr>
          <w:p w:rsidR="00234555" w:rsidRPr="00234555" w:rsidRDefault="00234555" w:rsidP="00FD6483">
            <w:pPr>
              <w:tabs>
                <w:tab w:val="left" w:pos="-1440"/>
                <w:tab w:val="left" w:pos="1080"/>
              </w:tabs>
              <w:rPr>
                <w:szCs w:val="24"/>
              </w:rPr>
            </w:pPr>
            <w:r w:rsidRPr="00234555">
              <w:rPr>
                <w:szCs w:val="24"/>
              </w:rPr>
              <w:t>Total business</w:t>
            </w:r>
          </w:p>
        </w:tc>
        <w:tc>
          <w:tcPr>
            <w:tcW w:w="3102" w:type="dxa"/>
            <w:tcBorders>
              <w:left w:val="double" w:sz="12" w:space="0" w:color="auto"/>
            </w:tcBorders>
            <w:vAlign w:val="bottom"/>
          </w:tcPr>
          <w:p w:rsidR="00234555" w:rsidRPr="00234555" w:rsidRDefault="00234555" w:rsidP="00FD6483">
            <w:pPr>
              <w:tabs>
                <w:tab w:val="left" w:pos="-1440"/>
                <w:tab w:val="left" w:pos="1080"/>
              </w:tabs>
              <w:jc w:val="center"/>
              <w:rPr>
                <w:szCs w:val="24"/>
              </w:rPr>
            </w:pPr>
            <w:r w:rsidRPr="00234555">
              <w:rPr>
                <w:szCs w:val="24"/>
              </w:rPr>
              <w:t>29.68 (5.86)</w:t>
            </w:r>
          </w:p>
        </w:tc>
        <w:tc>
          <w:tcPr>
            <w:tcW w:w="3102" w:type="dxa"/>
            <w:vAlign w:val="bottom"/>
          </w:tcPr>
          <w:p w:rsidR="00234555" w:rsidRPr="00234555" w:rsidRDefault="00234555" w:rsidP="00FD6483">
            <w:pPr>
              <w:tabs>
                <w:tab w:val="left" w:pos="-1440"/>
                <w:tab w:val="left" w:pos="1080"/>
              </w:tabs>
              <w:jc w:val="center"/>
              <w:rPr>
                <w:szCs w:val="24"/>
              </w:rPr>
            </w:pPr>
            <w:r w:rsidRPr="00234555">
              <w:rPr>
                <w:szCs w:val="24"/>
              </w:rPr>
              <w:t>29.51 (5.83)</w:t>
            </w:r>
          </w:p>
        </w:tc>
      </w:tr>
      <w:tr w:rsidR="00234555" w:rsidRPr="00234555" w:rsidTr="00FD6483">
        <w:trPr>
          <w:trHeight w:val="20"/>
          <w:jc w:val="center"/>
        </w:trPr>
        <w:tc>
          <w:tcPr>
            <w:tcW w:w="3102" w:type="dxa"/>
            <w:tcBorders>
              <w:top w:val="single" w:sz="6" w:space="0" w:color="auto"/>
              <w:bottom w:val="single" w:sz="6" w:space="0" w:color="auto"/>
              <w:right w:val="double" w:sz="12" w:space="0" w:color="auto"/>
            </w:tcBorders>
            <w:vAlign w:val="center"/>
          </w:tcPr>
          <w:p w:rsidR="00234555" w:rsidRPr="00234555" w:rsidRDefault="00234555" w:rsidP="00FD6483">
            <w:pPr>
              <w:tabs>
                <w:tab w:val="left" w:pos="-1440"/>
                <w:tab w:val="left" w:pos="1080"/>
              </w:tabs>
              <w:ind w:left="432"/>
              <w:rPr>
                <w:szCs w:val="24"/>
              </w:rPr>
            </w:pPr>
            <w:r w:rsidRPr="00234555">
              <w:rPr>
                <w:szCs w:val="24"/>
              </w:rPr>
              <w:t>Motor vehicle</w:t>
            </w:r>
          </w:p>
        </w:tc>
        <w:tc>
          <w:tcPr>
            <w:tcW w:w="3102" w:type="dxa"/>
            <w:tcBorders>
              <w:left w:val="double" w:sz="12" w:space="0" w:color="auto"/>
            </w:tcBorders>
            <w:vAlign w:val="bottom"/>
          </w:tcPr>
          <w:p w:rsidR="00234555" w:rsidRPr="00234555" w:rsidRDefault="00234555" w:rsidP="00FD6483">
            <w:pPr>
              <w:tabs>
                <w:tab w:val="left" w:pos="-1440"/>
                <w:tab w:val="left" w:pos="1080"/>
              </w:tabs>
              <w:jc w:val="center"/>
              <w:rPr>
                <w:szCs w:val="24"/>
              </w:rPr>
            </w:pPr>
            <w:r w:rsidRPr="00234555">
              <w:rPr>
                <w:szCs w:val="24"/>
              </w:rPr>
              <w:t>7.93 (8.09)</w:t>
            </w:r>
          </w:p>
        </w:tc>
        <w:tc>
          <w:tcPr>
            <w:tcW w:w="3102" w:type="dxa"/>
            <w:vAlign w:val="bottom"/>
          </w:tcPr>
          <w:p w:rsidR="00234555" w:rsidRPr="00234555" w:rsidRDefault="00234555" w:rsidP="00FD6483">
            <w:pPr>
              <w:tabs>
                <w:tab w:val="left" w:pos="-1440"/>
                <w:tab w:val="left" w:pos="1080"/>
              </w:tabs>
              <w:jc w:val="center"/>
              <w:rPr>
                <w:szCs w:val="24"/>
              </w:rPr>
            </w:pPr>
            <w:r w:rsidRPr="00234555">
              <w:rPr>
                <w:szCs w:val="24"/>
              </w:rPr>
              <w:t>7.12 (7.26)</w:t>
            </w:r>
          </w:p>
        </w:tc>
      </w:tr>
      <w:tr w:rsidR="00234555" w:rsidRPr="00234555" w:rsidTr="00FD6483">
        <w:trPr>
          <w:trHeight w:val="20"/>
          <w:jc w:val="center"/>
        </w:trPr>
        <w:tc>
          <w:tcPr>
            <w:tcW w:w="3102" w:type="dxa"/>
            <w:tcBorders>
              <w:top w:val="single" w:sz="6" w:space="0" w:color="auto"/>
              <w:bottom w:val="single" w:sz="6" w:space="0" w:color="auto"/>
              <w:right w:val="double" w:sz="12" w:space="0" w:color="auto"/>
            </w:tcBorders>
            <w:vAlign w:val="center"/>
          </w:tcPr>
          <w:p w:rsidR="00234555" w:rsidRPr="00234555" w:rsidRDefault="00234555" w:rsidP="00FD6483">
            <w:pPr>
              <w:tabs>
                <w:tab w:val="left" w:pos="-1440"/>
                <w:tab w:val="left" w:pos="1080"/>
              </w:tabs>
              <w:ind w:left="432"/>
              <w:rPr>
                <w:szCs w:val="24"/>
              </w:rPr>
            </w:pPr>
            <w:r w:rsidRPr="00234555">
              <w:rPr>
                <w:szCs w:val="24"/>
              </w:rPr>
              <w:t>Equipment</w:t>
            </w:r>
          </w:p>
        </w:tc>
        <w:tc>
          <w:tcPr>
            <w:tcW w:w="3102" w:type="dxa"/>
            <w:tcBorders>
              <w:left w:val="double" w:sz="12" w:space="0" w:color="auto"/>
            </w:tcBorders>
            <w:vAlign w:val="bottom"/>
          </w:tcPr>
          <w:p w:rsidR="00234555" w:rsidRPr="00234555" w:rsidRDefault="00234555" w:rsidP="00FD6483">
            <w:pPr>
              <w:tabs>
                <w:tab w:val="left" w:pos="-1440"/>
                <w:tab w:val="left" w:pos="1080"/>
              </w:tabs>
              <w:jc w:val="center"/>
              <w:rPr>
                <w:szCs w:val="24"/>
              </w:rPr>
            </w:pPr>
            <w:r w:rsidRPr="00234555">
              <w:rPr>
                <w:szCs w:val="24"/>
              </w:rPr>
              <w:t>32.32 (12.75)</w:t>
            </w:r>
          </w:p>
        </w:tc>
        <w:tc>
          <w:tcPr>
            <w:tcW w:w="3102" w:type="dxa"/>
            <w:vAlign w:val="bottom"/>
          </w:tcPr>
          <w:p w:rsidR="00234555" w:rsidRPr="00234555" w:rsidRDefault="00234555" w:rsidP="00FD6483">
            <w:pPr>
              <w:tabs>
                <w:tab w:val="left" w:pos="-1440"/>
                <w:tab w:val="left" w:pos="1080"/>
              </w:tabs>
              <w:jc w:val="center"/>
              <w:rPr>
                <w:szCs w:val="24"/>
              </w:rPr>
            </w:pPr>
            <w:r w:rsidRPr="00234555">
              <w:rPr>
                <w:szCs w:val="24"/>
              </w:rPr>
              <w:t>32.12 (12.67)</w:t>
            </w:r>
          </w:p>
        </w:tc>
      </w:tr>
      <w:tr w:rsidR="00234555" w:rsidRPr="00234555" w:rsidTr="00FD6483">
        <w:trPr>
          <w:trHeight w:val="20"/>
          <w:jc w:val="center"/>
        </w:trPr>
        <w:tc>
          <w:tcPr>
            <w:tcW w:w="3102" w:type="dxa"/>
            <w:tcBorders>
              <w:top w:val="single" w:sz="6" w:space="0" w:color="auto"/>
              <w:bottom w:val="single" w:sz="6" w:space="0" w:color="auto"/>
              <w:right w:val="double" w:sz="12" w:space="0" w:color="auto"/>
            </w:tcBorders>
            <w:vAlign w:val="center"/>
          </w:tcPr>
          <w:p w:rsidR="00234555" w:rsidRPr="00234555" w:rsidRDefault="00234555" w:rsidP="00FD6483">
            <w:pPr>
              <w:tabs>
                <w:tab w:val="left" w:pos="-1440"/>
                <w:tab w:val="left" w:pos="1080"/>
              </w:tabs>
              <w:ind w:left="432"/>
              <w:rPr>
                <w:szCs w:val="24"/>
              </w:rPr>
            </w:pPr>
            <w:r w:rsidRPr="00234555">
              <w:rPr>
                <w:szCs w:val="24"/>
              </w:rPr>
              <w:t>Other</w:t>
            </w:r>
          </w:p>
        </w:tc>
        <w:tc>
          <w:tcPr>
            <w:tcW w:w="3102" w:type="dxa"/>
            <w:tcBorders>
              <w:left w:val="double" w:sz="12" w:space="0" w:color="auto"/>
            </w:tcBorders>
            <w:vAlign w:val="bottom"/>
          </w:tcPr>
          <w:p w:rsidR="00234555" w:rsidRPr="00234555" w:rsidRDefault="00234555" w:rsidP="00FD6483">
            <w:pPr>
              <w:tabs>
                <w:tab w:val="left" w:pos="-1440"/>
                <w:tab w:val="left" w:pos="1080"/>
              </w:tabs>
              <w:jc w:val="center"/>
              <w:rPr>
                <w:szCs w:val="24"/>
              </w:rPr>
            </w:pPr>
            <w:r w:rsidRPr="00234555">
              <w:rPr>
                <w:szCs w:val="24"/>
              </w:rPr>
              <w:t>3.80 (4.00)</w:t>
            </w:r>
          </w:p>
        </w:tc>
        <w:tc>
          <w:tcPr>
            <w:tcW w:w="3102" w:type="dxa"/>
            <w:vAlign w:val="bottom"/>
          </w:tcPr>
          <w:p w:rsidR="00234555" w:rsidRPr="00234555" w:rsidRDefault="00234555" w:rsidP="00FD6483">
            <w:pPr>
              <w:tabs>
                <w:tab w:val="left" w:pos="-1440"/>
                <w:tab w:val="left" w:pos="1080"/>
              </w:tabs>
              <w:jc w:val="center"/>
              <w:rPr>
                <w:szCs w:val="24"/>
              </w:rPr>
            </w:pPr>
            <w:r w:rsidRPr="00234555">
              <w:rPr>
                <w:szCs w:val="24"/>
              </w:rPr>
              <w:t>3.21 (3.38)</w:t>
            </w:r>
          </w:p>
        </w:tc>
      </w:tr>
      <w:tr w:rsidR="00234555" w:rsidRPr="00234555" w:rsidTr="00FD6483">
        <w:trPr>
          <w:trHeight w:val="20"/>
          <w:jc w:val="center"/>
        </w:trPr>
        <w:tc>
          <w:tcPr>
            <w:tcW w:w="3102" w:type="dxa"/>
            <w:tcBorders>
              <w:top w:val="single" w:sz="6" w:space="0" w:color="auto"/>
              <w:bottom w:val="double" w:sz="12" w:space="0" w:color="auto"/>
              <w:right w:val="double" w:sz="12" w:space="0" w:color="auto"/>
            </w:tcBorders>
            <w:vAlign w:val="center"/>
          </w:tcPr>
          <w:p w:rsidR="00234555" w:rsidRPr="00234555" w:rsidRDefault="00234555" w:rsidP="00FD6483">
            <w:pPr>
              <w:tabs>
                <w:tab w:val="left" w:pos="-1440"/>
                <w:tab w:val="left" w:pos="1080"/>
              </w:tabs>
              <w:rPr>
                <w:szCs w:val="24"/>
              </w:rPr>
            </w:pPr>
            <w:r w:rsidRPr="00234555">
              <w:rPr>
                <w:szCs w:val="24"/>
              </w:rPr>
              <w:t>Bank loans</w:t>
            </w:r>
          </w:p>
        </w:tc>
        <w:tc>
          <w:tcPr>
            <w:tcW w:w="3102" w:type="dxa"/>
            <w:tcBorders>
              <w:left w:val="double" w:sz="12" w:space="0" w:color="auto"/>
            </w:tcBorders>
            <w:vAlign w:val="bottom"/>
          </w:tcPr>
          <w:p w:rsidR="00234555" w:rsidRPr="00234555" w:rsidRDefault="00234555" w:rsidP="00FD6483">
            <w:pPr>
              <w:tabs>
                <w:tab w:val="left" w:pos="-1440"/>
                <w:tab w:val="left" w:pos="1080"/>
              </w:tabs>
              <w:jc w:val="center"/>
              <w:rPr>
                <w:szCs w:val="24"/>
              </w:rPr>
            </w:pPr>
            <w:r w:rsidRPr="00234555">
              <w:rPr>
                <w:szCs w:val="24"/>
              </w:rPr>
              <w:t>7.81 (8.89)</w:t>
            </w:r>
          </w:p>
        </w:tc>
        <w:tc>
          <w:tcPr>
            <w:tcW w:w="3102" w:type="dxa"/>
            <w:vAlign w:val="bottom"/>
          </w:tcPr>
          <w:p w:rsidR="00234555" w:rsidRPr="00234555" w:rsidRDefault="00234555" w:rsidP="00FD6483">
            <w:pPr>
              <w:tabs>
                <w:tab w:val="left" w:pos="-1440"/>
                <w:tab w:val="left" w:pos="1080"/>
              </w:tabs>
              <w:jc w:val="center"/>
              <w:rPr>
                <w:szCs w:val="24"/>
              </w:rPr>
            </w:pPr>
            <w:r w:rsidRPr="00234555">
              <w:rPr>
                <w:szCs w:val="24"/>
              </w:rPr>
              <w:t>6.77 (7.71)</w:t>
            </w:r>
          </w:p>
        </w:tc>
      </w:tr>
    </w:tbl>
    <w:p w:rsidR="00234555" w:rsidRPr="00234555" w:rsidRDefault="00234555" w:rsidP="00234555">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jc w:val="center"/>
        <w:rPr>
          <w:iCs/>
          <w:szCs w:val="24"/>
        </w:rPr>
      </w:pPr>
    </w:p>
    <w:p w:rsidR="00234555" w:rsidRPr="00234555" w:rsidRDefault="00234555" w:rsidP="00234555">
      <w:pPr>
        <w:tabs>
          <w:tab w:val="left" w:pos="-1440"/>
          <w:tab w:val="left" w:pos="1080"/>
        </w:tabs>
        <w:rPr>
          <w:szCs w:val="24"/>
        </w:rPr>
      </w:pPr>
      <w:r w:rsidRPr="00234555">
        <w:rPr>
          <w:szCs w:val="24"/>
        </w:rPr>
        <w:t>Note: For calculating standard errors, some combinations of size group and specialization category have been collapsed into a single size group when the sample size was insufficient.</w:t>
      </w:r>
    </w:p>
    <w:p w:rsidR="00234555" w:rsidRPr="00234555" w:rsidRDefault="00234555" w:rsidP="00234555">
      <w:pPr>
        <w:rPr>
          <w:szCs w:val="24"/>
        </w:rPr>
      </w:pPr>
    </w:p>
    <w:p w:rsidR="00234555" w:rsidRPr="00234555" w:rsidRDefault="00234555" w:rsidP="00234555">
      <w:pPr>
        <w:rPr>
          <w:szCs w:val="24"/>
        </w:rPr>
      </w:pPr>
    </w:p>
    <w:p w:rsidR="00234555" w:rsidRPr="00234555" w:rsidRDefault="00234555" w:rsidP="006D0856">
      <w:pPr>
        <w:ind w:firstLine="720"/>
        <w:rPr>
          <w:szCs w:val="24"/>
        </w:rPr>
      </w:pPr>
    </w:p>
    <w:p w:rsidR="006D0856" w:rsidRPr="00234555" w:rsidRDefault="006D0856" w:rsidP="006D0856">
      <w:pPr>
        <w:ind w:firstLine="360"/>
        <w:rPr>
          <w:szCs w:val="24"/>
        </w:rPr>
      </w:pPr>
    </w:p>
    <w:p w:rsidR="006D0856" w:rsidRPr="00234555" w:rsidRDefault="006D0856" w:rsidP="006D0856">
      <w:pPr>
        <w:ind w:firstLine="720"/>
        <w:rPr>
          <w:szCs w:val="24"/>
        </w:rPr>
      </w:pPr>
    </w:p>
    <w:p w:rsidR="006D0856" w:rsidRPr="00234555" w:rsidRDefault="006D0856" w:rsidP="006D0856">
      <w:pPr>
        <w:rPr>
          <w:szCs w:val="24"/>
        </w:rPr>
      </w:pPr>
    </w:p>
    <w:p w:rsidR="000D049A" w:rsidRPr="00234555" w:rsidRDefault="000D049A" w:rsidP="00E5787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1405AE" w:rsidRPr="00234555" w:rsidRDefault="001405AE" w:rsidP="001405AE">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rPr>
      </w:pPr>
    </w:p>
    <w:sectPr w:rsidR="001405AE" w:rsidRPr="00234555" w:rsidSect="00773315">
      <w:headerReference w:type="default" r:id="rId8"/>
      <w:footerReference w:type="even" r:id="rId9"/>
      <w:footerReference w:type="default" r:id="rId10"/>
      <w:headerReference w:type="first" r:id="rId11"/>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8F4" w:rsidRDefault="000968F4" w:rsidP="00BC23B6">
      <w:r>
        <w:separator/>
      </w:r>
    </w:p>
  </w:endnote>
  <w:endnote w:type="continuationSeparator" w:id="0">
    <w:p w:rsidR="000968F4" w:rsidRDefault="000968F4" w:rsidP="00BC23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F4" w:rsidRDefault="00EF3119" w:rsidP="0085781C">
    <w:pPr>
      <w:pStyle w:val="Footer"/>
      <w:framePr w:wrap="around" w:vAnchor="text" w:hAnchor="margin" w:xAlign="center" w:y="1"/>
      <w:rPr>
        <w:rStyle w:val="PageNumber"/>
      </w:rPr>
    </w:pPr>
    <w:r>
      <w:rPr>
        <w:rStyle w:val="PageNumber"/>
      </w:rPr>
      <w:fldChar w:fldCharType="begin"/>
    </w:r>
    <w:r w:rsidR="000968F4">
      <w:rPr>
        <w:rStyle w:val="PageNumber"/>
      </w:rPr>
      <w:instrText xml:space="preserve">PAGE  </w:instrText>
    </w:r>
    <w:r>
      <w:rPr>
        <w:rStyle w:val="PageNumber"/>
      </w:rPr>
      <w:fldChar w:fldCharType="end"/>
    </w:r>
  </w:p>
  <w:p w:rsidR="000968F4" w:rsidRDefault="000968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F4" w:rsidRDefault="00EF3119" w:rsidP="0085781C">
    <w:pPr>
      <w:pStyle w:val="Footer"/>
      <w:framePr w:wrap="around" w:vAnchor="text" w:hAnchor="margin" w:xAlign="center" w:y="1"/>
      <w:rPr>
        <w:rStyle w:val="PageNumber"/>
      </w:rPr>
    </w:pPr>
    <w:r>
      <w:rPr>
        <w:rStyle w:val="PageNumber"/>
      </w:rPr>
      <w:fldChar w:fldCharType="begin"/>
    </w:r>
    <w:r w:rsidR="000968F4">
      <w:rPr>
        <w:rStyle w:val="PageNumber"/>
      </w:rPr>
      <w:instrText xml:space="preserve">PAGE  </w:instrText>
    </w:r>
    <w:r>
      <w:rPr>
        <w:rStyle w:val="PageNumber"/>
      </w:rPr>
      <w:fldChar w:fldCharType="separate"/>
    </w:r>
    <w:r w:rsidR="00773315">
      <w:rPr>
        <w:rStyle w:val="PageNumber"/>
        <w:noProof/>
      </w:rPr>
      <w:t>2</w:t>
    </w:r>
    <w:r>
      <w:rPr>
        <w:rStyle w:val="PageNumber"/>
      </w:rPr>
      <w:fldChar w:fldCharType="end"/>
    </w:r>
  </w:p>
  <w:p w:rsidR="000968F4" w:rsidRDefault="000968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8F4" w:rsidRDefault="000968F4" w:rsidP="00BC23B6">
      <w:r>
        <w:separator/>
      </w:r>
    </w:p>
  </w:footnote>
  <w:footnote w:type="continuationSeparator" w:id="0">
    <w:p w:rsidR="000968F4" w:rsidRDefault="000968F4" w:rsidP="00BC23B6">
      <w:r>
        <w:continuationSeparator/>
      </w:r>
    </w:p>
  </w:footnote>
  <w:footnote w:id="1">
    <w:p w:rsidR="00234555" w:rsidRPr="00580766" w:rsidRDefault="00234555" w:rsidP="00234555">
      <w:pPr>
        <w:pStyle w:val="FootnoteText"/>
      </w:pPr>
      <w:r w:rsidRPr="00580766">
        <w:rPr>
          <w:rStyle w:val="FootnoteReference"/>
        </w:rPr>
        <w:footnoteRef/>
      </w:r>
      <w:r w:rsidRPr="00580766">
        <w:t xml:space="preserve"> The Federal Reserve has the following pre-determined set of characteristics to internally determine if the respondent is a finance company.  A finance company is defined as (1) a domestic entity, (2) a company with 50 percent </w:t>
      </w:r>
      <w:r>
        <w:t xml:space="preserve">or more </w:t>
      </w:r>
      <w:r w:rsidRPr="00580766">
        <w:t>of its assets in the form of loans or leases, and (3) a nondepository institution.</w:t>
      </w:r>
    </w:p>
  </w:footnote>
  <w:footnote w:id="2">
    <w:p w:rsidR="00234555" w:rsidRDefault="00234555" w:rsidP="00234555">
      <w:pPr>
        <w:autoSpaceDE w:val="0"/>
        <w:autoSpaceDN w:val="0"/>
        <w:adjustRightInd w:val="0"/>
      </w:pPr>
      <w:r w:rsidRPr="00580766">
        <w:rPr>
          <w:rStyle w:val="FootnoteReference"/>
          <w:sz w:val="20"/>
        </w:rPr>
        <w:footnoteRef/>
      </w:r>
      <w:r w:rsidRPr="00580766">
        <w:rPr>
          <w:sz w:val="20"/>
        </w:rPr>
        <w:t xml:space="preserve"> For the purposes of this proposal, the term small or smaller respondent or company is defined as a</w:t>
      </w:r>
      <w:r w:rsidRPr="00580766">
        <w:rPr>
          <w:rFonts w:ascii="Helv" w:hAnsi="Helv" w:cs="Helv"/>
          <w:snapToGrid/>
          <w:color w:val="000000"/>
          <w:sz w:val="20"/>
        </w:rPr>
        <w:t xml:space="preserve"> </w:t>
      </w:r>
      <w:r w:rsidRPr="00580766">
        <w:rPr>
          <w:snapToGrid/>
          <w:color w:val="000000"/>
          <w:sz w:val="20"/>
        </w:rPr>
        <w:t xml:space="preserve">company that reports less than $1 billion in </w:t>
      </w:r>
      <w:r>
        <w:rPr>
          <w:snapToGrid/>
          <w:color w:val="000000"/>
          <w:sz w:val="20"/>
        </w:rPr>
        <w:t>assets</w:t>
      </w:r>
      <w:r w:rsidRPr="00580766">
        <w:rPr>
          <w:snapToGrid/>
          <w:color w:val="000000"/>
          <w:sz w:val="20"/>
        </w:rPr>
        <w:t>.</w:t>
      </w:r>
      <w:r>
        <w:t xml:space="preserve"> </w:t>
      </w:r>
    </w:p>
  </w:footnote>
  <w:footnote w:id="3">
    <w:p w:rsidR="00234555" w:rsidRDefault="00234555" w:rsidP="00234555">
      <w:pPr>
        <w:pStyle w:val="FootnoteText"/>
      </w:pPr>
      <w:r>
        <w:rPr>
          <w:rStyle w:val="FootnoteReference"/>
        </w:rPr>
        <w:footnoteRef/>
      </w:r>
      <w:r>
        <w:t xml:space="preserve"> The Federal Reserve applied the comparable 2005 response rates for each size and specialty group so that the overall response rate estimated for the 2010 survey need not equal the overall response rate of 22 percent in 2005.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F4" w:rsidRPr="001C5C33" w:rsidRDefault="000968F4" w:rsidP="008C6CEB">
    <w:pPr>
      <w:pStyle w:val="Header"/>
      <w:rPr>
        <w:b/>
        <w:szCs w:val="24"/>
      </w:rPr>
    </w:pPr>
    <w:r>
      <w:rPr>
        <w:b/>
        <w:szCs w:val="24"/>
      </w:rPr>
      <w:tab/>
    </w:r>
    <w:r>
      <w:rPr>
        <w:b/>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F4" w:rsidRPr="00EB535A" w:rsidRDefault="000968F4" w:rsidP="00601FC9">
    <w:pPr>
      <w:pStyle w:val="Header"/>
      <w:rPr>
        <w:b/>
        <w:szCs w:val="24"/>
      </w:rPr>
    </w:pPr>
    <w:r>
      <w:rPr>
        <w:b/>
        <w:szCs w:val="24"/>
      </w:rPr>
      <w:tab/>
    </w:r>
    <w:r w:rsidRPr="00EB535A">
      <w:rPr>
        <w:b/>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5799F"/>
    <w:multiLevelType w:val="hybridMultilevel"/>
    <w:tmpl w:val="5136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64EE8"/>
    <w:multiLevelType w:val="hybridMultilevel"/>
    <w:tmpl w:val="C5FCF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32A2E78"/>
    <w:multiLevelType w:val="hybridMultilevel"/>
    <w:tmpl w:val="E17616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F5998"/>
    <w:rsid w:val="00001363"/>
    <w:rsid w:val="00012484"/>
    <w:rsid w:val="0001355E"/>
    <w:rsid w:val="000137FC"/>
    <w:rsid w:val="00014DF5"/>
    <w:rsid w:val="0001610E"/>
    <w:rsid w:val="000251CE"/>
    <w:rsid w:val="0002583D"/>
    <w:rsid w:val="0002682E"/>
    <w:rsid w:val="0003051B"/>
    <w:rsid w:val="00035BF8"/>
    <w:rsid w:val="00041848"/>
    <w:rsid w:val="00047721"/>
    <w:rsid w:val="00050D06"/>
    <w:rsid w:val="00077E1B"/>
    <w:rsid w:val="0009586C"/>
    <w:rsid w:val="000968F4"/>
    <w:rsid w:val="00097580"/>
    <w:rsid w:val="000A35D3"/>
    <w:rsid w:val="000A5E10"/>
    <w:rsid w:val="000C6EFE"/>
    <w:rsid w:val="000D049A"/>
    <w:rsid w:val="000D0BED"/>
    <w:rsid w:val="000D638D"/>
    <w:rsid w:val="000E3269"/>
    <w:rsid w:val="000E7D54"/>
    <w:rsid w:val="000F6F03"/>
    <w:rsid w:val="00104F9F"/>
    <w:rsid w:val="0010649B"/>
    <w:rsid w:val="00113774"/>
    <w:rsid w:val="001354EF"/>
    <w:rsid w:val="001405AE"/>
    <w:rsid w:val="001408B8"/>
    <w:rsid w:val="001557F7"/>
    <w:rsid w:val="0016313D"/>
    <w:rsid w:val="00175AF4"/>
    <w:rsid w:val="00182E10"/>
    <w:rsid w:val="0018457D"/>
    <w:rsid w:val="00185F8E"/>
    <w:rsid w:val="001A41F1"/>
    <w:rsid w:val="001A7411"/>
    <w:rsid w:val="001B6541"/>
    <w:rsid w:val="001C14EB"/>
    <w:rsid w:val="001C5C33"/>
    <w:rsid w:val="001D2020"/>
    <w:rsid w:val="001D5BF5"/>
    <w:rsid w:val="001D70BC"/>
    <w:rsid w:val="001D7147"/>
    <w:rsid w:val="001E4631"/>
    <w:rsid w:val="001F01C4"/>
    <w:rsid w:val="001F6A92"/>
    <w:rsid w:val="00200475"/>
    <w:rsid w:val="00211D00"/>
    <w:rsid w:val="0021496A"/>
    <w:rsid w:val="00215722"/>
    <w:rsid w:val="00234555"/>
    <w:rsid w:val="002370B3"/>
    <w:rsid w:val="002474D0"/>
    <w:rsid w:val="002529B5"/>
    <w:rsid w:val="00255C7C"/>
    <w:rsid w:val="00267212"/>
    <w:rsid w:val="00275563"/>
    <w:rsid w:val="00275824"/>
    <w:rsid w:val="00281AD2"/>
    <w:rsid w:val="00283CA8"/>
    <w:rsid w:val="00285CF5"/>
    <w:rsid w:val="00292F5F"/>
    <w:rsid w:val="002B37C7"/>
    <w:rsid w:val="002C7990"/>
    <w:rsid w:val="002D14D2"/>
    <w:rsid w:val="002D201F"/>
    <w:rsid w:val="002D206A"/>
    <w:rsid w:val="002D2A18"/>
    <w:rsid w:val="002E08DE"/>
    <w:rsid w:val="002E5D1A"/>
    <w:rsid w:val="002F50A0"/>
    <w:rsid w:val="00301464"/>
    <w:rsid w:val="003059E1"/>
    <w:rsid w:val="00310958"/>
    <w:rsid w:val="00331AB4"/>
    <w:rsid w:val="00343532"/>
    <w:rsid w:val="00351FD1"/>
    <w:rsid w:val="00352228"/>
    <w:rsid w:val="00355A53"/>
    <w:rsid w:val="00355EBA"/>
    <w:rsid w:val="003626A9"/>
    <w:rsid w:val="00391650"/>
    <w:rsid w:val="003960EB"/>
    <w:rsid w:val="003A6171"/>
    <w:rsid w:val="003B3460"/>
    <w:rsid w:val="003C5ADB"/>
    <w:rsid w:val="003F2EE2"/>
    <w:rsid w:val="004005B0"/>
    <w:rsid w:val="004009B5"/>
    <w:rsid w:val="00403B73"/>
    <w:rsid w:val="00407587"/>
    <w:rsid w:val="00421C97"/>
    <w:rsid w:val="00430382"/>
    <w:rsid w:val="0044050A"/>
    <w:rsid w:val="00447DA6"/>
    <w:rsid w:val="0045795A"/>
    <w:rsid w:val="00462EF4"/>
    <w:rsid w:val="0047282E"/>
    <w:rsid w:val="0048022B"/>
    <w:rsid w:val="00480E20"/>
    <w:rsid w:val="00484CA1"/>
    <w:rsid w:val="0048535F"/>
    <w:rsid w:val="00491107"/>
    <w:rsid w:val="004974CD"/>
    <w:rsid w:val="004A6694"/>
    <w:rsid w:val="004B3FAD"/>
    <w:rsid w:val="004C0F99"/>
    <w:rsid w:val="004C6D2C"/>
    <w:rsid w:val="004F44D0"/>
    <w:rsid w:val="004F5556"/>
    <w:rsid w:val="005018CB"/>
    <w:rsid w:val="005131AA"/>
    <w:rsid w:val="00513DF4"/>
    <w:rsid w:val="005156FF"/>
    <w:rsid w:val="0052568F"/>
    <w:rsid w:val="00526AE5"/>
    <w:rsid w:val="00530112"/>
    <w:rsid w:val="00537BF5"/>
    <w:rsid w:val="005503F6"/>
    <w:rsid w:val="00553210"/>
    <w:rsid w:val="005568DB"/>
    <w:rsid w:val="00564C71"/>
    <w:rsid w:val="0057099B"/>
    <w:rsid w:val="00571A63"/>
    <w:rsid w:val="005A2C1E"/>
    <w:rsid w:val="005A371D"/>
    <w:rsid w:val="005A3C8A"/>
    <w:rsid w:val="005B060F"/>
    <w:rsid w:val="005C14FC"/>
    <w:rsid w:val="005C7FE2"/>
    <w:rsid w:val="005D3351"/>
    <w:rsid w:val="005D3798"/>
    <w:rsid w:val="005D4738"/>
    <w:rsid w:val="005D568A"/>
    <w:rsid w:val="005E5025"/>
    <w:rsid w:val="005E5397"/>
    <w:rsid w:val="005E616E"/>
    <w:rsid w:val="005E6F41"/>
    <w:rsid w:val="005F7E56"/>
    <w:rsid w:val="00601FC9"/>
    <w:rsid w:val="00602349"/>
    <w:rsid w:val="00602BD1"/>
    <w:rsid w:val="00612D2D"/>
    <w:rsid w:val="00622C3B"/>
    <w:rsid w:val="00632D77"/>
    <w:rsid w:val="00640CC8"/>
    <w:rsid w:val="006437B4"/>
    <w:rsid w:val="00663094"/>
    <w:rsid w:val="00664B37"/>
    <w:rsid w:val="006767AA"/>
    <w:rsid w:val="0068267D"/>
    <w:rsid w:val="00684A46"/>
    <w:rsid w:val="00694D24"/>
    <w:rsid w:val="006A297F"/>
    <w:rsid w:val="006B6412"/>
    <w:rsid w:val="006B64A8"/>
    <w:rsid w:val="006D0856"/>
    <w:rsid w:val="006E6677"/>
    <w:rsid w:val="006F2336"/>
    <w:rsid w:val="006F6FAB"/>
    <w:rsid w:val="006F711B"/>
    <w:rsid w:val="00704982"/>
    <w:rsid w:val="00714C8A"/>
    <w:rsid w:val="0072129D"/>
    <w:rsid w:val="00726DA5"/>
    <w:rsid w:val="00735977"/>
    <w:rsid w:val="00737129"/>
    <w:rsid w:val="007538F3"/>
    <w:rsid w:val="00767143"/>
    <w:rsid w:val="0076758B"/>
    <w:rsid w:val="00773315"/>
    <w:rsid w:val="0077623E"/>
    <w:rsid w:val="00777060"/>
    <w:rsid w:val="00792A12"/>
    <w:rsid w:val="007B2277"/>
    <w:rsid w:val="007F1C93"/>
    <w:rsid w:val="007F46F1"/>
    <w:rsid w:val="007F7DF5"/>
    <w:rsid w:val="00801C2B"/>
    <w:rsid w:val="008047B2"/>
    <w:rsid w:val="008077D9"/>
    <w:rsid w:val="00825BA0"/>
    <w:rsid w:val="00834B56"/>
    <w:rsid w:val="008436E2"/>
    <w:rsid w:val="00851839"/>
    <w:rsid w:val="0085781C"/>
    <w:rsid w:val="00860981"/>
    <w:rsid w:val="0087734D"/>
    <w:rsid w:val="0088070C"/>
    <w:rsid w:val="0088101A"/>
    <w:rsid w:val="00892274"/>
    <w:rsid w:val="008923ED"/>
    <w:rsid w:val="008A4A44"/>
    <w:rsid w:val="008A6F24"/>
    <w:rsid w:val="008B6A00"/>
    <w:rsid w:val="008B7536"/>
    <w:rsid w:val="008C0F00"/>
    <w:rsid w:val="008C55CF"/>
    <w:rsid w:val="008C6CEB"/>
    <w:rsid w:val="008C7FD2"/>
    <w:rsid w:val="008D7694"/>
    <w:rsid w:val="008E096A"/>
    <w:rsid w:val="008F2950"/>
    <w:rsid w:val="00900F06"/>
    <w:rsid w:val="00903D8F"/>
    <w:rsid w:val="00910C91"/>
    <w:rsid w:val="009225F1"/>
    <w:rsid w:val="00922AE9"/>
    <w:rsid w:val="00926EA9"/>
    <w:rsid w:val="00935416"/>
    <w:rsid w:val="00937910"/>
    <w:rsid w:val="00942D77"/>
    <w:rsid w:val="00943560"/>
    <w:rsid w:val="009556F9"/>
    <w:rsid w:val="0097572F"/>
    <w:rsid w:val="0098622B"/>
    <w:rsid w:val="00987711"/>
    <w:rsid w:val="00992194"/>
    <w:rsid w:val="00992E64"/>
    <w:rsid w:val="009A11EC"/>
    <w:rsid w:val="009A3722"/>
    <w:rsid w:val="009B1FAF"/>
    <w:rsid w:val="009B1FBC"/>
    <w:rsid w:val="009B34B4"/>
    <w:rsid w:val="009D49F5"/>
    <w:rsid w:val="009D695D"/>
    <w:rsid w:val="009D6D2F"/>
    <w:rsid w:val="009F2C22"/>
    <w:rsid w:val="009F711F"/>
    <w:rsid w:val="00A01303"/>
    <w:rsid w:val="00A014CF"/>
    <w:rsid w:val="00A05A6A"/>
    <w:rsid w:val="00A21376"/>
    <w:rsid w:val="00A425C8"/>
    <w:rsid w:val="00A53CEA"/>
    <w:rsid w:val="00A57E3E"/>
    <w:rsid w:val="00A65799"/>
    <w:rsid w:val="00A65C3C"/>
    <w:rsid w:val="00A71FCA"/>
    <w:rsid w:val="00A7478A"/>
    <w:rsid w:val="00A7526C"/>
    <w:rsid w:val="00A843E3"/>
    <w:rsid w:val="00A84E0E"/>
    <w:rsid w:val="00AA0B80"/>
    <w:rsid w:val="00AA1B88"/>
    <w:rsid w:val="00AA220C"/>
    <w:rsid w:val="00AA223E"/>
    <w:rsid w:val="00AA6A12"/>
    <w:rsid w:val="00AB0522"/>
    <w:rsid w:val="00AB07A6"/>
    <w:rsid w:val="00AB224C"/>
    <w:rsid w:val="00AB7544"/>
    <w:rsid w:val="00AC03AF"/>
    <w:rsid w:val="00AC0EAE"/>
    <w:rsid w:val="00AC175D"/>
    <w:rsid w:val="00AC4614"/>
    <w:rsid w:val="00AC4F59"/>
    <w:rsid w:val="00AD248F"/>
    <w:rsid w:val="00AD6513"/>
    <w:rsid w:val="00AE4111"/>
    <w:rsid w:val="00AE6909"/>
    <w:rsid w:val="00AF09D1"/>
    <w:rsid w:val="00AF5D0D"/>
    <w:rsid w:val="00B06BE9"/>
    <w:rsid w:val="00B07CE9"/>
    <w:rsid w:val="00B26C2F"/>
    <w:rsid w:val="00B323EB"/>
    <w:rsid w:val="00B33C3D"/>
    <w:rsid w:val="00B36146"/>
    <w:rsid w:val="00B37E47"/>
    <w:rsid w:val="00B433F8"/>
    <w:rsid w:val="00B53288"/>
    <w:rsid w:val="00B5409D"/>
    <w:rsid w:val="00B54D1B"/>
    <w:rsid w:val="00B70ABA"/>
    <w:rsid w:val="00B745D8"/>
    <w:rsid w:val="00B82697"/>
    <w:rsid w:val="00B8305C"/>
    <w:rsid w:val="00B84700"/>
    <w:rsid w:val="00B92BAD"/>
    <w:rsid w:val="00B94086"/>
    <w:rsid w:val="00BA0E55"/>
    <w:rsid w:val="00BB25BB"/>
    <w:rsid w:val="00BB6054"/>
    <w:rsid w:val="00BC23B6"/>
    <w:rsid w:val="00BC418E"/>
    <w:rsid w:val="00BC5D40"/>
    <w:rsid w:val="00BE02FF"/>
    <w:rsid w:val="00C17E82"/>
    <w:rsid w:val="00C20C36"/>
    <w:rsid w:val="00C22EEF"/>
    <w:rsid w:val="00C34079"/>
    <w:rsid w:val="00C3414E"/>
    <w:rsid w:val="00C43AF6"/>
    <w:rsid w:val="00C463E1"/>
    <w:rsid w:val="00C55B81"/>
    <w:rsid w:val="00C56800"/>
    <w:rsid w:val="00C60B44"/>
    <w:rsid w:val="00C63020"/>
    <w:rsid w:val="00C94860"/>
    <w:rsid w:val="00CA4736"/>
    <w:rsid w:val="00CB7690"/>
    <w:rsid w:val="00CC6CD5"/>
    <w:rsid w:val="00CE1DC2"/>
    <w:rsid w:val="00CE2949"/>
    <w:rsid w:val="00CF6ACC"/>
    <w:rsid w:val="00D04F43"/>
    <w:rsid w:val="00D15149"/>
    <w:rsid w:val="00D2141D"/>
    <w:rsid w:val="00D21434"/>
    <w:rsid w:val="00D23AA8"/>
    <w:rsid w:val="00D32C9A"/>
    <w:rsid w:val="00D65567"/>
    <w:rsid w:val="00D8587C"/>
    <w:rsid w:val="00D92C1B"/>
    <w:rsid w:val="00DB006B"/>
    <w:rsid w:val="00DB0717"/>
    <w:rsid w:val="00DB5D79"/>
    <w:rsid w:val="00DC2750"/>
    <w:rsid w:val="00DC46C1"/>
    <w:rsid w:val="00DF5998"/>
    <w:rsid w:val="00E2768E"/>
    <w:rsid w:val="00E346B5"/>
    <w:rsid w:val="00E51EB2"/>
    <w:rsid w:val="00E57872"/>
    <w:rsid w:val="00E60DFD"/>
    <w:rsid w:val="00E749AC"/>
    <w:rsid w:val="00E74BED"/>
    <w:rsid w:val="00E74BFB"/>
    <w:rsid w:val="00E76A69"/>
    <w:rsid w:val="00E8122A"/>
    <w:rsid w:val="00E83C8F"/>
    <w:rsid w:val="00E875F6"/>
    <w:rsid w:val="00EB36BF"/>
    <w:rsid w:val="00EB535A"/>
    <w:rsid w:val="00EC49E8"/>
    <w:rsid w:val="00EC5668"/>
    <w:rsid w:val="00ED66BA"/>
    <w:rsid w:val="00ED76A1"/>
    <w:rsid w:val="00EE546D"/>
    <w:rsid w:val="00EF3119"/>
    <w:rsid w:val="00EF68D7"/>
    <w:rsid w:val="00EF7B62"/>
    <w:rsid w:val="00F13CE1"/>
    <w:rsid w:val="00F15F4C"/>
    <w:rsid w:val="00F24690"/>
    <w:rsid w:val="00F2611A"/>
    <w:rsid w:val="00F315D3"/>
    <w:rsid w:val="00F41238"/>
    <w:rsid w:val="00F42146"/>
    <w:rsid w:val="00F47D44"/>
    <w:rsid w:val="00F62898"/>
    <w:rsid w:val="00F6396D"/>
    <w:rsid w:val="00F6456F"/>
    <w:rsid w:val="00F65B6E"/>
    <w:rsid w:val="00F71875"/>
    <w:rsid w:val="00F71FE2"/>
    <w:rsid w:val="00F76EF2"/>
    <w:rsid w:val="00F85679"/>
    <w:rsid w:val="00F86E92"/>
    <w:rsid w:val="00F92307"/>
    <w:rsid w:val="00FB01F6"/>
    <w:rsid w:val="00FB3D3E"/>
    <w:rsid w:val="00FB72F0"/>
    <w:rsid w:val="00FD1FDC"/>
    <w:rsid w:val="00FD54B8"/>
    <w:rsid w:val="00FF1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00"/>
    <w:rPr>
      <w:snapToGrid w:val="0"/>
      <w:sz w:val="24"/>
    </w:rPr>
  </w:style>
  <w:style w:type="paragraph" w:styleId="Heading1">
    <w:name w:val="heading 1"/>
    <w:basedOn w:val="Normal"/>
    <w:next w:val="Normal"/>
    <w:link w:val="Heading1Char"/>
    <w:uiPriority w:val="99"/>
    <w:qFormat/>
    <w:rsid w:val="00AC03AF"/>
    <w:pPr>
      <w:keepNext/>
      <w:tabs>
        <w:tab w:val="left" w:pos="360"/>
      </w:tabs>
      <w:outlineLvl w:val="0"/>
    </w:pPr>
    <w:rPr>
      <w:b/>
    </w:rPr>
  </w:style>
  <w:style w:type="paragraph" w:styleId="Heading2">
    <w:name w:val="heading 2"/>
    <w:basedOn w:val="Normal"/>
    <w:next w:val="Normal"/>
    <w:link w:val="Heading2Char"/>
    <w:qFormat/>
    <w:rsid w:val="00AC03AF"/>
    <w:pPr>
      <w:keepNext/>
      <w:tabs>
        <w:tab w:val="left" w:pos="360"/>
      </w:tabs>
      <w:jc w:val="right"/>
      <w:outlineLvl w:val="1"/>
    </w:pPr>
    <w:rPr>
      <w:i/>
    </w:rPr>
  </w:style>
  <w:style w:type="paragraph" w:styleId="Heading3">
    <w:name w:val="heading 3"/>
    <w:basedOn w:val="Normal"/>
    <w:next w:val="Normal"/>
    <w:link w:val="Heading3Char"/>
    <w:qFormat/>
    <w:rsid w:val="00AC03AF"/>
    <w:pPr>
      <w:keepNext/>
      <w:tabs>
        <w:tab w:val="left" w:pos="360"/>
      </w:tabs>
      <w:jc w:val="cente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6A00"/>
    <w:pPr>
      <w:jc w:val="both"/>
    </w:pPr>
    <w:rPr>
      <w:color w:val="000000"/>
      <w:szCs w:val="24"/>
    </w:rPr>
  </w:style>
  <w:style w:type="paragraph" w:styleId="FootnoteText">
    <w:name w:val="footnote text"/>
    <w:basedOn w:val="Normal"/>
    <w:link w:val="FootnoteTextChar"/>
    <w:semiHidden/>
    <w:rsid w:val="00E875F6"/>
    <w:rPr>
      <w:sz w:val="20"/>
    </w:rPr>
  </w:style>
  <w:style w:type="character" w:styleId="FootnoteReference">
    <w:name w:val="footnote reference"/>
    <w:basedOn w:val="DefaultParagraphFont"/>
    <w:semiHidden/>
    <w:rsid w:val="00E875F6"/>
    <w:rPr>
      <w:vertAlign w:val="superscript"/>
    </w:rPr>
  </w:style>
  <w:style w:type="paragraph" w:styleId="BodyTextIndent">
    <w:name w:val="Body Text Indent"/>
    <w:basedOn w:val="Normal"/>
    <w:rsid w:val="00E875F6"/>
    <w:pPr>
      <w:ind w:firstLine="720"/>
      <w:jc w:val="both"/>
    </w:pPr>
    <w:rPr>
      <w:color w:val="000000"/>
      <w:szCs w:val="24"/>
    </w:rPr>
  </w:style>
  <w:style w:type="paragraph" w:styleId="Footer">
    <w:name w:val="footer"/>
    <w:basedOn w:val="Normal"/>
    <w:rsid w:val="0085781C"/>
    <w:pPr>
      <w:tabs>
        <w:tab w:val="center" w:pos="4320"/>
        <w:tab w:val="right" w:pos="8640"/>
      </w:tabs>
    </w:pPr>
  </w:style>
  <w:style w:type="character" w:styleId="PageNumber">
    <w:name w:val="page number"/>
    <w:basedOn w:val="DefaultParagraphFont"/>
    <w:rsid w:val="0085781C"/>
  </w:style>
  <w:style w:type="paragraph" w:styleId="Header">
    <w:name w:val="header"/>
    <w:basedOn w:val="Normal"/>
    <w:link w:val="HeaderChar"/>
    <w:uiPriority w:val="99"/>
    <w:rsid w:val="0085781C"/>
    <w:pPr>
      <w:tabs>
        <w:tab w:val="center" w:pos="4320"/>
        <w:tab w:val="right" w:pos="8640"/>
      </w:tabs>
    </w:pPr>
  </w:style>
  <w:style w:type="character" w:styleId="Hyperlink">
    <w:name w:val="Hyperlink"/>
    <w:basedOn w:val="DefaultParagraphFont"/>
    <w:rsid w:val="005C7FE2"/>
    <w:rPr>
      <w:color w:val="0000FF"/>
      <w:u w:val="single"/>
    </w:rPr>
  </w:style>
  <w:style w:type="paragraph" w:styleId="BalloonText">
    <w:name w:val="Balloon Text"/>
    <w:basedOn w:val="Normal"/>
    <w:semiHidden/>
    <w:rsid w:val="002F50A0"/>
    <w:rPr>
      <w:rFonts w:ascii="Tahoma" w:hAnsi="Tahoma" w:cs="Tahoma"/>
      <w:sz w:val="16"/>
      <w:szCs w:val="16"/>
    </w:rPr>
  </w:style>
  <w:style w:type="character" w:styleId="CommentReference">
    <w:name w:val="annotation reference"/>
    <w:basedOn w:val="DefaultParagraphFont"/>
    <w:semiHidden/>
    <w:rsid w:val="00012484"/>
    <w:rPr>
      <w:sz w:val="16"/>
      <w:szCs w:val="16"/>
    </w:rPr>
  </w:style>
  <w:style w:type="paragraph" w:styleId="CommentText">
    <w:name w:val="annotation text"/>
    <w:basedOn w:val="Normal"/>
    <w:semiHidden/>
    <w:rsid w:val="00012484"/>
    <w:rPr>
      <w:sz w:val="20"/>
    </w:rPr>
  </w:style>
  <w:style w:type="paragraph" w:styleId="CommentSubject">
    <w:name w:val="annotation subject"/>
    <w:basedOn w:val="CommentText"/>
    <w:next w:val="CommentText"/>
    <w:semiHidden/>
    <w:rsid w:val="00012484"/>
    <w:rPr>
      <w:b/>
      <w:bCs/>
    </w:rPr>
  </w:style>
  <w:style w:type="paragraph" w:styleId="Revision">
    <w:name w:val="Revision"/>
    <w:hidden/>
    <w:uiPriority w:val="99"/>
    <w:semiHidden/>
    <w:rsid w:val="005F7E56"/>
    <w:rPr>
      <w:snapToGrid w:val="0"/>
      <w:sz w:val="24"/>
    </w:rPr>
  </w:style>
  <w:style w:type="character" w:customStyle="1" w:styleId="FootnoteTextChar">
    <w:name w:val="Footnote Text Char"/>
    <w:basedOn w:val="DefaultParagraphFont"/>
    <w:link w:val="FootnoteText"/>
    <w:semiHidden/>
    <w:rsid w:val="00526AE5"/>
    <w:rPr>
      <w:snapToGrid w:val="0"/>
    </w:rPr>
  </w:style>
  <w:style w:type="paragraph" w:styleId="ListParagraph">
    <w:name w:val="List Paragraph"/>
    <w:basedOn w:val="Normal"/>
    <w:uiPriority w:val="34"/>
    <w:qFormat/>
    <w:rsid w:val="00292F5F"/>
    <w:pPr>
      <w:ind w:left="720"/>
      <w:contextualSpacing/>
    </w:pPr>
  </w:style>
  <w:style w:type="character" w:customStyle="1" w:styleId="Heading1Char">
    <w:name w:val="Heading 1 Char"/>
    <w:basedOn w:val="DefaultParagraphFont"/>
    <w:link w:val="Heading1"/>
    <w:uiPriority w:val="99"/>
    <w:rsid w:val="00AC03AF"/>
    <w:rPr>
      <w:b/>
      <w:snapToGrid w:val="0"/>
      <w:sz w:val="24"/>
    </w:rPr>
  </w:style>
  <w:style w:type="character" w:customStyle="1" w:styleId="Heading2Char">
    <w:name w:val="Heading 2 Char"/>
    <w:basedOn w:val="DefaultParagraphFont"/>
    <w:link w:val="Heading2"/>
    <w:rsid w:val="00AC03AF"/>
    <w:rPr>
      <w:i/>
      <w:snapToGrid w:val="0"/>
      <w:sz w:val="24"/>
    </w:rPr>
  </w:style>
  <w:style w:type="character" w:customStyle="1" w:styleId="Heading3Char">
    <w:name w:val="Heading 3 Char"/>
    <w:basedOn w:val="DefaultParagraphFont"/>
    <w:link w:val="Heading3"/>
    <w:rsid w:val="00AC03AF"/>
    <w:rPr>
      <w:i/>
      <w:snapToGrid w:val="0"/>
      <w:sz w:val="24"/>
    </w:rPr>
  </w:style>
  <w:style w:type="character" w:customStyle="1" w:styleId="HeaderChar">
    <w:name w:val="Header Char"/>
    <w:basedOn w:val="DefaultParagraphFont"/>
    <w:link w:val="Header"/>
    <w:uiPriority w:val="99"/>
    <w:rsid w:val="008C0F00"/>
    <w:rPr>
      <w:snapToGrid w:val="0"/>
      <w:sz w:val="24"/>
    </w:rPr>
  </w:style>
  <w:style w:type="paragraph" w:styleId="NoSpacing">
    <w:name w:val="No Spacing"/>
    <w:uiPriority w:val="1"/>
    <w:qFormat/>
    <w:rsid w:val="00234555"/>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0378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8B95F-8940-4706-9284-AD4A387D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1131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FRB</Company>
  <LinksUpToDate>false</LinksUpToDate>
  <CharactersWithSpaces>7170</CharactersWithSpaces>
  <SharedDoc>false</SharedDoc>
  <HLinks>
    <vt:vector size="6" baseType="variant">
      <vt:variant>
        <vt:i4>6619181</vt:i4>
      </vt:variant>
      <vt:variant>
        <vt:i4>2</vt:i4>
      </vt:variant>
      <vt:variant>
        <vt:i4>0</vt:i4>
      </vt:variant>
      <vt:variant>
        <vt:i4>5</vt:i4>
      </vt:variant>
      <vt:variant>
        <vt:lpwstr>http://www.federalreserve.gov/pubs/shop/survey.htm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m1mel00</dc:creator>
  <cp:keywords/>
  <dc:description/>
  <cp:lastModifiedBy>m1nsp00</cp:lastModifiedBy>
  <cp:revision>8</cp:revision>
  <cp:lastPrinted>2010-12-29T20:58:00Z</cp:lastPrinted>
  <dcterms:created xsi:type="dcterms:W3CDTF">2010-12-29T20:50:00Z</dcterms:created>
  <dcterms:modified xsi:type="dcterms:W3CDTF">2010-12-29T21:02:00Z</dcterms:modified>
</cp:coreProperties>
</file>