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29" w:rsidRDefault="00BF1429" w:rsidP="00BF1429">
      <w:pPr>
        <w:jc w:val="right"/>
        <w:rPr>
          <w:sz w:val="22"/>
          <w:szCs w:val="22"/>
        </w:rPr>
      </w:pPr>
      <w:r>
        <w:rPr>
          <w:sz w:val="22"/>
          <w:szCs w:val="22"/>
        </w:rPr>
        <w:t>September 30, 2010</w:t>
      </w:r>
    </w:p>
    <w:p w:rsidR="00BF1429" w:rsidRDefault="00BF1429" w:rsidP="003A41E6">
      <w:pPr>
        <w:jc w:val="center"/>
        <w:rPr>
          <w:sz w:val="22"/>
          <w:szCs w:val="22"/>
        </w:rPr>
      </w:pPr>
    </w:p>
    <w:p w:rsidR="0093240D" w:rsidRDefault="0093240D" w:rsidP="003A41E6">
      <w:pPr>
        <w:jc w:val="center"/>
        <w:rPr>
          <w:sz w:val="22"/>
          <w:szCs w:val="22"/>
        </w:rPr>
      </w:pPr>
    </w:p>
    <w:p w:rsidR="003A41E6" w:rsidRDefault="003A41E6" w:rsidP="003A41E6">
      <w:pPr>
        <w:jc w:val="center"/>
        <w:rPr>
          <w:sz w:val="22"/>
          <w:szCs w:val="22"/>
        </w:rPr>
      </w:pPr>
      <w:r>
        <w:rPr>
          <w:sz w:val="22"/>
          <w:szCs w:val="22"/>
        </w:rPr>
        <w:t>NRC FORM 748</w:t>
      </w:r>
    </w:p>
    <w:p w:rsidR="003A41E6" w:rsidRDefault="003A41E6" w:rsidP="003A41E6">
      <w:pPr>
        <w:jc w:val="center"/>
        <w:rPr>
          <w:sz w:val="22"/>
          <w:szCs w:val="22"/>
        </w:rPr>
      </w:pPr>
      <w:r>
        <w:rPr>
          <w:sz w:val="22"/>
          <w:szCs w:val="22"/>
        </w:rPr>
        <w:sym w:font="WP TypographicSymbols" w:char="0041"/>
      </w:r>
      <w:r>
        <w:rPr>
          <w:sz w:val="22"/>
          <w:szCs w:val="22"/>
        </w:rPr>
        <w:t>NATIONAL SOURCE TRACKING TRANSACTION REPORT</w:t>
      </w:r>
      <w:r>
        <w:rPr>
          <w:sz w:val="22"/>
          <w:szCs w:val="22"/>
        </w:rPr>
        <w:sym w:font="WP TypographicSymbols" w:char="0040"/>
      </w:r>
    </w:p>
    <w:p w:rsidR="003A41E6" w:rsidRDefault="003A41E6" w:rsidP="003A41E6">
      <w:pPr>
        <w:jc w:val="center"/>
        <w:rPr>
          <w:sz w:val="22"/>
          <w:szCs w:val="22"/>
        </w:rPr>
      </w:pPr>
      <w:r>
        <w:rPr>
          <w:sz w:val="22"/>
          <w:szCs w:val="22"/>
        </w:rPr>
        <w:t xml:space="preserve">(3150-0202) </w:t>
      </w:r>
    </w:p>
    <w:p w:rsidR="004A3F84" w:rsidRDefault="004A3F84" w:rsidP="003A41E6">
      <w:pPr>
        <w:jc w:val="center"/>
      </w:pPr>
    </w:p>
    <w:p w:rsidR="003A41E6" w:rsidRPr="003A41E6" w:rsidRDefault="003A41E6" w:rsidP="003A41E6">
      <w:pPr>
        <w:jc w:val="center"/>
        <w:rPr>
          <w:b/>
          <w:sz w:val="22"/>
          <w:szCs w:val="22"/>
        </w:rPr>
      </w:pPr>
      <w:r w:rsidRPr="003A41E6">
        <w:rPr>
          <w:b/>
          <w:sz w:val="22"/>
          <w:szCs w:val="22"/>
        </w:rPr>
        <w:t>NONSUBSTANTIVE CHANGE REQUEST</w:t>
      </w:r>
    </w:p>
    <w:p w:rsidR="003A41E6" w:rsidRDefault="003A41E6" w:rsidP="003A41E6">
      <w:pPr>
        <w:rPr>
          <w:sz w:val="22"/>
          <w:szCs w:val="22"/>
        </w:rPr>
      </w:pPr>
    </w:p>
    <w:p w:rsidR="0093240D" w:rsidRDefault="0093240D" w:rsidP="003A41E6">
      <w:pPr>
        <w:rPr>
          <w:sz w:val="22"/>
          <w:szCs w:val="22"/>
        </w:rPr>
      </w:pPr>
    </w:p>
    <w:p w:rsidR="003A41E6" w:rsidRDefault="003A41E6" w:rsidP="003A41E6">
      <w:pPr>
        <w:rPr>
          <w:sz w:val="22"/>
          <w:szCs w:val="22"/>
        </w:rPr>
      </w:pPr>
      <w:r>
        <w:rPr>
          <w:sz w:val="22"/>
          <w:szCs w:val="22"/>
          <w:u w:val="single"/>
        </w:rPr>
        <w:t>Description of the Information Collection</w:t>
      </w:r>
    </w:p>
    <w:p w:rsidR="003A41E6" w:rsidRDefault="003A41E6" w:rsidP="003A41E6">
      <w:pPr>
        <w:rPr>
          <w:sz w:val="22"/>
          <w:szCs w:val="22"/>
        </w:rPr>
      </w:pPr>
    </w:p>
    <w:p w:rsidR="003A41E6" w:rsidRDefault="003A41E6" w:rsidP="003A41E6">
      <w:pPr>
        <w:rPr>
          <w:sz w:val="22"/>
          <w:szCs w:val="22"/>
        </w:rPr>
      </w:pPr>
      <w:r>
        <w:rPr>
          <w:sz w:val="22"/>
          <w:szCs w:val="22"/>
        </w:rPr>
        <w:t xml:space="preserve">As a result of the terrorist attacks in the </w:t>
      </w:r>
      <w:smartTag w:uri="urn:schemas-microsoft-com:office:smarttags" w:element="place">
        <w:smartTag w:uri="urn:schemas-microsoft-com:office:smarttags" w:element="country-region">
          <w:r>
            <w:rPr>
              <w:sz w:val="22"/>
              <w:szCs w:val="22"/>
            </w:rPr>
            <w:t>U.S.</w:t>
          </w:r>
        </w:smartTag>
      </w:smartTag>
      <w:r>
        <w:rPr>
          <w:sz w:val="22"/>
          <w:szCs w:val="22"/>
        </w:rPr>
        <w:t xml:space="preserve"> on September 11, 2001, the U.S. Nuclear Regulatory Commission (NRC) reviewed nuclear material security requirements, with particular focus on radioactive material of concern.  Based on the findings of its review, the NRC amended its regulations in 2006 to implement a program called the National Source Tracking System (NSTS).  Under this program, licensees are required to report information on the manufacture, transfer, receipt, and disposal of nationally tracked sources.  This information is used to maintain the National Source Tracking System and will provide the NRC with a </w:t>
      </w:r>
      <w:r>
        <w:rPr>
          <w:sz w:val="22"/>
          <w:szCs w:val="22"/>
        </w:rPr>
        <w:sym w:font="WP TypographicSymbols" w:char="0041"/>
      </w:r>
      <w:r>
        <w:rPr>
          <w:sz w:val="22"/>
          <w:szCs w:val="22"/>
        </w:rPr>
        <w:t>cradle-to-grave</w:t>
      </w:r>
      <w:r>
        <w:rPr>
          <w:sz w:val="22"/>
          <w:szCs w:val="22"/>
        </w:rPr>
        <w:sym w:font="WP TypographicSymbols" w:char="0040"/>
      </w:r>
      <w:r>
        <w:rPr>
          <w:sz w:val="22"/>
          <w:szCs w:val="22"/>
        </w:rPr>
        <w:t xml:space="preserve"> account for these sources and, thus, improve accountability and controls over them.  The transaction information is collected using NRC Form 748, </w:t>
      </w:r>
      <w:r>
        <w:rPr>
          <w:sz w:val="22"/>
          <w:szCs w:val="22"/>
        </w:rPr>
        <w:sym w:font="WP TypographicSymbols" w:char="0041"/>
      </w:r>
      <w:r>
        <w:rPr>
          <w:sz w:val="22"/>
          <w:szCs w:val="22"/>
        </w:rPr>
        <w:t>National Source Tracking Transaction Report.</w:t>
      </w:r>
      <w:r>
        <w:rPr>
          <w:sz w:val="22"/>
          <w:szCs w:val="22"/>
        </w:rPr>
        <w:sym w:font="WP TypographicSymbols" w:char="0040"/>
      </w:r>
      <w:r>
        <w:rPr>
          <w:sz w:val="22"/>
          <w:szCs w:val="22"/>
        </w:rPr>
        <w:t xml:space="preserve">  The data elements contained on this form represent the minimum information necessary to track the nationally tracked sources from cradle to grave to ensure that all such sources continue to be accounted for.</w:t>
      </w:r>
    </w:p>
    <w:p w:rsidR="003A41E6" w:rsidRDefault="003A41E6" w:rsidP="003A41E6">
      <w:pPr>
        <w:rPr>
          <w:sz w:val="22"/>
          <w:szCs w:val="22"/>
        </w:rPr>
      </w:pPr>
    </w:p>
    <w:p w:rsidR="003A41E6" w:rsidRPr="003A41E6" w:rsidRDefault="003A41E6" w:rsidP="003A41E6">
      <w:pPr>
        <w:rPr>
          <w:sz w:val="22"/>
          <w:szCs w:val="22"/>
          <w:u w:val="single"/>
        </w:rPr>
      </w:pPr>
      <w:r w:rsidRPr="003A41E6">
        <w:rPr>
          <w:sz w:val="22"/>
          <w:szCs w:val="22"/>
          <w:u w:val="single"/>
        </w:rPr>
        <w:t>Reasons for Requesting Changes to the NRC Form 748</w:t>
      </w:r>
    </w:p>
    <w:p w:rsidR="003A41E6" w:rsidRPr="003A41E6" w:rsidRDefault="003A41E6" w:rsidP="003A41E6">
      <w:pPr>
        <w:rPr>
          <w:sz w:val="22"/>
          <w:szCs w:val="22"/>
        </w:rPr>
      </w:pPr>
    </w:p>
    <w:p w:rsidR="003A41E6" w:rsidRPr="003A41E6" w:rsidRDefault="003A41E6" w:rsidP="003A41E6">
      <w:pPr>
        <w:rPr>
          <w:sz w:val="22"/>
          <w:szCs w:val="22"/>
        </w:rPr>
      </w:pPr>
      <w:r w:rsidRPr="003A41E6">
        <w:rPr>
          <w:sz w:val="22"/>
          <w:szCs w:val="22"/>
        </w:rPr>
        <w:t>The collection of NSTS data using NRC Form 748 began in 2009.  After licensees began submitting data, it became clear to the NRC that licensees were confused about reporting certain transactions.  Licensees have had difficulties reporting multiple transactions correctly on a single form.  Others have not known how to report import and export transactions since these transactions are not mentioned nor explained in the currently used form.  Also, licensees have frequently reported device make and model information rather than reporting source make and model information.  Consequently, licensees have had to contact the NSTS Help Desk and resubmit reports after their first reports were not accepted.</w:t>
      </w:r>
    </w:p>
    <w:p w:rsidR="003A41E6" w:rsidRPr="003A41E6" w:rsidRDefault="003A41E6" w:rsidP="003A41E6">
      <w:pPr>
        <w:rPr>
          <w:sz w:val="22"/>
          <w:szCs w:val="22"/>
        </w:rPr>
      </w:pPr>
    </w:p>
    <w:p w:rsidR="004203F7" w:rsidRDefault="004203F7" w:rsidP="003A41E6">
      <w:pPr>
        <w:rPr>
          <w:sz w:val="22"/>
          <w:szCs w:val="22"/>
        </w:rPr>
      </w:pPr>
      <w:r>
        <w:rPr>
          <w:sz w:val="22"/>
          <w:szCs w:val="22"/>
        </w:rPr>
        <w:t xml:space="preserve">NRC has revised the form in order to better meet the needs of licensees.  </w:t>
      </w:r>
      <w:r w:rsidR="003A41E6" w:rsidRPr="003A41E6">
        <w:rPr>
          <w:sz w:val="22"/>
          <w:szCs w:val="22"/>
        </w:rPr>
        <w:t>The information that the NRC requires licensees to report rema</w:t>
      </w:r>
      <w:r>
        <w:rPr>
          <w:sz w:val="22"/>
          <w:szCs w:val="22"/>
        </w:rPr>
        <w:t>ins the same and the requirements have not changed.</w:t>
      </w:r>
    </w:p>
    <w:p w:rsidR="004203F7" w:rsidRDefault="004203F7" w:rsidP="003A41E6">
      <w:pPr>
        <w:rPr>
          <w:sz w:val="22"/>
          <w:szCs w:val="22"/>
        </w:rPr>
      </w:pPr>
    </w:p>
    <w:p w:rsidR="003A41E6" w:rsidRPr="003A41E6" w:rsidRDefault="003A41E6" w:rsidP="003A41E6">
      <w:pPr>
        <w:rPr>
          <w:sz w:val="22"/>
          <w:szCs w:val="22"/>
        </w:rPr>
      </w:pPr>
      <w:r w:rsidRPr="003A41E6">
        <w:rPr>
          <w:sz w:val="22"/>
          <w:szCs w:val="22"/>
        </w:rPr>
        <w:t>The previous version of the NRC Form 748 was two pages in length, including one page of instructions.  In revising the form, NRC has developed a “short form” and a “long form” for licensees to submit data:</w:t>
      </w:r>
    </w:p>
    <w:p w:rsidR="003A41E6" w:rsidRPr="003A41E6" w:rsidRDefault="003A41E6" w:rsidP="003A41E6">
      <w:pPr>
        <w:rPr>
          <w:sz w:val="22"/>
          <w:szCs w:val="22"/>
        </w:rPr>
      </w:pPr>
    </w:p>
    <w:p w:rsidR="003A41E6" w:rsidRPr="003A41E6" w:rsidRDefault="003A41E6" w:rsidP="003A41E6">
      <w:pPr>
        <w:pStyle w:val="ListParagraph"/>
        <w:numPr>
          <w:ilvl w:val="0"/>
          <w:numId w:val="2"/>
        </w:numPr>
        <w:ind w:hanging="360"/>
        <w:rPr>
          <w:sz w:val="22"/>
          <w:szCs w:val="22"/>
        </w:rPr>
      </w:pPr>
      <w:r w:rsidRPr="003A41E6">
        <w:rPr>
          <w:sz w:val="22"/>
          <w:szCs w:val="22"/>
        </w:rPr>
        <w:t xml:space="preserve">Since most licensees are reporting single transactions, the short form will be the primary form used. There is a short version of Form 748 for every type of transaction (8 transaction types), and the licensee may select the </w:t>
      </w:r>
      <w:r w:rsidR="004203F7">
        <w:rPr>
          <w:sz w:val="22"/>
          <w:szCs w:val="22"/>
        </w:rPr>
        <w:t>s</w:t>
      </w:r>
      <w:r w:rsidRPr="003A41E6">
        <w:rPr>
          <w:sz w:val="22"/>
          <w:szCs w:val="22"/>
        </w:rPr>
        <w:t xml:space="preserve">hort Form 748 that specifically focuses on the transaction they would like to report.  For example, if the licensee is reporting a transfer, only section 6 </w:t>
      </w:r>
      <w:r w:rsidR="004203F7">
        <w:rPr>
          <w:sz w:val="22"/>
          <w:szCs w:val="22"/>
        </w:rPr>
        <w:t xml:space="preserve">from the long form </w:t>
      </w:r>
      <w:r w:rsidRPr="003A41E6">
        <w:rPr>
          <w:sz w:val="22"/>
          <w:szCs w:val="22"/>
        </w:rPr>
        <w:t xml:space="preserve">(“Transfers”) will be included on the </w:t>
      </w:r>
      <w:r w:rsidR="004203F7">
        <w:rPr>
          <w:sz w:val="22"/>
          <w:szCs w:val="22"/>
        </w:rPr>
        <w:t xml:space="preserve">short </w:t>
      </w:r>
      <w:r w:rsidRPr="003A41E6">
        <w:rPr>
          <w:sz w:val="22"/>
          <w:szCs w:val="22"/>
        </w:rPr>
        <w:t xml:space="preserve">form </w:t>
      </w:r>
      <w:r w:rsidR="004203F7">
        <w:rPr>
          <w:sz w:val="22"/>
          <w:szCs w:val="22"/>
        </w:rPr>
        <w:t xml:space="preserve">for reporting transfers </w:t>
      </w:r>
      <w:r w:rsidRPr="003A41E6">
        <w:rPr>
          <w:sz w:val="22"/>
          <w:szCs w:val="22"/>
        </w:rPr>
        <w:t xml:space="preserve">(sections 5, 7, 8, 9, 10, 11, and 12 from the long form would not be included). The short forms contain the same </w:t>
      </w:r>
      <w:r w:rsidRPr="003A41E6">
        <w:rPr>
          <w:sz w:val="22"/>
          <w:szCs w:val="22"/>
        </w:rPr>
        <w:lastRenderedPageBreak/>
        <w:t xml:space="preserve">information found in the long form, but </w:t>
      </w:r>
      <w:r w:rsidR="004203F7">
        <w:rPr>
          <w:sz w:val="22"/>
          <w:szCs w:val="22"/>
        </w:rPr>
        <w:t xml:space="preserve">the shortened version </w:t>
      </w:r>
      <w:r w:rsidRPr="003A41E6">
        <w:rPr>
          <w:sz w:val="22"/>
          <w:szCs w:val="22"/>
        </w:rPr>
        <w:t>includes only the response options that are applicable to the type of transaction that the licensee is reporting.</w:t>
      </w:r>
    </w:p>
    <w:p w:rsidR="003A41E6" w:rsidRPr="003A41E6" w:rsidRDefault="003A41E6" w:rsidP="003A41E6">
      <w:pPr>
        <w:ind w:hanging="360"/>
        <w:rPr>
          <w:sz w:val="22"/>
          <w:szCs w:val="22"/>
        </w:rPr>
      </w:pPr>
    </w:p>
    <w:p w:rsidR="003A41E6" w:rsidRPr="003A41E6" w:rsidRDefault="003A41E6" w:rsidP="003A41E6">
      <w:pPr>
        <w:pStyle w:val="ListParagraph"/>
        <w:numPr>
          <w:ilvl w:val="0"/>
          <w:numId w:val="2"/>
        </w:numPr>
        <w:ind w:hanging="360"/>
        <w:rPr>
          <w:sz w:val="22"/>
          <w:szCs w:val="22"/>
        </w:rPr>
      </w:pPr>
      <w:r w:rsidRPr="003A41E6">
        <w:rPr>
          <w:sz w:val="22"/>
          <w:szCs w:val="22"/>
        </w:rPr>
        <w:t xml:space="preserve">The long form contains all possible transaction types that licensees are required to report.  Although the long form is 16 pages in length, it is highly unlikely that a licensee would ever be in a situation in which they would need to use all 16 pages or all 8 transaction types to report multiple transaction types. Most licensees would not report more than 2 transaction types at a given time.  The length of the long form is primarily due to the fact that transaction types have been broken down into separate sections to more clearly request information needed for each specific transaction. In addition, space is provided to allow licensees to submit up to four source reports for each type of transaction. </w:t>
      </w:r>
    </w:p>
    <w:p w:rsidR="003A41E6" w:rsidRPr="003A41E6" w:rsidRDefault="003A41E6" w:rsidP="003A41E6">
      <w:pPr>
        <w:rPr>
          <w:sz w:val="22"/>
          <w:szCs w:val="22"/>
        </w:rPr>
      </w:pPr>
    </w:p>
    <w:p w:rsidR="003A41E6" w:rsidRDefault="003A41E6" w:rsidP="003A41E6">
      <w:pPr>
        <w:rPr>
          <w:sz w:val="22"/>
          <w:szCs w:val="22"/>
        </w:rPr>
      </w:pPr>
      <w:r w:rsidRPr="003A41E6">
        <w:rPr>
          <w:sz w:val="22"/>
          <w:szCs w:val="22"/>
        </w:rPr>
        <w:t xml:space="preserve">In addition, the licensee’s ability to submit the form electronically has been enhanced.  Previously, the form was </w:t>
      </w:r>
      <w:proofErr w:type="spellStart"/>
      <w:r w:rsidRPr="003A41E6">
        <w:rPr>
          <w:sz w:val="22"/>
          <w:szCs w:val="22"/>
        </w:rPr>
        <w:t>fillable</w:t>
      </w:r>
      <w:proofErr w:type="spellEnd"/>
      <w:r w:rsidRPr="003A41E6">
        <w:rPr>
          <w:sz w:val="22"/>
          <w:szCs w:val="22"/>
        </w:rPr>
        <w:t xml:space="preserve"> and printable.  Licensees could mail or fax the form to the NRC, or scan it and send it electronically.  The form can now be saved on the licensee’s computer and emailed by clicking on the new “submit by email” button.</w:t>
      </w:r>
    </w:p>
    <w:p w:rsidR="003A41E6" w:rsidRDefault="003A41E6" w:rsidP="003A41E6">
      <w:pPr>
        <w:rPr>
          <w:sz w:val="22"/>
          <w:szCs w:val="22"/>
        </w:rPr>
      </w:pPr>
    </w:p>
    <w:p w:rsidR="003A41E6" w:rsidRDefault="003A41E6" w:rsidP="003A41E6">
      <w:pPr>
        <w:rPr>
          <w:sz w:val="22"/>
          <w:szCs w:val="22"/>
          <w:u w:val="single"/>
        </w:rPr>
      </w:pPr>
      <w:r w:rsidRPr="003A41E6">
        <w:rPr>
          <w:sz w:val="22"/>
          <w:szCs w:val="22"/>
          <w:u w:val="single"/>
        </w:rPr>
        <w:t xml:space="preserve">Summary of </w:t>
      </w:r>
      <w:r w:rsidR="004203F7">
        <w:rPr>
          <w:sz w:val="22"/>
          <w:szCs w:val="22"/>
          <w:u w:val="single"/>
        </w:rPr>
        <w:t xml:space="preserve">specific </w:t>
      </w:r>
      <w:r w:rsidRPr="003A41E6">
        <w:rPr>
          <w:sz w:val="22"/>
          <w:szCs w:val="22"/>
          <w:u w:val="single"/>
        </w:rPr>
        <w:t>changes to the NRC Form 748</w:t>
      </w:r>
    </w:p>
    <w:p w:rsidR="003A41E6" w:rsidRDefault="003A41E6" w:rsidP="003A41E6">
      <w:pPr>
        <w:rPr>
          <w:sz w:val="22"/>
          <w:szCs w:val="22"/>
          <w:u w:val="single"/>
        </w:rPr>
      </w:pPr>
    </w:p>
    <w:p w:rsidR="003A41E6" w:rsidRPr="003A41E6" w:rsidRDefault="003A41E6" w:rsidP="003A41E6">
      <w:pPr>
        <w:rPr>
          <w:sz w:val="22"/>
          <w:szCs w:val="22"/>
        </w:rPr>
      </w:pPr>
      <w:r w:rsidRPr="003A41E6">
        <w:rPr>
          <w:sz w:val="22"/>
          <w:szCs w:val="22"/>
        </w:rPr>
        <w:t>There is not a change in burden, however a number of enhancements have been made to the NRC Form 748:</w:t>
      </w:r>
    </w:p>
    <w:p w:rsidR="003A41E6" w:rsidRPr="003A41E6" w:rsidRDefault="003A41E6" w:rsidP="003A41E6">
      <w:pPr>
        <w:rPr>
          <w:sz w:val="22"/>
          <w:szCs w:val="22"/>
        </w:rPr>
      </w:pPr>
    </w:p>
    <w:p w:rsidR="003A41E6" w:rsidRPr="003A41E6" w:rsidRDefault="003A41E6" w:rsidP="003A41E6">
      <w:pPr>
        <w:pStyle w:val="ListParagraph"/>
        <w:numPr>
          <w:ilvl w:val="0"/>
          <w:numId w:val="2"/>
        </w:numPr>
        <w:ind w:left="720" w:hanging="360"/>
        <w:rPr>
          <w:sz w:val="22"/>
          <w:szCs w:val="22"/>
        </w:rPr>
      </w:pPr>
      <w:r w:rsidRPr="003A41E6">
        <w:rPr>
          <w:sz w:val="22"/>
          <w:szCs w:val="22"/>
        </w:rPr>
        <w:t xml:space="preserve">A short form and a long form have been developed.  Licensees who need to report a single transaction type can use the short form which only includes the response options for that type of transaction. Licensees who need to report multiple transaction types may </w:t>
      </w:r>
      <w:r w:rsidR="00CD3D1E">
        <w:rPr>
          <w:sz w:val="22"/>
          <w:szCs w:val="22"/>
        </w:rPr>
        <w:t>use</w:t>
      </w:r>
      <w:r w:rsidRPr="003A41E6">
        <w:rPr>
          <w:sz w:val="22"/>
          <w:szCs w:val="22"/>
        </w:rPr>
        <w:t xml:space="preserve"> the long form.  </w:t>
      </w:r>
    </w:p>
    <w:p w:rsidR="003A41E6" w:rsidRPr="003A41E6" w:rsidRDefault="003A41E6" w:rsidP="003A41E6">
      <w:pPr>
        <w:pStyle w:val="ListParagraph"/>
        <w:numPr>
          <w:ilvl w:val="0"/>
          <w:numId w:val="2"/>
        </w:numPr>
        <w:ind w:left="720" w:hanging="360"/>
        <w:rPr>
          <w:sz w:val="22"/>
          <w:szCs w:val="22"/>
        </w:rPr>
      </w:pPr>
      <w:r w:rsidRPr="003A41E6">
        <w:rPr>
          <w:sz w:val="22"/>
          <w:szCs w:val="22"/>
        </w:rPr>
        <w:t xml:space="preserve">The ability to submit the form electronically has been enhanced.  Previously, the form was </w:t>
      </w:r>
      <w:proofErr w:type="spellStart"/>
      <w:r w:rsidRPr="003A41E6">
        <w:rPr>
          <w:sz w:val="22"/>
          <w:szCs w:val="22"/>
        </w:rPr>
        <w:t>fillable</w:t>
      </w:r>
      <w:proofErr w:type="spellEnd"/>
      <w:r w:rsidRPr="003A41E6">
        <w:rPr>
          <w:sz w:val="22"/>
          <w:szCs w:val="22"/>
        </w:rPr>
        <w:t xml:space="preserve"> and printable.  Licensees could mail or fax the form to the NRC, or scan it and send it electronically.  The new form can now be saved on the licensee’s computer and emailed by clicking on the new “submit by email” button.</w:t>
      </w:r>
    </w:p>
    <w:p w:rsidR="003A41E6" w:rsidRPr="003A41E6" w:rsidRDefault="003A41E6" w:rsidP="003A41E6">
      <w:pPr>
        <w:pStyle w:val="ListParagraph"/>
        <w:numPr>
          <w:ilvl w:val="0"/>
          <w:numId w:val="2"/>
        </w:numPr>
        <w:ind w:left="720" w:hanging="360"/>
        <w:rPr>
          <w:sz w:val="22"/>
          <w:szCs w:val="22"/>
        </w:rPr>
      </w:pPr>
      <w:r w:rsidRPr="003A41E6">
        <w:rPr>
          <w:sz w:val="22"/>
          <w:szCs w:val="22"/>
        </w:rPr>
        <w:t xml:space="preserve">Two additional transaction types have been added (import and export).  </w:t>
      </w:r>
      <w:r w:rsidR="00CD3D1E">
        <w:rPr>
          <w:sz w:val="22"/>
          <w:szCs w:val="22"/>
        </w:rPr>
        <w:t xml:space="preserve">Licensees </w:t>
      </w:r>
      <w:r w:rsidRPr="003A41E6">
        <w:rPr>
          <w:sz w:val="22"/>
          <w:szCs w:val="22"/>
        </w:rPr>
        <w:t xml:space="preserve">were previously </w:t>
      </w:r>
      <w:r w:rsidR="004203F7">
        <w:rPr>
          <w:sz w:val="22"/>
          <w:szCs w:val="22"/>
        </w:rPr>
        <w:t>required</w:t>
      </w:r>
      <w:r w:rsidRPr="003A41E6">
        <w:rPr>
          <w:sz w:val="22"/>
          <w:szCs w:val="22"/>
        </w:rPr>
        <w:t xml:space="preserve"> to report these types of transactions</w:t>
      </w:r>
      <w:r w:rsidR="00CD3D1E">
        <w:rPr>
          <w:sz w:val="22"/>
          <w:szCs w:val="22"/>
        </w:rPr>
        <w:t xml:space="preserve"> (imports were reported as receipts and exports were reported as transfers).  However, because imports and exports were</w:t>
      </w:r>
      <w:r w:rsidRPr="003A41E6">
        <w:rPr>
          <w:sz w:val="22"/>
          <w:szCs w:val="22"/>
        </w:rPr>
        <w:t xml:space="preserve"> not listed as </w:t>
      </w:r>
      <w:r w:rsidR="00CD3D1E">
        <w:rPr>
          <w:sz w:val="22"/>
          <w:szCs w:val="22"/>
        </w:rPr>
        <w:t>unique</w:t>
      </w:r>
      <w:r w:rsidRPr="003A41E6">
        <w:rPr>
          <w:sz w:val="22"/>
          <w:szCs w:val="22"/>
        </w:rPr>
        <w:t xml:space="preserve"> transaction type</w:t>
      </w:r>
      <w:r w:rsidR="00CD3D1E">
        <w:rPr>
          <w:sz w:val="22"/>
          <w:szCs w:val="22"/>
        </w:rPr>
        <w:t>s</w:t>
      </w:r>
      <w:r w:rsidRPr="003A41E6">
        <w:rPr>
          <w:sz w:val="22"/>
          <w:szCs w:val="22"/>
        </w:rPr>
        <w:t xml:space="preserve"> and the form did not include instructions for reporting them</w:t>
      </w:r>
      <w:r w:rsidR="00CD3D1E">
        <w:rPr>
          <w:sz w:val="22"/>
          <w:szCs w:val="22"/>
        </w:rPr>
        <w:t>, licensees were confused about how to report these transactions.  This change will make the form more intuitive to complete.</w:t>
      </w:r>
    </w:p>
    <w:p w:rsidR="003A41E6" w:rsidRPr="003A41E6" w:rsidRDefault="003A41E6" w:rsidP="003A41E6">
      <w:pPr>
        <w:pStyle w:val="ListParagraph"/>
        <w:numPr>
          <w:ilvl w:val="0"/>
          <w:numId w:val="2"/>
        </w:numPr>
        <w:ind w:left="720" w:hanging="360"/>
        <w:rPr>
          <w:sz w:val="22"/>
          <w:szCs w:val="22"/>
        </w:rPr>
      </w:pPr>
      <w:r w:rsidRPr="003A41E6">
        <w:rPr>
          <w:sz w:val="22"/>
          <w:szCs w:val="22"/>
        </w:rPr>
        <w:t>Labels have been modified to more clearly reflect the requested information.  For example, “model number” is now “source model” to clarify that licensees are reporting on a source rather than a device.</w:t>
      </w:r>
    </w:p>
    <w:p w:rsidR="003A41E6" w:rsidRPr="003A41E6" w:rsidRDefault="003A41E6" w:rsidP="003A41E6">
      <w:pPr>
        <w:pStyle w:val="ListParagraph"/>
        <w:numPr>
          <w:ilvl w:val="0"/>
          <w:numId w:val="2"/>
        </w:numPr>
        <w:ind w:left="720" w:hanging="360"/>
        <w:rPr>
          <w:sz w:val="22"/>
          <w:szCs w:val="22"/>
        </w:rPr>
      </w:pPr>
      <w:r w:rsidRPr="003A41E6">
        <w:rPr>
          <w:sz w:val="22"/>
          <w:szCs w:val="22"/>
        </w:rPr>
        <w:t xml:space="preserve">Certain responses apply only to certain types of transactions.  For example, waste manifest number (item 5G on the previous form) only applies to transfer, receipt, and disposal transactions and therefore is not included in the response blocks for other types of transactions.  This change makes it clear what information is required for each type of transaction. </w:t>
      </w:r>
    </w:p>
    <w:p w:rsidR="0093240D" w:rsidRDefault="003A41E6" w:rsidP="003A41E6">
      <w:pPr>
        <w:pStyle w:val="ListParagraph"/>
        <w:numPr>
          <w:ilvl w:val="0"/>
          <w:numId w:val="2"/>
        </w:numPr>
        <w:ind w:left="720" w:hanging="360"/>
        <w:rPr>
          <w:sz w:val="22"/>
          <w:szCs w:val="22"/>
        </w:rPr>
      </w:pPr>
      <w:r w:rsidRPr="003A41E6">
        <w:rPr>
          <w:sz w:val="22"/>
          <w:szCs w:val="22"/>
        </w:rPr>
        <w:t xml:space="preserve">The previous version of the form included licensee name and address in a single reporting block, the proposed form has separate blocks for name, street address, city, state, and zip code to make it </w:t>
      </w:r>
      <w:proofErr w:type="gramStart"/>
      <w:r w:rsidRPr="003A41E6">
        <w:rPr>
          <w:sz w:val="22"/>
          <w:szCs w:val="22"/>
        </w:rPr>
        <w:t>more clear</w:t>
      </w:r>
      <w:proofErr w:type="gramEnd"/>
      <w:r w:rsidRPr="003A41E6">
        <w:rPr>
          <w:sz w:val="22"/>
          <w:szCs w:val="22"/>
        </w:rPr>
        <w:t xml:space="preserve"> that all the required information has been entered.</w:t>
      </w:r>
    </w:p>
    <w:p w:rsidR="0093240D" w:rsidRDefault="0093240D">
      <w:pPr>
        <w:widowControl/>
        <w:autoSpaceDE/>
        <w:autoSpaceDN/>
        <w:adjustRightInd/>
        <w:spacing w:line="276" w:lineRule="auto"/>
        <w:rPr>
          <w:sz w:val="22"/>
          <w:szCs w:val="22"/>
        </w:rPr>
      </w:pPr>
      <w:r>
        <w:rPr>
          <w:sz w:val="22"/>
          <w:szCs w:val="22"/>
        </w:rPr>
        <w:br w:type="page"/>
      </w:r>
    </w:p>
    <w:p w:rsidR="003A41E6" w:rsidRPr="003A41E6" w:rsidRDefault="003A41E6" w:rsidP="003A41E6">
      <w:pPr>
        <w:pStyle w:val="ListParagraph"/>
        <w:numPr>
          <w:ilvl w:val="0"/>
          <w:numId w:val="2"/>
        </w:numPr>
        <w:ind w:left="720" w:hanging="360"/>
        <w:rPr>
          <w:sz w:val="22"/>
          <w:szCs w:val="22"/>
        </w:rPr>
      </w:pPr>
      <w:r w:rsidRPr="003A41E6">
        <w:rPr>
          <w:sz w:val="22"/>
          <w:szCs w:val="22"/>
        </w:rPr>
        <w:lastRenderedPageBreak/>
        <w:t>Additional space has been provided to report up to four sources for each type of transaction.</w:t>
      </w:r>
    </w:p>
    <w:p w:rsidR="003A41E6" w:rsidRPr="003A41E6" w:rsidRDefault="003A41E6" w:rsidP="003A41E6">
      <w:pPr>
        <w:rPr>
          <w:sz w:val="22"/>
          <w:szCs w:val="22"/>
        </w:rPr>
      </w:pPr>
    </w:p>
    <w:p w:rsidR="003A41E6" w:rsidRPr="003A41E6" w:rsidRDefault="003A41E6" w:rsidP="003A41E6">
      <w:pPr>
        <w:rPr>
          <w:sz w:val="22"/>
          <w:szCs w:val="22"/>
        </w:rPr>
      </w:pPr>
      <w:r w:rsidRPr="003A41E6">
        <w:rPr>
          <w:sz w:val="22"/>
          <w:szCs w:val="22"/>
        </w:rPr>
        <w:t>Although the length of the form has increased from 2 pages to 16 pages, the NRC is not requiring any additional information to be submitted on the form.  The increase in length of the long form is primarily due to the fact that transaction types have been broken down into separate sections to more clearly request information needed for each transaction (there are 8 types of transactions). In addition, space is provided to allow licensees to submit up to four source reports for each type of transaction.  This is compared to the four lines available on the current form to report all transactions.  Licensees reporting a single type of transaction may use the short form (3-4 pages in length) that provides only the response blocks applicable to that type of transaction.  The short forms contain the same information found in the long form, but allows the licensee to select the 748 form which focuses specifically on the transaction that they would like to report. Since most licensees report single transactions, the short forms will be the primary method used for 748 Form reporting.</w:t>
      </w:r>
    </w:p>
    <w:p w:rsidR="003A41E6" w:rsidRPr="003A41E6" w:rsidRDefault="003A41E6" w:rsidP="003A41E6">
      <w:pPr>
        <w:rPr>
          <w:sz w:val="22"/>
          <w:szCs w:val="22"/>
        </w:rPr>
      </w:pPr>
    </w:p>
    <w:p w:rsidR="003A41E6" w:rsidRDefault="003A41E6" w:rsidP="003A41E6">
      <w:pPr>
        <w:rPr>
          <w:sz w:val="22"/>
          <w:szCs w:val="22"/>
          <w:u w:val="single"/>
        </w:rPr>
      </w:pPr>
      <w:r w:rsidRPr="003A41E6">
        <w:rPr>
          <w:sz w:val="22"/>
          <w:szCs w:val="22"/>
          <w:u w:val="single"/>
        </w:rPr>
        <w:t>Burden</w:t>
      </w:r>
    </w:p>
    <w:p w:rsidR="003A41E6" w:rsidRDefault="003A41E6" w:rsidP="003A41E6">
      <w:pPr>
        <w:rPr>
          <w:sz w:val="22"/>
          <w:szCs w:val="22"/>
          <w:u w:val="single"/>
        </w:rPr>
      </w:pPr>
    </w:p>
    <w:p w:rsidR="003A41E6" w:rsidRDefault="003A41E6" w:rsidP="003A41E6">
      <w:pPr>
        <w:rPr>
          <w:sz w:val="22"/>
          <w:szCs w:val="22"/>
        </w:rPr>
      </w:pPr>
      <w:r w:rsidRPr="003A41E6">
        <w:rPr>
          <w:sz w:val="22"/>
          <w:szCs w:val="22"/>
        </w:rPr>
        <w:t>The burden varies by the transaction(s) reported. For example, it will take slightly longer to report multiple transactions on the long form (estimated 0.25 hours/respondent) rather than a single transaction that would be reported in a short form (estimated 0.156 hours/respondent).</w:t>
      </w:r>
    </w:p>
    <w:p w:rsidR="003A41E6" w:rsidRPr="003A41E6" w:rsidRDefault="003A41E6" w:rsidP="003A41E6">
      <w:pPr>
        <w:rPr>
          <w:sz w:val="22"/>
          <w:szCs w:val="22"/>
        </w:rPr>
      </w:pPr>
    </w:p>
    <w:p w:rsidR="003A41E6" w:rsidRDefault="003A41E6" w:rsidP="003A41E6">
      <w:pPr>
        <w:rPr>
          <w:sz w:val="22"/>
          <w:szCs w:val="22"/>
        </w:rPr>
      </w:pPr>
      <w:r w:rsidRPr="003A41E6">
        <w:rPr>
          <w:sz w:val="22"/>
          <w:szCs w:val="22"/>
        </w:rPr>
        <w:t>Because the information required on the form has not changed, the current burden remains 412 hours and 2,613 responses</w:t>
      </w:r>
      <w:r>
        <w:rPr>
          <w:sz w:val="22"/>
          <w:szCs w:val="22"/>
        </w:rPr>
        <w:t>.  This averages an estimated 0.15</w:t>
      </w:r>
      <w:r w:rsidR="00A77DBC">
        <w:rPr>
          <w:sz w:val="22"/>
          <w:szCs w:val="22"/>
        </w:rPr>
        <w:t>8</w:t>
      </w:r>
      <w:r>
        <w:rPr>
          <w:sz w:val="22"/>
          <w:szCs w:val="22"/>
        </w:rPr>
        <w:t xml:space="preserve"> hours (9.5 minutes) per response</w:t>
      </w:r>
      <w:r w:rsidRPr="003A41E6">
        <w:rPr>
          <w:sz w:val="22"/>
          <w:szCs w:val="22"/>
        </w:rPr>
        <w:t>.</w:t>
      </w:r>
    </w:p>
    <w:p w:rsidR="003A41E6" w:rsidRDefault="003A41E6" w:rsidP="003A41E6">
      <w:pPr>
        <w:rPr>
          <w:sz w:val="22"/>
          <w:szCs w:val="22"/>
        </w:rPr>
      </w:pPr>
      <w:r>
        <w:rPr>
          <w:sz w:val="22"/>
          <w:szCs w:val="22"/>
        </w:rPr>
        <w:t xml:space="preserve"> </w:t>
      </w:r>
    </w:p>
    <w:p w:rsidR="003A41E6" w:rsidRPr="00A24585" w:rsidRDefault="003A41E6" w:rsidP="003A41E6">
      <w:pPr>
        <w:jc w:val="center"/>
        <w:rPr>
          <w:rFonts w:cs="Arial"/>
          <w:sz w:val="22"/>
          <w:szCs w:val="22"/>
        </w:rPr>
      </w:pPr>
      <w:r w:rsidRPr="00A24585">
        <w:rPr>
          <w:rFonts w:cs="Arial"/>
          <w:sz w:val="22"/>
          <w:szCs w:val="22"/>
        </w:rPr>
        <w:t>TABLE 1</w:t>
      </w:r>
    </w:p>
    <w:p w:rsidR="003A41E6" w:rsidRPr="00A24585" w:rsidRDefault="003A41E6" w:rsidP="003A41E6">
      <w:pPr>
        <w:jc w:val="center"/>
        <w:rPr>
          <w:rFonts w:cs="Arial"/>
          <w:sz w:val="22"/>
          <w:szCs w:val="22"/>
        </w:rPr>
      </w:pPr>
      <w:r w:rsidRPr="00A24585">
        <w:rPr>
          <w:rFonts w:cs="Arial"/>
          <w:sz w:val="22"/>
          <w:szCs w:val="22"/>
        </w:rPr>
        <w:t>ESTIMATED REPORTING BURDEN</w:t>
      </w:r>
    </w:p>
    <w:p w:rsidR="003A41E6" w:rsidRPr="00A24585" w:rsidRDefault="003A41E6" w:rsidP="003A41E6">
      <w:pPr>
        <w:jc w:val="center"/>
        <w:rPr>
          <w:rFonts w:cs="Arial"/>
          <w:sz w:val="20"/>
          <w:szCs w:val="20"/>
        </w:rPr>
      </w:pPr>
      <w:r w:rsidRPr="00A24585">
        <w:rPr>
          <w:rFonts w:cs="Arial"/>
          <w:sz w:val="22"/>
          <w:szCs w:val="22"/>
        </w:rPr>
        <w:t>AGREEMENT STATE AND NRC LICENSEES</w:t>
      </w:r>
    </w:p>
    <w:p w:rsidR="003A41E6" w:rsidRPr="00A24585" w:rsidRDefault="003A41E6" w:rsidP="003A41E6">
      <w:pPr>
        <w:rPr>
          <w:rFonts w:cs="Arial"/>
          <w:sz w:val="20"/>
          <w:szCs w:val="20"/>
        </w:rPr>
      </w:pPr>
    </w:p>
    <w:tbl>
      <w:tblPr>
        <w:tblW w:w="7830" w:type="dxa"/>
        <w:tblInd w:w="765" w:type="dxa"/>
        <w:tblLayout w:type="fixed"/>
        <w:tblCellMar>
          <w:left w:w="78" w:type="dxa"/>
          <w:right w:w="78" w:type="dxa"/>
        </w:tblCellMar>
        <w:tblLook w:val="0000"/>
      </w:tblPr>
      <w:tblGrid>
        <w:gridCol w:w="2070"/>
        <w:gridCol w:w="1350"/>
        <w:gridCol w:w="1170"/>
        <w:gridCol w:w="1080"/>
        <w:gridCol w:w="1170"/>
        <w:gridCol w:w="990"/>
      </w:tblGrid>
      <w:tr w:rsidR="003A41E6" w:rsidRPr="00A24585" w:rsidTr="003A41E6">
        <w:trPr>
          <w:tblHeader/>
        </w:trPr>
        <w:tc>
          <w:tcPr>
            <w:tcW w:w="2070" w:type="dxa"/>
            <w:tcBorders>
              <w:top w:val="double" w:sz="4" w:space="0" w:color="000000"/>
              <w:left w:val="double" w:sz="4" w:space="0" w:color="000000"/>
              <w:bottom w:val="double" w:sz="7" w:space="0" w:color="000000"/>
              <w:right w:val="single" w:sz="8" w:space="0" w:color="000000"/>
            </w:tcBorders>
            <w:shd w:val="pct10" w:color="000000" w:fill="FFFFFF"/>
          </w:tcPr>
          <w:p w:rsidR="003A41E6" w:rsidRPr="00A24585" w:rsidRDefault="003A41E6" w:rsidP="0051257D">
            <w:pPr>
              <w:spacing w:line="157" w:lineRule="exact"/>
              <w:rPr>
                <w:rFonts w:cs="Arial"/>
                <w:sz w:val="14"/>
                <w:szCs w:val="14"/>
              </w:rPr>
            </w:pPr>
          </w:p>
          <w:p w:rsidR="003A41E6" w:rsidRPr="00A24585" w:rsidRDefault="003A41E6" w:rsidP="0051257D">
            <w:pPr>
              <w:spacing w:after="110"/>
              <w:jc w:val="center"/>
              <w:rPr>
                <w:rFonts w:cs="Arial"/>
                <w:sz w:val="14"/>
                <w:szCs w:val="14"/>
              </w:rPr>
            </w:pPr>
            <w:r w:rsidRPr="00A24585">
              <w:rPr>
                <w:rFonts w:cs="Arial"/>
                <w:sz w:val="14"/>
                <w:szCs w:val="14"/>
              </w:rPr>
              <w:t>SECTION</w:t>
            </w:r>
          </w:p>
        </w:tc>
        <w:tc>
          <w:tcPr>
            <w:tcW w:w="1350" w:type="dxa"/>
            <w:tcBorders>
              <w:top w:val="double" w:sz="4" w:space="0" w:color="000000"/>
              <w:left w:val="single" w:sz="8" w:space="0" w:color="000000"/>
              <w:bottom w:val="double" w:sz="7" w:space="0" w:color="000000"/>
              <w:right w:val="single" w:sz="8" w:space="0" w:color="000000"/>
            </w:tcBorders>
            <w:shd w:val="pct10" w:color="000000" w:fill="FFFFFF"/>
          </w:tcPr>
          <w:p w:rsidR="003A41E6" w:rsidRPr="00A24585" w:rsidRDefault="003A41E6" w:rsidP="0051257D">
            <w:pPr>
              <w:spacing w:line="157" w:lineRule="exact"/>
              <w:rPr>
                <w:rFonts w:cs="Arial"/>
                <w:sz w:val="14"/>
                <w:szCs w:val="14"/>
              </w:rPr>
            </w:pPr>
          </w:p>
          <w:p w:rsidR="003A41E6" w:rsidRPr="00A24585" w:rsidRDefault="003A41E6" w:rsidP="0051257D">
            <w:pPr>
              <w:spacing w:after="110"/>
              <w:jc w:val="center"/>
              <w:rPr>
                <w:rFonts w:cs="Arial"/>
                <w:sz w:val="14"/>
                <w:szCs w:val="14"/>
              </w:rPr>
            </w:pPr>
            <w:r w:rsidRPr="00A24585">
              <w:rPr>
                <w:rFonts w:cs="Arial"/>
                <w:sz w:val="14"/>
                <w:szCs w:val="14"/>
              </w:rPr>
              <w:t>NO. OF RESPONDENTS</w:t>
            </w:r>
          </w:p>
        </w:tc>
        <w:tc>
          <w:tcPr>
            <w:tcW w:w="1170" w:type="dxa"/>
            <w:tcBorders>
              <w:top w:val="double" w:sz="4" w:space="0" w:color="000000"/>
              <w:left w:val="single" w:sz="8" w:space="0" w:color="000000"/>
              <w:bottom w:val="double" w:sz="7" w:space="0" w:color="000000"/>
              <w:right w:val="single" w:sz="8" w:space="0" w:color="000000"/>
            </w:tcBorders>
            <w:shd w:val="pct10" w:color="000000" w:fill="FFFFFF"/>
          </w:tcPr>
          <w:p w:rsidR="003A41E6" w:rsidRPr="00A24585" w:rsidRDefault="003A41E6" w:rsidP="0051257D">
            <w:pPr>
              <w:spacing w:line="157" w:lineRule="exact"/>
              <w:rPr>
                <w:rFonts w:cs="Arial"/>
                <w:sz w:val="14"/>
                <w:szCs w:val="14"/>
              </w:rPr>
            </w:pPr>
          </w:p>
          <w:p w:rsidR="003A41E6" w:rsidRPr="00A24585" w:rsidRDefault="003A41E6" w:rsidP="0051257D">
            <w:pPr>
              <w:spacing w:after="110"/>
              <w:jc w:val="center"/>
              <w:rPr>
                <w:rFonts w:cs="Arial"/>
                <w:sz w:val="14"/>
                <w:szCs w:val="14"/>
              </w:rPr>
            </w:pPr>
            <w:r w:rsidRPr="00A24585">
              <w:rPr>
                <w:rFonts w:cs="Arial"/>
                <w:sz w:val="14"/>
                <w:szCs w:val="14"/>
              </w:rPr>
              <w:t>RESPONSES PER RESPONDENT</w:t>
            </w:r>
          </w:p>
        </w:tc>
        <w:tc>
          <w:tcPr>
            <w:tcW w:w="1080" w:type="dxa"/>
            <w:tcBorders>
              <w:top w:val="double" w:sz="4" w:space="0" w:color="000000"/>
              <w:left w:val="single" w:sz="8" w:space="0" w:color="000000"/>
              <w:bottom w:val="double" w:sz="7" w:space="0" w:color="000000"/>
              <w:right w:val="single" w:sz="8" w:space="0" w:color="000000"/>
            </w:tcBorders>
            <w:shd w:val="pct10" w:color="000000" w:fill="FFFFFF"/>
          </w:tcPr>
          <w:p w:rsidR="003A41E6" w:rsidRPr="00A24585" w:rsidRDefault="003A41E6" w:rsidP="0051257D">
            <w:pPr>
              <w:spacing w:line="157" w:lineRule="exact"/>
              <w:rPr>
                <w:rFonts w:cs="Arial"/>
                <w:sz w:val="14"/>
                <w:szCs w:val="14"/>
              </w:rPr>
            </w:pPr>
          </w:p>
          <w:p w:rsidR="003A41E6" w:rsidRPr="00A24585" w:rsidRDefault="003A41E6" w:rsidP="0051257D">
            <w:pPr>
              <w:spacing w:after="110"/>
              <w:jc w:val="center"/>
              <w:rPr>
                <w:rFonts w:cs="Arial"/>
                <w:sz w:val="14"/>
                <w:szCs w:val="14"/>
              </w:rPr>
            </w:pPr>
            <w:r w:rsidRPr="00A24585">
              <w:rPr>
                <w:rFonts w:cs="Arial"/>
                <w:sz w:val="14"/>
                <w:szCs w:val="14"/>
              </w:rPr>
              <w:t>TOTAL RESPONSES</w:t>
            </w:r>
          </w:p>
        </w:tc>
        <w:tc>
          <w:tcPr>
            <w:tcW w:w="1170" w:type="dxa"/>
            <w:tcBorders>
              <w:top w:val="double" w:sz="4" w:space="0" w:color="000000"/>
              <w:left w:val="single" w:sz="8" w:space="0" w:color="000000"/>
              <w:bottom w:val="double" w:sz="7" w:space="0" w:color="000000"/>
              <w:right w:val="single" w:sz="8" w:space="0" w:color="000000"/>
            </w:tcBorders>
            <w:shd w:val="pct10" w:color="000000" w:fill="FFFFFF"/>
          </w:tcPr>
          <w:p w:rsidR="003A41E6" w:rsidRPr="00A24585" w:rsidRDefault="003A41E6" w:rsidP="0051257D">
            <w:pPr>
              <w:spacing w:line="157" w:lineRule="exact"/>
              <w:rPr>
                <w:rFonts w:cs="Arial"/>
                <w:sz w:val="14"/>
                <w:szCs w:val="14"/>
              </w:rPr>
            </w:pPr>
          </w:p>
          <w:p w:rsidR="003A41E6" w:rsidRPr="00A24585" w:rsidRDefault="003A41E6" w:rsidP="0051257D">
            <w:pPr>
              <w:spacing w:after="110"/>
              <w:jc w:val="center"/>
              <w:rPr>
                <w:rFonts w:cs="Arial"/>
                <w:sz w:val="14"/>
                <w:szCs w:val="14"/>
              </w:rPr>
            </w:pPr>
            <w:r w:rsidRPr="00A24585">
              <w:rPr>
                <w:rFonts w:cs="Arial"/>
                <w:sz w:val="14"/>
                <w:szCs w:val="14"/>
              </w:rPr>
              <w:t>ANNUAL BURDEN PER RESPONDENT</w:t>
            </w:r>
          </w:p>
          <w:p w:rsidR="003A41E6" w:rsidRPr="00A24585" w:rsidRDefault="003A41E6" w:rsidP="0051257D">
            <w:pPr>
              <w:spacing w:after="110"/>
              <w:jc w:val="center"/>
              <w:rPr>
                <w:rFonts w:cs="Arial"/>
                <w:sz w:val="14"/>
                <w:szCs w:val="14"/>
              </w:rPr>
            </w:pPr>
            <w:r w:rsidRPr="00A24585">
              <w:rPr>
                <w:rFonts w:cs="Arial"/>
                <w:sz w:val="14"/>
                <w:szCs w:val="14"/>
              </w:rPr>
              <w:t>(Hours)</w:t>
            </w:r>
          </w:p>
        </w:tc>
        <w:tc>
          <w:tcPr>
            <w:tcW w:w="990" w:type="dxa"/>
            <w:tcBorders>
              <w:top w:val="double" w:sz="4" w:space="0" w:color="000000"/>
              <w:left w:val="single" w:sz="8" w:space="0" w:color="000000"/>
              <w:bottom w:val="double" w:sz="7" w:space="0" w:color="000000"/>
              <w:right w:val="double" w:sz="4" w:space="0" w:color="000000"/>
            </w:tcBorders>
            <w:shd w:val="pct10" w:color="000000" w:fill="FFFFFF"/>
          </w:tcPr>
          <w:p w:rsidR="003A41E6" w:rsidRPr="00A24585" w:rsidRDefault="003A41E6" w:rsidP="0051257D">
            <w:pPr>
              <w:spacing w:line="157" w:lineRule="exact"/>
              <w:rPr>
                <w:rFonts w:cs="Arial"/>
                <w:sz w:val="14"/>
                <w:szCs w:val="14"/>
              </w:rPr>
            </w:pPr>
          </w:p>
          <w:p w:rsidR="003A41E6" w:rsidRPr="00A24585" w:rsidRDefault="003A41E6" w:rsidP="0051257D">
            <w:pPr>
              <w:spacing w:after="110"/>
              <w:jc w:val="center"/>
              <w:rPr>
                <w:rFonts w:cs="Arial"/>
                <w:sz w:val="14"/>
                <w:szCs w:val="14"/>
              </w:rPr>
            </w:pPr>
            <w:r w:rsidRPr="00A24585">
              <w:rPr>
                <w:rFonts w:cs="Arial"/>
                <w:sz w:val="14"/>
                <w:szCs w:val="14"/>
              </w:rPr>
              <w:t>TOTAL ANNUAL BURDEN</w:t>
            </w:r>
          </w:p>
          <w:p w:rsidR="003A41E6" w:rsidRPr="00A24585" w:rsidRDefault="003A41E6" w:rsidP="0051257D">
            <w:pPr>
              <w:spacing w:after="110"/>
              <w:jc w:val="center"/>
              <w:rPr>
                <w:rFonts w:cs="Arial"/>
                <w:sz w:val="14"/>
                <w:szCs w:val="14"/>
              </w:rPr>
            </w:pPr>
            <w:r w:rsidRPr="00A24585">
              <w:rPr>
                <w:rFonts w:cs="Arial"/>
                <w:sz w:val="14"/>
                <w:szCs w:val="14"/>
              </w:rPr>
              <w:t>(Hours)</w:t>
            </w:r>
          </w:p>
        </w:tc>
      </w:tr>
      <w:tr w:rsidR="003A41E6" w:rsidRPr="00A24585" w:rsidTr="003A41E6">
        <w:tc>
          <w:tcPr>
            <w:tcW w:w="2070" w:type="dxa"/>
            <w:tcBorders>
              <w:top w:val="single" w:sz="7" w:space="0" w:color="000000"/>
              <w:left w:val="double" w:sz="4" w:space="0" w:color="000000"/>
              <w:bottom w:val="single" w:sz="6" w:space="0" w:color="FFFFFF"/>
              <w:right w:val="single" w:sz="8" w:space="0" w:color="000000"/>
            </w:tcBorders>
          </w:tcPr>
          <w:p w:rsidR="003A41E6" w:rsidRPr="00A24585" w:rsidRDefault="003A41E6" w:rsidP="003A41E6">
            <w:pPr>
              <w:spacing w:line="118" w:lineRule="exact"/>
              <w:rPr>
                <w:rFonts w:cs="Arial"/>
                <w:sz w:val="12"/>
                <w:szCs w:val="12"/>
              </w:rPr>
            </w:pPr>
          </w:p>
          <w:p w:rsidR="003A41E6" w:rsidRPr="00A24585" w:rsidRDefault="003A41E6" w:rsidP="003A41E6">
            <w:pPr>
              <w:spacing w:after="52"/>
              <w:rPr>
                <w:rFonts w:cs="Arial"/>
                <w:sz w:val="12"/>
                <w:szCs w:val="12"/>
              </w:rPr>
            </w:pPr>
            <w:r w:rsidRPr="00A24585">
              <w:rPr>
                <w:rFonts w:cs="Arial"/>
                <w:sz w:val="12"/>
                <w:szCs w:val="12"/>
              </w:rPr>
              <w:t>Long Form-Multiple Transactions</w:t>
            </w:r>
          </w:p>
        </w:tc>
        <w:tc>
          <w:tcPr>
            <w:tcW w:w="135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sidRPr="00A24585">
              <w:rPr>
                <w:rFonts w:cs="Arial"/>
                <w:sz w:val="16"/>
                <w:szCs w:val="16"/>
              </w:rPr>
              <w:t>50</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sidRPr="00A24585">
              <w:rPr>
                <w:rFonts w:cs="Arial"/>
                <w:sz w:val="16"/>
                <w:szCs w:val="16"/>
              </w:rPr>
              <w:t>1</w:t>
            </w:r>
          </w:p>
        </w:tc>
        <w:tc>
          <w:tcPr>
            <w:tcW w:w="108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sidRPr="00A24585">
              <w:rPr>
                <w:rFonts w:cs="Arial"/>
                <w:sz w:val="16"/>
                <w:szCs w:val="16"/>
              </w:rPr>
              <w:t>50</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0</w:t>
            </w:r>
            <w:r w:rsidRPr="00A24585">
              <w:rPr>
                <w:rFonts w:cs="Arial"/>
                <w:sz w:val="16"/>
                <w:szCs w:val="16"/>
              </w:rPr>
              <w:t>.25</w:t>
            </w:r>
          </w:p>
        </w:tc>
        <w:tc>
          <w:tcPr>
            <w:tcW w:w="990" w:type="dxa"/>
            <w:tcBorders>
              <w:top w:val="single" w:sz="7" w:space="0" w:color="000000"/>
              <w:left w:val="single" w:sz="8" w:space="0" w:color="000000"/>
              <w:bottom w:val="single" w:sz="6" w:space="0" w:color="FFFFFF"/>
              <w:right w:val="double" w:sz="4"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sidRPr="00A24585">
              <w:rPr>
                <w:rFonts w:cs="Arial"/>
                <w:sz w:val="16"/>
                <w:szCs w:val="16"/>
              </w:rPr>
              <w:t>12.5</w:t>
            </w:r>
          </w:p>
        </w:tc>
      </w:tr>
      <w:tr w:rsidR="003A41E6" w:rsidRPr="00A24585" w:rsidTr="003A41E6">
        <w:tc>
          <w:tcPr>
            <w:tcW w:w="2070" w:type="dxa"/>
            <w:tcBorders>
              <w:top w:val="single" w:sz="7" w:space="0" w:color="000000"/>
              <w:left w:val="double" w:sz="4" w:space="0" w:color="000000"/>
              <w:bottom w:val="single" w:sz="6" w:space="0" w:color="FFFFFF"/>
              <w:right w:val="single" w:sz="8" w:space="0" w:color="000000"/>
            </w:tcBorders>
          </w:tcPr>
          <w:p w:rsidR="003A41E6" w:rsidRPr="00A24585" w:rsidRDefault="003A41E6" w:rsidP="003A41E6">
            <w:pPr>
              <w:spacing w:line="118" w:lineRule="exact"/>
              <w:rPr>
                <w:rFonts w:cs="Arial"/>
                <w:b/>
                <w:sz w:val="12"/>
                <w:szCs w:val="12"/>
              </w:rPr>
            </w:pPr>
          </w:p>
          <w:p w:rsidR="003A41E6" w:rsidRPr="00A24585" w:rsidRDefault="003A41E6" w:rsidP="003A41E6">
            <w:pPr>
              <w:spacing w:after="52"/>
              <w:rPr>
                <w:rFonts w:cs="Arial"/>
                <w:b/>
                <w:sz w:val="12"/>
                <w:szCs w:val="12"/>
              </w:rPr>
            </w:pPr>
            <w:r w:rsidRPr="00A24585">
              <w:rPr>
                <w:rFonts w:cs="Arial"/>
                <w:sz w:val="12"/>
                <w:szCs w:val="12"/>
              </w:rPr>
              <w:t>Source Transfer Data (6)</w:t>
            </w:r>
          </w:p>
        </w:tc>
        <w:tc>
          <w:tcPr>
            <w:tcW w:w="135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763</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sidRPr="00A24585">
              <w:rPr>
                <w:rFonts w:cs="Arial"/>
                <w:sz w:val="16"/>
                <w:szCs w:val="16"/>
              </w:rPr>
              <w:t>1</w:t>
            </w:r>
          </w:p>
        </w:tc>
        <w:tc>
          <w:tcPr>
            <w:tcW w:w="108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763</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0</w:t>
            </w:r>
            <w:r w:rsidRPr="00A24585">
              <w:rPr>
                <w:rFonts w:cs="Arial"/>
                <w:sz w:val="16"/>
                <w:szCs w:val="16"/>
              </w:rPr>
              <w:t>.156</w:t>
            </w:r>
          </w:p>
        </w:tc>
        <w:tc>
          <w:tcPr>
            <w:tcW w:w="990" w:type="dxa"/>
            <w:tcBorders>
              <w:top w:val="single" w:sz="7" w:space="0" w:color="000000"/>
              <w:left w:val="single" w:sz="8" w:space="0" w:color="000000"/>
              <w:bottom w:val="single" w:sz="6" w:space="0" w:color="FFFFFF"/>
              <w:right w:val="double" w:sz="4"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119.03</w:t>
            </w:r>
          </w:p>
        </w:tc>
      </w:tr>
      <w:tr w:rsidR="003A41E6" w:rsidRPr="00A24585" w:rsidTr="003A41E6">
        <w:tc>
          <w:tcPr>
            <w:tcW w:w="2070" w:type="dxa"/>
            <w:tcBorders>
              <w:top w:val="single" w:sz="7" w:space="0" w:color="000000"/>
              <w:left w:val="double" w:sz="4" w:space="0" w:color="000000"/>
              <w:bottom w:val="single" w:sz="6" w:space="0" w:color="FFFFFF"/>
              <w:right w:val="single" w:sz="8" w:space="0" w:color="000000"/>
            </w:tcBorders>
          </w:tcPr>
          <w:p w:rsidR="003A41E6" w:rsidRPr="00A24585" w:rsidRDefault="003A41E6" w:rsidP="003A41E6">
            <w:pPr>
              <w:spacing w:line="118" w:lineRule="exact"/>
              <w:rPr>
                <w:rFonts w:cs="Arial"/>
                <w:sz w:val="12"/>
                <w:szCs w:val="12"/>
              </w:rPr>
            </w:pPr>
          </w:p>
          <w:p w:rsidR="003A41E6" w:rsidRPr="00A24585" w:rsidRDefault="003A41E6" w:rsidP="003A41E6">
            <w:pPr>
              <w:spacing w:after="52"/>
              <w:rPr>
                <w:rFonts w:cs="Arial"/>
                <w:b/>
                <w:sz w:val="12"/>
                <w:szCs w:val="12"/>
              </w:rPr>
            </w:pPr>
            <w:r w:rsidRPr="00A24585">
              <w:rPr>
                <w:rFonts w:cs="Arial"/>
                <w:sz w:val="12"/>
                <w:szCs w:val="12"/>
              </w:rPr>
              <w:t>Source Receipt Data (7)</w:t>
            </w:r>
          </w:p>
        </w:tc>
        <w:tc>
          <w:tcPr>
            <w:tcW w:w="135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650</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sidRPr="00A24585">
              <w:rPr>
                <w:rFonts w:cs="Arial"/>
                <w:sz w:val="16"/>
                <w:szCs w:val="16"/>
              </w:rPr>
              <w:t>1</w:t>
            </w:r>
          </w:p>
        </w:tc>
        <w:tc>
          <w:tcPr>
            <w:tcW w:w="108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650</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0</w:t>
            </w:r>
            <w:r w:rsidRPr="00A24585">
              <w:rPr>
                <w:rFonts w:cs="Arial"/>
                <w:sz w:val="16"/>
                <w:szCs w:val="16"/>
              </w:rPr>
              <w:t>.156</w:t>
            </w:r>
          </w:p>
        </w:tc>
        <w:tc>
          <w:tcPr>
            <w:tcW w:w="990" w:type="dxa"/>
            <w:tcBorders>
              <w:top w:val="single" w:sz="7" w:space="0" w:color="000000"/>
              <w:left w:val="single" w:sz="8" w:space="0" w:color="000000"/>
              <w:bottom w:val="single" w:sz="6" w:space="0" w:color="FFFFFF"/>
              <w:right w:val="double" w:sz="4"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101.4</w:t>
            </w:r>
          </w:p>
        </w:tc>
      </w:tr>
      <w:tr w:rsidR="003A41E6" w:rsidRPr="00A24585" w:rsidTr="003A41E6">
        <w:tc>
          <w:tcPr>
            <w:tcW w:w="2070" w:type="dxa"/>
            <w:tcBorders>
              <w:top w:val="single" w:sz="7" w:space="0" w:color="000000"/>
              <w:left w:val="double" w:sz="4" w:space="0" w:color="000000"/>
              <w:bottom w:val="single" w:sz="6" w:space="0" w:color="FFFFFF"/>
              <w:right w:val="single" w:sz="8" w:space="0" w:color="000000"/>
            </w:tcBorders>
          </w:tcPr>
          <w:p w:rsidR="003A41E6" w:rsidRPr="00A24585" w:rsidRDefault="003A41E6" w:rsidP="003A41E6">
            <w:pPr>
              <w:spacing w:line="118" w:lineRule="exact"/>
              <w:rPr>
                <w:rFonts w:cs="Arial"/>
                <w:sz w:val="12"/>
                <w:szCs w:val="12"/>
              </w:rPr>
            </w:pPr>
          </w:p>
          <w:p w:rsidR="003A41E6" w:rsidRPr="00A24585" w:rsidRDefault="003A41E6" w:rsidP="003A41E6">
            <w:pPr>
              <w:spacing w:after="52"/>
              <w:rPr>
                <w:rFonts w:cs="Arial"/>
                <w:b/>
                <w:sz w:val="12"/>
                <w:szCs w:val="12"/>
              </w:rPr>
            </w:pPr>
            <w:r w:rsidRPr="00A24585">
              <w:rPr>
                <w:rFonts w:cs="Arial"/>
                <w:sz w:val="12"/>
                <w:szCs w:val="12"/>
              </w:rPr>
              <w:t>New Manufactured Source Data (9)</w:t>
            </w:r>
          </w:p>
        </w:tc>
        <w:tc>
          <w:tcPr>
            <w:tcW w:w="135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615</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sidRPr="00A24585">
              <w:rPr>
                <w:rFonts w:cs="Arial"/>
                <w:sz w:val="16"/>
                <w:szCs w:val="16"/>
              </w:rPr>
              <w:t>1</w:t>
            </w:r>
          </w:p>
        </w:tc>
        <w:tc>
          <w:tcPr>
            <w:tcW w:w="108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615</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0</w:t>
            </w:r>
            <w:r w:rsidRPr="00A24585">
              <w:rPr>
                <w:rFonts w:cs="Arial"/>
                <w:sz w:val="16"/>
                <w:szCs w:val="16"/>
              </w:rPr>
              <w:t>.156</w:t>
            </w:r>
          </w:p>
        </w:tc>
        <w:tc>
          <w:tcPr>
            <w:tcW w:w="990" w:type="dxa"/>
            <w:tcBorders>
              <w:top w:val="single" w:sz="7" w:space="0" w:color="000000"/>
              <w:left w:val="single" w:sz="8" w:space="0" w:color="000000"/>
              <w:bottom w:val="single" w:sz="6" w:space="0" w:color="FFFFFF"/>
              <w:right w:val="double" w:sz="4"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95.94</w:t>
            </w:r>
          </w:p>
        </w:tc>
      </w:tr>
      <w:tr w:rsidR="003A41E6" w:rsidRPr="00A24585" w:rsidTr="003A41E6">
        <w:tc>
          <w:tcPr>
            <w:tcW w:w="2070" w:type="dxa"/>
            <w:tcBorders>
              <w:top w:val="single" w:sz="7" w:space="0" w:color="000000"/>
              <w:left w:val="double" w:sz="4" w:space="0" w:color="000000"/>
              <w:bottom w:val="single" w:sz="6" w:space="0" w:color="FFFFFF"/>
              <w:right w:val="single" w:sz="8" w:space="0" w:color="000000"/>
            </w:tcBorders>
          </w:tcPr>
          <w:p w:rsidR="003A41E6" w:rsidRPr="00A24585" w:rsidRDefault="003A41E6" w:rsidP="003A41E6">
            <w:pPr>
              <w:spacing w:line="118" w:lineRule="exact"/>
              <w:rPr>
                <w:rFonts w:cs="Arial"/>
                <w:sz w:val="12"/>
                <w:szCs w:val="12"/>
              </w:rPr>
            </w:pPr>
          </w:p>
          <w:p w:rsidR="003A41E6" w:rsidRPr="00A24585" w:rsidRDefault="003A41E6" w:rsidP="003A41E6">
            <w:pPr>
              <w:spacing w:after="52"/>
              <w:rPr>
                <w:rFonts w:cs="Arial"/>
                <w:b/>
                <w:sz w:val="12"/>
                <w:szCs w:val="12"/>
              </w:rPr>
            </w:pPr>
            <w:r w:rsidRPr="00A24585">
              <w:rPr>
                <w:rFonts w:cs="Arial"/>
                <w:sz w:val="12"/>
                <w:szCs w:val="12"/>
              </w:rPr>
              <w:t>Source Import Data (10)</w:t>
            </w:r>
          </w:p>
        </w:tc>
        <w:tc>
          <w:tcPr>
            <w:tcW w:w="135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300</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sidRPr="00A24585">
              <w:rPr>
                <w:rFonts w:cs="Arial"/>
                <w:sz w:val="16"/>
                <w:szCs w:val="16"/>
              </w:rPr>
              <w:t>1</w:t>
            </w:r>
          </w:p>
        </w:tc>
        <w:tc>
          <w:tcPr>
            <w:tcW w:w="108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300</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0</w:t>
            </w:r>
            <w:r w:rsidRPr="00A24585">
              <w:rPr>
                <w:rFonts w:cs="Arial"/>
                <w:sz w:val="16"/>
                <w:szCs w:val="16"/>
              </w:rPr>
              <w:t>.156</w:t>
            </w:r>
          </w:p>
        </w:tc>
        <w:tc>
          <w:tcPr>
            <w:tcW w:w="990" w:type="dxa"/>
            <w:tcBorders>
              <w:top w:val="single" w:sz="7" w:space="0" w:color="000000"/>
              <w:left w:val="single" w:sz="8" w:space="0" w:color="000000"/>
              <w:bottom w:val="single" w:sz="6" w:space="0" w:color="FFFFFF"/>
              <w:right w:val="double" w:sz="4"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46.8</w:t>
            </w:r>
          </w:p>
        </w:tc>
      </w:tr>
      <w:tr w:rsidR="003A41E6" w:rsidRPr="00A24585" w:rsidTr="003A41E6">
        <w:trPr>
          <w:trHeight w:val="325"/>
        </w:trPr>
        <w:tc>
          <w:tcPr>
            <w:tcW w:w="2070" w:type="dxa"/>
            <w:tcBorders>
              <w:top w:val="single" w:sz="7" w:space="0" w:color="000000"/>
              <w:left w:val="double" w:sz="4" w:space="0" w:color="000000"/>
              <w:bottom w:val="single" w:sz="6" w:space="0" w:color="FFFFFF"/>
              <w:right w:val="single" w:sz="8" w:space="0" w:color="000000"/>
            </w:tcBorders>
          </w:tcPr>
          <w:p w:rsidR="003A41E6" w:rsidRPr="00A24585" w:rsidRDefault="003A41E6" w:rsidP="003A41E6">
            <w:pPr>
              <w:spacing w:line="118" w:lineRule="exact"/>
              <w:rPr>
                <w:rFonts w:cs="Arial"/>
                <w:sz w:val="12"/>
                <w:szCs w:val="12"/>
              </w:rPr>
            </w:pPr>
          </w:p>
          <w:p w:rsidR="003A41E6" w:rsidRPr="00A24585" w:rsidRDefault="003A41E6" w:rsidP="003A41E6">
            <w:pPr>
              <w:spacing w:after="52"/>
              <w:rPr>
                <w:rFonts w:cs="Arial"/>
                <w:b/>
                <w:sz w:val="12"/>
                <w:szCs w:val="12"/>
              </w:rPr>
            </w:pPr>
            <w:r w:rsidRPr="00A24585">
              <w:rPr>
                <w:rFonts w:cs="Arial"/>
                <w:sz w:val="12"/>
                <w:szCs w:val="12"/>
              </w:rPr>
              <w:t>Source Export Data (11)</w:t>
            </w:r>
          </w:p>
        </w:tc>
        <w:tc>
          <w:tcPr>
            <w:tcW w:w="135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235</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sidRPr="00A24585">
              <w:rPr>
                <w:rFonts w:cs="Arial"/>
                <w:sz w:val="16"/>
                <w:szCs w:val="16"/>
              </w:rPr>
              <w:t>1</w:t>
            </w:r>
          </w:p>
        </w:tc>
        <w:tc>
          <w:tcPr>
            <w:tcW w:w="108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235</w:t>
            </w:r>
          </w:p>
        </w:tc>
        <w:tc>
          <w:tcPr>
            <w:tcW w:w="1170" w:type="dxa"/>
            <w:tcBorders>
              <w:top w:val="single" w:sz="7" w:space="0" w:color="000000"/>
              <w:left w:val="single" w:sz="8" w:space="0" w:color="000000"/>
              <w:bottom w:val="single" w:sz="6" w:space="0" w:color="FFFFFF"/>
              <w:right w:val="single" w:sz="8"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Pr>
                <w:rFonts w:cs="Arial"/>
                <w:sz w:val="16"/>
                <w:szCs w:val="16"/>
              </w:rPr>
              <w:t>0</w:t>
            </w:r>
            <w:r w:rsidRPr="00A24585">
              <w:rPr>
                <w:rFonts w:cs="Arial"/>
                <w:sz w:val="16"/>
                <w:szCs w:val="16"/>
              </w:rPr>
              <w:t>.156</w:t>
            </w:r>
          </w:p>
        </w:tc>
        <w:tc>
          <w:tcPr>
            <w:tcW w:w="990" w:type="dxa"/>
            <w:tcBorders>
              <w:top w:val="single" w:sz="7" w:space="0" w:color="000000"/>
              <w:left w:val="single" w:sz="8" w:space="0" w:color="000000"/>
              <w:bottom w:val="single" w:sz="6" w:space="0" w:color="FFFFFF"/>
              <w:right w:val="double" w:sz="4" w:space="0" w:color="000000"/>
            </w:tcBorders>
            <w:vAlign w:val="center"/>
          </w:tcPr>
          <w:p w:rsidR="003A41E6" w:rsidRPr="00A24585" w:rsidRDefault="003A41E6" w:rsidP="0051257D">
            <w:pPr>
              <w:spacing w:line="118" w:lineRule="exact"/>
              <w:jc w:val="center"/>
              <w:rPr>
                <w:rFonts w:cs="Arial"/>
                <w:sz w:val="16"/>
                <w:szCs w:val="16"/>
              </w:rPr>
            </w:pPr>
          </w:p>
          <w:p w:rsidR="003A41E6" w:rsidRPr="00A24585" w:rsidRDefault="003A41E6" w:rsidP="0051257D">
            <w:pPr>
              <w:spacing w:after="52"/>
              <w:jc w:val="center"/>
              <w:rPr>
                <w:rFonts w:cs="Arial"/>
                <w:sz w:val="16"/>
                <w:szCs w:val="16"/>
              </w:rPr>
            </w:pPr>
            <w:r w:rsidRPr="00A24585">
              <w:rPr>
                <w:rFonts w:cs="Arial"/>
                <w:sz w:val="16"/>
                <w:szCs w:val="16"/>
              </w:rPr>
              <w:t>36.</w:t>
            </w:r>
            <w:r>
              <w:rPr>
                <w:rFonts w:cs="Arial"/>
                <w:sz w:val="16"/>
                <w:szCs w:val="16"/>
              </w:rPr>
              <w:t>66</w:t>
            </w:r>
          </w:p>
        </w:tc>
      </w:tr>
      <w:tr w:rsidR="003A41E6" w:rsidRPr="00A24585" w:rsidTr="003A41E6">
        <w:tc>
          <w:tcPr>
            <w:tcW w:w="2070" w:type="dxa"/>
            <w:tcBorders>
              <w:top w:val="single" w:sz="7" w:space="0" w:color="000000"/>
              <w:left w:val="double" w:sz="4" w:space="0" w:color="000000"/>
              <w:bottom w:val="double" w:sz="4" w:space="0" w:color="000000"/>
              <w:right w:val="single" w:sz="8" w:space="0" w:color="000000"/>
            </w:tcBorders>
          </w:tcPr>
          <w:p w:rsidR="003A41E6" w:rsidRPr="00DD7AF2" w:rsidRDefault="003A41E6" w:rsidP="0051257D">
            <w:pPr>
              <w:spacing w:line="118" w:lineRule="exact"/>
              <w:rPr>
                <w:rFonts w:cs="Arial"/>
                <w:b/>
                <w:sz w:val="16"/>
                <w:szCs w:val="16"/>
              </w:rPr>
            </w:pPr>
          </w:p>
          <w:p w:rsidR="003A41E6" w:rsidRPr="00DD7AF2" w:rsidRDefault="003A41E6" w:rsidP="0051257D">
            <w:pPr>
              <w:spacing w:after="110"/>
              <w:jc w:val="center"/>
              <w:rPr>
                <w:rFonts w:cs="Arial"/>
                <w:b/>
                <w:sz w:val="16"/>
                <w:szCs w:val="16"/>
              </w:rPr>
            </w:pPr>
            <w:r w:rsidRPr="00DD7AF2">
              <w:rPr>
                <w:rFonts w:cs="Arial"/>
                <w:b/>
                <w:sz w:val="16"/>
                <w:szCs w:val="16"/>
              </w:rPr>
              <w:t xml:space="preserve">  Total</w:t>
            </w:r>
          </w:p>
        </w:tc>
        <w:tc>
          <w:tcPr>
            <w:tcW w:w="1350" w:type="dxa"/>
            <w:tcBorders>
              <w:top w:val="single" w:sz="7" w:space="0" w:color="000000"/>
              <w:left w:val="single" w:sz="8" w:space="0" w:color="000000"/>
              <w:bottom w:val="double" w:sz="4" w:space="0" w:color="000000"/>
              <w:right w:val="single" w:sz="8" w:space="0" w:color="000000"/>
            </w:tcBorders>
            <w:vAlign w:val="center"/>
          </w:tcPr>
          <w:p w:rsidR="003A41E6" w:rsidRPr="00DD7AF2" w:rsidRDefault="003A41E6" w:rsidP="0051257D">
            <w:pPr>
              <w:spacing w:after="110"/>
              <w:jc w:val="center"/>
              <w:rPr>
                <w:rFonts w:cs="Arial"/>
                <w:b/>
                <w:sz w:val="16"/>
                <w:szCs w:val="16"/>
              </w:rPr>
            </w:pPr>
            <w:r w:rsidRPr="00DD7AF2">
              <w:rPr>
                <w:rFonts w:cs="Arial"/>
                <w:b/>
                <w:sz w:val="16"/>
                <w:szCs w:val="16"/>
              </w:rPr>
              <w:t>2,613</w:t>
            </w:r>
          </w:p>
        </w:tc>
        <w:tc>
          <w:tcPr>
            <w:tcW w:w="1170" w:type="dxa"/>
            <w:tcBorders>
              <w:top w:val="single" w:sz="7" w:space="0" w:color="000000"/>
              <w:left w:val="single" w:sz="8" w:space="0" w:color="000000"/>
              <w:bottom w:val="double" w:sz="4" w:space="0" w:color="000000"/>
              <w:right w:val="single" w:sz="8" w:space="0" w:color="000000"/>
            </w:tcBorders>
            <w:vAlign w:val="center"/>
          </w:tcPr>
          <w:p w:rsidR="003A41E6" w:rsidRPr="00DD7AF2" w:rsidRDefault="003A41E6" w:rsidP="0051257D">
            <w:pPr>
              <w:spacing w:after="52"/>
              <w:jc w:val="center"/>
              <w:rPr>
                <w:rFonts w:cs="Arial"/>
                <w:b/>
                <w:sz w:val="16"/>
                <w:szCs w:val="16"/>
              </w:rPr>
            </w:pPr>
          </w:p>
        </w:tc>
        <w:tc>
          <w:tcPr>
            <w:tcW w:w="1080" w:type="dxa"/>
            <w:tcBorders>
              <w:top w:val="single" w:sz="7" w:space="0" w:color="000000"/>
              <w:left w:val="single" w:sz="8" w:space="0" w:color="000000"/>
              <w:bottom w:val="double" w:sz="4" w:space="0" w:color="000000"/>
              <w:right w:val="single" w:sz="8" w:space="0" w:color="000000"/>
            </w:tcBorders>
            <w:vAlign w:val="center"/>
          </w:tcPr>
          <w:p w:rsidR="003A41E6" w:rsidRPr="00DD7AF2" w:rsidRDefault="003A41E6" w:rsidP="0051257D">
            <w:pPr>
              <w:spacing w:after="110"/>
              <w:jc w:val="center"/>
              <w:rPr>
                <w:rFonts w:cs="Arial"/>
                <w:b/>
                <w:sz w:val="16"/>
                <w:szCs w:val="16"/>
              </w:rPr>
            </w:pPr>
            <w:r w:rsidRPr="00DD7AF2">
              <w:rPr>
                <w:rFonts w:cs="Arial"/>
                <w:b/>
                <w:sz w:val="16"/>
                <w:szCs w:val="16"/>
              </w:rPr>
              <w:t>2,613</w:t>
            </w:r>
          </w:p>
        </w:tc>
        <w:tc>
          <w:tcPr>
            <w:tcW w:w="1170" w:type="dxa"/>
            <w:tcBorders>
              <w:top w:val="single" w:sz="7" w:space="0" w:color="000000"/>
              <w:left w:val="single" w:sz="8" w:space="0" w:color="000000"/>
              <w:bottom w:val="double" w:sz="4" w:space="0" w:color="000000"/>
              <w:right w:val="single" w:sz="8" w:space="0" w:color="000000"/>
            </w:tcBorders>
            <w:vAlign w:val="center"/>
          </w:tcPr>
          <w:p w:rsidR="003A41E6" w:rsidRPr="00DD7AF2" w:rsidRDefault="003A41E6" w:rsidP="00834531">
            <w:pPr>
              <w:spacing w:after="110"/>
              <w:jc w:val="center"/>
              <w:rPr>
                <w:rFonts w:cs="Arial"/>
                <w:b/>
                <w:sz w:val="16"/>
                <w:szCs w:val="16"/>
              </w:rPr>
            </w:pPr>
            <w:r>
              <w:rPr>
                <w:rFonts w:cs="Arial"/>
                <w:b/>
                <w:sz w:val="16"/>
                <w:szCs w:val="16"/>
              </w:rPr>
              <w:t>0.15</w:t>
            </w:r>
            <w:r w:rsidR="00834531">
              <w:rPr>
                <w:rFonts w:cs="Arial"/>
                <w:b/>
                <w:sz w:val="16"/>
                <w:szCs w:val="16"/>
              </w:rPr>
              <w:t>8</w:t>
            </w:r>
          </w:p>
        </w:tc>
        <w:tc>
          <w:tcPr>
            <w:tcW w:w="990" w:type="dxa"/>
            <w:tcBorders>
              <w:top w:val="single" w:sz="7" w:space="0" w:color="000000"/>
              <w:left w:val="single" w:sz="8" w:space="0" w:color="000000"/>
              <w:bottom w:val="double" w:sz="4" w:space="0" w:color="000000"/>
              <w:right w:val="double" w:sz="4" w:space="0" w:color="000000"/>
            </w:tcBorders>
            <w:vAlign w:val="center"/>
          </w:tcPr>
          <w:p w:rsidR="003A41E6" w:rsidRPr="00DD7AF2" w:rsidRDefault="003A41E6" w:rsidP="0051257D">
            <w:pPr>
              <w:spacing w:after="110"/>
              <w:jc w:val="center"/>
              <w:rPr>
                <w:rFonts w:cs="Arial"/>
                <w:b/>
                <w:sz w:val="16"/>
                <w:szCs w:val="16"/>
              </w:rPr>
            </w:pPr>
            <w:r w:rsidRPr="00DD7AF2">
              <w:rPr>
                <w:rFonts w:cs="Arial"/>
                <w:b/>
                <w:sz w:val="16"/>
                <w:szCs w:val="16"/>
              </w:rPr>
              <w:t>412.33</w:t>
            </w:r>
          </w:p>
        </w:tc>
      </w:tr>
    </w:tbl>
    <w:p w:rsidR="003A41E6" w:rsidRPr="003A41E6" w:rsidRDefault="003A41E6" w:rsidP="003A41E6">
      <w:pPr>
        <w:rPr>
          <w:sz w:val="22"/>
          <w:szCs w:val="22"/>
        </w:rPr>
      </w:pPr>
    </w:p>
    <w:sectPr w:rsidR="003A41E6" w:rsidRPr="003A41E6" w:rsidSect="004A3F8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429" w:rsidRDefault="00BF1429" w:rsidP="00BF1429">
      <w:r>
        <w:separator/>
      </w:r>
    </w:p>
  </w:endnote>
  <w:endnote w:type="continuationSeparator" w:id="0">
    <w:p w:rsidR="00BF1429" w:rsidRDefault="00BF1429" w:rsidP="00BF142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5563"/>
      <w:docPartObj>
        <w:docPartGallery w:val="Page Numbers (Bottom of Page)"/>
        <w:docPartUnique/>
      </w:docPartObj>
    </w:sdtPr>
    <w:sdtContent>
      <w:p w:rsidR="00BF1429" w:rsidRDefault="00BF1429">
        <w:pPr>
          <w:pStyle w:val="Footer"/>
          <w:jc w:val="center"/>
        </w:pPr>
        <w:r w:rsidRPr="00BF1429">
          <w:rPr>
            <w:sz w:val="22"/>
            <w:szCs w:val="22"/>
          </w:rPr>
          <w:fldChar w:fldCharType="begin"/>
        </w:r>
        <w:r w:rsidRPr="00BF1429">
          <w:rPr>
            <w:sz w:val="22"/>
            <w:szCs w:val="22"/>
          </w:rPr>
          <w:instrText xml:space="preserve"> PAGE   \* MERGEFORMAT </w:instrText>
        </w:r>
        <w:r w:rsidRPr="00BF1429">
          <w:rPr>
            <w:sz w:val="22"/>
            <w:szCs w:val="22"/>
          </w:rPr>
          <w:fldChar w:fldCharType="separate"/>
        </w:r>
        <w:r w:rsidR="0093240D">
          <w:rPr>
            <w:noProof/>
            <w:sz w:val="22"/>
            <w:szCs w:val="22"/>
          </w:rPr>
          <w:t>1</w:t>
        </w:r>
        <w:r w:rsidRPr="00BF1429">
          <w:rPr>
            <w:sz w:val="22"/>
            <w:szCs w:val="22"/>
          </w:rPr>
          <w:fldChar w:fldCharType="end"/>
        </w:r>
      </w:p>
    </w:sdtContent>
  </w:sdt>
  <w:p w:rsidR="00BF1429" w:rsidRDefault="00BF1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429" w:rsidRDefault="00BF1429" w:rsidP="00BF1429">
      <w:r>
        <w:separator/>
      </w:r>
    </w:p>
  </w:footnote>
  <w:footnote w:type="continuationSeparator" w:id="0">
    <w:p w:rsidR="00BF1429" w:rsidRDefault="00BF1429" w:rsidP="00BF14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15DBB"/>
    <w:multiLevelType w:val="hybridMultilevel"/>
    <w:tmpl w:val="21922192"/>
    <w:lvl w:ilvl="0" w:tplc="80F81B0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31C29"/>
    <w:multiLevelType w:val="hybridMultilevel"/>
    <w:tmpl w:val="49304CDC"/>
    <w:lvl w:ilvl="0" w:tplc="80F81B0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52433"/>
    <w:multiLevelType w:val="hybridMultilevel"/>
    <w:tmpl w:val="E5E4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3A41E6"/>
    <w:rsid w:val="00000639"/>
    <w:rsid w:val="00004164"/>
    <w:rsid w:val="00004B59"/>
    <w:rsid w:val="000133DF"/>
    <w:rsid w:val="000145F7"/>
    <w:rsid w:val="00043048"/>
    <w:rsid w:val="0005097C"/>
    <w:rsid w:val="00060B30"/>
    <w:rsid w:val="00091184"/>
    <w:rsid w:val="000920AD"/>
    <w:rsid w:val="00092CE4"/>
    <w:rsid w:val="0009624D"/>
    <w:rsid w:val="000A5AB3"/>
    <w:rsid w:val="000C6F8E"/>
    <w:rsid w:val="000D1FD2"/>
    <w:rsid w:val="000D36F8"/>
    <w:rsid w:val="000E1B12"/>
    <w:rsid w:val="000F62D6"/>
    <w:rsid w:val="00105400"/>
    <w:rsid w:val="001127AD"/>
    <w:rsid w:val="00120CEE"/>
    <w:rsid w:val="0012190A"/>
    <w:rsid w:val="00140F3D"/>
    <w:rsid w:val="00141664"/>
    <w:rsid w:val="00145753"/>
    <w:rsid w:val="00155893"/>
    <w:rsid w:val="00156DE0"/>
    <w:rsid w:val="0016371D"/>
    <w:rsid w:val="00170099"/>
    <w:rsid w:val="00174F12"/>
    <w:rsid w:val="00185EFA"/>
    <w:rsid w:val="0019171D"/>
    <w:rsid w:val="0019356A"/>
    <w:rsid w:val="001A7EC8"/>
    <w:rsid w:val="001B3E04"/>
    <w:rsid w:val="001B59B6"/>
    <w:rsid w:val="001C0E69"/>
    <w:rsid w:val="001C5CA1"/>
    <w:rsid w:val="001C649E"/>
    <w:rsid w:val="001D35BA"/>
    <w:rsid w:val="001D3F3E"/>
    <w:rsid w:val="001D683F"/>
    <w:rsid w:val="001E24AF"/>
    <w:rsid w:val="001E39C2"/>
    <w:rsid w:val="001E4700"/>
    <w:rsid w:val="001E4FB8"/>
    <w:rsid w:val="00206E63"/>
    <w:rsid w:val="002070D3"/>
    <w:rsid w:val="00213488"/>
    <w:rsid w:val="0023521A"/>
    <w:rsid w:val="00240E53"/>
    <w:rsid w:val="00252711"/>
    <w:rsid w:val="00254412"/>
    <w:rsid w:val="00255CF4"/>
    <w:rsid w:val="00280E2E"/>
    <w:rsid w:val="00281170"/>
    <w:rsid w:val="00297899"/>
    <w:rsid w:val="00297EA8"/>
    <w:rsid w:val="002A0C3D"/>
    <w:rsid w:val="002A2FE6"/>
    <w:rsid w:val="002A4E2B"/>
    <w:rsid w:val="002B45CC"/>
    <w:rsid w:val="002B55F1"/>
    <w:rsid w:val="002B7122"/>
    <w:rsid w:val="002B71E6"/>
    <w:rsid w:val="002B7226"/>
    <w:rsid w:val="002C5257"/>
    <w:rsid w:val="002C6DE1"/>
    <w:rsid w:val="002E0BE3"/>
    <w:rsid w:val="002E5ED2"/>
    <w:rsid w:val="002E7923"/>
    <w:rsid w:val="002F33B5"/>
    <w:rsid w:val="0030162A"/>
    <w:rsid w:val="00312A3A"/>
    <w:rsid w:val="00317E85"/>
    <w:rsid w:val="003241A4"/>
    <w:rsid w:val="00330008"/>
    <w:rsid w:val="00330B60"/>
    <w:rsid w:val="00345C66"/>
    <w:rsid w:val="00363544"/>
    <w:rsid w:val="00367298"/>
    <w:rsid w:val="00370449"/>
    <w:rsid w:val="0038157C"/>
    <w:rsid w:val="00381792"/>
    <w:rsid w:val="00384D9D"/>
    <w:rsid w:val="00392BBB"/>
    <w:rsid w:val="003A0803"/>
    <w:rsid w:val="003A308F"/>
    <w:rsid w:val="003A41E6"/>
    <w:rsid w:val="003A6E11"/>
    <w:rsid w:val="003B5DB0"/>
    <w:rsid w:val="003E2019"/>
    <w:rsid w:val="003F3462"/>
    <w:rsid w:val="003F3717"/>
    <w:rsid w:val="003F59D8"/>
    <w:rsid w:val="00404382"/>
    <w:rsid w:val="00406AFD"/>
    <w:rsid w:val="0041586E"/>
    <w:rsid w:val="004203F7"/>
    <w:rsid w:val="00425F76"/>
    <w:rsid w:val="004264D3"/>
    <w:rsid w:val="00426792"/>
    <w:rsid w:val="004315FD"/>
    <w:rsid w:val="00446544"/>
    <w:rsid w:val="00452764"/>
    <w:rsid w:val="004577C6"/>
    <w:rsid w:val="00467785"/>
    <w:rsid w:val="004746F5"/>
    <w:rsid w:val="00483753"/>
    <w:rsid w:val="004A0C73"/>
    <w:rsid w:val="004A3300"/>
    <w:rsid w:val="004A3F84"/>
    <w:rsid w:val="004B6721"/>
    <w:rsid w:val="004D439A"/>
    <w:rsid w:val="004D5A1D"/>
    <w:rsid w:val="004D746D"/>
    <w:rsid w:val="004F0777"/>
    <w:rsid w:val="004F5785"/>
    <w:rsid w:val="00506687"/>
    <w:rsid w:val="00507DC7"/>
    <w:rsid w:val="005218AF"/>
    <w:rsid w:val="005520D8"/>
    <w:rsid w:val="005576C9"/>
    <w:rsid w:val="00565DC4"/>
    <w:rsid w:val="00570B95"/>
    <w:rsid w:val="0057355B"/>
    <w:rsid w:val="00582623"/>
    <w:rsid w:val="00596C43"/>
    <w:rsid w:val="005A788D"/>
    <w:rsid w:val="005B0617"/>
    <w:rsid w:val="005B0CFE"/>
    <w:rsid w:val="005B200A"/>
    <w:rsid w:val="005C7FC8"/>
    <w:rsid w:val="005E35F9"/>
    <w:rsid w:val="005E66C1"/>
    <w:rsid w:val="005F4724"/>
    <w:rsid w:val="005F69EC"/>
    <w:rsid w:val="00601725"/>
    <w:rsid w:val="00603705"/>
    <w:rsid w:val="006055B1"/>
    <w:rsid w:val="006175D8"/>
    <w:rsid w:val="00620F63"/>
    <w:rsid w:val="006250E3"/>
    <w:rsid w:val="00630B17"/>
    <w:rsid w:val="00650AFA"/>
    <w:rsid w:val="00666E8C"/>
    <w:rsid w:val="00670A87"/>
    <w:rsid w:val="00674654"/>
    <w:rsid w:val="0069738D"/>
    <w:rsid w:val="00697CB7"/>
    <w:rsid w:val="006A4040"/>
    <w:rsid w:val="006A4B5F"/>
    <w:rsid w:val="006C007F"/>
    <w:rsid w:val="006C033D"/>
    <w:rsid w:val="006C164C"/>
    <w:rsid w:val="006C5BC6"/>
    <w:rsid w:val="006D6DE4"/>
    <w:rsid w:val="006F4131"/>
    <w:rsid w:val="006F7185"/>
    <w:rsid w:val="006F7A0B"/>
    <w:rsid w:val="007003A7"/>
    <w:rsid w:val="00722AE0"/>
    <w:rsid w:val="00723B4F"/>
    <w:rsid w:val="007244FE"/>
    <w:rsid w:val="00734965"/>
    <w:rsid w:val="00743E9B"/>
    <w:rsid w:val="00751AE6"/>
    <w:rsid w:val="007557A3"/>
    <w:rsid w:val="0076146F"/>
    <w:rsid w:val="00763BD2"/>
    <w:rsid w:val="007668CD"/>
    <w:rsid w:val="00770F17"/>
    <w:rsid w:val="00775418"/>
    <w:rsid w:val="007768A0"/>
    <w:rsid w:val="007779E2"/>
    <w:rsid w:val="00787D2C"/>
    <w:rsid w:val="007B598F"/>
    <w:rsid w:val="007C3D61"/>
    <w:rsid w:val="007D0099"/>
    <w:rsid w:val="007D60B8"/>
    <w:rsid w:val="007E1A80"/>
    <w:rsid w:val="007E63A1"/>
    <w:rsid w:val="007F23F5"/>
    <w:rsid w:val="008040EA"/>
    <w:rsid w:val="008078AA"/>
    <w:rsid w:val="008220FD"/>
    <w:rsid w:val="00834531"/>
    <w:rsid w:val="00836BDB"/>
    <w:rsid w:val="0088680E"/>
    <w:rsid w:val="00896CDF"/>
    <w:rsid w:val="008B15D9"/>
    <w:rsid w:val="008B2D0F"/>
    <w:rsid w:val="008B33FF"/>
    <w:rsid w:val="008C3DD2"/>
    <w:rsid w:val="008D0A6D"/>
    <w:rsid w:val="008D0B32"/>
    <w:rsid w:val="008D499E"/>
    <w:rsid w:val="008D7DD4"/>
    <w:rsid w:val="008E34CC"/>
    <w:rsid w:val="008F199D"/>
    <w:rsid w:val="00902EA3"/>
    <w:rsid w:val="009235E1"/>
    <w:rsid w:val="00931FB0"/>
    <w:rsid w:val="0093240D"/>
    <w:rsid w:val="00934910"/>
    <w:rsid w:val="009473FC"/>
    <w:rsid w:val="00947D0C"/>
    <w:rsid w:val="009529FA"/>
    <w:rsid w:val="00956FD2"/>
    <w:rsid w:val="009763EB"/>
    <w:rsid w:val="00977CFE"/>
    <w:rsid w:val="009804EA"/>
    <w:rsid w:val="009855AD"/>
    <w:rsid w:val="009971FD"/>
    <w:rsid w:val="009A0DE2"/>
    <w:rsid w:val="009A5879"/>
    <w:rsid w:val="009B335A"/>
    <w:rsid w:val="009B61BB"/>
    <w:rsid w:val="009C29DF"/>
    <w:rsid w:val="009C48AD"/>
    <w:rsid w:val="009C5119"/>
    <w:rsid w:val="009C5E3A"/>
    <w:rsid w:val="009C637D"/>
    <w:rsid w:val="009D7119"/>
    <w:rsid w:val="009E241B"/>
    <w:rsid w:val="009E4997"/>
    <w:rsid w:val="009E5401"/>
    <w:rsid w:val="009F4E86"/>
    <w:rsid w:val="009F68F6"/>
    <w:rsid w:val="00A14658"/>
    <w:rsid w:val="00A14848"/>
    <w:rsid w:val="00A1519C"/>
    <w:rsid w:val="00A22B98"/>
    <w:rsid w:val="00A26166"/>
    <w:rsid w:val="00A31C25"/>
    <w:rsid w:val="00A32099"/>
    <w:rsid w:val="00A3742A"/>
    <w:rsid w:val="00A415BE"/>
    <w:rsid w:val="00A45EAF"/>
    <w:rsid w:val="00A51DC0"/>
    <w:rsid w:val="00A54FD7"/>
    <w:rsid w:val="00A55003"/>
    <w:rsid w:val="00A55BD4"/>
    <w:rsid w:val="00A625A8"/>
    <w:rsid w:val="00A67EA3"/>
    <w:rsid w:val="00A70C6B"/>
    <w:rsid w:val="00A73490"/>
    <w:rsid w:val="00A7484C"/>
    <w:rsid w:val="00A77DBC"/>
    <w:rsid w:val="00A77F44"/>
    <w:rsid w:val="00A82A93"/>
    <w:rsid w:val="00A83EC8"/>
    <w:rsid w:val="00AA035A"/>
    <w:rsid w:val="00AB0C28"/>
    <w:rsid w:val="00AB719F"/>
    <w:rsid w:val="00AE5FB3"/>
    <w:rsid w:val="00AE7F5D"/>
    <w:rsid w:val="00B00FDE"/>
    <w:rsid w:val="00B01247"/>
    <w:rsid w:val="00B03284"/>
    <w:rsid w:val="00B16552"/>
    <w:rsid w:val="00B1732C"/>
    <w:rsid w:val="00B220F8"/>
    <w:rsid w:val="00B24EF5"/>
    <w:rsid w:val="00B42804"/>
    <w:rsid w:val="00B473A4"/>
    <w:rsid w:val="00B529F5"/>
    <w:rsid w:val="00B63419"/>
    <w:rsid w:val="00B70FB3"/>
    <w:rsid w:val="00B748F0"/>
    <w:rsid w:val="00B76CE0"/>
    <w:rsid w:val="00B96B1A"/>
    <w:rsid w:val="00BA0583"/>
    <w:rsid w:val="00BB14E9"/>
    <w:rsid w:val="00BC0C20"/>
    <w:rsid w:val="00BC3678"/>
    <w:rsid w:val="00BC6486"/>
    <w:rsid w:val="00BD7A5F"/>
    <w:rsid w:val="00BE29AA"/>
    <w:rsid w:val="00BE5739"/>
    <w:rsid w:val="00BF1429"/>
    <w:rsid w:val="00BF3B2E"/>
    <w:rsid w:val="00BF5144"/>
    <w:rsid w:val="00BF5478"/>
    <w:rsid w:val="00C13CC5"/>
    <w:rsid w:val="00C2229B"/>
    <w:rsid w:val="00C24B2A"/>
    <w:rsid w:val="00C24D9B"/>
    <w:rsid w:val="00C26B4D"/>
    <w:rsid w:val="00C42F15"/>
    <w:rsid w:val="00C46B82"/>
    <w:rsid w:val="00C52035"/>
    <w:rsid w:val="00C566F4"/>
    <w:rsid w:val="00C639E7"/>
    <w:rsid w:val="00C66D2B"/>
    <w:rsid w:val="00C70668"/>
    <w:rsid w:val="00C73BFC"/>
    <w:rsid w:val="00C774F8"/>
    <w:rsid w:val="00C90527"/>
    <w:rsid w:val="00C90E86"/>
    <w:rsid w:val="00C91CD5"/>
    <w:rsid w:val="00C95BC7"/>
    <w:rsid w:val="00CA3FC0"/>
    <w:rsid w:val="00CA6310"/>
    <w:rsid w:val="00CB0F5B"/>
    <w:rsid w:val="00CC2180"/>
    <w:rsid w:val="00CC7BC5"/>
    <w:rsid w:val="00CD3D1E"/>
    <w:rsid w:val="00CE0C2A"/>
    <w:rsid w:val="00CE5453"/>
    <w:rsid w:val="00CF6D29"/>
    <w:rsid w:val="00D049FD"/>
    <w:rsid w:val="00D1667A"/>
    <w:rsid w:val="00D215EE"/>
    <w:rsid w:val="00D427BD"/>
    <w:rsid w:val="00D51877"/>
    <w:rsid w:val="00D60DB3"/>
    <w:rsid w:val="00D6518A"/>
    <w:rsid w:val="00D67534"/>
    <w:rsid w:val="00D7154F"/>
    <w:rsid w:val="00D77B33"/>
    <w:rsid w:val="00D80B31"/>
    <w:rsid w:val="00D83707"/>
    <w:rsid w:val="00D86693"/>
    <w:rsid w:val="00D86D71"/>
    <w:rsid w:val="00D91014"/>
    <w:rsid w:val="00D943E3"/>
    <w:rsid w:val="00DA05EB"/>
    <w:rsid w:val="00DB40EB"/>
    <w:rsid w:val="00DB440A"/>
    <w:rsid w:val="00DC6D8A"/>
    <w:rsid w:val="00DE2D06"/>
    <w:rsid w:val="00DE52BD"/>
    <w:rsid w:val="00DF5261"/>
    <w:rsid w:val="00E01BE9"/>
    <w:rsid w:val="00E10CBE"/>
    <w:rsid w:val="00E128F6"/>
    <w:rsid w:val="00E33DE2"/>
    <w:rsid w:val="00E50CB2"/>
    <w:rsid w:val="00E535E9"/>
    <w:rsid w:val="00E5406B"/>
    <w:rsid w:val="00E619F0"/>
    <w:rsid w:val="00E61AA4"/>
    <w:rsid w:val="00E66661"/>
    <w:rsid w:val="00E7046B"/>
    <w:rsid w:val="00E76483"/>
    <w:rsid w:val="00E97E30"/>
    <w:rsid w:val="00EA5484"/>
    <w:rsid w:val="00EC18F1"/>
    <w:rsid w:val="00ED1E93"/>
    <w:rsid w:val="00ED4BFD"/>
    <w:rsid w:val="00ED6A36"/>
    <w:rsid w:val="00EE157D"/>
    <w:rsid w:val="00F02105"/>
    <w:rsid w:val="00F03F90"/>
    <w:rsid w:val="00F06B13"/>
    <w:rsid w:val="00F077BD"/>
    <w:rsid w:val="00F210BC"/>
    <w:rsid w:val="00F2224B"/>
    <w:rsid w:val="00F25CF0"/>
    <w:rsid w:val="00F27E6F"/>
    <w:rsid w:val="00F37D09"/>
    <w:rsid w:val="00F40AFD"/>
    <w:rsid w:val="00F45C30"/>
    <w:rsid w:val="00F45D4D"/>
    <w:rsid w:val="00F4625D"/>
    <w:rsid w:val="00F55B41"/>
    <w:rsid w:val="00F61B9C"/>
    <w:rsid w:val="00F66017"/>
    <w:rsid w:val="00F72A15"/>
    <w:rsid w:val="00F74BF7"/>
    <w:rsid w:val="00F861AB"/>
    <w:rsid w:val="00F871DF"/>
    <w:rsid w:val="00F87A38"/>
    <w:rsid w:val="00F9532B"/>
    <w:rsid w:val="00F978C5"/>
    <w:rsid w:val="00FA6739"/>
    <w:rsid w:val="00FA674D"/>
    <w:rsid w:val="00FB5FE6"/>
    <w:rsid w:val="00FC04A4"/>
    <w:rsid w:val="00FC289A"/>
    <w:rsid w:val="00FC2A32"/>
    <w:rsid w:val="00FD5945"/>
    <w:rsid w:val="00FE3336"/>
    <w:rsid w:val="00FF7592"/>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1E6"/>
    <w:pPr>
      <w:ind w:left="720"/>
      <w:contextualSpacing/>
    </w:pPr>
  </w:style>
  <w:style w:type="paragraph" w:styleId="Header">
    <w:name w:val="header"/>
    <w:basedOn w:val="Normal"/>
    <w:link w:val="HeaderChar"/>
    <w:uiPriority w:val="99"/>
    <w:semiHidden/>
    <w:unhideWhenUsed/>
    <w:rsid w:val="00BF1429"/>
    <w:pPr>
      <w:tabs>
        <w:tab w:val="center" w:pos="4680"/>
        <w:tab w:val="right" w:pos="9360"/>
      </w:tabs>
    </w:pPr>
  </w:style>
  <w:style w:type="character" w:customStyle="1" w:styleId="HeaderChar">
    <w:name w:val="Header Char"/>
    <w:basedOn w:val="DefaultParagraphFont"/>
    <w:link w:val="Header"/>
    <w:uiPriority w:val="99"/>
    <w:semiHidden/>
    <w:rsid w:val="00BF1429"/>
    <w:rPr>
      <w:rFonts w:eastAsia="Times New Roman" w:cs="Times New Roman"/>
      <w:sz w:val="24"/>
      <w:szCs w:val="24"/>
    </w:rPr>
  </w:style>
  <w:style w:type="paragraph" w:styleId="Footer">
    <w:name w:val="footer"/>
    <w:basedOn w:val="Normal"/>
    <w:link w:val="FooterChar"/>
    <w:uiPriority w:val="99"/>
    <w:unhideWhenUsed/>
    <w:rsid w:val="00BF1429"/>
    <w:pPr>
      <w:tabs>
        <w:tab w:val="center" w:pos="4680"/>
        <w:tab w:val="right" w:pos="9360"/>
      </w:tabs>
    </w:pPr>
  </w:style>
  <w:style w:type="character" w:customStyle="1" w:styleId="FooterChar">
    <w:name w:val="Footer Char"/>
    <w:basedOn w:val="DefaultParagraphFont"/>
    <w:link w:val="Footer"/>
    <w:uiPriority w:val="99"/>
    <w:rsid w:val="00BF1429"/>
    <w:rPr>
      <w:rFonts w:eastAsia="Times New Roman" w:cs="Times New Roman"/>
      <w:sz w:val="24"/>
      <w:szCs w:val="24"/>
    </w:rPr>
  </w:style>
  <w:style w:type="paragraph" w:styleId="BalloonText">
    <w:name w:val="Balloon Text"/>
    <w:basedOn w:val="Normal"/>
    <w:link w:val="BalloonTextChar"/>
    <w:uiPriority w:val="99"/>
    <w:semiHidden/>
    <w:unhideWhenUsed/>
    <w:rsid w:val="00BF1429"/>
    <w:rPr>
      <w:rFonts w:ascii="Tahoma" w:hAnsi="Tahoma" w:cs="Tahoma"/>
      <w:sz w:val="16"/>
      <w:szCs w:val="16"/>
    </w:rPr>
  </w:style>
  <w:style w:type="character" w:customStyle="1" w:styleId="BalloonTextChar">
    <w:name w:val="Balloon Text Char"/>
    <w:basedOn w:val="DefaultParagraphFont"/>
    <w:link w:val="BalloonText"/>
    <w:uiPriority w:val="99"/>
    <w:semiHidden/>
    <w:rsid w:val="00BF14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A3602"/>
    <w:rsid w:val="007A3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0551ADF41E4795BEEA504A6603E2CD">
    <w:name w:val="E30551ADF41E4795BEEA504A6603E2CD"/>
    <w:rsid w:val="007A360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51AB7-C83A-4242-8206-710AAB62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1271</Words>
  <Characters>7248</Characters>
  <Application>Microsoft Office Word</Application>
  <DocSecurity>0</DocSecurity>
  <Lines>60</Lines>
  <Paragraphs>17</Paragraphs>
  <ScaleCrop>false</ScaleCrop>
  <Company>USNRC</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KEB1</dc:creator>
  <cp:keywords/>
  <dc:description/>
  <cp:lastModifiedBy>KEB1</cp:lastModifiedBy>
  <cp:revision>7</cp:revision>
  <cp:lastPrinted>2010-09-30T13:43:00Z</cp:lastPrinted>
  <dcterms:created xsi:type="dcterms:W3CDTF">2010-09-30T11:04:00Z</dcterms:created>
  <dcterms:modified xsi:type="dcterms:W3CDTF">2010-09-30T13:58:00Z</dcterms:modified>
</cp:coreProperties>
</file>