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A83" w:rsidRDefault="00917A83">
      <w:pPr>
        <w:tabs>
          <w:tab w:val="left" w:pos="240"/>
        </w:tabs>
        <w:rPr>
          <w:rFonts w:ascii="Helvetica" w:hAnsi="Helvetica"/>
          <w:sz w:val="16"/>
        </w:rPr>
      </w:pPr>
    </w:p>
    <w:p w:rsidR="00A32FD0" w:rsidRPr="00F76A88" w:rsidRDefault="00A32FD0" w:rsidP="00A32FD0">
      <w:pPr>
        <w:pStyle w:val="Title"/>
        <w:tabs>
          <w:tab w:val="center" w:pos="5148"/>
        </w:tabs>
        <w:rPr>
          <w:rFonts w:ascii="Times New Roman" w:hAnsi="Times New Roman"/>
          <w:sz w:val="24"/>
          <w:szCs w:val="24"/>
        </w:rPr>
      </w:pPr>
      <w:r w:rsidRPr="00F76A88">
        <w:rPr>
          <w:rFonts w:ascii="Times New Roman" w:hAnsi="Times New Roman"/>
          <w:sz w:val="24"/>
          <w:szCs w:val="24"/>
        </w:rPr>
        <w:t>Supporting Statement for Paperwork Reduction Act Submissions</w:t>
      </w:r>
    </w:p>
    <w:p w:rsidR="00F76A88" w:rsidRDefault="00F76A88" w:rsidP="00A32FD0">
      <w:pPr>
        <w:pStyle w:val="Title"/>
        <w:tabs>
          <w:tab w:val="center" w:pos="5148"/>
        </w:tabs>
        <w:rPr>
          <w:rFonts w:ascii="Times New Roman" w:hAnsi="Times New Roman"/>
        </w:rPr>
      </w:pPr>
    </w:p>
    <w:p w:rsidR="00A32FD0" w:rsidRPr="00F76A88" w:rsidRDefault="00F76A88" w:rsidP="00C360CF">
      <w:pPr>
        <w:tabs>
          <w:tab w:val="center" w:pos="5148"/>
        </w:tabs>
        <w:suppressAutoHyphens/>
        <w:jc w:val="center"/>
        <w:rPr>
          <w:b/>
          <w:sz w:val="24"/>
          <w:szCs w:val="24"/>
        </w:rPr>
      </w:pPr>
      <w:r w:rsidRPr="00F76A88">
        <w:rPr>
          <w:b/>
          <w:sz w:val="24"/>
          <w:szCs w:val="24"/>
        </w:rPr>
        <w:t>F</w:t>
      </w:r>
      <w:r w:rsidR="00A32FD0" w:rsidRPr="00F76A88">
        <w:rPr>
          <w:b/>
          <w:sz w:val="24"/>
          <w:szCs w:val="24"/>
        </w:rPr>
        <w:t>amily Unification Program</w:t>
      </w:r>
      <w:r>
        <w:rPr>
          <w:b/>
          <w:sz w:val="24"/>
          <w:szCs w:val="24"/>
        </w:rPr>
        <w:t xml:space="preserve"> – 2577-0259</w:t>
      </w:r>
    </w:p>
    <w:p w:rsidR="00A32FD0" w:rsidRDefault="00A32FD0" w:rsidP="00A32FD0">
      <w:pPr>
        <w:tabs>
          <w:tab w:val="center" w:pos="5148"/>
        </w:tabs>
        <w:suppressAutoHyphens/>
        <w:jc w:val="center"/>
        <w:rPr>
          <w:b/>
        </w:rPr>
      </w:pPr>
    </w:p>
    <w:p w:rsidR="00A32FD0" w:rsidRDefault="00A32FD0" w:rsidP="00A32FD0">
      <w:pPr>
        <w:pStyle w:val="BodyTextIndent2"/>
        <w:tabs>
          <w:tab w:val="clear" w:pos="0"/>
          <w:tab w:val="left" w:pos="360"/>
        </w:tabs>
        <w:spacing w:after="120" w:line="240" w:lineRule="auto"/>
        <w:ind w:hanging="360"/>
        <w:rPr>
          <w:b/>
        </w:rPr>
      </w:pPr>
      <w:r>
        <w:rPr>
          <w:b/>
        </w:rPr>
        <w:t>A.</w:t>
      </w:r>
      <w:r>
        <w:rPr>
          <w:b/>
        </w:rPr>
        <w:tab/>
        <w:t>Justification</w:t>
      </w:r>
    </w:p>
    <w:p w:rsidR="009A65CC" w:rsidRDefault="009A65CC" w:rsidP="009A65CC">
      <w:pPr>
        <w:pStyle w:val="NoSpacing"/>
        <w:spacing w:after="120"/>
        <w:contextualSpacing/>
        <w:rPr>
          <w:rFonts w:ascii="Times New Roman" w:hAnsi="Times New Roman"/>
          <w:sz w:val="24"/>
          <w:szCs w:val="24"/>
        </w:rPr>
      </w:pPr>
      <w:r w:rsidRPr="009A65CC">
        <w:rPr>
          <w:rFonts w:ascii="Times New Roman" w:hAnsi="Times New Roman"/>
          <w:b/>
          <w:sz w:val="24"/>
          <w:szCs w:val="24"/>
        </w:rPr>
        <w:t>1</w:t>
      </w:r>
      <w:r>
        <w:t xml:space="preserve">.  </w:t>
      </w:r>
      <w:r w:rsidR="00A32FD0" w:rsidRPr="005369AE">
        <w:rPr>
          <w:rFonts w:ascii="Times New Roman" w:hAnsi="Times New Roman"/>
          <w:sz w:val="24"/>
          <w:szCs w:val="24"/>
        </w:rPr>
        <w:t xml:space="preserve">The Department of Housing and Urban Development Appropriations Act, 2010 (Public Law 111-117, </w:t>
      </w:r>
    </w:p>
    <w:p w:rsidR="00A32FD0" w:rsidRPr="004537ED" w:rsidRDefault="00A32FD0" w:rsidP="009A65CC">
      <w:pPr>
        <w:pStyle w:val="NoSpacing"/>
        <w:spacing w:after="120"/>
        <w:contextualSpacing/>
        <w:rPr>
          <w:rFonts w:ascii="Times New Roman" w:hAnsi="Times New Roman"/>
          <w:sz w:val="24"/>
          <w:szCs w:val="24"/>
        </w:rPr>
      </w:pPr>
      <w:r w:rsidRPr="005369AE">
        <w:rPr>
          <w:rFonts w:ascii="Times New Roman" w:hAnsi="Times New Roman"/>
          <w:sz w:val="24"/>
          <w:szCs w:val="24"/>
        </w:rPr>
        <w:t xml:space="preserve">enacted on December 16, 2009) authorizes the HUD Secretary to use up to $15,000,000 to competitively fund new vouchers to </w:t>
      </w:r>
      <w:r w:rsidRPr="00970323">
        <w:rPr>
          <w:rFonts w:ascii="Times New Roman" w:hAnsi="Times New Roman"/>
          <w:sz w:val="24"/>
          <w:szCs w:val="24"/>
        </w:rPr>
        <w:t xml:space="preserve">be used to promote </w:t>
      </w:r>
      <w:r>
        <w:rPr>
          <w:rFonts w:ascii="Times New Roman" w:hAnsi="Times New Roman"/>
          <w:sz w:val="24"/>
          <w:szCs w:val="24"/>
        </w:rPr>
        <w:t xml:space="preserve">the </w:t>
      </w:r>
      <w:r w:rsidRPr="00970323">
        <w:rPr>
          <w:rFonts w:ascii="Times New Roman" w:hAnsi="Times New Roman"/>
          <w:sz w:val="24"/>
          <w:szCs w:val="24"/>
        </w:rPr>
        <w:t>unification of families</w:t>
      </w:r>
      <w:r w:rsidRPr="005369AE">
        <w:rPr>
          <w:rFonts w:ascii="Times New Roman" w:hAnsi="Times New Roman"/>
          <w:sz w:val="24"/>
          <w:szCs w:val="24"/>
        </w:rPr>
        <w:t xml:space="preserve"> for whom the lack of adequate housing is a primary factor in the imminent placement of </w:t>
      </w:r>
      <w:r>
        <w:rPr>
          <w:rFonts w:ascii="Times New Roman" w:hAnsi="Times New Roman"/>
          <w:sz w:val="24"/>
          <w:szCs w:val="24"/>
        </w:rPr>
        <w:t>a</w:t>
      </w:r>
      <w:r w:rsidRPr="005369AE">
        <w:rPr>
          <w:rFonts w:ascii="Times New Roman" w:hAnsi="Times New Roman"/>
          <w:sz w:val="24"/>
          <w:szCs w:val="24"/>
        </w:rPr>
        <w:t xml:space="preserve"> family's child, or children, in out-of-home care; or the delay in the discharge of the child, or children, to the family from out-of-home care.  Youths at least 18 years old and not more than 21 years old (have not reached their 22nd birthday) who left foster care at age 16 or older and who do not have adequate housing are also eligible to receive housing assistance under FUP</w:t>
      </w:r>
      <w:r>
        <w:rPr>
          <w:rFonts w:ascii="Times New Roman" w:hAnsi="Times New Roman"/>
          <w:sz w:val="24"/>
          <w:szCs w:val="24"/>
        </w:rPr>
        <w:t>.  HUD will publish a separate</w:t>
      </w:r>
      <w:r w:rsidRPr="004537ED">
        <w:rPr>
          <w:rFonts w:ascii="Times New Roman" w:hAnsi="Times New Roman"/>
          <w:sz w:val="24"/>
          <w:szCs w:val="24"/>
        </w:rPr>
        <w:t xml:space="preserve"> Notice of Funding Availability (NOFA) </w:t>
      </w:r>
      <w:r>
        <w:rPr>
          <w:rFonts w:ascii="Times New Roman" w:hAnsi="Times New Roman"/>
          <w:sz w:val="24"/>
          <w:szCs w:val="24"/>
        </w:rPr>
        <w:t xml:space="preserve">that </w:t>
      </w:r>
      <w:r w:rsidRPr="004537ED">
        <w:rPr>
          <w:rFonts w:ascii="Times New Roman" w:hAnsi="Times New Roman"/>
          <w:sz w:val="24"/>
          <w:szCs w:val="24"/>
        </w:rPr>
        <w:t xml:space="preserve">will contain the selection criteria for awarding </w:t>
      </w:r>
      <w:r>
        <w:rPr>
          <w:rFonts w:ascii="Times New Roman" w:hAnsi="Times New Roman"/>
          <w:sz w:val="24"/>
          <w:szCs w:val="24"/>
        </w:rPr>
        <w:t>FUP vouchers</w:t>
      </w:r>
      <w:r w:rsidRPr="004537ED">
        <w:rPr>
          <w:rFonts w:ascii="Times New Roman" w:hAnsi="Times New Roman"/>
          <w:sz w:val="24"/>
          <w:szCs w:val="24"/>
        </w:rPr>
        <w:t xml:space="preserve"> and specific requirements that will apply to selected </w:t>
      </w:r>
      <w:r>
        <w:rPr>
          <w:rFonts w:ascii="Times New Roman" w:hAnsi="Times New Roman"/>
          <w:sz w:val="24"/>
          <w:szCs w:val="24"/>
        </w:rPr>
        <w:t>applicants</w:t>
      </w:r>
      <w:r w:rsidRPr="004537ED">
        <w:rPr>
          <w:rFonts w:ascii="Times New Roman" w:hAnsi="Times New Roman"/>
          <w:sz w:val="24"/>
          <w:szCs w:val="24"/>
        </w:rPr>
        <w:t xml:space="preserve">.  </w:t>
      </w:r>
    </w:p>
    <w:p w:rsidR="00A32FD0" w:rsidRDefault="009A65CC" w:rsidP="009A65CC">
      <w:pPr>
        <w:pStyle w:val="HTMLPreformatted"/>
        <w:spacing w:after="120"/>
        <w:contextualSpacing/>
      </w:pPr>
      <w:r>
        <w:rPr>
          <w:rFonts w:ascii="Times New Roman" w:hAnsi="Times New Roman" w:cs="Times New Roman"/>
          <w:sz w:val="24"/>
          <w:szCs w:val="24"/>
        </w:rPr>
        <w:t xml:space="preserve">     </w:t>
      </w:r>
      <w:r w:rsidR="00A32FD0">
        <w:rPr>
          <w:rFonts w:ascii="Times New Roman" w:hAnsi="Times New Roman" w:cs="Times New Roman"/>
          <w:sz w:val="24"/>
          <w:szCs w:val="24"/>
        </w:rPr>
        <w:t xml:space="preserve">The Family Unification Program </w:t>
      </w:r>
      <w:r w:rsidR="00A32FD0" w:rsidRPr="00970323">
        <w:rPr>
          <w:rFonts w:ascii="Times New Roman" w:hAnsi="Times New Roman" w:cs="Times New Roman"/>
          <w:sz w:val="24"/>
          <w:szCs w:val="24"/>
        </w:rPr>
        <w:t xml:space="preserve">will employ a comprehensive approach to </w:t>
      </w:r>
      <w:r w:rsidR="00A32FD0">
        <w:rPr>
          <w:rFonts w:ascii="Times New Roman" w:hAnsi="Times New Roman" w:cs="Times New Roman"/>
          <w:sz w:val="24"/>
          <w:szCs w:val="24"/>
        </w:rPr>
        <w:t xml:space="preserve">assisting at-risk families </w:t>
      </w:r>
      <w:r w:rsidR="00A32FD0" w:rsidRPr="00970323">
        <w:rPr>
          <w:rFonts w:ascii="Times New Roman" w:hAnsi="Times New Roman" w:cs="Times New Roman"/>
          <w:sz w:val="24"/>
          <w:szCs w:val="24"/>
        </w:rPr>
        <w:t xml:space="preserve">centered on </w:t>
      </w:r>
      <w:r w:rsidR="00A32FD0">
        <w:rPr>
          <w:rFonts w:ascii="Times New Roman" w:hAnsi="Times New Roman" w:cs="Times New Roman"/>
          <w:sz w:val="24"/>
          <w:szCs w:val="24"/>
        </w:rPr>
        <w:t>providing adequate housing and supportive services in partnership between Public Housing Agencies (PHAs) and Public Child Welfare Agencies (PCWAs)</w:t>
      </w:r>
      <w:r w:rsidR="00A32FD0" w:rsidRPr="00970323">
        <w:rPr>
          <w:rFonts w:ascii="Times New Roman" w:hAnsi="Times New Roman" w:cs="Times New Roman"/>
          <w:sz w:val="24"/>
          <w:szCs w:val="24"/>
        </w:rPr>
        <w:t xml:space="preserve">.  The program aims to </w:t>
      </w:r>
      <w:r w:rsidR="00A32FD0">
        <w:rPr>
          <w:rFonts w:ascii="Times New Roman" w:hAnsi="Times New Roman" w:cs="Times New Roman"/>
          <w:sz w:val="24"/>
          <w:szCs w:val="24"/>
        </w:rPr>
        <w:t xml:space="preserve">unify families for whom the lack of adequate housing threatens to place children in out-of-home care by providing Housing Choice Vouchers to allow families to obtain adequate housing in the neighborhoods of their choice.  </w:t>
      </w:r>
      <w:r w:rsidR="00A32FD0" w:rsidRPr="004537ED">
        <w:rPr>
          <w:rFonts w:ascii="Times New Roman" w:hAnsi="Times New Roman" w:cs="Times New Roman"/>
          <w:sz w:val="24"/>
          <w:szCs w:val="24"/>
        </w:rPr>
        <w:t xml:space="preserve">  </w:t>
      </w:r>
      <w:r w:rsidR="00A32FD0">
        <w:tab/>
      </w:r>
    </w:p>
    <w:p w:rsidR="00A32FD0" w:rsidRDefault="00A32FD0" w:rsidP="00A32FD0">
      <w:pPr>
        <w:pStyle w:val="BodyTextIndent2"/>
        <w:tabs>
          <w:tab w:val="clear" w:pos="0"/>
          <w:tab w:val="left" w:pos="360"/>
        </w:tabs>
        <w:spacing w:after="120" w:line="240" w:lineRule="auto"/>
        <w:ind w:hanging="360"/>
      </w:pPr>
      <w:r>
        <w:rPr>
          <w:b/>
          <w:bCs/>
        </w:rPr>
        <w:t>2.</w:t>
      </w:r>
      <w:r>
        <w:rPr>
          <w:b/>
          <w:bCs/>
        </w:rPr>
        <w:tab/>
      </w:r>
      <w:r>
        <w:t xml:space="preserve">Eligible applicants interested in obtaining FUP funds will be required to submit applications to HUD, as explained in the 2010 NOFA.  The information collection covers the information needed from applicants to determine which applicants should be funded and program reporting and recordkeeping requirements.  The information provided demonstrates the applicants’ plans to implement the program requirements, and includes related applicant history.  The application will include such information as an MOU between the PHA and PCWA, narrative statements related to the program rating criteria, and other statements ensuring that the applicants meet HUD requirements.  The information will be used by HUD staff to evaluate threshold requirements, rate and rank FUP voucher applications, and measure performance.  </w:t>
      </w:r>
    </w:p>
    <w:p w:rsidR="00A32FD0" w:rsidRDefault="00A32FD0" w:rsidP="00A32FD0">
      <w:pPr>
        <w:pStyle w:val="BodyTextIndent2"/>
        <w:tabs>
          <w:tab w:val="clear" w:pos="0"/>
          <w:tab w:val="left" w:pos="360"/>
        </w:tabs>
        <w:spacing w:after="120" w:line="240" w:lineRule="auto"/>
        <w:ind w:hanging="360"/>
      </w:pPr>
      <w:r>
        <w:rPr>
          <w:b/>
          <w:bCs/>
        </w:rPr>
        <w:t>3</w:t>
      </w:r>
      <w:r>
        <w:t>.</w:t>
      </w:r>
      <w:r>
        <w:tab/>
      </w:r>
      <w:r>
        <w:rPr>
          <w:b/>
          <w:bCs/>
        </w:rPr>
        <w:t xml:space="preserve">Technology applied to the collection: </w:t>
      </w:r>
      <w:r>
        <w:t xml:space="preserve">This information collection is automated in order to improve data quality and to reduce the public reporting burden.  Since FY 2005, the Department has required applications prepared in response to NOFAs to be submitted electronically via Grants.gov.  </w:t>
      </w:r>
    </w:p>
    <w:p w:rsidR="00A32FD0" w:rsidRDefault="00A32FD0" w:rsidP="00A32FD0">
      <w:pPr>
        <w:pStyle w:val="BodyTextIndent2"/>
        <w:tabs>
          <w:tab w:val="clear" w:pos="0"/>
          <w:tab w:val="left" w:pos="360"/>
        </w:tabs>
        <w:spacing w:after="120" w:line="240" w:lineRule="auto"/>
        <w:ind w:hanging="360"/>
        <w:rPr>
          <w:b/>
        </w:rPr>
      </w:pPr>
      <w:r>
        <w:rPr>
          <w:b/>
        </w:rPr>
        <w:t>4.</w:t>
      </w:r>
      <w:r>
        <w:rPr>
          <w:b/>
        </w:rPr>
        <w:tab/>
        <w:t xml:space="preserve">Duplication of Effort: </w:t>
      </w:r>
    </w:p>
    <w:p w:rsidR="00A32FD0" w:rsidRDefault="00A32FD0" w:rsidP="00A32FD0">
      <w:pPr>
        <w:pStyle w:val="BodyTextIndent2"/>
        <w:tabs>
          <w:tab w:val="clear" w:pos="0"/>
          <w:tab w:val="left" w:pos="360"/>
        </w:tabs>
        <w:spacing w:after="120" w:line="240" w:lineRule="auto"/>
        <w:ind w:hanging="360"/>
      </w:pPr>
      <w:r>
        <w:tab/>
        <w:t xml:space="preserve">There is no duplication of effort.  Information collected is unique to each type of collection and does not duplicate any similar information or method. </w:t>
      </w:r>
    </w:p>
    <w:p w:rsidR="00A32FD0" w:rsidRDefault="00A32FD0" w:rsidP="00A32FD0">
      <w:pPr>
        <w:pStyle w:val="BodyTextIndent2"/>
        <w:tabs>
          <w:tab w:val="clear" w:pos="0"/>
          <w:tab w:val="left" w:pos="360"/>
        </w:tabs>
        <w:spacing w:after="120" w:line="240" w:lineRule="auto"/>
        <w:ind w:hanging="360"/>
        <w:rPr>
          <w:b/>
        </w:rPr>
      </w:pPr>
      <w:r>
        <w:rPr>
          <w:b/>
        </w:rPr>
        <w:t>5.</w:t>
      </w:r>
      <w:r>
        <w:rPr>
          <w:b/>
        </w:rPr>
        <w:tab/>
        <w:t xml:space="preserve">Impact on Small Business and Small Entities:  </w:t>
      </w:r>
    </w:p>
    <w:p w:rsidR="00A32FD0" w:rsidRDefault="00A32FD0" w:rsidP="00A32FD0">
      <w:pPr>
        <w:pStyle w:val="BodyTextIndent2"/>
        <w:tabs>
          <w:tab w:val="clear" w:pos="0"/>
          <w:tab w:val="left" w:pos="360"/>
        </w:tabs>
        <w:spacing w:after="120" w:line="240" w:lineRule="auto"/>
        <w:ind w:hanging="360"/>
      </w:pPr>
      <w:r>
        <w:tab/>
        <w:t>These information collections have no impact on small businesses or other entities.</w:t>
      </w:r>
    </w:p>
    <w:p w:rsidR="00A32FD0" w:rsidRDefault="00A32FD0" w:rsidP="00A32FD0">
      <w:pPr>
        <w:pStyle w:val="BodyTextIndent2"/>
        <w:tabs>
          <w:tab w:val="clear" w:pos="0"/>
          <w:tab w:val="left" w:pos="360"/>
        </w:tabs>
        <w:spacing w:after="120" w:line="240" w:lineRule="auto"/>
        <w:ind w:hanging="360"/>
        <w:rPr>
          <w:b/>
        </w:rPr>
      </w:pPr>
      <w:r>
        <w:rPr>
          <w:b/>
        </w:rPr>
        <w:t>6.</w:t>
      </w:r>
      <w:r>
        <w:rPr>
          <w:b/>
        </w:rPr>
        <w:tab/>
        <w:t xml:space="preserve">Consequence of Less Frequent Collection:  </w:t>
      </w:r>
    </w:p>
    <w:p w:rsidR="00A32FD0" w:rsidRDefault="00A32FD0" w:rsidP="00A32FD0">
      <w:pPr>
        <w:pStyle w:val="BodyTextIndent2"/>
        <w:tabs>
          <w:tab w:val="clear" w:pos="0"/>
          <w:tab w:val="left" w:pos="360"/>
        </w:tabs>
        <w:spacing w:after="120" w:line="240" w:lineRule="auto"/>
        <w:ind w:hanging="360"/>
      </w:pPr>
      <w:r>
        <w:tab/>
        <w:t>The Federal statutory mandate would not be met if the collection is not conducted.  The information collection is necessary so that the</w:t>
      </w:r>
      <w:r w:rsidR="009A65CC">
        <w:t xml:space="preserve"> available 2010 funds, per the A</w:t>
      </w:r>
      <w:r>
        <w:t>ppropriat</w:t>
      </w:r>
      <w:r w:rsidR="009A65CC">
        <w:t>ions A</w:t>
      </w:r>
      <w:r>
        <w:t xml:space="preserve">ct, may be awarded timely to successful applicants for the FUP program.  </w:t>
      </w:r>
    </w:p>
    <w:p w:rsidR="00A32FD0" w:rsidRDefault="00A32FD0" w:rsidP="00A32FD0">
      <w:pPr>
        <w:pStyle w:val="BodyTextIndent2"/>
        <w:tabs>
          <w:tab w:val="clear" w:pos="0"/>
          <w:tab w:val="left" w:pos="360"/>
        </w:tabs>
        <w:spacing w:after="120" w:line="240" w:lineRule="auto"/>
        <w:ind w:hanging="360"/>
        <w:rPr>
          <w:b/>
        </w:rPr>
      </w:pPr>
      <w:r>
        <w:rPr>
          <w:b/>
        </w:rPr>
        <w:t xml:space="preserve">7. </w:t>
      </w:r>
      <w:r>
        <w:rPr>
          <w:b/>
        </w:rPr>
        <w:tab/>
        <w:t xml:space="preserve">Special Circumstances for Information Collection: </w:t>
      </w:r>
    </w:p>
    <w:p w:rsidR="00A32FD0" w:rsidRPr="000E71E4" w:rsidRDefault="00A32FD0" w:rsidP="00A32FD0">
      <w:pPr>
        <w:pStyle w:val="BodyTextIndent2"/>
        <w:tabs>
          <w:tab w:val="clear" w:pos="0"/>
          <w:tab w:val="left" w:pos="360"/>
        </w:tabs>
        <w:spacing w:after="120" w:line="240" w:lineRule="auto"/>
        <w:ind w:hanging="360"/>
      </w:pPr>
      <w:r>
        <w:tab/>
        <w:t xml:space="preserve">There are no special circumstances that would cause these information collections to be conducted </w:t>
      </w:r>
      <w:r w:rsidRPr="000E71E4">
        <w:t xml:space="preserve">inappropriately. </w:t>
      </w:r>
    </w:p>
    <w:p w:rsidR="00A32FD0" w:rsidRPr="000E71E4" w:rsidRDefault="00A32FD0" w:rsidP="00A32FD0">
      <w:pPr>
        <w:pStyle w:val="BodyTextIndent2"/>
        <w:tabs>
          <w:tab w:val="clear" w:pos="0"/>
          <w:tab w:val="left" w:pos="360"/>
        </w:tabs>
        <w:spacing w:after="120" w:line="240" w:lineRule="auto"/>
        <w:ind w:hanging="360"/>
        <w:rPr>
          <w:b/>
        </w:rPr>
      </w:pPr>
      <w:r w:rsidRPr="000E71E4">
        <w:rPr>
          <w:b/>
        </w:rPr>
        <w:t xml:space="preserve"> 8.</w:t>
      </w:r>
      <w:r w:rsidRPr="000E71E4">
        <w:rPr>
          <w:b/>
        </w:rPr>
        <w:tab/>
        <w:t xml:space="preserve">Federal Register Notice and Public Comments: </w:t>
      </w:r>
    </w:p>
    <w:p w:rsidR="004C58D2" w:rsidRDefault="00A32FD0" w:rsidP="00A32FD0">
      <w:pPr>
        <w:pStyle w:val="BodyTextIndent2"/>
        <w:tabs>
          <w:tab w:val="clear" w:pos="0"/>
          <w:tab w:val="left" w:pos="360"/>
        </w:tabs>
        <w:spacing w:after="120" w:line="240" w:lineRule="auto"/>
        <w:ind w:hanging="360"/>
      </w:pPr>
      <w:r w:rsidRPr="000E71E4">
        <w:tab/>
      </w:r>
      <w:r>
        <w:t>The notice of HUD’s request for OMB to review this collection under emergency processing procedur</w:t>
      </w:r>
      <w:r w:rsidR="00E4438D">
        <w:t>es was published on September 21</w:t>
      </w:r>
      <w:r>
        <w:t xml:space="preserve">, 2010, </w:t>
      </w:r>
      <w:r w:rsidR="00E4438D">
        <w:t xml:space="preserve">Volume 75, Page 57491, </w:t>
      </w:r>
      <w:r>
        <w:t>granting a 7-day public comment period</w:t>
      </w:r>
      <w:r w:rsidR="00E4438D">
        <w:t xml:space="preserve"> ending September 28, 2010.  No comments were received.</w:t>
      </w:r>
      <w:r>
        <w:t xml:space="preserve">  </w:t>
      </w:r>
    </w:p>
    <w:p w:rsidR="00A32FD0" w:rsidRDefault="00A32FD0" w:rsidP="00A32FD0">
      <w:pPr>
        <w:pStyle w:val="BodyTextIndent2"/>
        <w:tabs>
          <w:tab w:val="clear" w:pos="0"/>
          <w:tab w:val="left" w:pos="360"/>
        </w:tabs>
        <w:spacing w:after="120" w:line="240" w:lineRule="auto"/>
        <w:ind w:hanging="360"/>
        <w:rPr>
          <w:b/>
        </w:rPr>
      </w:pPr>
      <w:r>
        <w:rPr>
          <w:b/>
        </w:rPr>
        <w:lastRenderedPageBreak/>
        <w:t>9.</w:t>
      </w:r>
      <w:r>
        <w:rPr>
          <w:b/>
        </w:rPr>
        <w:tab/>
        <w:t xml:space="preserve">Payment/Gifts to Respondents:  </w:t>
      </w:r>
    </w:p>
    <w:p w:rsidR="00A32FD0" w:rsidRDefault="00A32FD0" w:rsidP="00A32FD0">
      <w:pPr>
        <w:pStyle w:val="BodyTextIndent2"/>
        <w:tabs>
          <w:tab w:val="clear" w:pos="0"/>
          <w:tab w:val="left" w:pos="360"/>
        </w:tabs>
        <w:spacing w:after="120" w:line="240" w:lineRule="auto"/>
        <w:ind w:hanging="360"/>
      </w:pPr>
      <w:r>
        <w:tab/>
        <w:t>No payments or gifts are provided to respondents for any of these information collections.</w:t>
      </w:r>
    </w:p>
    <w:p w:rsidR="00A32FD0" w:rsidRDefault="00A32FD0" w:rsidP="00A32FD0">
      <w:pPr>
        <w:pStyle w:val="BodyTextIndent2"/>
        <w:tabs>
          <w:tab w:val="clear" w:pos="0"/>
          <w:tab w:val="left" w:pos="360"/>
        </w:tabs>
        <w:spacing w:after="120" w:line="240" w:lineRule="auto"/>
        <w:ind w:hanging="360"/>
        <w:rPr>
          <w:b/>
        </w:rPr>
      </w:pPr>
      <w:r>
        <w:rPr>
          <w:b/>
        </w:rPr>
        <w:t>10.</w:t>
      </w:r>
      <w:r>
        <w:rPr>
          <w:b/>
        </w:rPr>
        <w:tab/>
        <w:t xml:space="preserve">Assurances of Confidentiality:  </w:t>
      </w:r>
    </w:p>
    <w:p w:rsidR="00A32FD0" w:rsidRDefault="00A32FD0" w:rsidP="00A32FD0">
      <w:pPr>
        <w:pStyle w:val="BodyTextIndent2"/>
        <w:tabs>
          <w:tab w:val="clear" w:pos="0"/>
          <w:tab w:val="left" w:pos="360"/>
        </w:tabs>
        <w:spacing w:after="120" w:line="240" w:lineRule="auto"/>
        <w:ind w:hanging="360"/>
      </w:pPr>
      <w:r>
        <w:tab/>
        <w:t xml:space="preserve">Assurance of confidentiality is neither provided nor needed for any of these information collections.  </w:t>
      </w:r>
    </w:p>
    <w:p w:rsidR="00A32FD0" w:rsidRDefault="00A32FD0" w:rsidP="00A32FD0">
      <w:pPr>
        <w:pStyle w:val="BodyTextIndent2"/>
        <w:tabs>
          <w:tab w:val="clear" w:pos="0"/>
          <w:tab w:val="left" w:pos="360"/>
        </w:tabs>
        <w:spacing w:after="120" w:line="240" w:lineRule="auto"/>
        <w:ind w:hanging="360"/>
        <w:rPr>
          <w:b/>
        </w:rPr>
      </w:pPr>
      <w:r>
        <w:rPr>
          <w:b/>
        </w:rPr>
        <w:t>11.</w:t>
      </w:r>
      <w:r>
        <w:rPr>
          <w:b/>
        </w:rPr>
        <w:tab/>
        <w:t xml:space="preserve">Questions of a Sensitive Nature:  </w:t>
      </w:r>
    </w:p>
    <w:p w:rsidR="00A32FD0" w:rsidRDefault="00A32FD0" w:rsidP="00A32FD0">
      <w:pPr>
        <w:pStyle w:val="BodyTextIndent2"/>
        <w:tabs>
          <w:tab w:val="clear" w:pos="0"/>
          <w:tab w:val="left" w:pos="360"/>
        </w:tabs>
        <w:spacing w:after="120" w:line="240" w:lineRule="auto"/>
        <w:ind w:hanging="360"/>
      </w:pPr>
      <w:r>
        <w:tab/>
        <w:t>No sensitive questions are being asked for any of these information collections.</w:t>
      </w:r>
    </w:p>
    <w:p w:rsidR="00A32FD0" w:rsidRDefault="00A32FD0" w:rsidP="00A32FD0">
      <w:pPr>
        <w:pStyle w:val="BodyTextIndent2"/>
        <w:keepNext/>
        <w:keepLines/>
        <w:tabs>
          <w:tab w:val="clear" w:pos="0"/>
          <w:tab w:val="left" w:pos="360"/>
        </w:tabs>
        <w:spacing w:after="120" w:line="240" w:lineRule="auto"/>
        <w:ind w:hanging="360"/>
      </w:pPr>
      <w:r w:rsidRPr="00A32FD0">
        <w:rPr>
          <w:b/>
        </w:rPr>
        <w:t>12.</w:t>
      </w:r>
      <w:r w:rsidRPr="00A32FD0">
        <w:rPr>
          <w:b/>
        </w:rPr>
        <w:tab/>
        <w:t xml:space="preserve">Estimate of Annual Burden Hours for Information Collection:  </w:t>
      </w:r>
      <w:r w:rsidRPr="00A32FD0">
        <w:rPr>
          <w:bCs/>
        </w:rPr>
        <w:t>The chart below outlines</w:t>
      </w:r>
      <w:r>
        <w:rPr>
          <w:bCs/>
        </w:rPr>
        <w:t xml:space="preserve"> the burden hours associated with the various aspects of the Family Unification Program NOFA and also includes the post-award submission of the Logic Model approved under another OMB </w:t>
      </w:r>
      <w:r w:rsidR="0073664F">
        <w:rPr>
          <w:bCs/>
        </w:rPr>
        <w:t>approval to capture information a</w:t>
      </w:r>
      <w:r>
        <w:rPr>
          <w:bCs/>
        </w:rPr>
        <w:t>ssociated with implementation of Area Wide Housing Opportunities sub-categories associated with HUD policy priorities.</w:t>
      </w:r>
    </w:p>
    <w:p w:rsidR="00A32FD0" w:rsidRDefault="00A32FD0" w:rsidP="00A32FD0">
      <w:pPr>
        <w:pStyle w:val="BodyTextIndent2"/>
        <w:tabs>
          <w:tab w:val="left" w:pos="360"/>
        </w:tabs>
        <w:spacing w:after="120" w:line="240" w:lineRule="auto"/>
        <w:ind w:hanging="336"/>
      </w:pPr>
      <w:r>
        <w:rPr>
          <w:b/>
        </w:rPr>
        <w:tab/>
      </w:r>
      <w:r>
        <w:t xml:space="preserve">Costs to the respondents to complete these information collections for the application process are indicated below.  </w:t>
      </w:r>
    </w:p>
    <w:p w:rsidR="00A32FD0" w:rsidRDefault="00A32FD0" w:rsidP="00A32FD0">
      <w:pPr>
        <w:pStyle w:val="BodyTextIndent2"/>
        <w:tabs>
          <w:tab w:val="left" w:pos="360"/>
        </w:tabs>
        <w:spacing w:after="120" w:line="240" w:lineRule="auto"/>
        <w:ind w:hanging="336"/>
      </w:pPr>
      <w:r>
        <w:tab/>
        <w:t>Burden hours per application response are estimated at 1</w:t>
      </w:r>
      <w:r w:rsidR="004973DD">
        <w:t>7</w:t>
      </w:r>
      <w:r>
        <w:t>.77 hours and per post-award reporting and recordkeeping at 1</w:t>
      </w:r>
      <w:r w:rsidR="002239A5">
        <w:t>0</w:t>
      </w:r>
      <w:r>
        <w:t xml:space="preserve">.5 hours.   Burden hours are estimated for 265 applicant respondents submitting NOFA applications and 42 applicants receiving funding and maintaining records and reporting on program implementation for a total burden of </w:t>
      </w:r>
      <w:r w:rsidR="004973DD">
        <w:t>6035</w:t>
      </w:r>
      <w:r>
        <w:t xml:space="preserve">.7.  Forms such as the SF 424 are not duplicative information.  These forms, while authorized under different OMB Control Numbers, are submitted as part of the FUP application process and used specific to the applications’ content. </w:t>
      </w:r>
    </w:p>
    <w:tbl>
      <w:tblPr>
        <w:tblW w:w="5000" w:type="pct"/>
        <w:tblLook w:val="04A0"/>
      </w:tblPr>
      <w:tblGrid>
        <w:gridCol w:w="4512"/>
        <w:gridCol w:w="1375"/>
        <w:gridCol w:w="1373"/>
        <w:gridCol w:w="1190"/>
        <w:gridCol w:w="1284"/>
        <w:gridCol w:w="1282"/>
      </w:tblGrid>
      <w:tr w:rsidR="00A32FD0" w:rsidRPr="004D0425" w:rsidTr="00A32FD0">
        <w:trPr>
          <w:trHeight w:val="144"/>
        </w:trPr>
        <w:tc>
          <w:tcPr>
            <w:tcW w:w="20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32FD0" w:rsidRPr="004C4D5F" w:rsidRDefault="00A32FD0" w:rsidP="00C22767">
            <w:pPr>
              <w:keepNext/>
              <w:spacing w:before="40" w:after="40"/>
              <w:rPr>
                <w:rFonts w:cs="Arial"/>
              </w:rPr>
            </w:pPr>
            <w:r>
              <w:lastRenderedPageBreak/>
              <w:br w:type="page"/>
            </w:r>
            <w:r w:rsidRPr="004C4D5F">
              <w:rPr>
                <w:rFonts w:cs="Arial"/>
              </w:rPr>
              <w:t>Description of Information Collection</w:t>
            </w:r>
          </w:p>
        </w:tc>
        <w:tc>
          <w:tcPr>
            <w:tcW w:w="624" w:type="pct"/>
            <w:tcBorders>
              <w:top w:val="single" w:sz="4" w:space="0" w:color="auto"/>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jc w:val="center"/>
              <w:rPr>
                <w:rFonts w:cs="Arial"/>
                <w:szCs w:val="18"/>
              </w:rPr>
            </w:pPr>
            <w:r w:rsidRPr="004C4D5F">
              <w:rPr>
                <w:rFonts w:cs="Arial"/>
                <w:szCs w:val="18"/>
              </w:rPr>
              <w:t>Number of Respondents</w:t>
            </w:r>
          </w:p>
        </w:tc>
        <w:tc>
          <w:tcPr>
            <w:tcW w:w="623" w:type="pct"/>
            <w:tcBorders>
              <w:top w:val="single" w:sz="4" w:space="0" w:color="auto"/>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jc w:val="center"/>
              <w:rPr>
                <w:rFonts w:cs="Arial"/>
              </w:rPr>
            </w:pPr>
            <w:r w:rsidRPr="004C4D5F">
              <w:rPr>
                <w:rFonts w:cs="Arial"/>
                <w:szCs w:val="18"/>
              </w:rPr>
              <w:t>Responses per Year</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jc w:val="center"/>
              <w:rPr>
                <w:rFonts w:cs="Arial"/>
              </w:rPr>
            </w:pPr>
            <w:r w:rsidRPr="004C4D5F">
              <w:rPr>
                <w:rFonts w:cs="Arial"/>
                <w:szCs w:val="18"/>
              </w:rPr>
              <w:t>Total Annual Responses</w:t>
            </w:r>
          </w:p>
        </w:tc>
        <w:tc>
          <w:tcPr>
            <w:tcW w:w="583" w:type="pct"/>
            <w:tcBorders>
              <w:top w:val="single" w:sz="4" w:space="0" w:color="auto"/>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jc w:val="center"/>
              <w:rPr>
                <w:rFonts w:cs="Arial"/>
              </w:rPr>
            </w:pPr>
            <w:r w:rsidRPr="004C4D5F">
              <w:rPr>
                <w:rFonts w:cs="Arial"/>
                <w:szCs w:val="18"/>
              </w:rPr>
              <w:t>Hrs per Response</w:t>
            </w:r>
          </w:p>
        </w:tc>
        <w:tc>
          <w:tcPr>
            <w:tcW w:w="582" w:type="pct"/>
            <w:tcBorders>
              <w:top w:val="single" w:sz="4" w:space="0" w:color="auto"/>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jc w:val="center"/>
              <w:rPr>
                <w:rFonts w:cs="Arial"/>
              </w:rPr>
            </w:pPr>
            <w:r w:rsidRPr="004C4D5F">
              <w:rPr>
                <w:rFonts w:cs="Arial"/>
                <w:szCs w:val="18"/>
              </w:rPr>
              <w:t xml:space="preserve">Total </w:t>
            </w:r>
            <w:r>
              <w:rPr>
                <w:rFonts w:cs="Arial"/>
                <w:szCs w:val="18"/>
              </w:rPr>
              <w:t xml:space="preserve">Burden </w:t>
            </w:r>
            <w:r w:rsidRPr="004C4D5F">
              <w:rPr>
                <w:rFonts w:cs="Arial"/>
                <w:szCs w:val="18"/>
              </w:rPr>
              <w:t>Hours</w:t>
            </w:r>
          </w:p>
        </w:tc>
      </w:tr>
      <w:tr w:rsidR="00A32FD0" w:rsidRPr="004D0425" w:rsidTr="00A32FD0">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A32FD0" w:rsidRDefault="00A32FD0" w:rsidP="00C22767">
            <w:pPr>
              <w:keepNext/>
              <w:spacing w:before="40" w:after="40"/>
              <w:ind w:left="132"/>
              <w:rPr>
                <w:rFonts w:cs="Arial"/>
              </w:rPr>
            </w:pPr>
            <w:r w:rsidRPr="004C4D5F">
              <w:rPr>
                <w:rFonts w:cs="Arial"/>
              </w:rPr>
              <w:t>SF424</w:t>
            </w:r>
            <w:r>
              <w:rPr>
                <w:rFonts w:cs="Arial"/>
              </w:rPr>
              <w:t xml:space="preserve"> (0348-0043)</w:t>
            </w:r>
          </w:p>
          <w:p w:rsidR="00A32FD0" w:rsidRPr="004C4D5F" w:rsidRDefault="00A32FD0" w:rsidP="00C22767">
            <w:pPr>
              <w:keepNext/>
              <w:spacing w:before="40" w:after="40"/>
              <w:ind w:left="132"/>
              <w:rPr>
                <w:rFonts w:cs="Arial"/>
              </w:rPr>
            </w:pPr>
            <w:r>
              <w:rPr>
                <w:rFonts w:cs="Arial"/>
              </w:rPr>
              <w:t>Application for Federal Assistance</w:t>
            </w:r>
          </w:p>
        </w:tc>
        <w:tc>
          <w:tcPr>
            <w:tcW w:w="624" w:type="pct"/>
            <w:tcBorders>
              <w:top w:val="nil"/>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ind w:right="552"/>
              <w:jc w:val="right"/>
              <w:rPr>
                <w:rFonts w:cs="Arial"/>
              </w:rPr>
            </w:pPr>
            <w:r>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jc w:val="center"/>
              <w:rPr>
                <w:rFonts w:cs="Arial"/>
              </w:rPr>
            </w:pPr>
            <w:r w:rsidRPr="004C4D5F">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ind w:right="252"/>
              <w:jc w:val="right"/>
              <w:rPr>
                <w:rFonts w:cs="Arial"/>
              </w:rPr>
            </w:pPr>
            <w:r>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A32FD0" w:rsidRPr="004C4D5F" w:rsidRDefault="00A32FD0" w:rsidP="00C22767">
            <w:pPr>
              <w:tabs>
                <w:tab w:val="left" w:pos="252"/>
                <w:tab w:val="left" w:pos="897"/>
              </w:tabs>
              <w:spacing w:before="40" w:after="40"/>
              <w:ind w:left="-212" w:right="176"/>
              <w:jc w:val="right"/>
              <w:rPr>
                <w:rFonts w:cs="Arial"/>
              </w:rPr>
            </w:pPr>
            <w:r w:rsidRPr="004C4D5F">
              <w:rPr>
                <w:rFonts w:cs="Arial"/>
              </w:rPr>
              <w:t>0.75</w:t>
            </w:r>
          </w:p>
        </w:tc>
        <w:tc>
          <w:tcPr>
            <w:tcW w:w="582" w:type="pct"/>
            <w:tcBorders>
              <w:top w:val="nil"/>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ind w:right="392"/>
              <w:jc w:val="right"/>
              <w:rPr>
                <w:rFonts w:cs="Arial"/>
              </w:rPr>
            </w:pPr>
            <w:r>
              <w:rPr>
                <w:rFonts w:cs="Arial"/>
              </w:rPr>
              <w:t>198.75</w:t>
            </w:r>
          </w:p>
        </w:tc>
      </w:tr>
      <w:tr w:rsidR="00A32FD0" w:rsidRPr="004D0425" w:rsidTr="00A32FD0">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A32FD0" w:rsidRDefault="00A32FD0" w:rsidP="00C22767">
            <w:pPr>
              <w:keepNext/>
              <w:spacing w:before="40" w:after="40"/>
              <w:ind w:left="132"/>
              <w:rPr>
                <w:rFonts w:cs="Arial"/>
              </w:rPr>
            </w:pPr>
            <w:r w:rsidRPr="004C4D5F">
              <w:rPr>
                <w:rFonts w:cs="Arial"/>
              </w:rPr>
              <w:t>SF LLL</w:t>
            </w:r>
            <w:r>
              <w:rPr>
                <w:rFonts w:cs="Arial"/>
              </w:rPr>
              <w:t xml:space="preserve"> (0348-0046)</w:t>
            </w:r>
          </w:p>
          <w:p w:rsidR="00A32FD0" w:rsidRPr="004C4D5F" w:rsidRDefault="00A32FD0" w:rsidP="00C22767">
            <w:pPr>
              <w:keepNext/>
              <w:spacing w:before="40" w:after="40"/>
              <w:ind w:left="132"/>
              <w:rPr>
                <w:rFonts w:cs="Arial"/>
              </w:rPr>
            </w:pPr>
            <w:r>
              <w:rPr>
                <w:rFonts w:cs="Arial"/>
              </w:rPr>
              <w:t>Lobbying Form</w:t>
            </w:r>
          </w:p>
        </w:tc>
        <w:tc>
          <w:tcPr>
            <w:tcW w:w="624" w:type="pct"/>
            <w:tcBorders>
              <w:top w:val="nil"/>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ind w:right="552"/>
              <w:jc w:val="right"/>
              <w:rPr>
                <w:rFonts w:cs="Arial"/>
              </w:rPr>
            </w:pPr>
            <w:r>
              <w:rPr>
                <w:rFonts w:cs="Arial"/>
              </w:rPr>
              <w:t>10</w:t>
            </w:r>
          </w:p>
        </w:tc>
        <w:tc>
          <w:tcPr>
            <w:tcW w:w="623" w:type="pct"/>
            <w:tcBorders>
              <w:top w:val="nil"/>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jc w:val="center"/>
              <w:rPr>
                <w:rFonts w:cs="Arial"/>
              </w:rPr>
            </w:pPr>
            <w:r w:rsidRPr="004C4D5F">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ind w:right="252"/>
              <w:jc w:val="right"/>
              <w:rPr>
                <w:rFonts w:cs="Arial"/>
              </w:rPr>
            </w:pPr>
            <w:r>
              <w:rPr>
                <w:rFonts w:cs="Arial"/>
              </w:rPr>
              <w:t>10</w:t>
            </w:r>
          </w:p>
        </w:tc>
        <w:tc>
          <w:tcPr>
            <w:tcW w:w="583" w:type="pct"/>
            <w:tcBorders>
              <w:top w:val="nil"/>
              <w:left w:val="nil"/>
              <w:bottom w:val="single" w:sz="4" w:space="0" w:color="auto"/>
              <w:right w:val="single" w:sz="4" w:space="0" w:color="auto"/>
            </w:tcBorders>
            <w:shd w:val="clear" w:color="000000" w:fill="FFFFFF"/>
            <w:vAlign w:val="center"/>
            <w:hideMark/>
          </w:tcPr>
          <w:p w:rsidR="00A32FD0" w:rsidRPr="004C4D5F" w:rsidRDefault="00A32FD0" w:rsidP="00C22767">
            <w:pPr>
              <w:tabs>
                <w:tab w:val="left" w:pos="897"/>
              </w:tabs>
              <w:spacing w:before="40" w:after="40"/>
              <w:ind w:left="-212" w:right="176"/>
              <w:jc w:val="right"/>
              <w:rPr>
                <w:rFonts w:cs="Arial"/>
              </w:rPr>
            </w:pPr>
            <w:r w:rsidRPr="004C4D5F">
              <w:rPr>
                <w:rFonts w:cs="Arial"/>
              </w:rPr>
              <w:t>0.17</w:t>
            </w:r>
          </w:p>
        </w:tc>
        <w:tc>
          <w:tcPr>
            <w:tcW w:w="582" w:type="pct"/>
            <w:tcBorders>
              <w:top w:val="nil"/>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ind w:right="392"/>
              <w:jc w:val="right"/>
              <w:rPr>
                <w:rFonts w:cs="Arial"/>
              </w:rPr>
            </w:pPr>
            <w:r>
              <w:rPr>
                <w:rFonts w:cs="Arial"/>
              </w:rPr>
              <w:t>1.7</w:t>
            </w:r>
          </w:p>
        </w:tc>
      </w:tr>
      <w:tr w:rsidR="00A32FD0" w:rsidRPr="004D0425" w:rsidTr="00A32FD0">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A32FD0" w:rsidRDefault="00A32FD0" w:rsidP="00C22767">
            <w:pPr>
              <w:keepNext/>
              <w:spacing w:before="40" w:after="40"/>
              <w:ind w:left="132"/>
              <w:rPr>
                <w:rFonts w:cs="Arial"/>
              </w:rPr>
            </w:pPr>
            <w:r>
              <w:rPr>
                <w:rFonts w:cs="Arial"/>
              </w:rPr>
              <w:t>HUD-96011 (2535-0118)</w:t>
            </w:r>
          </w:p>
          <w:p w:rsidR="00A32FD0" w:rsidRDefault="00A32FD0" w:rsidP="00C22767">
            <w:pPr>
              <w:keepNext/>
              <w:spacing w:before="40" w:after="40"/>
              <w:ind w:left="132"/>
              <w:rPr>
                <w:rFonts w:cs="Arial"/>
              </w:rPr>
            </w:pPr>
            <w:r>
              <w:rPr>
                <w:rFonts w:cs="Arial"/>
              </w:rPr>
              <w:t>3</w:t>
            </w:r>
            <w:r w:rsidRPr="00A50CEC">
              <w:rPr>
                <w:rFonts w:cs="Arial"/>
                <w:vertAlign w:val="superscript"/>
              </w:rPr>
              <w:t>rd</w:t>
            </w:r>
            <w:r>
              <w:rPr>
                <w:rFonts w:cs="Arial"/>
              </w:rPr>
              <w:t xml:space="preserve"> Party Documentation</w:t>
            </w:r>
          </w:p>
          <w:p w:rsidR="00A32FD0" w:rsidRPr="004C4D5F" w:rsidRDefault="00A32FD0" w:rsidP="00C22767">
            <w:pPr>
              <w:keepNext/>
              <w:spacing w:before="40" w:after="40"/>
              <w:ind w:left="132"/>
              <w:rPr>
                <w:rFonts w:cs="Arial"/>
              </w:rPr>
            </w:pPr>
            <w:r>
              <w:rPr>
                <w:rFonts w:cs="Arial"/>
              </w:rPr>
              <w:t>Facsimile Transmittal</w:t>
            </w:r>
          </w:p>
        </w:tc>
        <w:tc>
          <w:tcPr>
            <w:tcW w:w="624" w:type="pct"/>
            <w:tcBorders>
              <w:top w:val="nil"/>
              <w:left w:val="nil"/>
              <w:bottom w:val="single" w:sz="4" w:space="0" w:color="auto"/>
              <w:right w:val="single" w:sz="4" w:space="0" w:color="auto"/>
            </w:tcBorders>
            <w:shd w:val="clear" w:color="000000" w:fill="FFFFFF"/>
            <w:vAlign w:val="center"/>
            <w:hideMark/>
          </w:tcPr>
          <w:p w:rsidR="00A32FD0" w:rsidRDefault="00A32FD0" w:rsidP="00C22767">
            <w:pPr>
              <w:spacing w:before="40" w:after="40"/>
              <w:ind w:right="552"/>
              <w:jc w:val="right"/>
              <w:rPr>
                <w:rFonts w:cs="Arial"/>
              </w:rPr>
            </w:pPr>
            <w:r>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jc w:val="center"/>
              <w:rPr>
                <w:rFonts w:cs="Arial"/>
              </w:rPr>
            </w:pPr>
            <w:r>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A32FD0" w:rsidRDefault="00A32FD0" w:rsidP="00C22767">
            <w:pPr>
              <w:spacing w:before="40" w:after="40"/>
              <w:ind w:right="252"/>
              <w:jc w:val="right"/>
              <w:rPr>
                <w:rFonts w:cs="Arial"/>
              </w:rPr>
            </w:pPr>
            <w:r>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A32FD0" w:rsidRPr="004C4D5F" w:rsidRDefault="00A32FD0" w:rsidP="00C22767">
            <w:pPr>
              <w:tabs>
                <w:tab w:val="left" w:pos="897"/>
              </w:tabs>
              <w:spacing w:before="40" w:after="40"/>
              <w:ind w:left="-212" w:right="176"/>
              <w:jc w:val="right"/>
              <w:rPr>
                <w:rFonts w:cs="Arial"/>
              </w:rPr>
            </w:pPr>
            <w:r>
              <w:rPr>
                <w:rFonts w:cs="Arial"/>
              </w:rPr>
              <w:t>0.1</w:t>
            </w:r>
          </w:p>
        </w:tc>
        <w:tc>
          <w:tcPr>
            <w:tcW w:w="582" w:type="pct"/>
            <w:tcBorders>
              <w:top w:val="nil"/>
              <w:left w:val="nil"/>
              <w:bottom w:val="single" w:sz="4" w:space="0" w:color="auto"/>
              <w:right w:val="single" w:sz="4" w:space="0" w:color="auto"/>
            </w:tcBorders>
            <w:shd w:val="clear" w:color="000000" w:fill="FFFFFF"/>
            <w:vAlign w:val="center"/>
            <w:hideMark/>
          </w:tcPr>
          <w:p w:rsidR="00A32FD0" w:rsidRDefault="00A32FD0" w:rsidP="00C22767">
            <w:pPr>
              <w:spacing w:before="40" w:after="40"/>
              <w:ind w:right="392"/>
              <w:jc w:val="right"/>
              <w:rPr>
                <w:rFonts w:cs="Arial"/>
              </w:rPr>
            </w:pPr>
            <w:r>
              <w:rPr>
                <w:rFonts w:cs="Arial"/>
              </w:rPr>
              <w:t>26.5</w:t>
            </w:r>
          </w:p>
        </w:tc>
      </w:tr>
      <w:tr w:rsidR="00A32FD0" w:rsidRPr="004D0425" w:rsidTr="00A32FD0">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A32FD0" w:rsidRPr="004C4D5F" w:rsidRDefault="00A32FD0" w:rsidP="00C22767">
            <w:pPr>
              <w:keepNext/>
              <w:spacing w:before="40" w:after="40"/>
              <w:ind w:left="132"/>
              <w:rPr>
                <w:rFonts w:cs="Arial"/>
              </w:rPr>
            </w:pPr>
            <w:r>
              <w:rPr>
                <w:rFonts w:cs="Arial"/>
              </w:rPr>
              <w:t>HUD -2993 Acknowledgement of Application Receipt (2577-0259)</w:t>
            </w:r>
          </w:p>
        </w:tc>
        <w:tc>
          <w:tcPr>
            <w:tcW w:w="624" w:type="pct"/>
            <w:tcBorders>
              <w:top w:val="nil"/>
              <w:left w:val="nil"/>
              <w:bottom w:val="single" w:sz="4" w:space="0" w:color="auto"/>
              <w:right w:val="single" w:sz="4" w:space="0" w:color="auto"/>
            </w:tcBorders>
            <w:shd w:val="clear" w:color="000000" w:fill="FFFFFF"/>
            <w:vAlign w:val="center"/>
            <w:hideMark/>
          </w:tcPr>
          <w:p w:rsidR="00A32FD0" w:rsidRPr="004C4D5F" w:rsidRDefault="00A32FD0" w:rsidP="00A32FD0">
            <w:pPr>
              <w:spacing w:before="40" w:after="40"/>
              <w:ind w:right="552"/>
              <w:jc w:val="right"/>
              <w:rPr>
                <w:rFonts w:cs="Arial"/>
              </w:rPr>
            </w:pPr>
            <w:r>
              <w:rPr>
                <w:rFonts w:cs="Arial"/>
              </w:rPr>
              <w:t>13</w:t>
            </w:r>
          </w:p>
        </w:tc>
        <w:tc>
          <w:tcPr>
            <w:tcW w:w="623" w:type="pct"/>
            <w:tcBorders>
              <w:top w:val="nil"/>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jc w:val="center"/>
              <w:rPr>
                <w:rFonts w:cs="Arial"/>
              </w:rPr>
            </w:pPr>
            <w:r>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ind w:right="252"/>
              <w:jc w:val="right"/>
              <w:rPr>
                <w:rFonts w:cs="Arial"/>
              </w:rPr>
            </w:pPr>
            <w:r>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ind w:left="-212" w:right="416"/>
              <w:jc w:val="right"/>
              <w:rPr>
                <w:rFonts w:cs="Arial"/>
              </w:rPr>
            </w:pPr>
            <w:r>
              <w:rPr>
                <w:rFonts w:cs="Arial"/>
              </w:rPr>
              <w:t>0</w:t>
            </w:r>
          </w:p>
        </w:tc>
        <w:tc>
          <w:tcPr>
            <w:tcW w:w="582" w:type="pct"/>
            <w:tcBorders>
              <w:top w:val="nil"/>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ind w:right="392"/>
              <w:jc w:val="right"/>
              <w:rPr>
                <w:rFonts w:cs="Arial"/>
              </w:rPr>
            </w:pPr>
            <w:r>
              <w:rPr>
                <w:rFonts w:cs="Arial"/>
              </w:rPr>
              <w:t>0</w:t>
            </w:r>
          </w:p>
        </w:tc>
      </w:tr>
      <w:tr w:rsidR="00A32FD0" w:rsidRPr="004D0425" w:rsidTr="00A32FD0">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A32FD0" w:rsidRDefault="00A32FD0" w:rsidP="00C22767">
            <w:pPr>
              <w:keepNext/>
              <w:spacing w:before="40" w:after="40"/>
              <w:rPr>
                <w:rFonts w:cs="Arial"/>
              </w:rPr>
            </w:pPr>
            <w:r>
              <w:rPr>
                <w:rFonts w:cs="Arial"/>
              </w:rPr>
              <w:t>Logic Model-HUD-96010</w:t>
            </w:r>
          </w:p>
          <w:p w:rsidR="00A32FD0" w:rsidRPr="00901610" w:rsidRDefault="00A32FD0" w:rsidP="00C22767">
            <w:pPr>
              <w:keepNext/>
              <w:spacing w:before="40" w:after="40"/>
              <w:rPr>
                <w:rFonts w:cs="Arial"/>
              </w:rPr>
            </w:pPr>
            <w:r>
              <w:rPr>
                <w:rFonts w:cs="Arial"/>
              </w:rPr>
              <w:t>(2535-0114)</w:t>
            </w:r>
          </w:p>
        </w:tc>
        <w:tc>
          <w:tcPr>
            <w:tcW w:w="624" w:type="pct"/>
            <w:tcBorders>
              <w:top w:val="nil"/>
              <w:left w:val="nil"/>
              <w:bottom w:val="single" w:sz="4" w:space="0" w:color="auto"/>
              <w:right w:val="single" w:sz="4" w:space="0" w:color="auto"/>
            </w:tcBorders>
            <w:shd w:val="clear" w:color="000000" w:fill="FFFFFF"/>
            <w:vAlign w:val="center"/>
            <w:hideMark/>
          </w:tcPr>
          <w:p w:rsidR="00A32FD0" w:rsidRPr="00901610" w:rsidRDefault="00A32FD0" w:rsidP="00C22767">
            <w:pPr>
              <w:spacing w:before="40" w:after="40"/>
              <w:ind w:right="552"/>
              <w:jc w:val="right"/>
              <w:rPr>
                <w:rFonts w:cs="Arial"/>
              </w:rPr>
            </w:pPr>
            <w:r>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A32FD0" w:rsidRPr="00901610" w:rsidRDefault="00A32FD0" w:rsidP="00C22767">
            <w:pPr>
              <w:spacing w:before="40" w:after="40"/>
              <w:jc w:val="center"/>
              <w:rPr>
                <w:rFonts w:cs="Arial"/>
              </w:rPr>
            </w:pPr>
            <w:r>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A32FD0" w:rsidRPr="00901610" w:rsidRDefault="00A32FD0" w:rsidP="00C22767">
            <w:pPr>
              <w:spacing w:before="40" w:after="40"/>
              <w:ind w:right="252"/>
              <w:jc w:val="right"/>
              <w:rPr>
                <w:rFonts w:cs="Arial"/>
              </w:rPr>
            </w:pPr>
            <w:r>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A32FD0" w:rsidRPr="00901610" w:rsidRDefault="00A32FD0" w:rsidP="00C22767">
            <w:pPr>
              <w:spacing w:before="40" w:after="40"/>
              <w:ind w:left="-212" w:right="416"/>
              <w:jc w:val="right"/>
              <w:rPr>
                <w:rFonts w:cs="Arial"/>
              </w:rPr>
            </w:pPr>
            <w:r>
              <w:rPr>
                <w:rFonts w:cs="Arial"/>
              </w:rPr>
              <w:t>0</w:t>
            </w:r>
          </w:p>
        </w:tc>
        <w:tc>
          <w:tcPr>
            <w:tcW w:w="582" w:type="pct"/>
            <w:tcBorders>
              <w:top w:val="nil"/>
              <w:left w:val="nil"/>
              <w:bottom w:val="single" w:sz="4" w:space="0" w:color="auto"/>
              <w:right w:val="single" w:sz="4" w:space="0" w:color="auto"/>
            </w:tcBorders>
            <w:shd w:val="clear" w:color="000000" w:fill="FFFFFF"/>
            <w:vAlign w:val="center"/>
            <w:hideMark/>
          </w:tcPr>
          <w:p w:rsidR="00A32FD0" w:rsidRPr="00901610" w:rsidRDefault="00A32FD0" w:rsidP="00C22767">
            <w:pPr>
              <w:spacing w:before="40" w:after="40"/>
              <w:ind w:right="392"/>
              <w:jc w:val="right"/>
              <w:rPr>
                <w:rFonts w:cs="Arial"/>
              </w:rPr>
            </w:pPr>
            <w:r>
              <w:rPr>
                <w:rFonts w:cs="Arial"/>
              </w:rPr>
              <w:t>0</w:t>
            </w:r>
          </w:p>
        </w:tc>
      </w:tr>
      <w:tr w:rsidR="00A32FD0" w:rsidRPr="004D0425" w:rsidTr="00A32FD0">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A32FD0" w:rsidRDefault="00A32FD0" w:rsidP="00C22767">
            <w:pPr>
              <w:keepNext/>
              <w:spacing w:before="40" w:after="40"/>
              <w:ind w:left="132"/>
              <w:rPr>
                <w:rFonts w:cs="Arial"/>
              </w:rPr>
            </w:pPr>
            <w:r>
              <w:rPr>
                <w:rFonts w:cs="Arial"/>
              </w:rPr>
              <w:t>PCWA Statement of Need (maximum of 5 pages)</w:t>
            </w:r>
          </w:p>
        </w:tc>
        <w:tc>
          <w:tcPr>
            <w:tcW w:w="624"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552"/>
              <w:jc w:val="right"/>
              <w:rPr>
                <w:rFonts w:cs="Arial"/>
              </w:rPr>
            </w:pPr>
            <w:r w:rsidRPr="00C51B64">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jc w:val="center"/>
              <w:rPr>
                <w:rFonts w:cs="Arial"/>
              </w:rPr>
            </w:pPr>
            <w:r w:rsidRPr="00C51B64">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252"/>
              <w:jc w:val="right"/>
              <w:rPr>
                <w:rFonts w:cs="Arial"/>
              </w:rPr>
            </w:pPr>
            <w:r w:rsidRPr="00C51B64">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A32FD0" w:rsidRPr="00C51B64" w:rsidRDefault="00BA7B1A" w:rsidP="00BA7B1A">
            <w:pPr>
              <w:spacing w:before="40" w:after="40"/>
              <w:ind w:left="-212" w:right="416"/>
              <w:jc w:val="right"/>
              <w:rPr>
                <w:rFonts w:cs="Arial"/>
              </w:rPr>
            </w:pPr>
            <w:r>
              <w:rPr>
                <w:rFonts w:cs="Arial"/>
              </w:rPr>
              <w:t>2</w:t>
            </w:r>
            <w:r w:rsidR="00A32FD0" w:rsidRPr="00C51B64">
              <w:rPr>
                <w:rFonts w:cs="Arial"/>
              </w:rPr>
              <w:t>.25</w:t>
            </w:r>
          </w:p>
        </w:tc>
        <w:tc>
          <w:tcPr>
            <w:tcW w:w="582" w:type="pct"/>
            <w:tcBorders>
              <w:top w:val="nil"/>
              <w:left w:val="nil"/>
              <w:bottom w:val="single" w:sz="4" w:space="0" w:color="auto"/>
              <w:right w:val="single" w:sz="4" w:space="0" w:color="auto"/>
            </w:tcBorders>
            <w:shd w:val="clear" w:color="000000" w:fill="FFFFFF"/>
            <w:vAlign w:val="center"/>
            <w:hideMark/>
          </w:tcPr>
          <w:p w:rsidR="00A32FD0" w:rsidRPr="00C51B64" w:rsidRDefault="00510013" w:rsidP="00C22767">
            <w:pPr>
              <w:spacing w:before="40" w:after="40"/>
              <w:ind w:right="392"/>
              <w:jc w:val="right"/>
              <w:rPr>
                <w:rFonts w:cs="Arial"/>
              </w:rPr>
            </w:pPr>
            <w:r>
              <w:rPr>
                <w:rFonts w:cs="Arial"/>
              </w:rPr>
              <w:t>596.25</w:t>
            </w:r>
          </w:p>
        </w:tc>
      </w:tr>
      <w:tr w:rsidR="00A32FD0" w:rsidRPr="004D0425" w:rsidTr="00A32FD0">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A32FD0" w:rsidRPr="00901610" w:rsidRDefault="00A32FD0" w:rsidP="00C22767">
            <w:pPr>
              <w:keepNext/>
              <w:spacing w:before="40" w:after="40"/>
              <w:ind w:left="132"/>
              <w:rPr>
                <w:rFonts w:cs="Arial"/>
              </w:rPr>
            </w:pPr>
            <w:r>
              <w:rPr>
                <w:rFonts w:cs="Arial"/>
              </w:rPr>
              <w:t>Memorandum of Understanding between PHA and PCWA</w:t>
            </w:r>
          </w:p>
        </w:tc>
        <w:tc>
          <w:tcPr>
            <w:tcW w:w="624"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552"/>
              <w:jc w:val="right"/>
              <w:rPr>
                <w:rFonts w:cs="Arial"/>
              </w:rPr>
            </w:pPr>
            <w:r w:rsidRPr="00C51B64">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jc w:val="center"/>
              <w:rPr>
                <w:rFonts w:cs="Arial"/>
              </w:rPr>
            </w:pPr>
            <w:r w:rsidRPr="00C51B64">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252"/>
              <w:jc w:val="right"/>
              <w:rPr>
                <w:rFonts w:cs="Arial"/>
              </w:rPr>
            </w:pPr>
            <w:r w:rsidRPr="00C51B64">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left="-212" w:right="416"/>
              <w:jc w:val="right"/>
              <w:rPr>
                <w:rFonts w:cs="Arial"/>
              </w:rPr>
            </w:pPr>
            <w:r>
              <w:rPr>
                <w:rFonts w:cs="Arial"/>
              </w:rPr>
              <w:t>6</w:t>
            </w:r>
          </w:p>
        </w:tc>
        <w:tc>
          <w:tcPr>
            <w:tcW w:w="582"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392"/>
              <w:jc w:val="right"/>
              <w:rPr>
                <w:rFonts w:cs="Arial"/>
              </w:rPr>
            </w:pPr>
            <w:r>
              <w:rPr>
                <w:rFonts w:cs="Arial"/>
              </w:rPr>
              <w:t>1590</w:t>
            </w:r>
          </w:p>
        </w:tc>
      </w:tr>
      <w:tr w:rsidR="00A32FD0" w:rsidRPr="004D0425" w:rsidTr="00A32FD0">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A32FD0" w:rsidRPr="00901610" w:rsidRDefault="00A32FD0" w:rsidP="00C22767">
            <w:pPr>
              <w:keepNext/>
              <w:spacing w:before="40" w:after="40"/>
              <w:ind w:left="132"/>
              <w:rPr>
                <w:rFonts w:cs="Arial"/>
              </w:rPr>
            </w:pPr>
            <w:r w:rsidRPr="00901610">
              <w:rPr>
                <w:rFonts w:cs="Arial"/>
              </w:rPr>
              <w:t xml:space="preserve">Rating Criteria 1: </w:t>
            </w:r>
            <w:r>
              <w:rPr>
                <w:rFonts w:cs="Arial"/>
              </w:rPr>
              <w:t>Area-Wide Housing Opportunities. Narratives</w:t>
            </w:r>
            <w:r w:rsidRPr="00901610">
              <w:rPr>
                <w:rFonts w:cs="Arial"/>
              </w:rPr>
              <w:t xml:space="preserve"> (up to </w:t>
            </w:r>
            <w:r>
              <w:rPr>
                <w:rFonts w:cs="Arial"/>
              </w:rPr>
              <w:t>20</w:t>
            </w:r>
            <w:r w:rsidRPr="00901610">
              <w:rPr>
                <w:rFonts w:cs="Arial"/>
              </w:rPr>
              <w:t xml:space="preserve"> pages)</w:t>
            </w:r>
            <w:r>
              <w:rPr>
                <w:rFonts w:cs="Arial"/>
              </w:rPr>
              <w:t>. Logic Model (HUD-96010)</w:t>
            </w:r>
          </w:p>
        </w:tc>
        <w:tc>
          <w:tcPr>
            <w:tcW w:w="624"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552"/>
              <w:jc w:val="right"/>
              <w:rPr>
                <w:rFonts w:cs="Arial"/>
              </w:rPr>
            </w:pPr>
            <w:r w:rsidRPr="00C51B64">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jc w:val="center"/>
              <w:rPr>
                <w:rFonts w:cs="Arial"/>
              </w:rPr>
            </w:pPr>
            <w:r w:rsidRPr="00C51B64">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252"/>
              <w:jc w:val="right"/>
              <w:rPr>
                <w:rFonts w:cs="Arial"/>
              </w:rPr>
            </w:pPr>
            <w:r w:rsidRPr="00C51B64">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left="-212" w:right="416"/>
              <w:jc w:val="right"/>
              <w:rPr>
                <w:rFonts w:cs="Arial"/>
              </w:rPr>
            </w:pPr>
            <w:r>
              <w:rPr>
                <w:rFonts w:cs="Arial"/>
              </w:rPr>
              <w:t>3</w:t>
            </w:r>
          </w:p>
        </w:tc>
        <w:tc>
          <w:tcPr>
            <w:tcW w:w="582"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392"/>
              <w:jc w:val="right"/>
              <w:rPr>
                <w:rFonts w:cs="Arial"/>
              </w:rPr>
            </w:pPr>
            <w:r>
              <w:rPr>
                <w:rFonts w:cs="Arial"/>
              </w:rPr>
              <w:t>795</w:t>
            </w:r>
          </w:p>
        </w:tc>
      </w:tr>
      <w:tr w:rsidR="00A32FD0" w:rsidRPr="004D0425" w:rsidTr="00A32FD0">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A32FD0" w:rsidRPr="00901610" w:rsidRDefault="00A32FD0" w:rsidP="00C22767">
            <w:pPr>
              <w:keepNext/>
              <w:spacing w:before="40" w:after="40"/>
              <w:ind w:left="132"/>
              <w:rPr>
                <w:rFonts w:cs="Arial"/>
              </w:rPr>
            </w:pPr>
            <w:r w:rsidRPr="00901610">
              <w:rPr>
                <w:rFonts w:cs="Arial"/>
              </w:rPr>
              <w:t xml:space="preserve">Rating Criteria 2: </w:t>
            </w:r>
            <w:r>
              <w:rPr>
                <w:rFonts w:cs="Arial"/>
              </w:rPr>
              <w:t>PCWA Commitments. Narratives</w:t>
            </w:r>
            <w:r w:rsidRPr="00901610">
              <w:rPr>
                <w:rFonts w:cs="Arial"/>
              </w:rPr>
              <w:t xml:space="preserve"> (up to </w:t>
            </w:r>
            <w:r>
              <w:rPr>
                <w:rFonts w:cs="Arial"/>
              </w:rPr>
              <w:t>10</w:t>
            </w:r>
            <w:r w:rsidRPr="00901610">
              <w:rPr>
                <w:rFonts w:cs="Arial"/>
              </w:rPr>
              <w:t xml:space="preserve"> pages)</w:t>
            </w:r>
            <w:r>
              <w:rPr>
                <w:rFonts w:cs="Arial"/>
              </w:rPr>
              <w:t>. Other Documentation</w:t>
            </w:r>
          </w:p>
        </w:tc>
        <w:tc>
          <w:tcPr>
            <w:tcW w:w="624"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552"/>
              <w:jc w:val="right"/>
              <w:rPr>
                <w:rFonts w:cs="Arial"/>
              </w:rPr>
            </w:pPr>
            <w:r w:rsidRPr="00C51B64">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jc w:val="center"/>
              <w:rPr>
                <w:rFonts w:cs="Arial"/>
              </w:rPr>
            </w:pPr>
            <w:r w:rsidRPr="00C51B64">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252"/>
              <w:jc w:val="right"/>
              <w:rPr>
                <w:rFonts w:cs="Arial"/>
              </w:rPr>
            </w:pPr>
            <w:r w:rsidRPr="00C51B64">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left="-212" w:right="416"/>
              <w:jc w:val="right"/>
              <w:rPr>
                <w:rFonts w:cs="Arial"/>
              </w:rPr>
            </w:pPr>
            <w:r w:rsidRPr="00C51B64">
              <w:rPr>
                <w:rFonts w:cs="Arial"/>
              </w:rPr>
              <w:t>1.25</w:t>
            </w:r>
          </w:p>
        </w:tc>
        <w:tc>
          <w:tcPr>
            <w:tcW w:w="582"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392"/>
              <w:jc w:val="right"/>
              <w:rPr>
                <w:rFonts w:cs="Arial"/>
              </w:rPr>
            </w:pPr>
            <w:r w:rsidRPr="00C51B64">
              <w:rPr>
                <w:rFonts w:cs="Arial"/>
              </w:rPr>
              <w:t>331.25</w:t>
            </w:r>
          </w:p>
        </w:tc>
      </w:tr>
      <w:tr w:rsidR="00A32FD0" w:rsidRPr="004D0425" w:rsidTr="00A32FD0">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A32FD0" w:rsidRDefault="00A32FD0" w:rsidP="00C22767">
            <w:pPr>
              <w:keepNext/>
              <w:spacing w:before="40" w:after="40"/>
              <w:ind w:left="132"/>
              <w:rPr>
                <w:rFonts w:cs="Arial"/>
              </w:rPr>
            </w:pPr>
            <w:r w:rsidRPr="00901610">
              <w:rPr>
                <w:rFonts w:cs="Arial"/>
              </w:rPr>
              <w:t xml:space="preserve">Rating Criteria 3: </w:t>
            </w:r>
            <w:r>
              <w:rPr>
                <w:rFonts w:cs="Arial"/>
              </w:rPr>
              <w:t>Self-Sufficiency Programs. Narrative: (up to 6 pages)</w:t>
            </w:r>
          </w:p>
          <w:p w:rsidR="00A32FD0" w:rsidRDefault="00A32FD0" w:rsidP="00C22767">
            <w:pPr>
              <w:keepNext/>
              <w:spacing w:before="40" w:after="40"/>
              <w:ind w:left="132"/>
              <w:rPr>
                <w:rFonts w:cs="Arial"/>
              </w:rPr>
            </w:pPr>
            <w:r>
              <w:rPr>
                <w:rFonts w:cs="Arial"/>
              </w:rPr>
              <w:t>Documentation:  Excerpt from Administrative Plan or policies manual for FSS program operations</w:t>
            </w:r>
          </w:p>
          <w:p w:rsidR="00A32FD0" w:rsidRPr="00901610" w:rsidRDefault="00A32FD0" w:rsidP="00C22767">
            <w:pPr>
              <w:keepNext/>
              <w:spacing w:before="40" w:after="40"/>
              <w:ind w:left="132"/>
              <w:rPr>
                <w:rFonts w:cs="Arial"/>
              </w:rPr>
            </w:pPr>
            <w:r>
              <w:rPr>
                <w:rFonts w:cs="Arial"/>
              </w:rPr>
              <w:t>Certification:  FUP recipients enrolled in FSS</w:t>
            </w:r>
          </w:p>
        </w:tc>
        <w:tc>
          <w:tcPr>
            <w:tcW w:w="624"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552"/>
              <w:jc w:val="right"/>
              <w:rPr>
                <w:rFonts w:cs="Arial"/>
              </w:rPr>
            </w:pPr>
            <w:r w:rsidRPr="00C51B64">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jc w:val="center"/>
              <w:rPr>
                <w:rFonts w:cs="Arial"/>
              </w:rPr>
            </w:pPr>
            <w:r w:rsidRPr="00C51B64">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252"/>
              <w:jc w:val="right"/>
              <w:rPr>
                <w:rFonts w:cs="Arial"/>
              </w:rPr>
            </w:pPr>
            <w:r w:rsidRPr="00C51B64">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left="-212" w:right="416"/>
              <w:jc w:val="right"/>
              <w:rPr>
                <w:rFonts w:cs="Arial"/>
              </w:rPr>
            </w:pPr>
            <w:r>
              <w:rPr>
                <w:rFonts w:cs="Arial"/>
              </w:rPr>
              <w:t>0</w:t>
            </w:r>
            <w:r w:rsidRPr="00C51B64">
              <w:rPr>
                <w:rFonts w:cs="Arial"/>
              </w:rPr>
              <w:t>.5</w:t>
            </w:r>
          </w:p>
        </w:tc>
        <w:tc>
          <w:tcPr>
            <w:tcW w:w="582"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392"/>
              <w:jc w:val="right"/>
              <w:rPr>
                <w:rFonts w:cs="Arial"/>
              </w:rPr>
            </w:pPr>
            <w:r w:rsidRPr="00C51B64">
              <w:rPr>
                <w:rFonts w:cs="Arial"/>
              </w:rPr>
              <w:t>132.5</w:t>
            </w:r>
          </w:p>
        </w:tc>
      </w:tr>
      <w:tr w:rsidR="00A32FD0" w:rsidRPr="004D0425" w:rsidTr="00A32FD0">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A32FD0" w:rsidRDefault="00A32FD0" w:rsidP="00C22767">
            <w:pPr>
              <w:keepNext/>
              <w:spacing w:before="40" w:after="40"/>
              <w:ind w:left="132"/>
              <w:rPr>
                <w:rFonts w:cs="Arial"/>
              </w:rPr>
            </w:pPr>
            <w:r w:rsidRPr="00901610">
              <w:rPr>
                <w:rFonts w:cs="Arial"/>
              </w:rPr>
              <w:t xml:space="preserve">Rating Criteria 4: </w:t>
            </w:r>
            <w:r>
              <w:rPr>
                <w:rFonts w:cs="Arial"/>
              </w:rPr>
              <w:t>Local C</w:t>
            </w:r>
            <w:r w:rsidRPr="00901610">
              <w:rPr>
                <w:rFonts w:cs="Arial"/>
              </w:rPr>
              <w:t xml:space="preserve">oordination </w:t>
            </w:r>
          </w:p>
          <w:p w:rsidR="00A32FD0" w:rsidRPr="00901610" w:rsidRDefault="00A32FD0" w:rsidP="00C22767">
            <w:pPr>
              <w:keepNext/>
              <w:spacing w:before="40" w:after="40"/>
              <w:ind w:left="132"/>
              <w:rPr>
                <w:rFonts w:cs="Arial"/>
              </w:rPr>
            </w:pPr>
            <w:r>
              <w:rPr>
                <w:rFonts w:cs="Arial"/>
              </w:rPr>
              <w:t>Letter of Support</w:t>
            </w:r>
          </w:p>
        </w:tc>
        <w:tc>
          <w:tcPr>
            <w:tcW w:w="624"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552"/>
              <w:jc w:val="right"/>
              <w:rPr>
                <w:rFonts w:cs="Arial"/>
              </w:rPr>
            </w:pPr>
            <w:r w:rsidRPr="00C51B64">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jc w:val="center"/>
              <w:rPr>
                <w:rFonts w:cs="Arial"/>
              </w:rPr>
            </w:pPr>
            <w:r w:rsidRPr="00C51B64">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252"/>
              <w:jc w:val="right"/>
              <w:rPr>
                <w:rFonts w:cs="Arial"/>
              </w:rPr>
            </w:pPr>
            <w:r w:rsidRPr="00C51B64">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left="-212" w:right="416"/>
              <w:jc w:val="right"/>
              <w:rPr>
                <w:rFonts w:cs="Arial"/>
              </w:rPr>
            </w:pPr>
            <w:r w:rsidRPr="00C51B64">
              <w:rPr>
                <w:rFonts w:cs="Arial"/>
              </w:rPr>
              <w:t>1</w:t>
            </w:r>
          </w:p>
        </w:tc>
        <w:tc>
          <w:tcPr>
            <w:tcW w:w="582"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392"/>
              <w:jc w:val="right"/>
              <w:rPr>
                <w:rFonts w:cs="Arial"/>
              </w:rPr>
            </w:pPr>
            <w:r w:rsidRPr="00C51B64">
              <w:rPr>
                <w:rFonts w:cs="Arial"/>
              </w:rPr>
              <w:t>265</w:t>
            </w:r>
          </w:p>
        </w:tc>
      </w:tr>
      <w:tr w:rsidR="00A32FD0" w:rsidRPr="004D0425" w:rsidTr="00A32FD0">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A32FD0" w:rsidRPr="00901610" w:rsidRDefault="00A32FD0" w:rsidP="00C22767">
            <w:pPr>
              <w:keepNext/>
              <w:spacing w:before="40" w:after="40"/>
              <w:rPr>
                <w:rFonts w:cs="Arial"/>
              </w:rPr>
            </w:pPr>
            <w:r w:rsidRPr="00901610">
              <w:rPr>
                <w:rFonts w:cs="Arial"/>
              </w:rPr>
              <w:t>PCWA Contractor Documentation</w:t>
            </w:r>
          </w:p>
        </w:tc>
        <w:tc>
          <w:tcPr>
            <w:tcW w:w="624"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552"/>
              <w:jc w:val="right"/>
              <w:rPr>
                <w:rFonts w:cs="Arial"/>
              </w:rPr>
            </w:pPr>
            <w:r w:rsidRPr="00C51B64">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jc w:val="center"/>
              <w:rPr>
                <w:rFonts w:cs="Arial"/>
              </w:rPr>
            </w:pPr>
            <w:r w:rsidRPr="00C51B64">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252"/>
              <w:jc w:val="right"/>
              <w:rPr>
                <w:rFonts w:cs="Arial"/>
              </w:rPr>
            </w:pPr>
            <w:r w:rsidRPr="00C51B64">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left="-212" w:right="416"/>
              <w:jc w:val="right"/>
              <w:rPr>
                <w:rFonts w:cs="Arial"/>
              </w:rPr>
            </w:pPr>
            <w:r w:rsidRPr="00C51B64">
              <w:rPr>
                <w:rFonts w:cs="Arial"/>
              </w:rPr>
              <w:t>1</w:t>
            </w:r>
          </w:p>
        </w:tc>
        <w:tc>
          <w:tcPr>
            <w:tcW w:w="582"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392"/>
              <w:jc w:val="right"/>
              <w:rPr>
                <w:rFonts w:cs="Arial"/>
              </w:rPr>
            </w:pPr>
            <w:r w:rsidRPr="00C51B64">
              <w:rPr>
                <w:rFonts w:cs="Arial"/>
              </w:rPr>
              <w:t>265</w:t>
            </w:r>
          </w:p>
        </w:tc>
      </w:tr>
      <w:tr w:rsidR="00A32FD0" w:rsidRPr="004D0425" w:rsidTr="00A32FD0">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A32FD0" w:rsidRPr="004C4D5F" w:rsidRDefault="00A32FD0" w:rsidP="00C22767">
            <w:pPr>
              <w:keepNext/>
              <w:spacing w:before="40" w:after="40"/>
              <w:rPr>
                <w:rFonts w:cs="Arial"/>
              </w:rPr>
            </w:pPr>
          </w:p>
        </w:tc>
        <w:tc>
          <w:tcPr>
            <w:tcW w:w="624"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552"/>
              <w:jc w:val="right"/>
              <w:rPr>
                <w:rFonts w:cs="Arial"/>
              </w:rPr>
            </w:pPr>
          </w:p>
        </w:tc>
        <w:tc>
          <w:tcPr>
            <w:tcW w:w="623"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jc w:val="center"/>
              <w:rPr>
                <w:rFonts w:cs="Arial"/>
              </w:rPr>
            </w:pPr>
          </w:p>
        </w:tc>
        <w:tc>
          <w:tcPr>
            <w:tcW w:w="540"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252"/>
              <w:jc w:val="right"/>
              <w:rPr>
                <w:rFonts w:cs="Arial"/>
              </w:rPr>
            </w:pPr>
          </w:p>
        </w:tc>
        <w:tc>
          <w:tcPr>
            <w:tcW w:w="583"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left="-212" w:right="416"/>
              <w:jc w:val="right"/>
              <w:rPr>
                <w:rFonts w:cs="Arial"/>
              </w:rPr>
            </w:pPr>
          </w:p>
        </w:tc>
        <w:tc>
          <w:tcPr>
            <w:tcW w:w="582"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392"/>
              <w:jc w:val="right"/>
              <w:rPr>
                <w:rFonts w:cs="Arial"/>
              </w:rPr>
            </w:pPr>
          </w:p>
        </w:tc>
      </w:tr>
      <w:tr w:rsidR="00A32FD0" w:rsidRPr="004D0425" w:rsidTr="00A32FD0">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A32FD0" w:rsidRPr="004C4D5F" w:rsidRDefault="00A32FD0" w:rsidP="00C22767">
            <w:pPr>
              <w:keepNext/>
              <w:spacing w:before="40" w:after="40"/>
            </w:pPr>
            <w:r>
              <w:t>Funding Application HUD-52515 (2577-0169). Includes leasing schedule</w:t>
            </w:r>
          </w:p>
        </w:tc>
        <w:tc>
          <w:tcPr>
            <w:tcW w:w="624"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552"/>
              <w:jc w:val="right"/>
              <w:rPr>
                <w:rFonts w:cs="Arial"/>
              </w:rPr>
            </w:pPr>
            <w:r w:rsidRPr="00C51B64">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jc w:val="center"/>
              <w:rPr>
                <w:rFonts w:cs="Arial"/>
              </w:rPr>
            </w:pPr>
            <w:r w:rsidRPr="00C51B64">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252"/>
              <w:jc w:val="right"/>
              <w:rPr>
                <w:rFonts w:cs="Arial"/>
              </w:rPr>
            </w:pPr>
            <w:r w:rsidRPr="00C51B64">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left="-212" w:right="416"/>
              <w:jc w:val="right"/>
              <w:rPr>
                <w:rFonts w:cs="Arial"/>
              </w:rPr>
            </w:pPr>
            <w:r w:rsidRPr="00C51B64">
              <w:rPr>
                <w:rFonts w:cs="Arial"/>
              </w:rPr>
              <w:t>.75</w:t>
            </w:r>
          </w:p>
        </w:tc>
        <w:tc>
          <w:tcPr>
            <w:tcW w:w="582"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392"/>
              <w:jc w:val="right"/>
              <w:rPr>
                <w:rFonts w:cs="Arial"/>
              </w:rPr>
            </w:pPr>
            <w:r w:rsidRPr="00C51B64">
              <w:rPr>
                <w:rFonts w:cs="Arial"/>
              </w:rPr>
              <w:t>198.75</w:t>
            </w:r>
          </w:p>
        </w:tc>
      </w:tr>
      <w:tr w:rsidR="00A32FD0" w:rsidRPr="004D0425" w:rsidTr="00A32FD0">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A32FD0" w:rsidRPr="004C4D5F" w:rsidRDefault="00A32FD0" w:rsidP="00C22767">
            <w:pPr>
              <w:keepNext/>
              <w:spacing w:before="40" w:after="40"/>
            </w:pPr>
            <w:r>
              <w:t>Affirmatively Furthering Fair Housing Statement (addendum)</w:t>
            </w:r>
          </w:p>
        </w:tc>
        <w:tc>
          <w:tcPr>
            <w:tcW w:w="624"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552"/>
              <w:jc w:val="right"/>
              <w:rPr>
                <w:rFonts w:cs="Arial"/>
              </w:rPr>
            </w:pPr>
            <w:r w:rsidRPr="00C51B64">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jc w:val="center"/>
              <w:rPr>
                <w:rFonts w:cs="Arial"/>
              </w:rPr>
            </w:pPr>
            <w:r w:rsidRPr="00C51B64">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252"/>
              <w:jc w:val="right"/>
              <w:rPr>
                <w:rFonts w:cs="Arial"/>
              </w:rPr>
            </w:pPr>
            <w:r w:rsidRPr="00C51B64">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left="-212" w:right="416"/>
              <w:jc w:val="right"/>
              <w:rPr>
                <w:rFonts w:cs="Arial"/>
              </w:rPr>
            </w:pPr>
            <w:r w:rsidRPr="00C51B64">
              <w:rPr>
                <w:rFonts w:cs="Arial"/>
              </w:rPr>
              <w:t>1</w:t>
            </w:r>
          </w:p>
        </w:tc>
        <w:tc>
          <w:tcPr>
            <w:tcW w:w="582" w:type="pct"/>
            <w:tcBorders>
              <w:top w:val="nil"/>
              <w:left w:val="nil"/>
              <w:bottom w:val="single" w:sz="4" w:space="0" w:color="auto"/>
              <w:right w:val="single" w:sz="4" w:space="0" w:color="auto"/>
            </w:tcBorders>
            <w:shd w:val="clear" w:color="000000" w:fill="FFFFFF"/>
            <w:vAlign w:val="center"/>
            <w:hideMark/>
          </w:tcPr>
          <w:p w:rsidR="00A32FD0" w:rsidRPr="00C51B64" w:rsidRDefault="00A32FD0" w:rsidP="00C22767">
            <w:pPr>
              <w:spacing w:before="40" w:after="40"/>
              <w:ind w:right="392"/>
              <w:jc w:val="right"/>
              <w:rPr>
                <w:rFonts w:cs="Arial"/>
              </w:rPr>
            </w:pPr>
            <w:r w:rsidRPr="00C51B64">
              <w:rPr>
                <w:rFonts w:cs="Arial"/>
              </w:rPr>
              <w:t>265</w:t>
            </w:r>
          </w:p>
        </w:tc>
      </w:tr>
      <w:tr w:rsidR="00A32FD0" w:rsidRPr="004D0425" w:rsidTr="00A32FD0">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A32FD0" w:rsidRDefault="00A32FD0" w:rsidP="00C22767">
            <w:pPr>
              <w:keepNext/>
              <w:spacing w:before="40" w:after="40"/>
            </w:pPr>
            <w:r>
              <w:t>HUD2880, Applicant/Recipient Disclosure/Update Report (</w:t>
            </w:r>
            <w:r>
              <w:rPr>
                <w:rFonts w:ascii="Arial" w:hAnsi="Arial" w:cs="Arial"/>
                <w:sz w:val="18"/>
              </w:rPr>
              <w:t>2510-0011)</w:t>
            </w:r>
          </w:p>
        </w:tc>
        <w:tc>
          <w:tcPr>
            <w:tcW w:w="624" w:type="pct"/>
            <w:tcBorders>
              <w:top w:val="nil"/>
              <w:left w:val="nil"/>
              <w:bottom w:val="single" w:sz="4" w:space="0" w:color="auto"/>
              <w:right w:val="single" w:sz="4" w:space="0" w:color="auto"/>
            </w:tcBorders>
            <w:shd w:val="clear" w:color="000000" w:fill="FFFFFF"/>
            <w:vAlign w:val="center"/>
            <w:hideMark/>
          </w:tcPr>
          <w:p w:rsidR="00A32FD0" w:rsidRDefault="00A32FD0" w:rsidP="00C22767">
            <w:pPr>
              <w:spacing w:before="40" w:after="40"/>
              <w:ind w:right="552"/>
              <w:jc w:val="right"/>
              <w:rPr>
                <w:rFonts w:cs="Arial"/>
              </w:rPr>
            </w:pPr>
            <w:r>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A32FD0" w:rsidRDefault="00A32FD0" w:rsidP="00C22767">
            <w:pPr>
              <w:spacing w:before="40" w:after="40"/>
              <w:jc w:val="center"/>
              <w:rPr>
                <w:rFonts w:cs="Arial"/>
              </w:rPr>
            </w:pPr>
            <w:r>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A32FD0" w:rsidRDefault="00A32FD0" w:rsidP="00C22767">
            <w:pPr>
              <w:spacing w:before="40" w:after="40"/>
              <w:ind w:right="252"/>
              <w:jc w:val="right"/>
              <w:rPr>
                <w:rFonts w:cs="Arial"/>
              </w:rPr>
            </w:pPr>
            <w:r>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A32FD0" w:rsidRDefault="00A32FD0" w:rsidP="00C22767">
            <w:pPr>
              <w:spacing w:before="40" w:after="40"/>
              <w:ind w:left="-212" w:right="416"/>
              <w:jc w:val="right"/>
              <w:rPr>
                <w:rFonts w:cs="Arial"/>
              </w:rPr>
            </w:pPr>
            <w:r>
              <w:rPr>
                <w:rFonts w:cs="Arial"/>
              </w:rPr>
              <w:t>0</w:t>
            </w:r>
          </w:p>
        </w:tc>
        <w:tc>
          <w:tcPr>
            <w:tcW w:w="582" w:type="pct"/>
            <w:tcBorders>
              <w:top w:val="nil"/>
              <w:left w:val="nil"/>
              <w:bottom w:val="single" w:sz="4" w:space="0" w:color="auto"/>
              <w:right w:val="single" w:sz="4" w:space="0" w:color="auto"/>
            </w:tcBorders>
            <w:shd w:val="clear" w:color="000000" w:fill="FFFFFF"/>
            <w:vAlign w:val="center"/>
            <w:hideMark/>
          </w:tcPr>
          <w:p w:rsidR="00A32FD0" w:rsidRDefault="00A32FD0" w:rsidP="00C22767">
            <w:pPr>
              <w:spacing w:before="40" w:after="40"/>
              <w:ind w:right="392"/>
              <w:jc w:val="right"/>
              <w:rPr>
                <w:rFonts w:cs="Arial"/>
              </w:rPr>
            </w:pPr>
            <w:r>
              <w:rPr>
                <w:rFonts w:cs="Arial"/>
              </w:rPr>
              <w:t>0</w:t>
            </w:r>
          </w:p>
        </w:tc>
      </w:tr>
      <w:tr w:rsidR="00A32FD0" w:rsidRPr="004D0425" w:rsidTr="00A32FD0">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A32FD0" w:rsidRDefault="00A32FD0" w:rsidP="00C22767">
            <w:pPr>
              <w:keepNext/>
              <w:spacing w:before="40" w:after="40"/>
            </w:pPr>
            <w:r>
              <w:t>HUD2991, Certification of Consistency with the Consolidated Plan</w:t>
            </w:r>
          </w:p>
        </w:tc>
        <w:tc>
          <w:tcPr>
            <w:tcW w:w="624" w:type="pct"/>
            <w:tcBorders>
              <w:top w:val="nil"/>
              <w:left w:val="nil"/>
              <w:bottom w:val="single" w:sz="4" w:space="0" w:color="auto"/>
              <w:right w:val="single" w:sz="4" w:space="0" w:color="auto"/>
            </w:tcBorders>
            <w:shd w:val="clear" w:color="000000" w:fill="FFFFFF"/>
            <w:vAlign w:val="center"/>
            <w:hideMark/>
          </w:tcPr>
          <w:p w:rsidR="00A32FD0" w:rsidRDefault="00A32FD0" w:rsidP="00C22767">
            <w:pPr>
              <w:spacing w:before="40" w:after="40"/>
              <w:ind w:right="552"/>
              <w:jc w:val="right"/>
              <w:rPr>
                <w:rFonts w:cs="Arial"/>
              </w:rPr>
            </w:pPr>
            <w:r>
              <w:rPr>
                <w:rFonts w:cs="Arial"/>
              </w:rPr>
              <w:t>265</w:t>
            </w:r>
          </w:p>
        </w:tc>
        <w:tc>
          <w:tcPr>
            <w:tcW w:w="623" w:type="pct"/>
            <w:tcBorders>
              <w:top w:val="nil"/>
              <w:left w:val="nil"/>
              <w:bottom w:val="single" w:sz="4" w:space="0" w:color="auto"/>
              <w:right w:val="single" w:sz="4" w:space="0" w:color="auto"/>
            </w:tcBorders>
            <w:shd w:val="clear" w:color="000000" w:fill="FFFFFF"/>
            <w:vAlign w:val="center"/>
            <w:hideMark/>
          </w:tcPr>
          <w:p w:rsidR="00A32FD0" w:rsidRDefault="00A32FD0" w:rsidP="00C22767">
            <w:pPr>
              <w:spacing w:before="40" w:after="40"/>
              <w:jc w:val="center"/>
              <w:rPr>
                <w:rFonts w:cs="Arial"/>
              </w:rPr>
            </w:pPr>
            <w:r>
              <w:rPr>
                <w:rFonts w:cs="Arial"/>
              </w:rPr>
              <w:t>1</w:t>
            </w:r>
          </w:p>
        </w:tc>
        <w:tc>
          <w:tcPr>
            <w:tcW w:w="540" w:type="pct"/>
            <w:tcBorders>
              <w:top w:val="nil"/>
              <w:left w:val="nil"/>
              <w:bottom w:val="single" w:sz="4" w:space="0" w:color="auto"/>
              <w:right w:val="single" w:sz="4" w:space="0" w:color="auto"/>
            </w:tcBorders>
            <w:shd w:val="clear" w:color="000000" w:fill="FFFFFF"/>
            <w:vAlign w:val="center"/>
            <w:hideMark/>
          </w:tcPr>
          <w:p w:rsidR="00A32FD0" w:rsidRDefault="00A32FD0" w:rsidP="00C22767">
            <w:pPr>
              <w:spacing w:before="40" w:after="40"/>
              <w:ind w:right="252"/>
              <w:jc w:val="right"/>
              <w:rPr>
                <w:rFonts w:cs="Arial"/>
              </w:rPr>
            </w:pPr>
            <w:r>
              <w:rPr>
                <w:rFonts w:cs="Arial"/>
              </w:rPr>
              <w:t>265</w:t>
            </w:r>
          </w:p>
        </w:tc>
        <w:tc>
          <w:tcPr>
            <w:tcW w:w="583" w:type="pct"/>
            <w:tcBorders>
              <w:top w:val="nil"/>
              <w:left w:val="nil"/>
              <w:bottom w:val="single" w:sz="4" w:space="0" w:color="auto"/>
              <w:right w:val="single" w:sz="4" w:space="0" w:color="auto"/>
            </w:tcBorders>
            <w:shd w:val="clear" w:color="000000" w:fill="FFFFFF"/>
            <w:vAlign w:val="center"/>
            <w:hideMark/>
          </w:tcPr>
          <w:p w:rsidR="00A32FD0" w:rsidRDefault="00A32FD0" w:rsidP="00C22767">
            <w:pPr>
              <w:spacing w:before="40" w:after="40"/>
              <w:ind w:left="-212" w:right="416"/>
              <w:jc w:val="right"/>
              <w:rPr>
                <w:rFonts w:cs="Arial"/>
              </w:rPr>
            </w:pPr>
            <w:r>
              <w:rPr>
                <w:rFonts w:cs="Arial"/>
              </w:rPr>
              <w:t>0</w:t>
            </w:r>
          </w:p>
        </w:tc>
        <w:tc>
          <w:tcPr>
            <w:tcW w:w="582" w:type="pct"/>
            <w:tcBorders>
              <w:top w:val="nil"/>
              <w:left w:val="nil"/>
              <w:bottom w:val="single" w:sz="4" w:space="0" w:color="auto"/>
              <w:right w:val="single" w:sz="4" w:space="0" w:color="auto"/>
            </w:tcBorders>
            <w:shd w:val="clear" w:color="000000" w:fill="FFFFFF"/>
            <w:vAlign w:val="center"/>
            <w:hideMark/>
          </w:tcPr>
          <w:p w:rsidR="00A32FD0" w:rsidRDefault="00A32FD0" w:rsidP="00C22767">
            <w:pPr>
              <w:spacing w:before="40" w:after="40"/>
              <w:ind w:right="392"/>
              <w:jc w:val="right"/>
              <w:rPr>
                <w:rFonts w:cs="Arial"/>
              </w:rPr>
            </w:pPr>
            <w:r>
              <w:rPr>
                <w:rFonts w:cs="Arial"/>
              </w:rPr>
              <w:t>0</w:t>
            </w:r>
          </w:p>
        </w:tc>
      </w:tr>
      <w:tr w:rsidR="00A32FD0" w:rsidRPr="004D0425" w:rsidTr="00A32FD0">
        <w:trPr>
          <w:trHeight w:val="144"/>
        </w:trPr>
        <w:tc>
          <w:tcPr>
            <w:tcW w:w="2048" w:type="pct"/>
            <w:tcBorders>
              <w:top w:val="single" w:sz="4" w:space="0" w:color="auto"/>
              <w:left w:val="single" w:sz="4" w:space="0" w:color="auto"/>
              <w:bottom w:val="single" w:sz="4" w:space="0" w:color="auto"/>
              <w:right w:val="single" w:sz="4" w:space="0" w:color="auto"/>
            </w:tcBorders>
            <w:shd w:val="pct10" w:color="000000" w:fill="FFFFFF"/>
            <w:vAlign w:val="center"/>
            <w:hideMark/>
          </w:tcPr>
          <w:p w:rsidR="00A32FD0" w:rsidRDefault="00A32FD0" w:rsidP="00C22767">
            <w:pPr>
              <w:keepNext/>
              <w:spacing w:before="40" w:after="40"/>
            </w:pPr>
            <w:r w:rsidRPr="004C4D5F">
              <w:rPr>
                <w:rFonts w:cs="Arial"/>
              </w:rPr>
              <w:t>Subtotal</w:t>
            </w:r>
            <w:r>
              <w:rPr>
                <w:rFonts w:cs="Arial"/>
              </w:rPr>
              <w:t xml:space="preserve"> (Application)</w:t>
            </w:r>
          </w:p>
        </w:tc>
        <w:tc>
          <w:tcPr>
            <w:tcW w:w="624" w:type="pct"/>
            <w:tcBorders>
              <w:top w:val="single" w:sz="4" w:space="0" w:color="auto"/>
              <w:left w:val="nil"/>
              <w:bottom w:val="single" w:sz="4" w:space="0" w:color="auto"/>
              <w:right w:val="single" w:sz="4" w:space="0" w:color="auto"/>
            </w:tcBorders>
            <w:shd w:val="pct10" w:color="000000" w:fill="FFFFFF"/>
            <w:vAlign w:val="center"/>
            <w:hideMark/>
          </w:tcPr>
          <w:p w:rsidR="00A32FD0" w:rsidRDefault="00A32FD0" w:rsidP="00C22767">
            <w:pPr>
              <w:spacing w:before="40" w:after="40"/>
              <w:ind w:right="552"/>
              <w:jc w:val="right"/>
              <w:rPr>
                <w:rFonts w:cs="Arial"/>
              </w:rPr>
            </w:pPr>
          </w:p>
        </w:tc>
        <w:tc>
          <w:tcPr>
            <w:tcW w:w="623" w:type="pct"/>
            <w:tcBorders>
              <w:top w:val="single" w:sz="4" w:space="0" w:color="auto"/>
              <w:left w:val="nil"/>
              <w:bottom w:val="single" w:sz="4" w:space="0" w:color="auto"/>
              <w:right w:val="single" w:sz="4" w:space="0" w:color="auto"/>
            </w:tcBorders>
            <w:shd w:val="pct10" w:color="000000" w:fill="FFFFFF"/>
            <w:vAlign w:val="center"/>
            <w:hideMark/>
          </w:tcPr>
          <w:p w:rsidR="00A32FD0" w:rsidRDefault="00A32FD0" w:rsidP="00C22767">
            <w:pPr>
              <w:spacing w:before="40" w:after="40"/>
              <w:jc w:val="center"/>
              <w:rPr>
                <w:rFonts w:cs="Arial"/>
              </w:rPr>
            </w:pPr>
          </w:p>
        </w:tc>
        <w:tc>
          <w:tcPr>
            <w:tcW w:w="540" w:type="pct"/>
            <w:tcBorders>
              <w:top w:val="single" w:sz="4" w:space="0" w:color="auto"/>
              <w:left w:val="nil"/>
              <w:bottom w:val="single" w:sz="4" w:space="0" w:color="auto"/>
              <w:right w:val="single" w:sz="4" w:space="0" w:color="auto"/>
            </w:tcBorders>
            <w:shd w:val="pct10" w:color="000000" w:fill="FFFFFF"/>
            <w:vAlign w:val="center"/>
            <w:hideMark/>
          </w:tcPr>
          <w:p w:rsidR="00A32FD0" w:rsidRDefault="00A32FD0" w:rsidP="00C22767">
            <w:pPr>
              <w:spacing w:before="40" w:after="40"/>
              <w:ind w:right="252"/>
              <w:jc w:val="right"/>
              <w:rPr>
                <w:rFonts w:cs="Arial"/>
              </w:rPr>
            </w:pPr>
          </w:p>
        </w:tc>
        <w:tc>
          <w:tcPr>
            <w:tcW w:w="583" w:type="pct"/>
            <w:tcBorders>
              <w:top w:val="single" w:sz="4" w:space="0" w:color="auto"/>
              <w:left w:val="nil"/>
              <w:bottom w:val="single" w:sz="4" w:space="0" w:color="auto"/>
              <w:right w:val="single" w:sz="4" w:space="0" w:color="auto"/>
            </w:tcBorders>
            <w:shd w:val="pct10" w:color="000000" w:fill="FFFFFF"/>
            <w:vAlign w:val="center"/>
            <w:hideMark/>
          </w:tcPr>
          <w:p w:rsidR="00A32FD0" w:rsidRDefault="00046CA3" w:rsidP="00C22767">
            <w:pPr>
              <w:spacing w:before="40" w:after="40"/>
              <w:ind w:left="-212" w:right="416"/>
              <w:jc w:val="right"/>
              <w:rPr>
                <w:rFonts w:cs="Arial"/>
              </w:rPr>
            </w:pPr>
            <w:r>
              <w:rPr>
                <w:rFonts w:cs="Arial"/>
              </w:rPr>
              <w:fldChar w:fldCharType="begin"/>
            </w:r>
            <w:r w:rsidR="00A32FD0">
              <w:rPr>
                <w:rFonts w:cs="Arial"/>
              </w:rPr>
              <w:instrText xml:space="preserve"> =SUM(ABOVE) </w:instrText>
            </w:r>
            <w:r>
              <w:rPr>
                <w:rFonts w:cs="Arial"/>
              </w:rPr>
              <w:fldChar w:fldCharType="separate"/>
            </w:r>
            <w:r w:rsidR="00A32FD0">
              <w:rPr>
                <w:rFonts w:cs="Arial"/>
                <w:noProof/>
              </w:rPr>
              <w:t>1</w:t>
            </w:r>
            <w:r w:rsidR="004973DD">
              <w:rPr>
                <w:rFonts w:cs="Arial"/>
                <w:noProof/>
              </w:rPr>
              <w:t>7</w:t>
            </w:r>
            <w:r w:rsidR="00A32FD0">
              <w:rPr>
                <w:rFonts w:cs="Arial"/>
                <w:noProof/>
              </w:rPr>
              <w:t>.77</w:t>
            </w:r>
            <w:r>
              <w:rPr>
                <w:rFonts w:cs="Arial"/>
              </w:rPr>
              <w:fldChar w:fldCharType="end"/>
            </w:r>
          </w:p>
        </w:tc>
        <w:tc>
          <w:tcPr>
            <w:tcW w:w="582" w:type="pct"/>
            <w:tcBorders>
              <w:top w:val="single" w:sz="4" w:space="0" w:color="auto"/>
              <w:left w:val="nil"/>
              <w:bottom w:val="single" w:sz="4" w:space="0" w:color="auto"/>
              <w:right w:val="single" w:sz="4" w:space="0" w:color="auto"/>
            </w:tcBorders>
            <w:shd w:val="pct10" w:color="000000" w:fill="FFFFFF"/>
            <w:vAlign w:val="center"/>
            <w:hideMark/>
          </w:tcPr>
          <w:p w:rsidR="00A32FD0" w:rsidRDefault="00046CA3" w:rsidP="00C22767">
            <w:pPr>
              <w:spacing w:before="40" w:after="40"/>
              <w:ind w:right="392"/>
              <w:jc w:val="right"/>
              <w:rPr>
                <w:rFonts w:cs="Arial"/>
              </w:rPr>
            </w:pPr>
            <w:r>
              <w:rPr>
                <w:rFonts w:cs="Arial"/>
              </w:rPr>
              <w:fldChar w:fldCharType="begin"/>
            </w:r>
            <w:r w:rsidR="00A32FD0">
              <w:rPr>
                <w:rFonts w:cs="Arial"/>
              </w:rPr>
              <w:instrText xml:space="preserve"> =SUM(ABOVE) </w:instrText>
            </w:r>
            <w:r>
              <w:rPr>
                <w:rFonts w:cs="Arial"/>
              </w:rPr>
              <w:fldChar w:fldCharType="separate"/>
            </w:r>
            <w:r w:rsidR="00A32FD0">
              <w:rPr>
                <w:rFonts w:cs="Arial"/>
                <w:noProof/>
              </w:rPr>
              <w:t>4</w:t>
            </w:r>
            <w:r w:rsidR="00510013">
              <w:rPr>
                <w:rFonts w:cs="Arial"/>
                <w:noProof/>
              </w:rPr>
              <w:t>665</w:t>
            </w:r>
            <w:r w:rsidR="00A32FD0">
              <w:rPr>
                <w:rFonts w:cs="Arial"/>
                <w:noProof/>
              </w:rPr>
              <w:t>.7</w:t>
            </w:r>
            <w:r>
              <w:rPr>
                <w:rFonts w:cs="Arial"/>
              </w:rPr>
              <w:fldChar w:fldCharType="end"/>
            </w:r>
          </w:p>
        </w:tc>
      </w:tr>
      <w:tr w:rsidR="00A32FD0" w:rsidRPr="004D0425" w:rsidTr="00A32FD0">
        <w:trPr>
          <w:trHeight w:val="144"/>
        </w:trPr>
        <w:tc>
          <w:tcPr>
            <w:tcW w:w="2048"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A32FD0" w:rsidRDefault="00A32FD0" w:rsidP="00C22767">
            <w:pPr>
              <w:keepNext/>
              <w:spacing w:before="40" w:after="40"/>
            </w:pPr>
            <w:r>
              <w:t>Logic Model, HUD96010</w:t>
            </w:r>
          </w:p>
          <w:p w:rsidR="00A32FD0" w:rsidRDefault="00A32FD0" w:rsidP="00C22767">
            <w:pPr>
              <w:keepNext/>
              <w:spacing w:before="40" w:after="40"/>
            </w:pPr>
            <w:r>
              <w:t>(2535-0114)</w:t>
            </w:r>
          </w:p>
        </w:tc>
        <w:tc>
          <w:tcPr>
            <w:tcW w:w="624" w:type="pct"/>
            <w:tcBorders>
              <w:top w:val="single" w:sz="4" w:space="0" w:color="auto"/>
              <w:left w:val="nil"/>
              <w:bottom w:val="single" w:sz="4" w:space="0" w:color="auto"/>
              <w:right w:val="single" w:sz="4" w:space="0" w:color="auto"/>
            </w:tcBorders>
            <w:shd w:val="clear" w:color="000000" w:fill="auto"/>
            <w:vAlign w:val="center"/>
            <w:hideMark/>
          </w:tcPr>
          <w:p w:rsidR="00A32FD0" w:rsidRDefault="00C22767" w:rsidP="00C22767">
            <w:pPr>
              <w:spacing w:before="40" w:after="40"/>
              <w:ind w:right="552"/>
              <w:jc w:val="right"/>
              <w:rPr>
                <w:rFonts w:cs="Arial"/>
              </w:rPr>
            </w:pPr>
            <w:r>
              <w:rPr>
                <w:rFonts w:cs="Arial"/>
              </w:rPr>
              <w:t>42</w:t>
            </w:r>
          </w:p>
        </w:tc>
        <w:tc>
          <w:tcPr>
            <w:tcW w:w="623" w:type="pct"/>
            <w:tcBorders>
              <w:top w:val="single" w:sz="4" w:space="0" w:color="auto"/>
              <w:left w:val="nil"/>
              <w:bottom w:val="single" w:sz="4" w:space="0" w:color="auto"/>
              <w:right w:val="single" w:sz="4" w:space="0" w:color="auto"/>
            </w:tcBorders>
            <w:shd w:val="clear" w:color="000000" w:fill="auto"/>
            <w:vAlign w:val="center"/>
            <w:hideMark/>
          </w:tcPr>
          <w:p w:rsidR="00A32FD0" w:rsidRDefault="00C22767" w:rsidP="00C22767">
            <w:pPr>
              <w:spacing w:before="40" w:after="40"/>
              <w:jc w:val="center"/>
              <w:rPr>
                <w:rFonts w:cs="Arial"/>
              </w:rPr>
            </w:pPr>
            <w:r>
              <w:rPr>
                <w:rFonts w:cs="Arial"/>
              </w:rPr>
              <w:t>1</w:t>
            </w:r>
          </w:p>
        </w:tc>
        <w:tc>
          <w:tcPr>
            <w:tcW w:w="540" w:type="pct"/>
            <w:tcBorders>
              <w:top w:val="single" w:sz="4" w:space="0" w:color="auto"/>
              <w:left w:val="nil"/>
              <w:bottom w:val="single" w:sz="4" w:space="0" w:color="auto"/>
              <w:right w:val="single" w:sz="4" w:space="0" w:color="auto"/>
            </w:tcBorders>
            <w:shd w:val="clear" w:color="000000" w:fill="auto"/>
            <w:vAlign w:val="center"/>
            <w:hideMark/>
          </w:tcPr>
          <w:p w:rsidR="00A32FD0" w:rsidRDefault="00C22767" w:rsidP="00C22767">
            <w:pPr>
              <w:spacing w:before="40" w:after="40"/>
              <w:ind w:right="252"/>
              <w:jc w:val="right"/>
              <w:rPr>
                <w:rFonts w:cs="Arial"/>
              </w:rPr>
            </w:pPr>
            <w:r>
              <w:rPr>
                <w:rFonts w:cs="Arial"/>
              </w:rPr>
              <w:t>42</w:t>
            </w:r>
          </w:p>
        </w:tc>
        <w:tc>
          <w:tcPr>
            <w:tcW w:w="583" w:type="pct"/>
            <w:tcBorders>
              <w:top w:val="single" w:sz="4" w:space="0" w:color="auto"/>
              <w:left w:val="nil"/>
              <w:bottom w:val="single" w:sz="4" w:space="0" w:color="auto"/>
              <w:right w:val="single" w:sz="4" w:space="0" w:color="auto"/>
            </w:tcBorders>
            <w:shd w:val="clear" w:color="000000" w:fill="auto"/>
            <w:vAlign w:val="center"/>
            <w:hideMark/>
          </w:tcPr>
          <w:p w:rsidR="00A32FD0" w:rsidRDefault="00A32FD0" w:rsidP="00C22767">
            <w:pPr>
              <w:spacing w:before="40" w:after="40"/>
              <w:ind w:left="-212" w:right="416"/>
              <w:jc w:val="right"/>
              <w:rPr>
                <w:rFonts w:cs="Arial"/>
              </w:rPr>
            </w:pPr>
            <w:r>
              <w:rPr>
                <w:rFonts w:cs="Arial"/>
              </w:rPr>
              <w:t>0</w:t>
            </w:r>
          </w:p>
        </w:tc>
        <w:tc>
          <w:tcPr>
            <w:tcW w:w="582" w:type="pct"/>
            <w:tcBorders>
              <w:top w:val="single" w:sz="4" w:space="0" w:color="auto"/>
              <w:left w:val="nil"/>
              <w:bottom w:val="single" w:sz="4" w:space="0" w:color="auto"/>
              <w:right w:val="single" w:sz="4" w:space="0" w:color="auto"/>
            </w:tcBorders>
            <w:shd w:val="clear" w:color="000000" w:fill="auto"/>
            <w:vAlign w:val="center"/>
            <w:hideMark/>
          </w:tcPr>
          <w:p w:rsidR="00A32FD0" w:rsidRDefault="00A32FD0" w:rsidP="00C22767">
            <w:pPr>
              <w:spacing w:before="40" w:after="40"/>
              <w:ind w:right="392"/>
              <w:jc w:val="right"/>
              <w:rPr>
                <w:rFonts w:cs="Arial"/>
              </w:rPr>
            </w:pPr>
            <w:r>
              <w:rPr>
                <w:rFonts w:cs="Arial"/>
              </w:rPr>
              <w:t>0</w:t>
            </w:r>
          </w:p>
        </w:tc>
      </w:tr>
      <w:tr w:rsidR="00C22767" w:rsidRPr="004D0425" w:rsidTr="00A32FD0">
        <w:trPr>
          <w:trHeight w:val="144"/>
        </w:trPr>
        <w:tc>
          <w:tcPr>
            <w:tcW w:w="2048"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C22767" w:rsidRPr="004C4D5F" w:rsidRDefault="00C22767" w:rsidP="00C22767">
            <w:pPr>
              <w:keepNext/>
              <w:spacing w:before="40" w:after="40"/>
            </w:pPr>
            <w:r>
              <w:t>Family Report</w:t>
            </w:r>
          </w:p>
          <w:p w:rsidR="00C22767" w:rsidRPr="004C4D5F" w:rsidRDefault="00C22767" w:rsidP="00C22767">
            <w:pPr>
              <w:keepNext/>
              <w:spacing w:before="40" w:after="40"/>
              <w:rPr>
                <w:rFonts w:cs="Arial"/>
              </w:rPr>
            </w:pPr>
            <w:r w:rsidRPr="004C4D5F">
              <w:t>HUD-</w:t>
            </w:r>
            <w:r>
              <w:t>50058 (2577-0083)</w:t>
            </w:r>
          </w:p>
        </w:tc>
        <w:tc>
          <w:tcPr>
            <w:tcW w:w="624" w:type="pct"/>
            <w:tcBorders>
              <w:top w:val="single" w:sz="4" w:space="0" w:color="auto"/>
              <w:left w:val="nil"/>
              <w:bottom w:val="single" w:sz="4" w:space="0" w:color="auto"/>
              <w:right w:val="single" w:sz="4" w:space="0" w:color="auto"/>
            </w:tcBorders>
            <w:shd w:val="clear" w:color="000000" w:fill="auto"/>
            <w:vAlign w:val="center"/>
            <w:hideMark/>
          </w:tcPr>
          <w:p w:rsidR="00C22767" w:rsidRPr="00C51B64" w:rsidRDefault="00C22767" w:rsidP="00C22767">
            <w:pPr>
              <w:spacing w:before="40" w:after="40"/>
              <w:ind w:right="552"/>
              <w:jc w:val="right"/>
              <w:rPr>
                <w:rFonts w:cs="Arial"/>
              </w:rPr>
            </w:pPr>
            <w:r>
              <w:rPr>
                <w:rFonts w:cs="Arial"/>
              </w:rPr>
              <w:t>42</w:t>
            </w:r>
          </w:p>
        </w:tc>
        <w:tc>
          <w:tcPr>
            <w:tcW w:w="623" w:type="pct"/>
            <w:tcBorders>
              <w:top w:val="single" w:sz="4" w:space="0" w:color="auto"/>
              <w:left w:val="nil"/>
              <w:bottom w:val="single" w:sz="4" w:space="0" w:color="auto"/>
              <w:right w:val="single" w:sz="4" w:space="0" w:color="auto"/>
            </w:tcBorders>
            <w:shd w:val="clear" w:color="000000" w:fill="auto"/>
            <w:vAlign w:val="center"/>
            <w:hideMark/>
          </w:tcPr>
          <w:p w:rsidR="00C22767" w:rsidRPr="00C51B64" w:rsidRDefault="004973DD" w:rsidP="00C22767">
            <w:pPr>
              <w:spacing w:before="40" w:after="40"/>
              <w:jc w:val="center"/>
              <w:rPr>
                <w:rFonts w:cs="Arial"/>
              </w:rPr>
            </w:pPr>
            <w:r>
              <w:rPr>
                <w:rFonts w:cs="Arial"/>
              </w:rPr>
              <w:t>45.23</w:t>
            </w:r>
          </w:p>
        </w:tc>
        <w:tc>
          <w:tcPr>
            <w:tcW w:w="540" w:type="pct"/>
            <w:tcBorders>
              <w:top w:val="single" w:sz="4" w:space="0" w:color="auto"/>
              <w:left w:val="nil"/>
              <w:bottom w:val="single" w:sz="4" w:space="0" w:color="auto"/>
              <w:right w:val="single" w:sz="4" w:space="0" w:color="auto"/>
            </w:tcBorders>
            <w:shd w:val="clear" w:color="000000" w:fill="auto"/>
            <w:vAlign w:val="center"/>
            <w:hideMark/>
          </w:tcPr>
          <w:p w:rsidR="00C22767" w:rsidRPr="00C51B64" w:rsidRDefault="00C22767" w:rsidP="00C22767">
            <w:pPr>
              <w:spacing w:before="40" w:after="40"/>
              <w:ind w:right="252"/>
              <w:jc w:val="right"/>
              <w:rPr>
                <w:rFonts w:cs="Arial"/>
              </w:rPr>
            </w:pPr>
            <w:r>
              <w:rPr>
                <w:rFonts w:cs="Arial"/>
              </w:rPr>
              <w:t>1</w:t>
            </w:r>
            <w:r w:rsidR="004973DD">
              <w:rPr>
                <w:rFonts w:cs="Arial"/>
              </w:rPr>
              <w:t>900</w:t>
            </w:r>
          </w:p>
        </w:tc>
        <w:tc>
          <w:tcPr>
            <w:tcW w:w="583" w:type="pct"/>
            <w:tcBorders>
              <w:top w:val="single" w:sz="4" w:space="0" w:color="auto"/>
              <w:left w:val="nil"/>
              <w:bottom w:val="single" w:sz="4" w:space="0" w:color="auto"/>
              <w:right w:val="single" w:sz="4" w:space="0" w:color="auto"/>
            </w:tcBorders>
            <w:shd w:val="clear" w:color="000000" w:fill="auto"/>
            <w:vAlign w:val="center"/>
            <w:hideMark/>
          </w:tcPr>
          <w:p w:rsidR="00C22767" w:rsidRPr="00C51B64" w:rsidRDefault="00C22767" w:rsidP="00C22767">
            <w:pPr>
              <w:spacing w:before="40" w:after="40"/>
              <w:ind w:left="-212" w:right="416"/>
              <w:jc w:val="right"/>
              <w:rPr>
                <w:rFonts w:cs="Arial"/>
              </w:rPr>
            </w:pPr>
            <w:r>
              <w:rPr>
                <w:rFonts w:cs="Arial"/>
              </w:rPr>
              <w:t>.5</w:t>
            </w:r>
          </w:p>
        </w:tc>
        <w:tc>
          <w:tcPr>
            <w:tcW w:w="582" w:type="pct"/>
            <w:tcBorders>
              <w:top w:val="single" w:sz="4" w:space="0" w:color="auto"/>
              <w:left w:val="nil"/>
              <w:bottom w:val="single" w:sz="4" w:space="0" w:color="auto"/>
              <w:right w:val="single" w:sz="4" w:space="0" w:color="auto"/>
            </w:tcBorders>
            <w:shd w:val="clear" w:color="000000" w:fill="auto"/>
            <w:vAlign w:val="center"/>
            <w:hideMark/>
          </w:tcPr>
          <w:p w:rsidR="00C22767" w:rsidRPr="00C51B64" w:rsidRDefault="004973DD" w:rsidP="00C22767">
            <w:pPr>
              <w:spacing w:before="40" w:after="40"/>
              <w:ind w:right="392"/>
              <w:jc w:val="right"/>
              <w:rPr>
                <w:rFonts w:cs="Arial"/>
              </w:rPr>
            </w:pPr>
            <w:r>
              <w:rPr>
                <w:rFonts w:cs="Arial"/>
              </w:rPr>
              <w:t>950</w:t>
            </w:r>
          </w:p>
        </w:tc>
      </w:tr>
      <w:tr w:rsidR="00C360CF" w:rsidRPr="004D0425" w:rsidTr="00A32FD0">
        <w:trPr>
          <w:trHeight w:val="144"/>
        </w:trPr>
        <w:tc>
          <w:tcPr>
            <w:tcW w:w="2048"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C360CF" w:rsidRDefault="00C360CF" w:rsidP="00C22767">
            <w:pPr>
              <w:keepNext/>
              <w:spacing w:before="40" w:after="40"/>
            </w:pPr>
            <w:r>
              <w:t>Program and Accounting Recordkeeping</w:t>
            </w:r>
          </w:p>
        </w:tc>
        <w:tc>
          <w:tcPr>
            <w:tcW w:w="624" w:type="pct"/>
            <w:tcBorders>
              <w:top w:val="single" w:sz="4" w:space="0" w:color="auto"/>
              <w:left w:val="nil"/>
              <w:bottom w:val="single" w:sz="4" w:space="0" w:color="auto"/>
              <w:right w:val="single" w:sz="4" w:space="0" w:color="auto"/>
            </w:tcBorders>
            <w:shd w:val="clear" w:color="000000" w:fill="auto"/>
            <w:vAlign w:val="center"/>
            <w:hideMark/>
          </w:tcPr>
          <w:p w:rsidR="00C360CF" w:rsidRDefault="00C360CF" w:rsidP="00C22767">
            <w:pPr>
              <w:spacing w:before="40" w:after="40"/>
              <w:ind w:right="552"/>
              <w:jc w:val="right"/>
              <w:rPr>
                <w:rFonts w:cs="Arial"/>
              </w:rPr>
            </w:pPr>
            <w:r>
              <w:rPr>
                <w:rFonts w:cs="Arial"/>
              </w:rPr>
              <w:t>42</w:t>
            </w:r>
          </w:p>
        </w:tc>
        <w:tc>
          <w:tcPr>
            <w:tcW w:w="623" w:type="pct"/>
            <w:tcBorders>
              <w:top w:val="single" w:sz="4" w:space="0" w:color="auto"/>
              <w:left w:val="nil"/>
              <w:bottom w:val="single" w:sz="4" w:space="0" w:color="auto"/>
              <w:right w:val="single" w:sz="4" w:space="0" w:color="auto"/>
            </w:tcBorders>
            <w:shd w:val="clear" w:color="000000" w:fill="auto"/>
            <w:vAlign w:val="center"/>
            <w:hideMark/>
          </w:tcPr>
          <w:p w:rsidR="00C360CF" w:rsidRDefault="00C360CF" w:rsidP="00C22767">
            <w:pPr>
              <w:spacing w:before="40" w:after="40"/>
              <w:jc w:val="center"/>
              <w:rPr>
                <w:rFonts w:cs="Arial"/>
              </w:rPr>
            </w:pPr>
            <w:r>
              <w:rPr>
                <w:rFonts w:cs="Arial"/>
              </w:rPr>
              <w:t>1</w:t>
            </w:r>
          </w:p>
        </w:tc>
        <w:tc>
          <w:tcPr>
            <w:tcW w:w="540" w:type="pct"/>
            <w:tcBorders>
              <w:top w:val="single" w:sz="4" w:space="0" w:color="auto"/>
              <w:left w:val="nil"/>
              <w:bottom w:val="single" w:sz="4" w:space="0" w:color="auto"/>
              <w:right w:val="single" w:sz="4" w:space="0" w:color="auto"/>
            </w:tcBorders>
            <w:shd w:val="clear" w:color="000000" w:fill="auto"/>
            <w:vAlign w:val="center"/>
            <w:hideMark/>
          </w:tcPr>
          <w:p w:rsidR="00C360CF" w:rsidRDefault="00C360CF" w:rsidP="00C22767">
            <w:pPr>
              <w:spacing w:before="40" w:after="40"/>
              <w:ind w:right="252"/>
              <w:jc w:val="right"/>
              <w:rPr>
                <w:rFonts w:cs="Arial"/>
              </w:rPr>
            </w:pPr>
            <w:r>
              <w:rPr>
                <w:rFonts w:cs="Arial"/>
              </w:rPr>
              <w:t>42</w:t>
            </w:r>
          </w:p>
        </w:tc>
        <w:tc>
          <w:tcPr>
            <w:tcW w:w="583" w:type="pct"/>
            <w:tcBorders>
              <w:top w:val="single" w:sz="4" w:space="0" w:color="auto"/>
              <w:left w:val="nil"/>
              <w:bottom w:val="single" w:sz="4" w:space="0" w:color="auto"/>
              <w:right w:val="single" w:sz="4" w:space="0" w:color="auto"/>
            </w:tcBorders>
            <w:shd w:val="clear" w:color="000000" w:fill="auto"/>
            <w:vAlign w:val="center"/>
            <w:hideMark/>
          </w:tcPr>
          <w:p w:rsidR="00C360CF" w:rsidRDefault="00C360CF" w:rsidP="00C22767">
            <w:pPr>
              <w:spacing w:before="40" w:after="40"/>
              <w:ind w:left="-212" w:right="416"/>
              <w:jc w:val="right"/>
              <w:rPr>
                <w:rFonts w:cs="Arial"/>
              </w:rPr>
            </w:pPr>
            <w:r>
              <w:rPr>
                <w:rFonts w:cs="Arial"/>
              </w:rPr>
              <w:t>10</w:t>
            </w:r>
          </w:p>
        </w:tc>
        <w:tc>
          <w:tcPr>
            <w:tcW w:w="582" w:type="pct"/>
            <w:tcBorders>
              <w:top w:val="single" w:sz="4" w:space="0" w:color="auto"/>
              <w:left w:val="nil"/>
              <w:bottom w:val="single" w:sz="4" w:space="0" w:color="auto"/>
              <w:right w:val="single" w:sz="4" w:space="0" w:color="auto"/>
            </w:tcBorders>
            <w:shd w:val="clear" w:color="000000" w:fill="auto"/>
            <w:vAlign w:val="center"/>
            <w:hideMark/>
          </w:tcPr>
          <w:p w:rsidR="00C360CF" w:rsidRDefault="00C360CF" w:rsidP="00C22767">
            <w:pPr>
              <w:spacing w:before="40" w:after="40"/>
              <w:ind w:right="392"/>
              <w:jc w:val="right"/>
              <w:rPr>
                <w:rFonts w:cs="Arial"/>
              </w:rPr>
            </w:pPr>
            <w:r>
              <w:rPr>
                <w:rFonts w:cs="Arial"/>
              </w:rPr>
              <w:t>420</w:t>
            </w:r>
          </w:p>
        </w:tc>
      </w:tr>
      <w:tr w:rsidR="00A32FD0" w:rsidRPr="004D0425" w:rsidTr="00A32FD0">
        <w:trPr>
          <w:trHeight w:val="144"/>
        </w:trPr>
        <w:tc>
          <w:tcPr>
            <w:tcW w:w="2048" w:type="pct"/>
            <w:tcBorders>
              <w:top w:val="nil"/>
              <w:left w:val="single" w:sz="4" w:space="0" w:color="auto"/>
              <w:bottom w:val="single" w:sz="4" w:space="0" w:color="auto"/>
              <w:right w:val="single" w:sz="4" w:space="0" w:color="auto"/>
            </w:tcBorders>
            <w:shd w:val="clear" w:color="auto" w:fill="D9D9D9"/>
            <w:vAlign w:val="center"/>
            <w:hideMark/>
          </w:tcPr>
          <w:p w:rsidR="00A32FD0" w:rsidRPr="00C3239F" w:rsidRDefault="00A32FD0" w:rsidP="00C22767">
            <w:pPr>
              <w:keepNext/>
              <w:spacing w:before="40" w:after="40"/>
            </w:pPr>
            <w:r w:rsidRPr="00C3239F">
              <w:t>Subtotal (Reporting/Recordkeeping)</w:t>
            </w:r>
          </w:p>
        </w:tc>
        <w:tc>
          <w:tcPr>
            <w:tcW w:w="624" w:type="pct"/>
            <w:tcBorders>
              <w:top w:val="nil"/>
              <w:left w:val="nil"/>
              <w:bottom w:val="single" w:sz="4" w:space="0" w:color="auto"/>
              <w:right w:val="single" w:sz="4" w:space="0" w:color="auto"/>
            </w:tcBorders>
            <w:shd w:val="clear" w:color="auto" w:fill="D9D9D9"/>
            <w:vAlign w:val="center"/>
            <w:hideMark/>
          </w:tcPr>
          <w:p w:rsidR="00A32FD0" w:rsidRPr="00C3239F" w:rsidRDefault="00A32FD0" w:rsidP="00C22767">
            <w:pPr>
              <w:spacing w:before="40" w:after="40"/>
              <w:ind w:right="552"/>
              <w:jc w:val="right"/>
              <w:rPr>
                <w:rFonts w:cs="Arial"/>
              </w:rPr>
            </w:pPr>
          </w:p>
        </w:tc>
        <w:tc>
          <w:tcPr>
            <w:tcW w:w="623" w:type="pct"/>
            <w:tcBorders>
              <w:top w:val="nil"/>
              <w:left w:val="nil"/>
              <w:bottom w:val="single" w:sz="4" w:space="0" w:color="auto"/>
              <w:right w:val="single" w:sz="4" w:space="0" w:color="auto"/>
            </w:tcBorders>
            <w:shd w:val="clear" w:color="auto" w:fill="D9D9D9"/>
            <w:vAlign w:val="center"/>
            <w:hideMark/>
          </w:tcPr>
          <w:p w:rsidR="00A32FD0" w:rsidRPr="00C3239F" w:rsidRDefault="00A32FD0" w:rsidP="00C22767">
            <w:pPr>
              <w:spacing w:before="40" w:after="40"/>
              <w:jc w:val="center"/>
              <w:rPr>
                <w:rFonts w:cs="Arial"/>
              </w:rPr>
            </w:pPr>
          </w:p>
        </w:tc>
        <w:tc>
          <w:tcPr>
            <w:tcW w:w="540" w:type="pct"/>
            <w:tcBorders>
              <w:top w:val="nil"/>
              <w:left w:val="nil"/>
              <w:bottom w:val="single" w:sz="4" w:space="0" w:color="auto"/>
              <w:right w:val="single" w:sz="4" w:space="0" w:color="auto"/>
            </w:tcBorders>
            <w:shd w:val="clear" w:color="auto" w:fill="D9D9D9"/>
            <w:vAlign w:val="center"/>
            <w:hideMark/>
          </w:tcPr>
          <w:p w:rsidR="00A32FD0" w:rsidRPr="00C3239F" w:rsidRDefault="00A32FD0" w:rsidP="00C22767">
            <w:pPr>
              <w:spacing w:before="40" w:after="40"/>
              <w:ind w:right="252"/>
              <w:jc w:val="right"/>
              <w:rPr>
                <w:rFonts w:cs="Arial"/>
              </w:rPr>
            </w:pPr>
          </w:p>
        </w:tc>
        <w:tc>
          <w:tcPr>
            <w:tcW w:w="583" w:type="pct"/>
            <w:tcBorders>
              <w:top w:val="nil"/>
              <w:left w:val="nil"/>
              <w:bottom w:val="single" w:sz="4" w:space="0" w:color="auto"/>
              <w:right w:val="single" w:sz="4" w:space="0" w:color="auto"/>
            </w:tcBorders>
            <w:shd w:val="clear" w:color="auto" w:fill="D9D9D9"/>
            <w:vAlign w:val="center"/>
            <w:hideMark/>
          </w:tcPr>
          <w:p w:rsidR="00A32FD0" w:rsidRPr="00C3239F" w:rsidRDefault="00510013" w:rsidP="00C360CF">
            <w:pPr>
              <w:spacing w:before="40" w:after="40"/>
              <w:ind w:left="-212" w:right="416"/>
              <w:jc w:val="right"/>
              <w:rPr>
                <w:rFonts w:cs="Arial"/>
              </w:rPr>
            </w:pPr>
            <w:r>
              <w:rPr>
                <w:rFonts w:cs="Arial"/>
              </w:rPr>
              <w:t>10.5</w:t>
            </w:r>
          </w:p>
        </w:tc>
        <w:tc>
          <w:tcPr>
            <w:tcW w:w="582" w:type="pct"/>
            <w:tcBorders>
              <w:top w:val="nil"/>
              <w:left w:val="nil"/>
              <w:bottom w:val="single" w:sz="4" w:space="0" w:color="auto"/>
              <w:right w:val="single" w:sz="4" w:space="0" w:color="auto"/>
            </w:tcBorders>
            <w:shd w:val="clear" w:color="auto" w:fill="D9D9D9"/>
            <w:vAlign w:val="center"/>
            <w:hideMark/>
          </w:tcPr>
          <w:p w:rsidR="00A32FD0" w:rsidRPr="00C3239F" w:rsidRDefault="00510013" w:rsidP="00C360CF">
            <w:pPr>
              <w:spacing w:before="40" w:after="40"/>
              <w:ind w:right="392"/>
              <w:jc w:val="right"/>
              <w:rPr>
                <w:rFonts w:cs="Arial"/>
              </w:rPr>
            </w:pPr>
            <w:r>
              <w:rPr>
                <w:rFonts w:cs="Arial"/>
              </w:rPr>
              <w:t>1,</w:t>
            </w:r>
            <w:r w:rsidR="004973DD">
              <w:rPr>
                <w:rFonts w:cs="Arial"/>
              </w:rPr>
              <w:t>370</w:t>
            </w:r>
            <w:r w:rsidR="00046CA3">
              <w:rPr>
                <w:rFonts w:cs="Arial"/>
              </w:rPr>
              <w:fldChar w:fldCharType="begin"/>
            </w:r>
            <w:r w:rsidR="00C360CF">
              <w:rPr>
                <w:rFonts w:cs="Arial"/>
              </w:rPr>
              <w:instrText xml:space="preserve"> =SUM(ABOVE) </w:instrText>
            </w:r>
            <w:r w:rsidR="00046CA3">
              <w:rPr>
                <w:rFonts w:cs="Arial"/>
              </w:rPr>
              <w:fldChar w:fldCharType="end"/>
            </w:r>
          </w:p>
        </w:tc>
      </w:tr>
      <w:tr w:rsidR="00A32FD0" w:rsidRPr="004D0425" w:rsidTr="00A32FD0">
        <w:trPr>
          <w:trHeight w:val="144"/>
        </w:trPr>
        <w:tc>
          <w:tcPr>
            <w:tcW w:w="2048" w:type="pct"/>
            <w:tcBorders>
              <w:top w:val="nil"/>
              <w:left w:val="single" w:sz="4" w:space="0" w:color="auto"/>
              <w:bottom w:val="single" w:sz="4" w:space="0" w:color="auto"/>
              <w:right w:val="single" w:sz="4" w:space="0" w:color="auto"/>
            </w:tcBorders>
            <w:shd w:val="clear" w:color="000000" w:fill="FFFFFF"/>
            <w:vAlign w:val="center"/>
            <w:hideMark/>
          </w:tcPr>
          <w:p w:rsidR="00A32FD0" w:rsidRPr="004C4D5F" w:rsidRDefault="00A32FD0" w:rsidP="00C22767">
            <w:pPr>
              <w:keepNext/>
              <w:spacing w:before="40" w:after="40"/>
              <w:rPr>
                <w:rFonts w:cs="Arial"/>
              </w:rPr>
            </w:pPr>
            <w:r w:rsidRPr="004C4D5F">
              <w:rPr>
                <w:rFonts w:cs="Arial"/>
              </w:rPr>
              <w:t>Total</w:t>
            </w:r>
          </w:p>
        </w:tc>
        <w:tc>
          <w:tcPr>
            <w:tcW w:w="624" w:type="pct"/>
            <w:tcBorders>
              <w:top w:val="nil"/>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ind w:right="552"/>
              <w:jc w:val="right"/>
              <w:rPr>
                <w:rFonts w:cs="Arial"/>
                <w:b/>
                <w:bCs/>
              </w:rPr>
            </w:pPr>
          </w:p>
        </w:tc>
        <w:tc>
          <w:tcPr>
            <w:tcW w:w="623" w:type="pct"/>
            <w:tcBorders>
              <w:top w:val="nil"/>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jc w:val="center"/>
              <w:rPr>
                <w:rFonts w:cs="Arial"/>
                <w:b/>
                <w:bCs/>
              </w:rPr>
            </w:pPr>
          </w:p>
        </w:tc>
        <w:tc>
          <w:tcPr>
            <w:tcW w:w="540" w:type="pct"/>
            <w:tcBorders>
              <w:top w:val="nil"/>
              <w:left w:val="nil"/>
              <w:bottom w:val="single" w:sz="4" w:space="0" w:color="auto"/>
              <w:right w:val="single" w:sz="4" w:space="0" w:color="auto"/>
            </w:tcBorders>
            <w:shd w:val="clear" w:color="000000" w:fill="FFFFFF"/>
            <w:vAlign w:val="center"/>
            <w:hideMark/>
          </w:tcPr>
          <w:p w:rsidR="00A32FD0" w:rsidRPr="004C4D5F" w:rsidRDefault="00A32FD0" w:rsidP="00C22767">
            <w:pPr>
              <w:spacing w:before="40" w:after="40"/>
              <w:ind w:right="252"/>
              <w:jc w:val="right"/>
              <w:rPr>
                <w:rFonts w:cs="Arial"/>
                <w:b/>
                <w:bCs/>
              </w:rPr>
            </w:pPr>
          </w:p>
        </w:tc>
        <w:tc>
          <w:tcPr>
            <w:tcW w:w="583" w:type="pct"/>
            <w:tcBorders>
              <w:top w:val="nil"/>
              <w:left w:val="nil"/>
              <w:bottom w:val="single" w:sz="4" w:space="0" w:color="auto"/>
              <w:right w:val="single" w:sz="4" w:space="0" w:color="auto"/>
            </w:tcBorders>
            <w:shd w:val="clear" w:color="000000" w:fill="FFFFFF"/>
            <w:vAlign w:val="center"/>
            <w:hideMark/>
          </w:tcPr>
          <w:p w:rsidR="00A32FD0" w:rsidRPr="00510013" w:rsidRDefault="00046CA3" w:rsidP="00C22767">
            <w:pPr>
              <w:spacing w:before="40" w:after="40"/>
              <w:ind w:left="-212" w:right="416"/>
              <w:jc w:val="right"/>
              <w:rPr>
                <w:rFonts w:cs="Arial"/>
                <w:bCs/>
              </w:rPr>
            </w:pPr>
            <w:r w:rsidRPr="001779E0">
              <w:rPr>
                <w:rFonts w:cs="Arial"/>
                <w:bCs/>
              </w:rPr>
              <w:fldChar w:fldCharType="begin"/>
            </w:r>
            <w:r w:rsidR="001779E0" w:rsidRPr="001779E0">
              <w:rPr>
                <w:rFonts w:cs="Arial"/>
                <w:bCs/>
              </w:rPr>
              <w:instrText xml:space="preserve"> =SUM(ABOVE) </w:instrText>
            </w:r>
            <w:r w:rsidRPr="001779E0">
              <w:rPr>
                <w:rFonts w:cs="Arial"/>
                <w:bCs/>
              </w:rPr>
              <w:fldChar w:fldCharType="end"/>
            </w:r>
            <w:r w:rsidR="004973DD">
              <w:rPr>
                <w:rFonts w:cs="Arial"/>
              </w:rPr>
              <w:t>28</w:t>
            </w:r>
            <w:r w:rsidR="00510013">
              <w:rPr>
                <w:rFonts w:cs="Arial"/>
              </w:rPr>
              <w:t>.27</w:t>
            </w:r>
          </w:p>
        </w:tc>
        <w:tc>
          <w:tcPr>
            <w:tcW w:w="582" w:type="pct"/>
            <w:tcBorders>
              <w:top w:val="nil"/>
              <w:left w:val="nil"/>
              <w:bottom w:val="single" w:sz="4" w:space="0" w:color="auto"/>
              <w:right w:val="single" w:sz="4" w:space="0" w:color="auto"/>
            </w:tcBorders>
            <w:shd w:val="clear" w:color="000000" w:fill="FFFFFF"/>
            <w:vAlign w:val="center"/>
            <w:hideMark/>
          </w:tcPr>
          <w:p w:rsidR="00A32FD0" w:rsidRPr="00510013" w:rsidRDefault="004973DD" w:rsidP="00C22767">
            <w:pPr>
              <w:spacing w:before="40" w:after="40"/>
              <w:ind w:right="392"/>
              <w:jc w:val="right"/>
              <w:rPr>
                <w:rFonts w:cs="Arial"/>
                <w:bCs/>
              </w:rPr>
            </w:pPr>
            <w:r>
              <w:rPr>
                <w:rFonts w:cs="Arial"/>
              </w:rPr>
              <w:t>6,035</w:t>
            </w:r>
            <w:r w:rsidR="00510013" w:rsidRPr="00510013">
              <w:rPr>
                <w:rFonts w:cs="Arial"/>
              </w:rPr>
              <w:t>.7</w:t>
            </w:r>
          </w:p>
        </w:tc>
      </w:tr>
    </w:tbl>
    <w:p w:rsidR="00A32FD0" w:rsidRDefault="00A32FD0" w:rsidP="00A32FD0">
      <w:pPr>
        <w:tabs>
          <w:tab w:val="left" w:pos="2040"/>
          <w:tab w:val="left" w:pos="3360"/>
          <w:tab w:val="left" w:pos="4680"/>
          <w:tab w:val="left" w:pos="6120"/>
          <w:tab w:val="left" w:pos="7800"/>
        </w:tabs>
        <w:ind w:left="360" w:right="120"/>
        <w:rPr>
          <w:sz w:val="24"/>
          <w:szCs w:val="24"/>
        </w:rPr>
      </w:pPr>
    </w:p>
    <w:p w:rsidR="00A32FD0" w:rsidRPr="00E2464C" w:rsidRDefault="00A32FD0" w:rsidP="00A32FD0">
      <w:pPr>
        <w:tabs>
          <w:tab w:val="left" w:pos="2040"/>
          <w:tab w:val="left" w:pos="3360"/>
          <w:tab w:val="left" w:pos="4680"/>
          <w:tab w:val="left" w:pos="6120"/>
          <w:tab w:val="left" w:pos="7800"/>
        </w:tabs>
        <w:ind w:left="360" w:right="120"/>
      </w:pPr>
      <w:r w:rsidRPr="00E2464C">
        <w:t>The estimate of the total annual cost burden to respondents/recordkeepers resulting from the collection of this information is</w:t>
      </w:r>
      <w:r w:rsidR="001D134B" w:rsidRPr="00E2464C">
        <w:t>: 6,035.7 burden hours x $34.34 = $207,265.93; assuming a Manager’s hourly rate at the GS-13/</w:t>
      </w:r>
      <w:r w:rsidR="00641032" w:rsidRPr="00E2464C">
        <w:t xml:space="preserve">Step </w:t>
      </w:r>
      <w:r w:rsidR="001D134B" w:rsidRPr="00E2464C">
        <w:t>1 level.</w:t>
      </w:r>
    </w:p>
    <w:p w:rsidR="00A32FD0" w:rsidRDefault="00A32FD0" w:rsidP="00E2464C">
      <w:pPr>
        <w:tabs>
          <w:tab w:val="left" w:pos="2040"/>
          <w:tab w:val="left" w:pos="3360"/>
          <w:tab w:val="left" w:pos="4680"/>
          <w:tab w:val="left" w:pos="6120"/>
          <w:tab w:val="left" w:pos="7800"/>
        </w:tabs>
        <w:ind w:right="120"/>
        <w:rPr>
          <w:sz w:val="24"/>
          <w:szCs w:val="24"/>
        </w:rPr>
      </w:pPr>
    </w:p>
    <w:p w:rsidR="00E2464C" w:rsidRDefault="00E2464C" w:rsidP="00E2464C">
      <w:pPr>
        <w:tabs>
          <w:tab w:val="left" w:pos="2040"/>
          <w:tab w:val="left" w:pos="3360"/>
          <w:tab w:val="left" w:pos="4680"/>
          <w:tab w:val="left" w:pos="6120"/>
          <w:tab w:val="left" w:pos="7800"/>
        </w:tabs>
        <w:ind w:right="120"/>
        <w:rPr>
          <w:sz w:val="24"/>
          <w:szCs w:val="24"/>
        </w:rPr>
      </w:pPr>
    </w:p>
    <w:p w:rsidR="00E2464C" w:rsidRPr="000E7175" w:rsidRDefault="00E2464C" w:rsidP="00E2464C">
      <w:pPr>
        <w:tabs>
          <w:tab w:val="left" w:pos="2040"/>
          <w:tab w:val="left" w:pos="3360"/>
          <w:tab w:val="left" w:pos="4680"/>
          <w:tab w:val="left" w:pos="6120"/>
          <w:tab w:val="left" w:pos="7800"/>
        </w:tabs>
        <w:ind w:right="120"/>
      </w:pPr>
    </w:p>
    <w:p w:rsidR="00A32FD0" w:rsidRDefault="00A32FD0" w:rsidP="00A32FD0">
      <w:pPr>
        <w:pStyle w:val="BodyTextIndent2"/>
        <w:tabs>
          <w:tab w:val="left" w:pos="360"/>
        </w:tabs>
        <w:spacing w:after="120" w:line="240" w:lineRule="auto"/>
        <w:ind w:hanging="336"/>
        <w:rPr>
          <w:b/>
        </w:rPr>
      </w:pPr>
      <w:r>
        <w:rPr>
          <w:b/>
        </w:rPr>
        <w:lastRenderedPageBreak/>
        <w:t>13.</w:t>
      </w:r>
      <w:r>
        <w:rPr>
          <w:b/>
        </w:rPr>
        <w:tab/>
        <w:t xml:space="preserve">Cost Burden of Information Collection: </w:t>
      </w:r>
    </w:p>
    <w:p w:rsidR="00A32FD0" w:rsidRDefault="00A32FD0" w:rsidP="00A32FD0">
      <w:pPr>
        <w:pStyle w:val="BodyTextIndent2"/>
        <w:tabs>
          <w:tab w:val="left" w:pos="360"/>
        </w:tabs>
        <w:spacing w:after="120" w:line="240" w:lineRule="auto"/>
        <w:ind w:hanging="336"/>
      </w:pPr>
      <w:r>
        <w:tab/>
      </w:r>
      <w:r w:rsidRPr="0035477E">
        <w:t>There are no start-up or additiona</w:t>
      </w:r>
      <w:r w:rsidR="00E2464C">
        <w:t>l costs to the respondents.</w:t>
      </w:r>
      <w:r w:rsidRPr="0035477E">
        <w:t xml:space="preserve">  </w:t>
      </w:r>
    </w:p>
    <w:p w:rsidR="00A32FD0" w:rsidRDefault="00A32FD0" w:rsidP="00A32FD0">
      <w:pPr>
        <w:pStyle w:val="BodyTextIndent2"/>
        <w:tabs>
          <w:tab w:val="left" w:pos="360"/>
        </w:tabs>
        <w:spacing w:after="120" w:line="240" w:lineRule="auto"/>
        <w:ind w:left="0"/>
        <w:rPr>
          <w:b/>
        </w:rPr>
      </w:pPr>
      <w:r>
        <w:rPr>
          <w:b/>
        </w:rPr>
        <w:t>14.</w:t>
      </w:r>
      <w:r>
        <w:rPr>
          <w:b/>
        </w:rPr>
        <w:tab/>
        <w:t xml:space="preserve">Annualized Cost to Federal Government:  </w:t>
      </w:r>
    </w:p>
    <w:p w:rsidR="00A32FD0" w:rsidRDefault="00A32FD0" w:rsidP="00A32FD0">
      <w:pPr>
        <w:ind w:left="360"/>
        <w:rPr>
          <w:sz w:val="24"/>
          <w:szCs w:val="24"/>
        </w:rPr>
      </w:pPr>
      <w:r w:rsidRPr="009B4B36">
        <w:rPr>
          <w:sz w:val="24"/>
          <w:szCs w:val="24"/>
        </w:rPr>
        <w:t>Estimated annualized cost to the Federal Government for this collection:</w:t>
      </w:r>
    </w:p>
    <w:p w:rsidR="00A32FD0" w:rsidRPr="006F101B" w:rsidRDefault="00A32FD0" w:rsidP="00A32FD0">
      <w:pPr>
        <w:ind w:left="360"/>
      </w:pPr>
    </w:p>
    <w:tbl>
      <w:tblPr>
        <w:tblStyle w:val="TableGrid"/>
        <w:tblW w:w="0" w:type="auto"/>
        <w:tblInd w:w="360" w:type="dxa"/>
        <w:tblLook w:val="04A0"/>
      </w:tblPr>
      <w:tblGrid>
        <w:gridCol w:w="1565"/>
        <w:gridCol w:w="1658"/>
        <w:gridCol w:w="1635"/>
        <w:gridCol w:w="1280"/>
        <w:gridCol w:w="1620"/>
        <w:gridCol w:w="1938"/>
      </w:tblGrid>
      <w:tr w:rsidR="00A32FD0" w:rsidRPr="006F101B" w:rsidTr="00C22767">
        <w:tc>
          <w:tcPr>
            <w:tcW w:w="1565" w:type="dxa"/>
          </w:tcPr>
          <w:p w:rsidR="00A32FD0" w:rsidRPr="006F101B" w:rsidRDefault="00A32FD0" w:rsidP="00C22767">
            <w:pPr>
              <w:rPr>
                <w:sz w:val="22"/>
                <w:szCs w:val="22"/>
              </w:rPr>
            </w:pPr>
          </w:p>
        </w:tc>
        <w:tc>
          <w:tcPr>
            <w:tcW w:w="1658" w:type="dxa"/>
          </w:tcPr>
          <w:p w:rsidR="00A32FD0" w:rsidRPr="006F101B" w:rsidRDefault="00A32FD0" w:rsidP="00C22767">
            <w:pPr>
              <w:rPr>
                <w:sz w:val="22"/>
                <w:szCs w:val="22"/>
              </w:rPr>
            </w:pPr>
            <w:r w:rsidRPr="006F101B">
              <w:rPr>
                <w:sz w:val="22"/>
                <w:szCs w:val="22"/>
              </w:rPr>
              <w:t>No. of Respondents</w:t>
            </w:r>
          </w:p>
        </w:tc>
        <w:tc>
          <w:tcPr>
            <w:tcW w:w="1635" w:type="dxa"/>
          </w:tcPr>
          <w:p w:rsidR="00A32FD0" w:rsidRPr="006F101B" w:rsidRDefault="00A32FD0" w:rsidP="00C22767">
            <w:pPr>
              <w:rPr>
                <w:sz w:val="22"/>
                <w:szCs w:val="22"/>
              </w:rPr>
            </w:pPr>
            <w:r w:rsidRPr="006F101B">
              <w:rPr>
                <w:sz w:val="22"/>
                <w:szCs w:val="22"/>
              </w:rPr>
              <w:t>Hrs. per Response</w:t>
            </w:r>
          </w:p>
        </w:tc>
        <w:tc>
          <w:tcPr>
            <w:tcW w:w="1280" w:type="dxa"/>
          </w:tcPr>
          <w:p w:rsidR="00A32FD0" w:rsidRPr="006F101B" w:rsidRDefault="00A32FD0" w:rsidP="00C22767">
            <w:pPr>
              <w:rPr>
                <w:sz w:val="22"/>
                <w:szCs w:val="22"/>
              </w:rPr>
            </w:pPr>
            <w:r w:rsidRPr="006F101B">
              <w:rPr>
                <w:sz w:val="22"/>
                <w:szCs w:val="22"/>
              </w:rPr>
              <w:t>Annual Hours</w:t>
            </w:r>
          </w:p>
        </w:tc>
        <w:tc>
          <w:tcPr>
            <w:tcW w:w="1620" w:type="dxa"/>
          </w:tcPr>
          <w:p w:rsidR="00A32FD0" w:rsidRPr="006F101B" w:rsidRDefault="00A32FD0" w:rsidP="00C22767">
            <w:pPr>
              <w:rPr>
                <w:sz w:val="22"/>
                <w:szCs w:val="22"/>
              </w:rPr>
            </w:pPr>
            <w:r w:rsidRPr="006F101B">
              <w:rPr>
                <w:sz w:val="22"/>
                <w:szCs w:val="22"/>
              </w:rPr>
              <w:t>Cost Per Hour</w:t>
            </w:r>
          </w:p>
        </w:tc>
        <w:tc>
          <w:tcPr>
            <w:tcW w:w="1938" w:type="dxa"/>
          </w:tcPr>
          <w:p w:rsidR="00A32FD0" w:rsidRPr="006F101B" w:rsidRDefault="00A32FD0" w:rsidP="00C22767">
            <w:pPr>
              <w:rPr>
                <w:sz w:val="22"/>
                <w:szCs w:val="22"/>
              </w:rPr>
            </w:pPr>
            <w:r w:rsidRPr="006F101B">
              <w:rPr>
                <w:sz w:val="22"/>
                <w:szCs w:val="22"/>
              </w:rPr>
              <w:t>Annual Cost to Federal Gov’t</w:t>
            </w:r>
          </w:p>
        </w:tc>
      </w:tr>
      <w:tr w:rsidR="00A32FD0" w:rsidRPr="006F101B" w:rsidTr="00C22767">
        <w:tc>
          <w:tcPr>
            <w:tcW w:w="1565" w:type="dxa"/>
          </w:tcPr>
          <w:p w:rsidR="00A32FD0" w:rsidRPr="006F101B" w:rsidRDefault="00A32FD0" w:rsidP="00C22767">
            <w:pPr>
              <w:rPr>
                <w:sz w:val="22"/>
                <w:szCs w:val="22"/>
              </w:rPr>
            </w:pPr>
          </w:p>
        </w:tc>
        <w:tc>
          <w:tcPr>
            <w:tcW w:w="1658" w:type="dxa"/>
          </w:tcPr>
          <w:p w:rsidR="00A32FD0" w:rsidRPr="006F101B" w:rsidRDefault="00A32FD0" w:rsidP="00C22767">
            <w:pPr>
              <w:rPr>
                <w:sz w:val="22"/>
                <w:szCs w:val="22"/>
              </w:rPr>
            </w:pPr>
          </w:p>
        </w:tc>
        <w:tc>
          <w:tcPr>
            <w:tcW w:w="1635" w:type="dxa"/>
          </w:tcPr>
          <w:p w:rsidR="00A32FD0" w:rsidRPr="006F101B" w:rsidRDefault="00A32FD0" w:rsidP="00C22767">
            <w:pPr>
              <w:rPr>
                <w:sz w:val="22"/>
                <w:szCs w:val="22"/>
              </w:rPr>
            </w:pPr>
          </w:p>
        </w:tc>
        <w:tc>
          <w:tcPr>
            <w:tcW w:w="1280" w:type="dxa"/>
          </w:tcPr>
          <w:p w:rsidR="00A32FD0" w:rsidRPr="006F101B" w:rsidRDefault="00A32FD0" w:rsidP="00C22767">
            <w:pPr>
              <w:rPr>
                <w:sz w:val="22"/>
                <w:szCs w:val="22"/>
              </w:rPr>
            </w:pPr>
          </w:p>
        </w:tc>
        <w:tc>
          <w:tcPr>
            <w:tcW w:w="1620" w:type="dxa"/>
          </w:tcPr>
          <w:p w:rsidR="00A32FD0" w:rsidRPr="006F101B" w:rsidRDefault="00A32FD0" w:rsidP="00C22767">
            <w:pPr>
              <w:rPr>
                <w:sz w:val="22"/>
                <w:szCs w:val="22"/>
              </w:rPr>
            </w:pPr>
          </w:p>
        </w:tc>
        <w:tc>
          <w:tcPr>
            <w:tcW w:w="1938" w:type="dxa"/>
          </w:tcPr>
          <w:p w:rsidR="00A32FD0" w:rsidRPr="006F101B" w:rsidRDefault="00A32FD0" w:rsidP="00C22767">
            <w:pPr>
              <w:rPr>
                <w:sz w:val="22"/>
                <w:szCs w:val="22"/>
              </w:rPr>
            </w:pPr>
          </w:p>
        </w:tc>
      </w:tr>
      <w:tr w:rsidR="00A32FD0" w:rsidRPr="006F101B" w:rsidTr="00C22767">
        <w:tc>
          <w:tcPr>
            <w:tcW w:w="1565" w:type="dxa"/>
          </w:tcPr>
          <w:p w:rsidR="00A32FD0" w:rsidRPr="006F101B" w:rsidRDefault="00A32FD0" w:rsidP="00C22767">
            <w:pPr>
              <w:rPr>
                <w:sz w:val="22"/>
                <w:szCs w:val="22"/>
              </w:rPr>
            </w:pPr>
            <w:r w:rsidRPr="006F101B">
              <w:rPr>
                <w:sz w:val="22"/>
                <w:szCs w:val="22"/>
              </w:rPr>
              <w:t>Receipt and processing of NOFA applications</w:t>
            </w:r>
          </w:p>
        </w:tc>
        <w:tc>
          <w:tcPr>
            <w:tcW w:w="1658" w:type="dxa"/>
          </w:tcPr>
          <w:p w:rsidR="00A32FD0" w:rsidRPr="006F101B" w:rsidRDefault="00A32FD0" w:rsidP="00C22767">
            <w:pPr>
              <w:rPr>
                <w:sz w:val="22"/>
                <w:szCs w:val="22"/>
              </w:rPr>
            </w:pPr>
            <w:r w:rsidRPr="006F101B">
              <w:rPr>
                <w:sz w:val="22"/>
                <w:szCs w:val="22"/>
              </w:rPr>
              <w:t>265</w:t>
            </w:r>
          </w:p>
        </w:tc>
        <w:tc>
          <w:tcPr>
            <w:tcW w:w="1635" w:type="dxa"/>
          </w:tcPr>
          <w:p w:rsidR="00A32FD0" w:rsidRPr="006F101B" w:rsidRDefault="00A32FD0" w:rsidP="00C22767">
            <w:pPr>
              <w:rPr>
                <w:sz w:val="22"/>
                <w:szCs w:val="22"/>
              </w:rPr>
            </w:pPr>
            <w:r w:rsidRPr="006F101B">
              <w:rPr>
                <w:sz w:val="22"/>
                <w:szCs w:val="22"/>
              </w:rPr>
              <w:t>16</w:t>
            </w:r>
          </w:p>
        </w:tc>
        <w:tc>
          <w:tcPr>
            <w:tcW w:w="1280" w:type="dxa"/>
          </w:tcPr>
          <w:p w:rsidR="00A32FD0" w:rsidRPr="006F101B" w:rsidRDefault="00A32FD0" w:rsidP="00C22767">
            <w:pPr>
              <w:rPr>
                <w:sz w:val="22"/>
                <w:szCs w:val="22"/>
              </w:rPr>
            </w:pPr>
            <w:r w:rsidRPr="006F101B">
              <w:rPr>
                <w:sz w:val="22"/>
                <w:szCs w:val="22"/>
              </w:rPr>
              <w:t>4240</w:t>
            </w:r>
          </w:p>
        </w:tc>
        <w:tc>
          <w:tcPr>
            <w:tcW w:w="1620" w:type="dxa"/>
          </w:tcPr>
          <w:p w:rsidR="00A32FD0" w:rsidRPr="006F101B" w:rsidRDefault="00A32FD0" w:rsidP="00C22767">
            <w:pPr>
              <w:rPr>
                <w:sz w:val="22"/>
                <w:szCs w:val="22"/>
              </w:rPr>
            </w:pPr>
            <w:r w:rsidRPr="006F101B">
              <w:rPr>
                <w:sz w:val="22"/>
                <w:szCs w:val="22"/>
              </w:rPr>
              <w:t>$32.73*</w:t>
            </w:r>
          </w:p>
        </w:tc>
        <w:tc>
          <w:tcPr>
            <w:tcW w:w="1938" w:type="dxa"/>
          </w:tcPr>
          <w:p w:rsidR="00A32FD0" w:rsidRPr="006F101B" w:rsidRDefault="00A32FD0" w:rsidP="00C22767">
            <w:pPr>
              <w:rPr>
                <w:sz w:val="22"/>
                <w:szCs w:val="22"/>
              </w:rPr>
            </w:pPr>
            <w:r w:rsidRPr="006F101B">
              <w:rPr>
                <w:sz w:val="22"/>
                <w:szCs w:val="22"/>
              </w:rPr>
              <w:t>$138,775</w:t>
            </w:r>
          </w:p>
        </w:tc>
      </w:tr>
      <w:tr w:rsidR="00A32FD0" w:rsidRPr="006F101B" w:rsidTr="00C22767">
        <w:tc>
          <w:tcPr>
            <w:tcW w:w="1565" w:type="dxa"/>
          </w:tcPr>
          <w:p w:rsidR="00A32FD0" w:rsidRPr="006F101B" w:rsidRDefault="00A32FD0" w:rsidP="00C22767">
            <w:pPr>
              <w:rPr>
                <w:sz w:val="22"/>
                <w:szCs w:val="22"/>
              </w:rPr>
            </w:pPr>
            <w:r w:rsidRPr="006F101B">
              <w:rPr>
                <w:sz w:val="22"/>
                <w:szCs w:val="22"/>
              </w:rPr>
              <w:t>Reviewing reports</w:t>
            </w:r>
          </w:p>
        </w:tc>
        <w:tc>
          <w:tcPr>
            <w:tcW w:w="1658" w:type="dxa"/>
          </w:tcPr>
          <w:p w:rsidR="00A32FD0" w:rsidRPr="006F101B" w:rsidRDefault="00A32FD0" w:rsidP="00C22767">
            <w:pPr>
              <w:rPr>
                <w:sz w:val="22"/>
                <w:szCs w:val="22"/>
              </w:rPr>
            </w:pPr>
            <w:r w:rsidRPr="006F101B">
              <w:rPr>
                <w:sz w:val="22"/>
                <w:szCs w:val="22"/>
              </w:rPr>
              <w:t>42</w:t>
            </w:r>
          </w:p>
        </w:tc>
        <w:tc>
          <w:tcPr>
            <w:tcW w:w="1635" w:type="dxa"/>
          </w:tcPr>
          <w:p w:rsidR="00A32FD0" w:rsidRPr="006F101B" w:rsidRDefault="00A32FD0" w:rsidP="00C22767">
            <w:pPr>
              <w:rPr>
                <w:sz w:val="22"/>
                <w:szCs w:val="22"/>
              </w:rPr>
            </w:pPr>
            <w:r w:rsidRPr="006F101B">
              <w:rPr>
                <w:sz w:val="22"/>
                <w:szCs w:val="22"/>
              </w:rPr>
              <w:t>0.5</w:t>
            </w:r>
          </w:p>
        </w:tc>
        <w:tc>
          <w:tcPr>
            <w:tcW w:w="1280" w:type="dxa"/>
          </w:tcPr>
          <w:p w:rsidR="00A32FD0" w:rsidRPr="006F101B" w:rsidRDefault="00A32FD0" w:rsidP="00C22767">
            <w:pPr>
              <w:rPr>
                <w:sz w:val="22"/>
                <w:szCs w:val="22"/>
              </w:rPr>
            </w:pPr>
            <w:r w:rsidRPr="006F101B">
              <w:rPr>
                <w:sz w:val="22"/>
                <w:szCs w:val="22"/>
              </w:rPr>
              <w:t>375</w:t>
            </w:r>
          </w:p>
        </w:tc>
        <w:tc>
          <w:tcPr>
            <w:tcW w:w="1620" w:type="dxa"/>
          </w:tcPr>
          <w:p w:rsidR="00A32FD0" w:rsidRPr="006F101B" w:rsidRDefault="00A32FD0" w:rsidP="00C22767">
            <w:pPr>
              <w:rPr>
                <w:sz w:val="22"/>
                <w:szCs w:val="22"/>
              </w:rPr>
            </w:pPr>
            <w:r w:rsidRPr="006F101B">
              <w:rPr>
                <w:sz w:val="22"/>
                <w:szCs w:val="22"/>
              </w:rPr>
              <w:t>$32.73</w:t>
            </w:r>
          </w:p>
        </w:tc>
        <w:tc>
          <w:tcPr>
            <w:tcW w:w="1938" w:type="dxa"/>
          </w:tcPr>
          <w:p w:rsidR="00A32FD0" w:rsidRPr="006F101B" w:rsidRDefault="00A32FD0" w:rsidP="00C22767">
            <w:pPr>
              <w:rPr>
                <w:sz w:val="22"/>
                <w:szCs w:val="22"/>
              </w:rPr>
            </w:pPr>
            <w:r w:rsidRPr="006F101B">
              <w:rPr>
                <w:sz w:val="22"/>
                <w:szCs w:val="22"/>
              </w:rPr>
              <w:t>$8,250</w:t>
            </w:r>
          </w:p>
        </w:tc>
      </w:tr>
      <w:tr w:rsidR="00A32FD0" w:rsidRPr="006F101B" w:rsidTr="00C22767">
        <w:tc>
          <w:tcPr>
            <w:tcW w:w="1565" w:type="dxa"/>
          </w:tcPr>
          <w:p w:rsidR="00A32FD0" w:rsidRPr="006F101B" w:rsidRDefault="00A32FD0" w:rsidP="00C22767">
            <w:pPr>
              <w:rPr>
                <w:sz w:val="22"/>
                <w:szCs w:val="22"/>
              </w:rPr>
            </w:pPr>
            <w:r w:rsidRPr="006F101B">
              <w:rPr>
                <w:sz w:val="22"/>
                <w:szCs w:val="22"/>
              </w:rPr>
              <w:t>Reviewing records</w:t>
            </w:r>
          </w:p>
        </w:tc>
        <w:tc>
          <w:tcPr>
            <w:tcW w:w="1658" w:type="dxa"/>
          </w:tcPr>
          <w:p w:rsidR="00A32FD0" w:rsidRPr="006F101B" w:rsidRDefault="00A32FD0" w:rsidP="00C22767">
            <w:pPr>
              <w:rPr>
                <w:sz w:val="22"/>
                <w:szCs w:val="22"/>
              </w:rPr>
            </w:pPr>
            <w:r w:rsidRPr="006F101B">
              <w:rPr>
                <w:sz w:val="22"/>
                <w:szCs w:val="22"/>
              </w:rPr>
              <w:t>42</w:t>
            </w:r>
          </w:p>
        </w:tc>
        <w:tc>
          <w:tcPr>
            <w:tcW w:w="1635" w:type="dxa"/>
          </w:tcPr>
          <w:p w:rsidR="00A32FD0" w:rsidRPr="006F101B" w:rsidRDefault="00A32FD0" w:rsidP="00C22767">
            <w:pPr>
              <w:rPr>
                <w:sz w:val="22"/>
                <w:szCs w:val="22"/>
              </w:rPr>
            </w:pPr>
            <w:r w:rsidRPr="006F101B">
              <w:rPr>
                <w:sz w:val="22"/>
                <w:szCs w:val="22"/>
              </w:rPr>
              <w:t>0.25</w:t>
            </w:r>
          </w:p>
        </w:tc>
        <w:tc>
          <w:tcPr>
            <w:tcW w:w="1280" w:type="dxa"/>
          </w:tcPr>
          <w:p w:rsidR="00A32FD0" w:rsidRPr="006F101B" w:rsidRDefault="00A32FD0" w:rsidP="00C22767">
            <w:pPr>
              <w:rPr>
                <w:sz w:val="22"/>
                <w:szCs w:val="22"/>
              </w:rPr>
            </w:pPr>
            <w:r w:rsidRPr="006F101B">
              <w:rPr>
                <w:sz w:val="22"/>
                <w:szCs w:val="22"/>
              </w:rPr>
              <w:t>200</w:t>
            </w:r>
          </w:p>
        </w:tc>
        <w:tc>
          <w:tcPr>
            <w:tcW w:w="1620" w:type="dxa"/>
          </w:tcPr>
          <w:p w:rsidR="00A32FD0" w:rsidRPr="006F101B" w:rsidRDefault="00A32FD0" w:rsidP="00C22767">
            <w:pPr>
              <w:rPr>
                <w:sz w:val="22"/>
                <w:szCs w:val="22"/>
              </w:rPr>
            </w:pPr>
            <w:r w:rsidRPr="006F101B">
              <w:rPr>
                <w:sz w:val="22"/>
                <w:szCs w:val="22"/>
              </w:rPr>
              <w:t>$32.73</w:t>
            </w:r>
          </w:p>
        </w:tc>
        <w:tc>
          <w:tcPr>
            <w:tcW w:w="1938" w:type="dxa"/>
          </w:tcPr>
          <w:p w:rsidR="00A32FD0" w:rsidRPr="006F101B" w:rsidRDefault="00A32FD0" w:rsidP="00C22767">
            <w:pPr>
              <w:rPr>
                <w:sz w:val="22"/>
                <w:szCs w:val="22"/>
              </w:rPr>
            </w:pPr>
            <w:r w:rsidRPr="006F101B">
              <w:rPr>
                <w:sz w:val="22"/>
                <w:szCs w:val="22"/>
              </w:rPr>
              <w:t>$4,400</w:t>
            </w:r>
          </w:p>
        </w:tc>
      </w:tr>
      <w:tr w:rsidR="00A32FD0" w:rsidRPr="006F101B" w:rsidTr="00C22767">
        <w:tc>
          <w:tcPr>
            <w:tcW w:w="1565" w:type="dxa"/>
          </w:tcPr>
          <w:p w:rsidR="00A32FD0" w:rsidRPr="006F101B" w:rsidRDefault="00A32FD0" w:rsidP="00C22767">
            <w:pPr>
              <w:rPr>
                <w:sz w:val="22"/>
                <w:szCs w:val="22"/>
              </w:rPr>
            </w:pPr>
            <w:r w:rsidRPr="006F101B">
              <w:rPr>
                <w:sz w:val="22"/>
                <w:szCs w:val="22"/>
              </w:rPr>
              <w:t>Total Cost</w:t>
            </w:r>
          </w:p>
        </w:tc>
        <w:tc>
          <w:tcPr>
            <w:tcW w:w="6193" w:type="dxa"/>
            <w:gridSpan w:val="4"/>
          </w:tcPr>
          <w:p w:rsidR="00A32FD0" w:rsidRPr="006F101B" w:rsidRDefault="00A32FD0" w:rsidP="00C22767">
            <w:pPr>
              <w:rPr>
                <w:sz w:val="22"/>
                <w:szCs w:val="22"/>
              </w:rPr>
            </w:pPr>
          </w:p>
        </w:tc>
        <w:tc>
          <w:tcPr>
            <w:tcW w:w="1938" w:type="dxa"/>
          </w:tcPr>
          <w:p w:rsidR="00A32FD0" w:rsidRPr="006F101B" w:rsidRDefault="00046CA3" w:rsidP="00C22767">
            <w:pPr>
              <w:rPr>
                <w:sz w:val="22"/>
                <w:szCs w:val="22"/>
              </w:rPr>
            </w:pPr>
            <w:r w:rsidRPr="006F101B">
              <w:rPr>
                <w:sz w:val="22"/>
                <w:szCs w:val="22"/>
              </w:rPr>
              <w:fldChar w:fldCharType="begin"/>
            </w:r>
            <w:r w:rsidR="00A32FD0" w:rsidRPr="006F101B">
              <w:rPr>
                <w:sz w:val="22"/>
                <w:szCs w:val="22"/>
              </w:rPr>
              <w:instrText xml:space="preserve"> =SUM(ABOVE) \# "$#,##0.00;($#,##0.00)" </w:instrText>
            </w:r>
            <w:r w:rsidRPr="006F101B">
              <w:rPr>
                <w:sz w:val="22"/>
                <w:szCs w:val="22"/>
              </w:rPr>
              <w:fldChar w:fldCharType="separate"/>
            </w:r>
            <w:r w:rsidR="00A32FD0" w:rsidRPr="006F101B">
              <w:rPr>
                <w:noProof/>
                <w:sz w:val="22"/>
                <w:szCs w:val="22"/>
              </w:rPr>
              <w:t>$151,425.00</w:t>
            </w:r>
            <w:r w:rsidRPr="006F101B">
              <w:rPr>
                <w:sz w:val="22"/>
                <w:szCs w:val="22"/>
              </w:rPr>
              <w:fldChar w:fldCharType="end"/>
            </w:r>
          </w:p>
        </w:tc>
      </w:tr>
    </w:tbl>
    <w:p w:rsidR="00A32FD0" w:rsidRPr="009B4B36" w:rsidRDefault="00A32FD0" w:rsidP="00A32FD0">
      <w:pPr>
        <w:ind w:left="360"/>
        <w:rPr>
          <w:sz w:val="24"/>
          <w:szCs w:val="24"/>
        </w:rPr>
      </w:pPr>
    </w:p>
    <w:p w:rsidR="00A32FD0" w:rsidRPr="00474550" w:rsidRDefault="00A32FD0" w:rsidP="00A32FD0">
      <w:pPr>
        <w:pStyle w:val="BodyTextIndent2"/>
        <w:tabs>
          <w:tab w:val="left" w:pos="360"/>
        </w:tabs>
        <w:spacing w:after="120" w:line="240" w:lineRule="auto"/>
        <w:ind w:hanging="336"/>
      </w:pPr>
      <w:r>
        <w:t>*Represents GS-13/Step 5 Program Analyst or Housing Program Specialist hourly rate.</w:t>
      </w:r>
    </w:p>
    <w:p w:rsidR="00A32FD0" w:rsidRDefault="00A32FD0" w:rsidP="00A32FD0">
      <w:pPr>
        <w:pStyle w:val="BodyTextIndent2"/>
        <w:tabs>
          <w:tab w:val="left" w:pos="360"/>
        </w:tabs>
        <w:spacing w:after="120" w:line="240" w:lineRule="auto"/>
        <w:ind w:hanging="336"/>
        <w:rPr>
          <w:b/>
        </w:rPr>
      </w:pPr>
      <w:r>
        <w:rPr>
          <w:b/>
        </w:rPr>
        <w:t>15.</w:t>
      </w:r>
      <w:r>
        <w:rPr>
          <w:b/>
        </w:rPr>
        <w:tab/>
        <w:t>Changes</w:t>
      </w:r>
      <w:r w:rsidR="00DE7449">
        <w:rPr>
          <w:b/>
        </w:rPr>
        <w:t xml:space="preserve"> or Adjustments</w:t>
      </w:r>
      <w:r>
        <w:rPr>
          <w:b/>
        </w:rPr>
        <w:t xml:space="preserve">: </w:t>
      </w:r>
      <w:r w:rsidR="00E42D2F">
        <w:t xml:space="preserve">This is an extension of </w:t>
      </w:r>
      <w:r w:rsidR="00DE7449">
        <w:t xml:space="preserve">a previously approved collection.  </w:t>
      </w:r>
      <w:r>
        <w:t xml:space="preserve">The </w:t>
      </w:r>
      <w:r w:rsidR="00C360CF">
        <w:t>change</w:t>
      </w:r>
      <w:r w:rsidR="00E42D2F">
        <w:t>s</w:t>
      </w:r>
      <w:r w:rsidR="00C360CF">
        <w:t xml:space="preserve"> </w:t>
      </w:r>
      <w:r>
        <w:t xml:space="preserve">in </w:t>
      </w:r>
      <w:r w:rsidR="00C360CF">
        <w:t xml:space="preserve">total </w:t>
      </w:r>
      <w:r>
        <w:t>burden hours is attributable to the incorporation of HUD’s 2010 policy priorities into the FUP rating criteria</w:t>
      </w:r>
      <w:r w:rsidR="00C360CF">
        <w:t>,</w:t>
      </w:r>
      <w:r>
        <w:t xml:space="preserve"> an expansion and refinement of criteria to be evaluated for FUP applications</w:t>
      </w:r>
      <w:r w:rsidR="00C360CF">
        <w:t>, and an adjustment to reflect that reporting and recordkeeping are only associated with respondents who selected to receive funding and not all applicants</w:t>
      </w:r>
      <w:r>
        <w:t xml:space="preserve">. </w:t>
      </w:r>
    </w:p>
    <w:p w:rsidR="00A32FD0" w:rsidRDefault="00A32FD0" w:rsidP="00A32FD0">
      <w:pPr>
        <w:pStyle w:val="BodyTextIndent2"/>
        <w:tabs>
          <w:tab w:val="left" w:pos="360"/>
        </w:tabs>
        <w:spacing w:after="120" w:line="240" w:lineRule="auto"/>
        <w:ind w:left="0"/>
        <w:rPr>
          <w:b/>
        </w:rPr>
      </w:pPr>
      <w:r>
        <w:rPr>
          <w:b/>
        </w:rPr>
        <w:t>16.</w:t>
      </w:r>
      <w:r>
        <w:rPr>
          <w:b/>
        </w:rPr>
        <w:tab/>
        <w:t xml:space="preserve">Publication of Information Collection Results:  </w:t>
      </w:r>
    </w:p>
    <w:p w:rsidR="00A32FD0" w:rsidRDefault="00A32FD0" w:rsidP="00A32FD0">
      <w:pPr>
        <w:pStyle w:val="BodyTextIndent2"/>
        <w:tabs>
          <w:tab w:val="clear" w:pos="0"/>
          <w:tab w:val="left" w:pos="360"/>
        </w:tabs>
        <w:spacing w:after="120" w:line="240" w:lineRule="auto"/>
        <w:ind w:hanging="360"/>
      </w:pPr>
      <w:r>
        <w:tab/>
        <w:t xml:space="preserve">Information collection results will not be published. </w:t>
      </w:r>
    </w:p>
    <w:p w:rsidR="00A32FD0" w:rsidRDefault="00A32FD0" w:rsidP="00A32FD0">
      <w:pPr>
        <w:pStyle w:val="BodyTextIndent2"/>
        <w:tabs>
          <w:tab w:val="clear" w:pos="0"/>
          <w:tab w:val="left" w:pos="360"/>
        </w:tabs>
        <w:spacing w:after="120" w:line="240" w:lineRule="auto"/>
        <w:ind w:hanging="360"/>
        <w:rPr>
          <w:b/>
        </w:rPr>
      </w:pPr>
      <w:r>
        <w:rPr>
          <w:b/>
        </w:rPr>
        <w:t>17.</w:t>
      </w:r>
      <w:r>
        <w:rPr>
          <w:b/>
        </w:rPr>
        <w:tab/>
        <w:t xml:space="preserve">Expiration Date:  </w:t>
      </w:r>
    </w:p>
    <w:p w:rsidR="00A32FD0" w:rsidRDefault="00A32FD0" w:rsidP="00A32FD0">
      <w:pPr>
        <w:pStyle w:val="BodyTextIndent2"/>
        <w:tabs>
          <w:tab w:val="clear" w:pos="0"/>
          <w:tab w:val="left" w:pos="360"/>
        </w:tabs>
        <w:spacing w:after="120" w:line="240" w:lineRule="auto"/>
        <w:ind w:hanging="360"/>
      </w:pPr>
      <w:r>
        <w:tab/>
        <w:t>The OMB approval number and date will appear on the HUD-prescribed forms.</w:t>
      </w:r>
    </w:p>
    <w:p w:rsidR="00A32FD0" w:rsidRDefault="00A32FD0" w:rsidP="00A32FD0">
      <w:pPr>
        <w:pStyle w:val="BodyTextIndent2"/>
        <w:tabs>
          <w:tab w:val="clear" w:pos="0"/>
          <w:tab w:val="left" w:pos="360"/>
        </w:tabs>
        <w:spacing w:after="120" w:line="240" w:lineRule="auto"/>
        <w:ind w:hanging="360"/>
        <w:rPr>
          <w:b/>
        </w:rPr>
      </w:pPr>
      <w:r>
        <w:rPr>
          <w:b/>
        </w:rPr>
        <w:t>18.</w:t>
      </w:r>
      <w:r>
        <w:rPr>
          <w:b/>
        </w:rPr>
        <w:tab/>
        <w:t xml:space="preserve">Exceptions to Certification Statement:  </w:t>
      </w:r>
    </w:p>
    <w:p w:rsidR="00A32FD0" w:rsidRDefault="00A32FD0" w:rsidP="00A32FD0">
      <w:pPr>
        <w:pStyle w:val="BodyTextIndent2"/>
        <w:tabs>
          <w:tab w:val="clear" w:pos="0"/>
          <w:tab w:val="left" w:pos="360"/>
        </w:tabs>
        <w:spacing w:after="120" w:line="240" w:lineRule="auto"/>
        <w:ind w:hanging="360"/>
      </w:pPr>
      <w:r>
        <w:tab/>
        <w:t>There are no exceptions to the certification statement identified in item 19.</w:t>
      </w:r>
    </w:p>
    <w:p w:rsidR="00A32FD0" w:rsidRDefault="00A32FD0" w:rsidP="00A32FD0">
      <w:pPr>
        <w:pStyle w:val="BodyTextIndent2"/>
        <w:tabs>
          <w:tab w:val="clear" w:pos="0"/>
          <w:tab w:val="left" w:pos="360"/>
        </w:tabs>
        <w:spacing w:after="120" w:line="240" w:lineRule="auto"/>
        <w:ind w:hanging="360"/>
      </w:pPr>
      <w:r>
        <w:rPr>
          <w:b/>
        </w:rPr>
        <w:t xml:space="preserve">B. </w:t>
      </w:r>
      <w:r>
        <w:rPr>
          <w:b/>
        </w:rPr>
        <w:tab/>
        <w:t>Collections of Information Employing Statistical Methods</w:t>
      </w:r>
    </w:p>
    <w:p w:rsidR="00A32FD0" w:rsidRPr="00CC64A9" w:rsidRDefault="00A32FD0" w:rsidP="00A32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r w:rsidRPr="00CC64A9">
        <w:rPr>
          <w:sz w:val="24"/>
          <w:szCs w:val="24"/>
        </w:rPr>
        <w:t>There are no collections of information that employ statistical</w:t>
      </w:r>
    </w:p>
    <w:p w:rsidR="00917A83" w:rsidRDefault="00917A8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sectPr w:rsidR="00917A83" w:rsidSect="00BD4AD9">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B0B" w:rsidRDefault="001A3B0B" w:rsidP="00917A83">
      <w:r>
        <w:separator/>
      </w:r>
    </w:p>
  </w:endnote>
  <w:endnote w:type="continuationSeparator" w:id="0">
    <w:p w:rsidR="001A3B0B" w:rsidRDefault="001A3B0B" w:rsidP="00917A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B0B" w:rsidRDefault="001A3B0B" w:rsidP="00917A83">
      <w:r>
        <w:separator/>
      </w:r>
    </w:p>
  </w:footnote>
  <w:footnote w:type="continuationSeparator" w:id="0">
    <w:p w:rsidR="001A3B0B" w:rsidRDefault="001A3B0B" w:rsidP="00917A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4">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7"/>
  </w:num>
  <w:num w:numId="3">
    <w:abstractNumId w:val="1"/>
  </w:num>
  <w:num w:numId="4">
    <w:abstractNumId w:val="6"/>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904819"/>
    <w:rsid w:val="00012547"/>
    <w:rsid w:val="00046CA3"/>
    <w:rsid w:val="000677DA"/>
    <w:rsid w:val="000836A2"/>
    <w:rsid w:val="00103A64"/>
    <w:rsid w:val="001779E0"/>
    <w:rsid w:val="00181B69"/>
    <w:rsid w:val="001A3B0B"/>
    <w:rsid w:val="001D134B"/>
    <w:rsid w:val="001D5188"/>
    <w:rsid w:val="001E2641"/>
    <w:rsid w:val="002239A5"/>
    <w:rsid w:val="00243AF9"/>
    <w:rsid w:val="002B5E47"/>
    <w:rsid w:val="0034093E"/>
    <w:rsid w:val="004973DD"/>
    <w:rsid w:val="004C58D2"/>
    <w:rsid w:val="004E16C2"/>
    <w:rsid w:val="00510013"/>
    <w:rsid w:val="00641032"/>
    <w:rsid w:val="006C1D8F"/>
    <w:rsid w:val="006D3111"/>
    <w:rsid w:val="00725E48"/>
    <w:rsid w:val="0073664F"/>
    <w:rsid w:val="0077759D"/>
    <w:rsid w:val="007F7F58"/>
    <w:rsid w:val="00845456"/>
    <w:rsid w:val="0087286F"/>
    <w:rsid w:val="00904819"/>
    <w:rsid w:val="00917A83"/>
    <w:rsid w:val="00970E6F"/>
    <w:rsid w:val="0097648C"/>
    <w:rsid w:val="009A65CC"/>
    <w:rsid w:val="00A32FD0"/>
    <w:rsid w:val="00A355C6"/>
    <w:rsid w:val="00A8607B"/>
    <w:rsid w:val="00A903ED"/>
    <w:rsid w:val="00B528D5"/>
    <w:rsid w:val="00BA3DB7"/>
    <w:rsid w:val="00BA7B1A"/>
    <w:rsid w:val="00BC4EB1"/>
    <w:rsid w:val="00BD4AD9"/>
    <w:rsid w:val="00C22767"/>
    <w:rsid w:val="00C360CF"/>
    <w:rsid w:val="00CC64A9"/>
    <w:rsid w:val="00D12AF6"/>
    <w:rsid w:val="00DE7449"/>
    <w:rsid w:val="00DF6997"/>
    <w:rsid w:val="00E2464C"/>
    <w:rsid w:val="00E42D2F"/>
    <w:rsid w:val="00E4438D"/>
    <w:rsid w:val="00F376B8"/>
    <w:rsid w:val="00F517A9"/>
    <w:rsid w:val="00F6327A"/>
    <w:rsid w:val="00F67933"/>
    <w:rsid w:val="00F76A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D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D4AD9"/>
    <w:pPr>
      <w:tabs>
        <w:tab w:val="center" w:pos="4320"/>
        <w:tab w:val="right" w:pos="8640"/>
      </w:tabs>
    </w:pPr>
  </w:style>
  <w:style w:type="paragraph" w:styleId="Footer">
    <w:name w:val="footer"/>
    <w:basedOn w:val="Normal"/>
    <w:semiHidden/>
    <w:rsid w:val="00BD4AD9"/>
    <w:pPr>
      <w:tabs>
        <w:tab w:val="center" w:pos="4320"/>
        <w:tab w:val="right" w:pos="8640"/>
      </w:tabs>
    </w:pPr>
  </w:style>
  <w:style w:type="character" w:styleId="CommentReference">
    <w:name w:val="annotation reference"/>
    <w:basedOn w:val="DefaultParagraphFont"/>
    <w:uiPriority w:val="99"/>
    <w:semiHidden/>
    <w:unhideWhenUsed/>
    <w:rsid w:val="006C1D8F"/>
    <w:rPr>
      <w:sz w:val="16"/>
      <w:szCs w:val="16"/>
    </w:rPr>
  </w:style>
  <w:style w:type="paragraph" w:styleId="CommentText">
    <w:name w:val="annotation text"/>
    <w:basedOn w:val="Normal"/>
    <w:link w:val="CommentTextChar"/>
    <w:uiPriority w:val="99"/>
    <w:semiHidden/>
    <w:unhideWhenUsed/>
    <w:rsid w:val="006C1D8F"/>
  </w:style>
  <w:style w:type="character" w:customStyle="1" w:styleId="CommentTextChar">
    <w:name w:val="Comment Text Char"/>
    <w:basedOn w:val="DefaultParagraphFont"/>
    <w:link w:val="CommentText"/>
    <w:uiPriority w:val="99"/>
    <w:semiHidden/>
    <w:rsid w:val="006C1D8F"/>
  </w:style>
  <w:style w:type="paragraph" w:styleId="CommentSubject">
    <w:name w:val="annotation subject"/>
    <w:basedOn w:val="CommentText"/>
    <w:next w:val="CommentText"/>
    <w:link w:val="CommentSubjectChar"/>
    <w:uiPriority w:val="99"/>
    <w:semiHidden/>
    <w:unhideWhenUsed/>
    <w:rsid w:val="006C1D8F"/>
    <w:rPr>
      <w:b/>
      <w:bCs/>
    </w:rPr>
  </w:style>
  <w:style w:type="character" w:customStyle="1" w:styleId="CommentSubjectChar">
    <w:name w:val="Comment Subject Char"/>
    <w:basedOn w:val="CommentTextChar"/>
    <w:link w:val="CommentSubject"/>
    <w:uiPriority w:val="99"/>
    <w:semiHidden/>
    <w:rsid w:val="006C1D8F"/>
    <w:rPr>
      <w:b/>
      <w:bCs/>
    </w:rPr>
  </w:style>
  <w:style w:type="paragraph" w:styleId="BalloonText">
    <w:name w:val="Balloon Text"/>
    <w:basedOn w:val="Normal"/>
    <w:link w:val="BalloonTextChar"/>
    <w:uiPriority w:val="99"/>
    <w:semiHidden/>
    <w:unhideWhenUsed/>
    <w:rsid w:val="006C1D8F"/>
    <w:rPr>
      <w:rFonts w:ascii="Tahoma" w:hAnsi="Tahoma" w:cs="Tahoma"/>
      <w:sz w:val="16"/>
      <w:szCs w:val="16"/>
    </w:rPr>
  </w:style>
  <w:style w:type="character" w:customStyle="1" w:styleId="BalloonTextChar">
    <w:name w:val="Balloon Text Char"/>
    <w:basedOn w:val="DefaultParagraphFont"/>
    <w:link w:val="BalloonText"/>
    <w:uiPriority w:val="99"/>
    <w:semiHidden/>
    <w:rsid w:val="006C1D8F"/>
    <w:rPr>
      <w:rFonts w:ascii="Tahoma" w:hAnsi="Tahoma" w:cs="Tahoma"/>
      <w:sz w:val="16"/>
      <w:szCs w:val="16"/>
    </w:rPr>
  </w:style>
  <w:style w:type="paragraph" w:styleId="BlockText">
    <w:name w:val="Block Text"/>
    <w:basedOn w:val="Normal"/>
    <w:rsid w:val="006C1D8F"/>
    <w:pPr>
      <w:tabs>
        <w:tab w:val="left" w:pos="240"/>
      </w:tabs>
      <w:spacing w:after="60"/>
      <w:ind w:left="120" w:right="-120"/>
    </w:pPr>
    <w:rPr>
      <w:sz w:val="22"/>
    </w:rPr>
  </w:style>
  <w:style w:type="paragraph" w:styleId="Title">
    <w:name w:val="Title"/>
    <w:basedOn w:val="Normal"/>
    <w:link w:val="TitleChar"/>
    <w:uiPriority w:val="10"/>
    <w:qFormat/>
    <w:rsid w:val="00A32FD0"/>
    <w:pPr>
      <w:jc w:val="center"/>
    </w:pPr>
    <w:rPr>
      <w:rFonts w:ascii="Helvetica" w:hAnsi="Helvetica"/>
      <w:b/>
      <w:sz w:val="28"/>
    </w:rPr>
  </w:style>
  <w:style w:type="character" w:customStyle="1" w:styleId="TitleChar">
    <w:name w:val="Title Char"/>
    <w:basedOn w:val="DefaultParagraphFont"/>
    <w:link w:val="Title"/>
    <w:uiPriority w:val="10"/>
    <w:rsid w:val="00A32FD0"/>
    <w:rPr>
      <w:rFonts w:ascii="Helvetica" w:hAnsi="Helvetica"/>
      <w:b/>
      <w:sz w:val="28"/>
    </w:rPr>
  </w:style>
  <w:style w:type="paragraph" w:styleId="BodyTextIndent2">
    <w:name w:val="Body Text Indent 2"/>
    <w:basedOn w:val="Normal"/>
    <w:link w:val="BodyTextIndent2Char"/>
    <w:uiPriority w:val="99"/>
    <w:rsid w:val="00A32FD0"/>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uiPriority w:val="99"/>
    <w:rsid w:val="00A32FD0"/>
    <w:rPr>
      <w:sz w:val="24"/>
    </w:rPr>
  </w:style>
  <w:style w:type="paragraph" w:styleId="NoSpacing">
    <w:name w:val="No Spacing"/>
    <w:uiPriority w:val="1"/>
    <w:qFormat/>
    <w:rsid w:val="00A32FD0"/>
    <w:rPr>
      <w:rFonts w:ascii="Calibri" w:hAnsi="Calibri"/>
      <w:sz w:val="22"/>
      <w:szCs w:val="22"/>
    </w:rPr>
  </w:style>
  <w:style w:type="paragraph" w:styleId="HTMLPreformatted">
    <w:name w:val="HTML Preformatted"/>
    <w:basedOn w:val="Normal"/>
    <w:link w:val="HTMLPreformattedChar"/>
    <w:rsid w:val="00A3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A32FD0"/>
    <w:rPr>
      <w:rFonts w:ascii="Courier New" w:hAnsi="Courier New" w:cs="Courier New"/>
    </w:rPr>
  </w:style>
  <w:style w:type="table" w:styleId="TableGrid">
    <w:name w:val="Table Grid"/>
    <w:basedOn w:val="TableNormal"/>
    <w:rsid w:val="00A32F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H45351</cp:lastModifiedBy>
  <cp:revision>13</cp:revision>
  <cp:lastPrinted>2010-09-16T15:19:00Z</cp:lastPrinted>
  <dcterms:created xsi:type="dcterms:W3CDTF">2010-09-16T15:12:00Z</dcterms:created>
  <dcterms:modified xsi:type="dcterms:W3CDTF">2010-09-21T14:57:00Z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-1431311350</vt:i4>
  </property>
  <property fmtid="{D5CDD505-2E9C-101B-9397-08002B2CF9AE}" pid="3" name="_NewReviewCycle">
    <vt:lpwstr/>
  </property>
  <property fmtid="{D5CDD505-2E9C-101B-9397-08002B2CF9AE}" pid="4" name="_EmailSubject">
    <vt:lpwstr>FUP PRA</vt:lpwstr>
  </property>
  <property fmtid="{D5CDD505-2E9C-101B-9397-08002B2CF9AE}" pid="5" name="_AuthorEmail">
    <vt:lpwstr>Amaris.Rodriguez@hud.gov</vt:lpwstr>
  </property>
  <property fmtid="{D5CDD505-2E9C-101B-9397-08002B2CF9AE}" pid="6" name="_AuthorEmailDisplayName">
    <vt:lpwstr>Rodriguez, Amaris</vt:lpwstr>
  </property>
  <property fmtid="{D5CDD505-2E9C-101B-9397-08002B2CF9AE}" pid="7" name="_PreviousAdHocReviewCycleID">
    <vt:i4>773000671</vt:i4>
  </property>
  <property fmtid="{D5CDD505-2E9C-101B-9397-08002B2CF9AE}" pid="8" name="_ReviewingToolsShownOnce">
    <vt:lpwstr/>
  </property>
</Properties>
</file>