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E82" w:rsidRDefault="00CF7E82" w:rsidP="00CF7E82">
      <w:pPr>
        <w:tabs>
          <w:tab w:val="left" w:pos="720"/>
        </w:tabs>
        <w:rPr>
          <w:rFonts w:ascii="Times New Roman" w:eastAsia="Times New Roman" w:hAnsi="Times New Roman"/>
          <w:b/>
          <w:bCs/>
          <w:noProof w:val="0"/>
          <w:sz w:val="24"/>
          <w:szCs w:val="24"/>
          <w:u w:val="single"/>
        </w:rPr>
      </w:pPr>
      <w:r>
        <w:rPr>
          <w:rFonts w:ascii="Times New Roman" w:eastAsia="Times New Roman" w:hAnsi="Times New Roman"/>
          <w:b/>
          <w:bCs/>
          <w:noProof w:val="0"/>
          <w:sz w:val="24"/>
          <w:szCs w:val="24"/>
          <w:u w:val="single"/>
        </w:rPr>
        <w:t>D</w:t>
      </w:r>
      <w:r w:rsidR="008F2BF6">
        <w:rPr>
          <w:rFonts w:ascii="Times New Roman" w:eastAsia="Times New Roman" w:hAnsi="Times New Roman"/>
          <w:b/>
          <w:bCs/>
          <w:noProof w:val="0"/>
          <w:sz w:val="24"/>
          <w:szCs w:val="24"/>
          <w:u w:val="single"/>
        </w:rPr>
        <w:t xml:space="preserve">epartment of </w:t>
      </w:r>
      <w:r>
        <w:rPr>
          <w:rFonts w:ascii="Times New Roman" w:eastAsia="Times New Roman" w:hAnsi="Times New Roman"/>
          <w:b/>
          <w:bCs/>
          <w:noProof w:val="0"/>
          <w:sz w:val="24"/>
          <w:szCs w:val="24"/>
          <w:u w:val="single"/>
        </w:rPr>
        <w:t>E</w:t>
      </w:r>
      <w:r w:rsidR="008F2BF6">
        <w:rPr>
          <w:rFonts w:ascii="Times New Roman" w:eastAsia="Times New Roman" w:hAnsi="Times New Roman"/>
          <w:b/>
          <w:bCs/>
          <w:noProof w:val="0"/>
          <w:sz w:val="24"/>
          <w:szCs w:val="24"/>
          <w:u w:val="single"/>
        </w:rPr>
        <w:t>nergy</w:t>
      </w:r>
      <w:r>
        <w:rPr>
          <w:rFonts w:ascii="Times New Roman" w:eastAsia="Times New Roman" w:hAnsi="Times New Roman"/>
          <w:b/>
          <w:bCs/>
          <w:noProof w:val="0"/>
          <w:sz w:val="24"/>
          <w:szCs w:val="24"/>
          <w:u w:val="single"/>
        </w:rPr>
        <w:t xml:space="preserve"> Utility Billing Data Collection</w:t>
      </w:r>
      <w:r w:rsidR="008F2BF6">
        <w:rPr>
          <w:rFonts w:ascii="Times New Roman" w:eastAsia="Times New Roman" w:hAnsi="Times New Roman"/>
          <w:b/>
          <w:bCs/>
          <w:noProof w:val="0"/>
          <w:sz w:val="24"/>
          <w:szCs w:val="24"/>
          <w:u w:val="single"/>
        </w:rPr>
        <w:t xml:space="preserve"> </w:t>
      </w:r>
      <w:r w:rsidR="00330FC5">
        <w:rPr>
          <w:rFonts w:ascii="Times New Roman" w:eastAsia="Times New Roman" w:hAnsi="Times New Roman"/>
          <w:b/>
          <w:bCs/>
          <w:noProof w:val="0"/>
          <w:sz w:val="24"/>
          <w:szCs w:val="24"/>
          <w:u w:val="single"/>
        </w:rPr>
        <w:t>of</w:t>
      </w:r>
      <w:r w:rsidR="008F2BF6">
        <w:rPr>
          <w:rFonts w:ascii="Times New Roman" w:eastAsia="Times New Roman" w:hAnsi="Times New Roman"/>
          <w:b/>
          <w:bCs/>
          <w:noProof w:val="0"/>
          <w:sz w:val="24"/>
          <w:szCs w:val="24"/>
          <w:u w:val="single"/>
        </w:rPr>
        <w:t xml:space="preserve"> Building Retrofits</w:t>
      </w:r>
    </w:p>
    <w:p w:rsidR="00CF7E82" w:rsidRDefault="00CF7E82" w:rsidP="00CF7E82">
      <w:pPr>
        <w:tabs>
          <w:tab w:val="left" w:pos="720"/>
        </w:tabs>
        <w:rPr>
          <w:rFonts w:ascii="Times New Roman" w:eastAsia="Times New Roman" w:hAnsi="Times New Roman"/>
          <w:bCs/>
          <w:noProof w:val="0"/>
          <w:sz w:val="24"/>
          <w:szCs w:val="24"/>
        </w:rPr>
      </w:pPr>
      <w:r>
        <w:rPr>
          <w:rFonts w:ascii="Times New Roman" w:eastAsia="Times New Roman" w:hAnsi="Times New Roman"/>
          <w:bCs/>
          <w:noProof w:val="0"/>
          <w:sz w:val="24"/>
          <w:szCs w:val="24"/>
        </w:rPr>
        <w:tab/>
      </w:r>
    </w:p>
    <w:p w:rsidR="00414D99" w:rsidRDefault="00820546" w:rsidP="00CF7E82">
      <w:pPr>
        <w:tabs>
          <w:tab w:val="left" w:pos="720"/>
        </w:tabs>
        <w:rPr>
          <w:rFonts w:ascii="Times New Roman" w:eastAsia="Times New Roman" w:hAnsi="Times New Roman"/>
          <w:bCs/>
          <w:noProof w:val="0"/>
          <w:sz w:val="24"/>
          <w:szCs w:val="24"/>
        </w:rPr>
      </w:pPr>
      <w:r>
        <w:rPr>
          <w:rFonts w:ascii="Times New Roman" w:eastAsia="Times New Roman" w:hAnsi="Times New Roman"/>
          <w:bCs/>
          <w:noProof w:val="0"/>
          <w:sz w:val="24"/>
          <w:szCs w:val="24"/>
        </w:rPr>
        <w:t>Department of Energy</w:t>
      </w:r>
      <w:r w:rsidR="008F2BF6">
        <w:rPr>
          <w:rFonts w:ascii="Times New Roman" w:eastAsia="Times New Roman" w:hAnsi="Times New Roman"/>
          <w:bCs/>
          <w:noProof w:val="0"/>
          <w:sz w:val="24"/>
          <w:szCs w:val="24"/>
        </w:rPr>
        <w:t xml:space="preserve"> (DOE)</w:t>
      </w:r>
      <w:r>
        <w:rPr>
          <w:rFonts w:ascii="Times New Roman" w:eastAsia="Times New Roman" w:hAnsi="Times New Roman"/>
          <w:bCs/>
          <w:noProof w:val="0"/>
          <w:sz w:val="24"/>
          <w:szCs w:val="24"/>
        </w:rPr>
        <w:t xml:space="preserve"> </w:t>
      </w:r>
      <w:r w:rsidR="00162A1C">
        <w:rPr>
          <w:rFonts w:ascii="Times New Roman" w:eastAsia="Times New Roman" w:hAnsi="Times New Roman"/>
          <w:bCs/>
          <w:noProof w:val="0"/>
          <w:sz w:val="24"/>
          <w:szCs w:val="24"/>
        </w:rPr>
        <w:t xml:space="preserve">aims to collect information from </w:t>
      </w:r>
      <w:r w:rsidR="008A3AB7">
        <w:rPr>
          <w:rFonts w:ascii="Times New Roman" w:eastAsia="Times New Roman" w:hAnsi="Times New Roman"/>
          <w:bCs/>
          <w:noProof w:val="0"/>
          <w:sz w:val="24"/>
          <w:szCs w:val="24"/>
        </w:rPr>
        <w:t xml:space="preserve">utilities </w:t>
      </w:r>
      <w:r w:rsidR="00414D99">
        <w:rPr>
          <w:rFonts w:ascii="Times New Roman" w:eastAsia="Times New Roman" w:hAnsi="Times New Roman"/>
          <w:bCs/>
          <w:noProof w:val="0"/>
          <w:sz w:val="24"/>
          <w:szCs w:val="24"/>
        </w:rPr>
        <w:t xml:space="preserve">about energy consumption in buildings retrofitted with </w:t>
      </w:r>
      <w:r w:rsidR="00162A1C">
        <w:rPr>
          <w:rFonts w:ascii="Times New Roman" w:eastAsia="Times New Roman" w:hAnsi="Times New Roman"/>
          <w:bCs/>
          <w:noProof w:val="0"/>
          <w:sz w:val="24"/>
          <w:szCs w:val="24"/>
        </w:rPr>
        <w:t>DOE</w:t>
      </w:r>
      <w:r w:rsidR="00414D99">
        <w:rPr>
          <w:rFonts w:ascii="Times New Roman" w:eastAsia="Times New Roman" w:hAnsi="Times New Roman"/>
          <w:bCs/>
          <w:noProof w:val="0"/>
          <w:sz w:val="24"/>
          <w:szCs w:val="24"/>
        </w:rPr>
        <w:t xml:space="preserve"> Recovery Act funds via the Weatherization Assistance Program, State Energy Program, and Energy Efficiency and Conservation Block Grant Program.</w:t>
      </w:r>
      <w:r w:rsidR="00CC0C96">
        <w:rPr>
          <w:rFonts w:ascii="Times New Roman" w:eastAsia="Times New Roman" w:hAnsi="Times New Roman"/>
          <w:bCs/>
          <w:noProof w:val="0"/>
          <w:sz w:val="24"/>
          <w:szCs w:val="24"/>
        </w:rPr>
        <w:t xml:space="preserve"> </w:t>
      </w:r>
      <w:r w:rsidR="00162A1C">
        <w:rPr>
          <w:rFonts w:ascii="Times New Roman" w:eastAsia="Times New Roman" w:hAnsi="Times New Roman"/>
          <w:bCs/>
          <w:noProof w:val="0"/>
          <w:sz w:val="24"/>
          <w:szCs w:val="24"/>
        </w:rPr>
        <w:t>This document outlines the purpose, process and purposed forms for collecting this energy consumption information.</w:t>
      </w:r>
    </w:p>
    <w:p w:rsidR="00414D99" w:rsidRDefault="00414D99" w:rsidP="005F5E83">
      <w:pPr>
        <w:tabs>
          <w:tab w:val="left" w:pos="9360"/>
        </w:tabs>
        <w:ind w:right="900"/>
        <w:rPr>
          <w:rFonts w:ascii="Times New Roman" w:eastAsia="Times New Roman" w:hAnsi="Times New Roman"/>
          <w:b/>
          <w:bCs/>
          <w:noProof w:val="0"/>
          <w:sz w:val="24"/>
          <w:szCs w:val="24"/>
        </w:rPr>
      </w:pPr>
    </w:p>
    <w:p w:rsidR="00162A1C" w:rsidRDefault="00162A1C" w:rsidP="00162A1C">
      <w:pPr>
        <w:tabs>
          <w:tab w:val="left" w:pos="360"/>
          <w:tab w:val="left" w:pos="1080"/>
          <w:tab w:val="left" w:pos="1440"/>
          <w:tab w:val="left" w:pos="1800"/>
        </w:tabs>
        <w:rPr>
          <w:color w:val="000000"/>
        </w:rPr>
      </w:pPr>
      <w:r w:rsidRPr="00162A1C">
        <w:rPr>
          <w:rFonts w:ascii="Times New Roman" w:eastAsia="Times New Roman" w:hAnsi="Times New Roman"/>
          <w:b/>
          <w:bCs/>
          <w:sz w:val="24"/>
          <w:szCs w:val="24"/>
        </w:rPr>
        <w:t xml:space="preserve">Purpose: </w:t>
      </w:r>
      <w:r w:rsidR="00F74831" w:rsidRPr="00F74831">
        <w:rPr>
          <w:rFonts w:ascii="Times New Roman" w:eastAsia="Times New Roman" w:hAnsi="Times New Roman"/>
          <w:bCs/>
          <w:sz w:val="24"/>
          <w:szCs w:val="24"/>
        </w:rPr>
        <w:t xml:space="preserve">DOE will use </w:t>
      </w:r>
      <w:r w:rsidR="00330FC5">
        <w:rPr>
          <w:rFonts w:ascii="Times New Roman" w:eastAsia="Times New Roman" w:hAnsi="Times New Roman"/>
          <w:bCs/>
          <w:sz w:val="24"/>
          <w:szCs w:val="24"/>
        </w:rPr>
        <w:t>e</w:t>
      </w:r>
      <w:r>
        <w:rPr>
          <w:rFonts w:ascii="Times New Roman" w:eastAsia="Times New Roman" w:hAnsi="Times New Roman"/>
          <w:bCs/>
          <w:sz w:val="24"/>
          <w:szCs w:val="24"/>
        </w:rPr>
        <w:t xml:space="preserve">nergy consumption </w:t>
      </w:r>
      <w:r w:rsidRPr="00820546">
        <w:rPr>
          <w:rFonts w:ascii="Times New Roman" w:eastAsia="Times New Roman" w:hAnsi="Times New Roman"/>
          <w:bCs/>
          <w:sz w:val="24"/>
          <w:szCs w:val="24"/>
        </w:rPr>
        <w:t xml:space="preserve">data to </w:t>
      </w:r>
      <w:r w:rsidR="008849D5">
        <w:rPr>
          <w:rFonts w:ascii="Times New Roman" w:eastAsia="Times New Roman" w:hAnsi="Times New Roman"/>
          <w:bCs/>
          <w:sz w:val="24"/>
          <w:szCs w:val="24"/>
        </w:rPr>
        <w:t xml:space="preserve">calculate the benefits of </w:t>
      </w:r>
      <w:r>
        <w:rPr>
          <w:rFonts w:ascii="Times New Roman" w:eastAsia="Times New Roman" w:hAnsi="Times New Roman"/>
          <w:bCs/>
          <w:sz w:val="24"/>
          <w:szCs w:val="24"/>
        </w:rPr>
        <w:t xml:space="preserve">Recovery </w:t>
      </w:r>
      <w:r w:rsidR="008849D5">
        <w:rPr>
          <w:rFonts w:ascii="Times New Roman" w:eastAsia="Times New Roman" w:hAnsi="Times New Roman"/>
          <w:bCs/>
          <w:sz w:val="24"/>
          <w:szCs w:val="24"/>
        </w:rPr>
        <w:t>A</w:t>
      </w:r>
      <w:r>
        <w:rPr>
          <w:rFonts w:ascii="Times New Roman" w:eastAsia="Times New Roman" w:hAnsi="Times New Roman"/>
          <w:bCs/>
          <w:sz w:val="24"/>
          <w:szCs w:val="24"/>
        </w:rPr>
        <w:t xml:space="preserve">ct programs </w:t>
      </w:r>
      <w:r w:rsidRPr="00820546">
        <w:rPr>
          <w:rFonts w:ascii="Times New Roman" w:eastAsia="Times New Roman" w:hAnsi="Times New Roman"/>
          <w:bCs/>
          <w:sz w:val="24"/>
          <w:szCs w:val="24"/>
        </w:rPr>
        <w:t xml:space="preserve">and to better understand energy savings attributable to these programs.  The </w:t>
      </w:r>
      <w:r w:rsidR="00CC0C96">
        <w:rPr>
          <w:rFonts w:ascii="Times New Roman" w:eastAsia="Times New Roman" w:hAnsi="Times New Roman"/>
          <w:bCs/>
          <w:sz w:val="24"/>
          <w:szCs w:val="24"/>
        </w:rPr>
        <w:t xml:space="preserve">monthly utility bill </w:t>
      </w:r>
      <w:r w:rsidRPr="00820546">
        <w:rPr>
          <w:rFonts w:ascii="Times New Roman" w:eastAsia="Times New Roman" w:hAnsi="Times New Roman"/>
          <w:bCs/>
          <w:sz w:val="24"/>
          <w:szCs w:val="24"/>
        </w:rPr>
        <w:t xml:space="preserve">data </w:t>
      </w:r>
      <w:r w:rsidR="008A3AB7">
        <w:rPr>
          <w:rFonts w:ascii="Times New Roman" w:eastAsia="Times New Roman" w:hAnsi="Times New Roman"/>
          <w:bCs/>
          <w:sz w:val="24"/>
          <w:szCs w:val="24"/>
        </w:rPr>
        <w:t xml:space="preserve">on </w:t>
      </w:r>
      <w:r w:rsidR="00330FC5">
        <w:rPr>
          <w:rFonts w:ascii="Times New Roman" w:eastAsia="Times New Roman" w:hAnsi="Times New Roman"/>
          <w:bCs/>
          <w:sz w:val="24"/>
          <w:szCs w:val="24"/>
        </w:rPr>
        <w:t xml:space="preserve">pre- and post-retrofitting energy consumption </w:t>
      </w:r>
      <w:r w:rsidR="008A3AB7">
        <w:rPr>
          <w:rFonts w:ascii="Times New Roman" w:eastAsia="Times New Roman" w:hAnsi="Times New Roman"/>
          <w:bCs/>
          <w:sz w:val="24"/>
          <w:szCs w:val="24"/>
        </w:rPr>
        <w:t xml:space="preserve">from buildings improved with Recovery Act money </w:t>
      </w:r>
      <w:r w:rsidRPr="00820546">
        <w:rPr>
          <w:rFonts w:ascii="Times New Roman" w:eastAsia="Times New Roman" w:hAnsi="Times New Roman"/>
          <w:bCs/>
          <w:sz w:val="24"/>
          <w:szCs w:val="24"/>
        </w:rPr>
        <w:t xml:space="preserve">will be used to analyze the cost effectiveness of different energy efficiency measures, </w:t>
      </w:r>
      <w:r>
        <w:rPr>
          <w:rFonts w:ascii="Times New Roman" w:eastAsia="Times New Roman" w:hAnsi="Times New Roman"/>
          <w:bCs/>
          <w:sz w:val="24"/>
          <w:szCs w:val="24"/>
        </w:rPr>
        <w:t xml:space="preserve">to define the </w:t>
      </w:r>
      <w:r w:rsidRPr="00820546">
        <w:rPr>
          <w:rFonts w:ascii="Times New Roman" w:eastAsia="Times New Roman" w:hAnsi="Times New Roman"/>
          <w:sz w:val="24"/>
          <w:szCs w:val="24"/>
        </w:rPr>
        <w:t>magnitude of energy and cost savings achieved by the</w:t>
      </w:r>
      <w:r>
        <w:rPr>
          <w:rFonts w:ascii="Times New Roman" w:eastAsia="Times New Roman" w:hAnsi="Times New Roman"/>
          <w:sz w:val="24"/>
          <w:szCs w:val="24"/>
        </w:rPr>
        <w:t xml:space="preserve">se </w:t>
      </w:r>
      <w:r w:rsidR="00330FC5">
        <w:rPr>
          <w:rFonts w:ascii="Times New Roman" w:eastAsia="Times New Roman" w:hAnsi="Times New Roman"/>
          <w:sz w:val="24"/>
          <w:szCs w:val="24"/>
        </w:rPr>
        <w:t xml:space="preserve">Recovery Act </w:t>
      </w:r>
      <w:r>
        <w:rPr>
          <w:rFonts w:ascii="Times New Roman" w:eastAsia="Times New Roman" w:hAnsi="Times New Roman"/>
          <w:sz w:val="24"/>
          <w:szCs w:val="24"/>
        </w:rPr>
        <w:t xml:space="preserve">programs and to </w:t>
      </w:r>
      <w:r w:rsidR="00330FC5">
        <w:rPr>
          <w:rFonts w:ascii="Times New Roman" w:eastAsia="Times New Roman" w:hAnsi="Times New Roman"/>
          <w:sz w:val="24"/>
          <w:szCs w:val="24"/>
        </w:rPr>
        <w:t>gain lessons learned from the Recovery Act funded projects</w:t>
      </w:r>
      <w:r>
        <w:rPr>
          <w:rFonts w:ascii="Times New Roman" w:eastAsia="Times New Roman" w:hAnsi="Times New Roman"/>
          <w:sz w:val="24"/>
          <w:szCs w:val="24"/>
        </w:rPr>
        <w:t xml:space="preserve"> to improve and promote energy effi</w:t>
      </w:r>
      <w:r w:rsidR="008A3AB7">
        <w:rPr>
          <w:rFonts w:ascii="Times New Roman" w:eastAsia="Times New Roman" w:hAnsi="Times New Roman"/>
          <w:sz w:val="24"/>
          <w:szCs w:val="24"/>
        </w:rPr>
        <w:t>ci</w:t>
      </w:r>
      <w:r>
        <w:rPr>
          <w:rFonts w:ascii="Times New Roman" w:eastAsia="Times New Roman" w:hAnsi="Times New Roman"/>
          <w:sz w:val="24"/>
          <w:szCs w:val="24"/>
        </w:rPr>
        <w:t xml:space="preserve">ency in the future.  </w:t>
      </w:r>
    </w:p>
    <w:p w:rsidR="00162A1C" w:rsidRDefault="00162A1C" w:rsidP="005F5E83">
      <w:pPr>
        <w:tabs>
          <w:tab w:val="left" w:pos="9360"/>
        </w:tabs>
        <w:ind w:right="900"/>
        <w:rPr>
          <w:rFonts w:ascii="Times New Roman" w:eastAsia="Times New Roman" w:hAnsi="Times New Roman"/>
          <w:b/>
          <w:bCs/>
          <w:noProof w:val="0"/>
          <w:sz w:val="24"/>
          <w:szCs w:val="24"/>
        </w:rPr>
      </w:pPr>
    </w:p>
    <w:p w:rsidR="008F2BF6" w:rsidRDefault="00F74831" w:rsidP="005F5E83">
      <w:pPr>
        <w:tabs>
          <w:tab w:val="left" w:pos="9360"/>
        </w:tabs>
        <w:ind w:right="900"/>
        <w:rPr>
          <w:rFonts w:ascii="Times New Roman" w:eastAsia="Times New Roman" w:hAnsi="Times New Roman"/>
          <w:b/>
          <w:bCs/>
          <w:noProof w:val="0"/>
          <w:sz w:val="24"/>
          <w:szCs w:val="24"/>
        </w:rPr>
      </w:pPr>
      <w:r w:rsidRPr="00F74831">
        <w:rPr>
          <w:rFonts w:ascii="Times New Roman" w:eastAsia="Times New Roman" w:hAnsi="Times New Roman"/>
          <w:b/>
          <w:bCs/>
          <w:noProof w:val="0"/>
          <w:sz w:val="24"/>
          <w:szCs w:val="24"/>
        </w:rPr>
        <w:t xml:space="preserve">Process: </w:t>
      </w:r>
    </w:p>
    <w:p w:rsidR="00A14243" w:rsidRDefault="00CC0C96" w:rsidP="005F5E83">
      <w:pPr>
        <w:tabs>
          <w:tab w:val="left" w:pos="9360"/>
        </w:tabs>
        <w:ind w:right="900"/>
        <w:rPr>
          <w:rFonts w:ascii="Times New Roman" w:eastAsia="Times New Roman" w:hAnsi="Times New Roman"/>
          <w:bCs/>
          <w:noProof w:val="0"/>
          <w:sz w:val="24"/>
          <w:szCs w:val="24"/>
        </w:rPr>
      </w:pPr>
      <w:r>
        <w:rPr>
          <w:rFonts w:ascii="Times New Roman" w:eastAsia="Times New Roman" w:hAnsi="Times New Roman"/>
          <w:bCs/>
          <w:noProof w:val="0"/>
          <w:sz w:val="24"/>
          <w:szCs w:val="24"/>
        </w:rPr>
        <w:t xml:space="preserve">Grantees, sub-grantees and other recipients of Recovery Act funding (“Recipients”) </w:t>
      </w:r>
      <w:r w:rsidR="00A14243">
        <w:rPr>
          <w:rFonts w:ascii="Times New Roman" w:eastAsia="Times New Roman" w:hAnsi="Times New Roman"/>
          <w:bCs/>
          <w:noProof w:val="0"/>
          <w:sz w:val="24"/>
          <w:szCs w:val="24"/>
        </w:rPr>
        <w:t>will sign the approved waiver form</w:t>
      </w:r>
      <w:r w:rsidR="006B1E20">
        <w:rPr>
          <w:rFonts w:ascii="Times New Roman" w:eastAsia="Times New Roman" w:hAnsi="Times New Roman"/>
          <w:bCs/>
          <w:noProof w:val="0"/>
          <w:sz w:val="24"/>
          <w:szCs w:val="24"/>
        </w:rPr>
        <w:t xml:space="preserve"> </w:t>
      </w:r>
      <w:r>
        <w:rPr>
          <w:rFonts w:ascii="Times New Roman" w:eastAsia="Times New Roman" w:hAnsi="Times New Roman"/>
          <w:bCs/>
          <w:noProof w:val="0"/>
          <w:sz w:val="24"/>
          <w:szCs w:val="24"/>
        </w:rPr>
        <w:t xml:space="preserve">“Authorization to Obtain Energy Use Information” </w:t>
      </w:r>
      <w:r w:rsidR="006B1E20">
        <w:rPr>
          <w:rFonts w:ascii="Times New Roman" w:eastAsia="Times New Roman" w:hAnsi="Times New Roman"/>
          <w:bCs/>
          <w:noProof w:val="0"/>
          <w:sz w:val="24"/>
          <w:szCs w:val="24"/>
        </w:rPr>
        <w:t>(Appendix 1)</w:t>
      </w:r>
      <w:r w:rsidR="00A14243">
        <w:rPr>
          <w:rFonts w:ascii="Times New Roman" w:eastAsia="Times New Roman" w:hAnsi="Times New Roman"/>
          <w:bCs/>
          <w:noProof w:val="0"/>
          <w:sz w:val="24"/>
          <w:szCs w:val="24"/>
        </w:rPr>
        <w:t xml:space="preserve">. </w:t>
      </w:r>
      <w:r w:rsidR="008849D5">
        <w:rPr>
          <w:rFonts w:ascii="Times New Roman" w:eastAsia="Times New Roman" w:hAnsi="Times New Roman"/>
          <w:bCs/>
          <w:noProof w:val="0"/>
          <w:sz w:val="24"/>
          <w:szCs w:val="24"/>
        </w:rPr>
        <w:t xml:space="preserve"> This form will be distributed, to the extent possible, when work begins on building retrofits by DOE Project Officers responsible for individual grantees. </w:t>
      </w:r>
      <w:r w:rsidR="008F2BF6">
        <w:rPr>
          <w:rFonts w:ascii="Times New Roman" w:eastAsia="Times New Roman" w:hAnsi="Times New Roman"/>
          <w:bCs/>
          <w:noProof w:val="0"/>
          <w:sz w:val="24"/>
          <w:szCs w:val="24"/>
        </w:rPr>
        <w:t xml:space="preserve">DOE </w:t>
      </w:r>
      <w:r w:rsidR="00A14243">
        <w:rPr>
          <w:rFonts w:ascii="Times New Roman" w:eastAsia="Times New Roman" w:hAnsi="Times New Roman"/>
          <w:bCs/>
          <w:noProof w:val="0"/>
          <w:sz w:val="24"/>
          <w:szCs w:val="24"/>
        </w:rPr>
        <w:t>or its contractors will</w:t>
      </w:r>
      <w:r w:rsidR="008F2BF6">
        <w:rPr>
          <w:rFonts w:ascii="Times New Roman" w:eastAsia="Times New Roman" w:hAnsi="Times New Roman"/>
          <w:bCs/>
          <w:noProof w:val="0"/>
          <w:sz w:val="24"/>
          <w:szCs w:val="24"/>
        </w:rPr>
        <w:t xml:space="preserve"> then collect and</w:t>
      </w:r>
      <w:r w:rsidR="00A14243">
        <w:rPr>
          <w:rFonts w:ascii="Times New Roman" w:eastAsia="Times New Roman" w:hAnsi="Times New Roman"/>
          <w:bCs/>
          <w:noProof w:val="0"/>
          <w:sz w:val="24"/>
          <w:szCs w:val="24"/>
        </w:rPr>
        <w:t xml:space="preserve"> consolidate </w:t>
      </w:r>
      <w:r w:rsidR="008F2BF6">
        <w:rPr>
          <w:rFonts w:ascii="Times New Roman" w:eastAsia="Times New Roman" w:hAnsi="Times New Roman"/>
          <w:bCs/>
          <w:noProof w:val="0"/>
          <w:sz w:val="24"/>
          <w:szCs w:val="24"/>
        </w:rPr>
        <w:t xml:space="preserve">the </w:t>
      </w:r>
      <w:r w:rsidR="00A14243">
        <w:rPr>
          <w:rFonts w:ascii="Times New Roman" w:eastAsia="Times New Roman" w:hAnsi="Times New Roman"/>
          <w:bCs/>
          <w:noProof w:val="0"/>
          <w:sz w:val="24"/>
          <w:szCs w:val="24"/>
        </w:rPr>
        <w:t xml:space="preserve">information from </w:t>
      </w:r>
      <w:r w:rsidR="008F2BF6">
        <w:rPr>
          <w:rFonts w:ascii="Times New Roman" w:eastAsia="Times New Roman" w:hAnsi="Times New Roman"/>
          <w:bCs/>
          <w:noProof w:val="0"/>
          <w:sz w:val="24"/>
          <w:szCs w:val="24"/>
        </w:rPr>
        <w:t xml:space="preserve">the signed recipient </w:t>
      </w:r>
      <w:r w:rsidR="00A14243">
        <w:rPr>
          <w:rFonts w:ascii="Times New Roman" w:eastAsia="Times New Roman" w:hAnsi="Times New Roman"/>
          <w:bCs/>
          <w:noProof w:val="0"/>
          <w:sz w:val="24"/>
          <w:szCs w:val="24"/>
        </w:rPr>
        <w:t>waiver forms</w:t>
      </w:r>
      <w:r w:rsidR="008F2BF6">
        <w:rPr>
          <w:rFonts w:ascii="Times New Roman" w:eastAsia="Times New Roman" w:hAnsi="Times New Roman"/>
          <w:bCs/>
          <w:noProof w:val="0"/>
          <w:sz w:val="24"/>
          <w:szCs w:val="24"/>
        </w:rPr>
        <w:t xml:space="preserve">. </w:t>
      </w:r>
      <w:r w:rsidR="006B1E20">
        <w:rPr>
          <w:rFonts w:ascii="Times New Roman" w:eastAsia="Times New Roman" w:hAnsi="Times New Roman"/>
          <w:bCs/>
          <w:noProof w:val="0"/>
          <w:sz w:val="24"/>
          <w:szCs w:val="24"/>
        </w:rPr>
        <w:t xml:space="preserve">DOE </w:t>
      </w:r>
      <w:r>
        <w:rPr>
          <w:rFonts w:ascii="Times New Roman" w:eastAsia="Times New Roman" w:hAnsi="Times New Roman"/>
          <w:bCs/>
          <w:noProof w:val="0"/>
          <w:sz w:val="24"/>
          <w:szCs w:val="24"/>
        </w:rPr>
        <w:t xml:space="preserve">or its contractors </w:t>
      </w:r>
      <w:r w:rsidR="006B1E20">
        <w:rPr>
          <w:rFonts w:ascii="Times New Roman" w:eastAsia="Times New Roman" w:hAnsi="Times New Roman"/>
          <w:bCs/>
          <w:noProof w:val="0"/>
          <w:sz w:val="24"/>
          <w:szCs w:val="24"/>
        </w:rPr>
        <w:t>will provide utilities with t</w:t>
      </w:r>
      <w:r w:rsidR="008F2BF6">
        <w:rPr>
          <w:rFonts w:ascii="Times New Roman" w:eastAsia="Times New Roman" w:hAnsi="Times New Roman"/>
          <w:bCs/>
          <w:noProof w:val="0"/>
          <w:sz w:val="24"/>
          <w:szCs w:val="24"/>
        </w:rPr>
        <w:t xml:space="preserve">he information from recipients in the data form </w:t>
      </w:r>
      <w:r w:rsidR="006B1E20">
        <w:rPr>
          <w:rFonts w:ascii="Times New Roman" w:eastAsia="Times New Roman" w:hAnsi="Times New Roman"/>
          <w:bCs/>
          <w:noProof w:val="0"/>
          <w:sz w:val="24"/>
          <w:szCs w:val="24"/>
        </w:rPr>
        <w:t>outlined in Appendix 2</w:t>
      </w:r>
      <w:r>
        <w:rPr>
          <w:rFonts w:ascii="Times New Roman" w:eastAsia="Times New Roman" w:hAnsi="Times New Roman"/>
          <w:bCs/>
          <w:noProof w:val="0"/>
          <w:sz w:val="24"/>
          <w:szCs w:val="24"/>
        </w:rPr>
        <w:t xml:space="preserve">.  Utilities will then provide </w:t>
      </w:r>
      <w:r w:rsidR="00EA5D68">
        <w:rPr>
          <w:rFonts w:ascii="Times New Roman" w:eastAsia="Times New Roman" w:hAnsi="Times New Roman"/>
          <w:bCs/>
          <w:noProof w:val="0"/>
          <w:sz w:val="24"/>
          <w:szCs w:val="24"/>
        </w:rPr>
        <w:t>read dates and consumption information</w:t>
      </w:r>
      <w:r w:rsidR="008F2BF6">
        <w:rPr>
          <w:rFonts w:ascii="Times New Roman" w:eastAsia="Times New Roman" w:hAnsi="Times New Roman"/>
          <w:bCs/>
          <w:noProof w:val="0"/>
          <w:sz w:val="24"/>
          <w:szCs w:val="24"/>
        </w:rPr>
        <w:t xml:space="preserve"> of recipients</w:t>
      </w:r>
      <w:r w:rsidR="00EA5D68">
        <w:rPr>
          <w:rFonts w:ascii="Times New Roman" w:eastAsia="Times New Roman" w:hAnsi="Times New Roman"/>
          <w:bCs/>
          <w:noProof w:val="0"/>
          <w:sz w:val="24"/>
          <w:szCs w:val="24"/>
        </w:rPr>
        <w:t xml:space="preserve">. </w:t>
      </w:r>
      <w:r w:rsidR="00A14243">
        <w:rPr>
          <w:rFonts w:ascii="Times New Roman" w:eastAsia="Times New Roman" w:hAnsi="Times New Roman"/>
          <w:bCs/>
          <w:noProof w:val="0"/>
          <w:sz w:val="24"/>
          <w:szCs w:val="24"/>
        </w:rPr>
        <w:t xml:space="preserve">  </w:t>
      </w:r>
    </w:p>
    <w:p w:rsidR="00A14243" w:rsidRPr="00162A1C" w:rsidRDefault="00A14243" w:rsidP="005F5E83">
      <w:pPr>
        <w:tabs>
          <w:tab w:val="left" w:pos="9360"/>
        </w:tabs>
        <w:ind w:right="900"/>
        <w:rPr>
          <w:rFonts w:ascii="Times New Roman" w:eastAsia="Times New Roman" w:hAnsi="Times New Roman"/>
          <w:b/>
          <w:bCs/>
          <w:noProof w:val="0"/>
          <w:sz w:val="24"/>
          <w:szCs w:val="24"/>
        </w:rPr>
      </w:pPr>
    </w:p>
    <w:p w:rsidR="00414D99" w:rsidRPr="00820546" w:rsidRDefault="00414D99" w:rsidP="00820546">
      <w:pPr>
        <w:tabs>
          <w:tab w:val="left" w:pos="360"/>
          <w:tab w:val="left" w:pos="1080"/>
          <w:tab w:val="left" w:pos="1440"/>
          <w:tab w:val="left" w:pos="1800"/>
        </w:tabs>
        <w:rPr>
          <w:rFonts w:ascii="Times New Roman" w:eastAsia="Times New Roman" w:hAnsi="Times New Roman"/>
          <w:sz w:val="24"/>
          <w:szCs w:val="24"/>
        </w:rPr>
      </w:pPr>
    </w:p>
    <w:p w:rsidR="00414D99" w:rsidRDefault="00414D99" w:rsidP="005F5E83">
      <w:pPr>
        <w:pStyle w:val="Normal0"/>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bCs/>
          <w:noProof w:val="0"/>
          <w:szCs w:val="24"/>
        </w:rPr>
      </w:pPr>
      <w:r w:rsidRPr="003455FA">
        <w:rPr>
          <w:rFonts w:ascii="Times New Roman" w:eastAsia="Times New Roman" w:hAnsi="Times New Roman"/>
          <w:bCs/>
          <w:noProof w:val="0"/>
          <w:szCs w:val="24"/>
        </w:rPr>
        <w:t xml:space="preserve">All of the information obtained from this survey and from </w:t>
      </w:r>
      <w:r w:rsidR="005F5E83">
        <w:rPr>
          <w:rFonts w:ascii="Times New Roman" w:eastAsia="Times New Roman" w:hAnsi="Times New Roman"/>
          <w:bCs/>
          <w:noProof w:val="0"/>
          <w:szCs w:val="24"/>
        </w:rPr>
        <w:t xml:space="preserve">utilities will be protected and </w:t>
      </w:r>
      <w:r w:rsidRPr="003455FA">
        <w:rPr>
          <w:rFonts w:ascii="Times New Roman" w:eastAsia="Times New Roman" w:hAnsi="Times New Roman"/>
          <w:bCs/>
          <w:noProof w:val="0"/>
          <w:szCs w:val="24"/>
        </w:rPr>
        <w:t xml:space="preserve">remain confidential. The data will be analyzed in such a way that the information provided cannot be associated back to </w:t>
      </w:r>
      <w:r w:rsidR="00820546">
        <w:rPr>
          <w:rFonts w:ascii="Times New Roman" w:eastAsia="Times New Roman" w:hAnsi="Times New Roman"/>
          <w:bCs/>
          <w:noProof w:val="0"/>
          <w:szCs w:val="24"/>
        </w:rPr>
        <w:t xml:space="preserve">a specific grantee, sub-grantee, housing unit, or client that a grantee served.  </w:t>
      </w:r>
    </w:p>
    <w:p w:rsidR="006B1E20" w:rsidRDefault="006B1E20">
      <w:pPr>
        <w:spacing w:after="200" w:line="276" w:lineRule="auto"/>
        <w:rPr>
          <w:rFonts w:ascii="Times New Roman" w:eastAsia="Times New Roman" w:hAnsi="Times New Roman"/>
          <w:bCs/>
          <w:noProof w:val="0"/>
          <w:sz w:val="24"/>
          <w:szCs w:val="24"/>
        </w:rPr>
      </w:pPr>
      <w:r>
        <w:rPr>
          <w:rFonts w:ascii="Times New Roman" w:eastAsia="Times New Roman" w:hAnsi="Times New Roman"/>
          <w:bCs/>
          <w:noProof w:val="0"/>
          <w:szCs w:val="24"/>
        </w:rPr>
        <w:br w:type="page"/>
      </w:r>
    </w:p>
    <w:p w:rsidR="00414D99" w:rsidRDefault="006B1E20" w:rsidP="005F5E83">
      <w:pPr>
        <w:pStyle w:val="Normal0"/>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right="900"/>
        <w:rPr>
          <w:rFonts w:ascii="Times New Roman" w:eastAsia="Times New Roman" w:hAnsi="Times New Roman"/>
          <w:bCs/>
          <w:noProof w:val="0"/>
          <w:szCs w:val="24"/>
        </w:rPr>
      </w:pPr>
      <w:r>
        <w:rPr>
          <w:rFonts w:ascii="Times New Roman" w:eastAsia="Times New Roman" w:hAnsi="Times New Roman"/>
          <w:bCs/>
          <w:noProof w:val="0"/>
          <w:szCs w:val="24"/>
        </w:rPr>
        <w:lastRenderedPageBreak/>
        <w:t>APPENDIX 1: Recovery Act Recipient Authorization Waiver Form</w:t>
      </w:r>
    </w:p>
    <w:p w:rsidR="006B1E20" w:rsidRDefault="006B1E20" w:rsidP="005F5E83">
      <w:pPr>
        <w:pStyle w:val="Normal0"/>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right="900"/>
        <w:rPr>
          <w:rFonts w:ascii="Times New Roman" w:eastAsia="Times New Roman" w:hAnsi="Times New Roman"/>
          <w:bCs/>
          <w:noProof w:val="0"/>
          <w:szCs w:val="24"/>
        </w:rPr>
      </w:pPr>
    </w:p>
    <w:p w:rsidR="006B1E20" w:rsidRDefault="00F6309A" w:rsidP="005F5E83">
      <w:pPr>
        <w:pStyle w:val="Normal0"/>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right="900"/>
        <w:rPr>
          <w:rFonts w:ascii="Times New Roman" w:eastAsia="Times New Roman" w:hAnsi="Times New Roman"/>
          <w:bCs/>
          <w:noProof w:val="0"/>
          <w:szCs w:val="24"/>
        </w:rPr>
      </w:pPr>
      <w:r>
        <w:rPr>
          <w:rFonts w:ascii="Times New Roman" w:eastAsia="Times New Roman" w:hAnsi="Times New Roman"/>
          <w:bCs/>
          <w:szCs w:val="24"/>
        </w:rPr>
        <w:drawing>
          <wp:inline distT="0" distB="0" distL="0" distR="0">
            <wp:extent cx="5943600" cy="7696835"/>
            <wp:effectExtent l="19050" t="0" r="0" b="0"/>
            <wp:docPr id="2" name="Picture 1" descr="Pages from Utility Billing Disclosure waiver v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s from Utility Billing Disclosure waiver v2.0.jpg"/>
                    <pic:cNvPicPr/>
                  </pic:nvPicPr>
                  <pic:blipFill>
                    <a:blip r:embed="rId8" cstate="print"/>
                    <a:stretch>
                      <a:fillRect/>
                    </a:stretch>
                  </pic:blipFill>
                  <pic:spPr>
                    <a:xfrm>
                      <a:off x="0" y="0"/>
                      <a:ext cx="5943600" cy="7696835"/>
                    </a:xfrm>
                    <a:prstGeom prst="rect">
                      <a:avLst/>
                    </a:prstGeom>
                  </pic:spPr>
                </pic:pic>
              </a:graphicData>
            </a:graphic>
          </wp:inline>
        </w:drawing>
      </w:r>
    </w:p>
    <w:p w:rsidR="006B1E20" w:rsidRDefault="006B1E20" w:rsidP="005F5E83">
      <w:pPr>
        <w:pStyle w:val="Normal0"/>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right="900"/>
        <w:rPr>
          <w:rFonts w:ascii="Times New Roman" w:eastAsia="Times New Roman" w:hAnsi="Times New Roman"/>
          <w:bCs/>
          <w:noProof w:val="0"/>
          <w:szCs w:val="24"/>
        </w:rPr>
      </w:pPr>
    </w:p>
    <w:p w:rsidR="00414D99" w:rsidRPr="006B1E20" w:rsidRDefault="00162A1C" w:rsidP="006B1E20">
      <w:pPr>
        <w:spacing w:after="200" w:line="276" w:lineRule="auto"/>
        <w:rPr>
          <w:rFonts w:ascii="Times New Roman" w:hAnsi="Times New Roman"/>
          <w:sz w:val="24"/>
          <w:szCs w:val="24"/>
        </w:rPr>
      </w:pPr>
      <w:r w:rsidRPr="006B1E20">
        <w:rPr>
          <w:rFonts w:ascii="Times New Roman" w:hAnsi="Times New Roman"/>
          <w:sz w:val="24"/>
          <w:szCs w:val="24"/>
        </w:rPr>
        <w:lastRenderedPageBreak/>
        <w:t xml:space="preserve">APPENDIX </w:t>
      </w:r>
      <w:r w:rsidR="006B1E20" w:rsidRPr="006B1E20">
        <w:rPr>
          <w:rFonts w:ascii="Times New Roman" w:hAnsi="Times New Roman"/>
          <w:sz w:val="24"/>
          <w:szCs w:val="24"/>
        </w:rPr>
        <w:t>2</w:t>
      </w:r>
      <w:r w:rsidRPr="006B1E20">
        <w:rPr>
          <w:rFonts w:ascii="Times New Roman" w:hAnsi="Times New Roman"/>
          <w:sz w:val="24"/>
          <w:szCs w:val="24"/>
        </w:rPr>
        <w:t>:</w:t>
      </w:r>
      <w:r w:rsidR="006B1E20" w:rsidRPr="006B1E20">
        <w:rPr>
          <w:rFonts w:ascii="Times New Roman" w:hAnsi="Times New Roman"/>
          <w:sz w:val="24"/>
          <w:szCs w:val="24"/>
        </w:rPr>
        <w:t xml:space="preserve">  Data Form for Utilities</w:t>
      </w:r>
      <w:r w:rsidRPr="006B1E20">
        <w:rPr>
          <w:rFonts w:ascii="Times New Roman" w:hAnsi="Times New Roman"/>
          <w:sz w:val="24"/>
          <w:szCs w:val="24"/>
        </w:rPr>
        <w:t xml:space="preserve"> </w:t>
      </w:r>
    </w:p>
    <w:p w:rsidR="006B1E20" w:rsidRDefault="006B1E20" w:rsidP="005F5E83">
      <w:pPr>
        <w:tabs>
          <w:tab w:val="left" w:pos="9360"/>
        </w:tabs>
      </w:pPr>
    </w:p>
    <w:p w:rsidR="006B1E20" w:rsidRDefault="006B1E20" w:rsidP="005F5E83">
      <w:pPr>
        <w:tabs>
          <w:tab w:val="left" w:pos="9360"/>
        </w:tabs>
      </w:pPr>
    </w:p>
    <w:p w:rsidR="006B1E20" w:rsidRDefault="006B1E20" w:rsidP="005F5E83">
      <w:pPr>
        <w:tabs>
          <w:tab w:val="left" w:pos="9360"/>
        </w:tabs>
      </w:pPr>
    </w:p>
    <w:p w:rsidR="006B1E20" w:rsidRDefault="006B1E20" w:rsidP="005F5E83">
      <w:pPr>
        <w:tabs>
          <w:tab w:val="left" w:pos="9360"/>
        </w:tabs>
      </w:pPr>
    </w:p>
    <w:p w:rsidR="006B1E20" w:rsidRDefault="000F32F7" w:rsidP="005F5E83">
      <w:pPr>
        <w:tabs>
          <w:tab w:val="left" w:pos="9360"/>
        </w:tabs>
      </w:pPr>
      <w:r>
        <w:pict>
          <v:shapetype id="_x0000_t202" coordsize="21600,21600" o:spt="202" path="m,l,21600r21600,l21600,xe">
            <v:stroke joinstyle="miter"/>
            <v:path gradientshapeok="t" o:connecttype="rect"/>
          </v:shapetype>
          <v:shape id="_x0000_s1032" type="#_x0000_t202" style="position:absolute;margin-left:0;margin-top:-16.3pt;width:464.25pt;height:87.5pt;z-index:251660288;mso-position-horizontal:center;mso-width-relative:margin;mso-height-relative:margin">
            <v:textbox style="mso-next-textbox:#_x0000_s1032">
              <w:txbxContent>
                <w:p w:rsidR="006B1E20" w:rsidRPr="00414D99" w:rsidRDefault="006B1E20" w:rsidP="006B1E20">
                  <w:pPr>
                    <w:rPr>
                      <w:b/>
                    </w:rPr>
                  </w:pPr>
                  <w:r>
                    <w:rPr>
                      <w:b/>
                    </w:rPr>
                    <w:tab/>
                  </w:r>
                  <w:r>
                    <w:rPr>
                      <w:b/>
                    </w:rPr>
                    <w:tab/>
                  </w:r>
                  <w:r>
                    <w:rPr>
                      <w:b/>
                    </w:rPr>
                    <w:tab/>
                  </w:r>
                  <w:r>
                    <w:rPr>
                      <w:b/>
                    </w:rPr>
                    <w:tab/>
                    <w:t>Section 1: Customer information</w:t>
                  </w:r>
                </w:p>
                <w:p w:rsidR="006B1E20" w:rsidRDefault="006B1E20" w:rsidP="006B1E20">
                  <w:r>
                    <w:tab/>
                  </w:r>
                  <w:r w:rsidRPr="00414D99">
                    <w:t xml:space="preserve">We would like to collect electricity and natural gas billing data on facilities retrofitted through Recovery Act funds. A list of your customers receiving retrofits </w:t>
                  </w:r>
                  <w:r>
                    <w:t xml:space="preserve">will be provided and new customers appended as necessary. DOE holds waiver forms signed by each </w:t>
                  </w:r>
                  <w:r w:rsidR="00D858CA">
                    <w:t xml:space="preserve">Recipient receiving Recovery Act funds </w:t>
                  </w:r>
                  <w:r>
                    <w:t xml:space="preserve">authorizing the disclosure of utility billing data both pre-retrofit and post-retrofit that can provided upon request. DOE is requesting the provision of monthly utility billing data for the 36 month period prior to and 36 month period following the date of retrofit indicated. </w:t>
                  </w:r>
                </w:p>
                <w:p w:rsidR="006B1E20" w:rsidRDefault="006B1E20" w:rsidP="006B1E20"/>
              </w:txbxContent>
            </v:textbox>
            <w10:wrap type="square"/>
          </v:shape>
        </w:pict>
      </w:r>
    </w:p>
    <w:p w:rsidR="006B1E20" w:rsidRDefault="006B1E20" w:rsidP="005F5E83">
      <w:pPr>
        <w:tabs>
          <w:tab w:val="left" w:pos="9360"/>
        </w:tabs>
      </w:pPr>
    </w:p>
    <w:p w:rsidR="006B1E20" w:rsidRDefault="006B1E20" w:rsidP="005F5E83">
      <w:pPr>
        <w:tabs>
          <w:tab w:val="left" w:pos="9360"/>
        </w:tabs>
      </w:pPr>
    </w:p>
    <w:tbl>
      <w:tblPr>
        <w:tblW w:w="10558" w:type="dxa"/>
        <w:tblLayout w:type="fixed"/>
        <w:tblLook w:val="04A0"/>
      </w:tblPr>
      <w:tblGrid>
        <w:gridCol w:w="916"/>
        <w:gridCol w:w="216"/>
        <w:gridCol w:w="858"/>
        <w:gridCol w:w="6"/>
        <w:gridCol w:w="1074"/>
        <w:gridCol w:w="990"/>
        <w:gridCol w:w="810"/>
        <w:gridCol w:w="957"/>
        <w:gridCol w:w="882"/>
        <w:gridCol w:w="951"/>
        <w:gridCol w:w="1080"/>
        <w:gridCol w:w="1080"/>
        <w:gridCol w:w="738"/>
      </w:tblGrid>
      <w:tr w:rsidR="00D858CA" w:rsidRPr="00041E48" w:rsidTr="00FC030B">
        <w:trPr>
          <w:gridAfter w:val="1"/>
          <w:wAfter w:w="738" w:type="dxa"/>
          <w:trHeight w:val="330"/>
        </w:trPr>
        <w:tc>
          <w:tcPr>
            <w:tcW w:w="1132" w:type="dxa"/>
            <w:gridSpan w:val="2"/>
            <w:tcBorders>
              <w:top w:val="single" w:sz="4" w:space="0" w:color="auto"/>
              <w:left w:val="single" w:sz="4" w:space="0" w:color="auto"/>
              <w:bottom w:val="single" w:sz="4" w:space="0" w:color="auto"/>
              <w:right w:val="single" w:sz="4" w:space="0" w:color="auto"/>
            </w:tcBorders>
            <w:shd w:val="clear" w:color="000000" w:fill="7F7F7F"/>
            <w:noWrap/>
            <w:hideMark/>
          </w:tcPr>
          <w:p w:rsidR="00D858CA" w:rsidRPr="00214356" w:rsidRDefault="00D858CA" w:rsidP="00FC030B">
            <w:pPr>
              <w:jc w:val="center"/>
              <w:rPr>
                <w:rFonts w:ascii="Courier New" w:eastAsia="Times New Roman" w:hAnsi="Courier New" w:cs="Courier New"/>
                <w:b/>
                <w:bCs/>
                <w:noProof w:val="0"/>
                <w:sz w:val="14"/>
                <w:szCs w:val="22"/>
              </w:rPr>
            </w:pPr>
            <w:r w:rsidRPr="00214356">
              <w:rPr>
                <w:rFonts w:ascii="Courier New" w:eastAsia="Times New Roman" w:hAnsi="Courier New" w:cs="Courier New"/>
                <w:b/>
                <w:bCs/>
                <w:noProof w:val="0"/>
                <w:sz w:val="14"/>
                <w:szCs w:val="22"/>
              </w:rPr>
              <w:t>Account number</w:t>
            </w:r>
          </w:p>
        </w:tc>
        <w:tc>
          <w:tcPr>
            <w:tcW w:w="858" w:type="dxa"/>
            <w:tcBorders>
              <w:top w:val="single" w:sz="4" w:space="0" w:color="auto"/>
              <w:left w:val="single" w:sz="4" w:space="0" w:color="auto"/>
              <w:bottom w:val="single" w:sz="4" w:space="0" w:color="auto"/>
              <w:right w:val="single" w:sz="4" w:space="0" w:color="auto"/>
            </w:tcBorders>
            <w:shd w:val="clear" w:color="000000" w:fill="7F7F7F"/>
          </w:tcPr>
          <w:p w:rsidR="00D858CA" w:rsidRPr="00214356" w:rsidRDefault="00D858CA" w:rsidP="00FC030B">
            <w:pPr>
              <w:jc w:val="center"/>
              <w:rPr>
                <w:rFonts w:ascii="Courier New" w:eastAsia="Times New Roman" w:hAnsi="Courier New" w:cs="Courier New"/>
                <w:b/>
                <w:bCs/>
                <w:noProof w:val="0"/>
                <w:sz w:val="14"/>
                <w:szCs w:val="22"/>
              </w:rPr>
            </w:pPr>
            <w:r w:rsidRPr="00214356">
              <w:rPr>
                <w:rFonts w:ascii="Courier New" w:eastAsia="Times New Roman" w:hAnsi="Courier New" w:cs="Courier New"/>
                <w:b/>
                <w:bCs/>
                <w:noProof w:val="0"/>
                <w:sz w:val="14"/>
                <w:szCs w:val="22"/>
              </w:rPr>
              <w:t>Utility</w:t>
            </w:r>
          </w:p>
        </w:tc>
        <w:tc>
          <w:tcPr>
            <w:tcW w:w="1080" w:type="dxa"/>
            <w:gridSpan w:val="2"/>
            <w:tcBorders>
              <w:top w:val="single" w:sz="4" w:space="0" w:color="auto"/>
              <w:left w:val="single" w:sz="4" w:space="0" w:color="auto"/>
              <w:bottom w:val="single" w:sz="4" w:space="0" w:color="auto"/>
              <w:right w:val="single" w:sz="4" w:space="0" w:color="auto"/>
            </w:tcBorders>
            <w:shd w:val="clear" w:color="000000" w:fill="7F7F7F"/>
            <w:noWrap/>
            <w:hideMark/>
          </w:tcPr>
          <w:p w:rsidR="00D858CA" w:rsidRPr="00214356" w:rsidRDefault="00D858CA" w:rsidP="00FC030B">
            <w:pPr>
              <w:jc w:val="center"/>
              <w:rPr>
                <w:rFonts w:ascii="Courier New" w:eastAsia="Times New Roman" w:hAnsi="Courier New" w:cs="Courier New"/>
                <w:b/>
                <w:bCs/>
                <w:noProof w:val="0"/>
                <w:sz w:val="14"/>
                <w:szCs w:val="22"/>
              </w:rPr>
            </w:pPr>
            <w:r w:rsidRPr="00214356">
              <w:rPr>
                <w:rFonts w:ascii="Courier New" w:eastAsia="Times New Roman" w:hAnsi="Courier New" w:cs="Courier New"/>
                <w:b/>
                <w:bCs/>
                <w:noProof w:val="0"/>
                <w:sz w:val="14"/>
                <w:szCs w:val="22"/>
              </w:rPr>
              <w:t>Previous read date</w:t>
            </w:r>
          </w:p>
        </w:tc>
        <w:tc>
          <w:tcPr>
            <w:tcW w:w="990" w:type="dxa"/>
            <w:tcBorders>
              <w:top w:val="single" w:sz="4" w:space="0" w:color="auto"/>
              <w:left w:val="single" w:sz="4" w:space="0" w:color="auto"/>
              <w:bottom w:val="single" w:sz="4" w:space="0" w:color="auto"/>
              <w:right w:val="single" w:sz="4" w:space="0" w:color="auto"/>
            </w:tcBorders>
            <w:shd w:val="clear" w:color="000000" w:fill="7F7F7F"/>
            <w:noWrap/>
            <w:hideMark/>
          </w:tcPr>
          <w:p w:rsidR="00D858CA" w:rsidRPr="00214356" w:rsidRDefault="00D858CA" w:rsidP="00FC030B">
            <w:pPr>
              <w:jc w:val="center"/>
              <w:rPr>
                <w:rFonts w:ascii="Courier New" w:eastAsia="Times New Roman" w:hAnsi="Courier New" w:cs="Courier New"/>
                <w:b/>
                <w:bCs/>
                <w:noProof w:val="0"/>
                <w:sz w:val="14"/>
                <w:szCs w:val="22"/>
              </w:rPr>
            </w:pPr>
            <w:r w:rsidRPr="00214356">
              <w:rPr>
                <w:rFonts w:ascii="Courier New" w:eastAsia="Times New Roman" w:hAnsi="Courier New" w:cs="Courier New"/>
                <w:b/>
                <w:bCs/>
                <w:noProof w:val="0"/>
                <w:sz w:val="14"/>
                <w:szCs w:val="22"/>
              </w:rPr>
              <w:t>Current read date</w:t>
            </w:r>
          </w:p>
        </w:tc>
        <w:tc>
          <w:tcPr>
            <w:tcW w:w="810" w:type="dxa"/>
            <w:tcBorders>
              <w:top w:val="single" w:sz="4" w:space="0" w:color="auto"/>
              <w:left w:val="single" w:sz="4" w:space="0" w:color="auto"/>
              <w:bottom w:val="single" w:sz="4" w:space="0" w:color="auto"/>
              <w:right w:val="single" w:sz="4" w:space="0" w:color="auto"/>
            </w:tcBorders>
            <w:shd w:val="clear" w:color="000000" w:fill="7F7F7F"/>
            <w:noWrap/>
            <w:hideMark/>
          </w:tcPr>
          <w:p w:rsidR="00D858CA" w:rsidRPr="00214356" w:rsidRDefault="00D858CA" w:rsidP="00FC030B">
            <w:pPr>
              <w:jc w:val="center"/>
              <w:rPr>
                <w:rFonts w:ascii="Courier New" w:eastAsia="Times New Roman" w:hAnsi="Courier New" w:cs="Courier New"/>
                <w:b/>
                <w:bCs/>
                <w:noProof w:val="0"/>
                <w:sz w:val="14"/>
                <w:szCs w:val="22"/>
              </w:rPr>
            </w:pPr>
            <w:r w:rsidRPr="00214356">
              <w:rPr>
                <w:rFonts w:ascii="Courier New" w:eastAsia="Times New Roman" w:hAnsi="Courier New" w:cs="Courier New"/>
                <w:b/>
                <w:bCs/>
                <w:noProof w:val="0"/>
                <w:sz w:val="14"/>
                <w:szCs w:val="22"/>
              </w:rPr>
              <w:t>Type of read (1)</w:t>
            </w:r>
          </w:p>
        </w:tc>
        <w:tc>
          <w:tcPr>
            <w:tcW w:w="957" w:type="dxa"/>
            <w:tcBorders>
              <w:top w:val="single" w:sz="4" w:space="0" w:color="auto"/>
              <w:left w:val="single" w:sz="4" w:space="0" w:color="auto"/>
              <w:bottom w:val="single" w:sz="4" w:space="0" w:color="auto"/>
              <w:right w:val="single" w:sz="4" w:space="0" w:color="auto"/>
            </w:tcBorders>
            <w:shd w:val="clear" w:color="000000" w:fill="7F7F7F"/>
            <w:noWrap/>
            <w:hideMark/>
          </w:tcPr>
          <w:p w:rsidR="00D858CA" w:rsidRPr="00214356" w:rsidRDefault="00D858CA" w:rsidP="00FC030B">
            <w:pPr>
              <w:jc w:val="center"/>
              <w:rPr>
                <w:rFonts w:ascii="Courier New" w:eastAsia="Times New Roman" w:hAnsi="Courier New" w:cs="Courier New"/>
                <w:b/>
                <w:bCs/>
                <w:noProof w:val="0"/>
                <w:sz w:val="14"/>
                <w:szCs w:val="22"/>
              </w:rPr>
            </w:pPr>
            <w:r w:rsidRPr="00214356">
              <w:rPr>
                <w:rFonts w:ascii="Courier New" w:eastAsia="Times New Roman" w:hAnsi="Courier New" w:cs="Courier New"/>
                <w:b/>
                <w:bCs/>
                <w:noProof w:val="0"/>
                <w:sz w:val="14"/>
                <w:szCs w:val="22"/>
              </w:rPr>
              <w:t>Consumption</w:t>
            </w:r>
          </w:p>
        </w:tc>
        <w:tc>
          <w:tcPr>
            <w:tcW w:w="882" w:type="dxa"/>
            <w:tcBorders>
              <w:top w:val="single" w:sz="4" w:space="0" w:color="auto"/>
              <w:left w:val="single" w:sz="4" w:space="0" w:color="auto"/>
              <w:bottom w:val="single" w:sz="4" w:space="0" w:color="auto"/>
              <w:right w:val="single" w:sz="4" w:space="0" w:color="auto"/>
            </w:tcBorders>
            <w:shd w:val="clear" w:color="000000" w:fill="7F7F7F"/>
            <w:noWrap/>
            <w:hideMark/>
          </w:tcPr>
          <w:p w:rsidR="00D858CA" w:rsidRPr="00214356" w:rsidRDefault="00D858CA" w:rsidP="00FC030B">
            <w:pPr>
              <w:jc w:val="center"/>
              <w:rPr>
                <w:rFonts w:ascii="Courier New" w:eastAsia="Times New Roman" w:hAnsi="Courier New" w:cs="Courier New"/>
                <w:b/>
                <w:bCs/>
                <w:noProof w:val="0"/>
                <w:sz w:val="14"/>
                <w:szCs w:val="22"/>
              </w:rPr>
            </w:pPr>
            <w:r w:rsidRPr="00214356">
              <w:rPr>
                <w:rFonts w:ascii="Courier New" w:eastAsia="Times New Roman" w:hAnsi="Courier New" w:cs="Courier New"/>
                <w:b/>
                <w:bCs/>
                <w:noProof w:val="0"/>
                <w:sz w:val="14"/>
                <w:szCs w:val="22"/>
              </w:rPr>
              <w:t>Units (2)</w:t>
            </w:r>
          </w:p>
        </w:tc>
        <w:tc>
          <w:tcPr>
            <w:tcW w:w="951" w:type="dxa"/>
            <w:tcBorders>
              <w:top w:val="single" w:sz="4" w:space="0" w:color="auto"/>
              <w:left w:val="single" w:sz="4" w:space="0" w:color="auto"/>
              <w:bottom w:val="single" w:sz="4" w:space="0" w:color="auto"/>
              <w:right w:val="single" w:sz="4" w:space="0" w:color="auto"/>
            </w:tcBorders>
            <w:shd w:val="clear" w:color="000000" w:fill="7F7F7F"/>
            <w:noWrap/>
            <w:hideMark/>
          </w:tcPr>
          <w:p w:rsidR="00D858CA" w:rsidRPr="00214356" w:rsidRDefault="00D858CA" w:rsidP="00FC030B">
            <w:pPr>
              <w:jc w:val="center"/>
              <w:rPr>
                <w:rFonts w:ascii="Courier New" w:eastAsia="Times New Roman" w:hAnsi="Courier New" w:cs="Courier New"/>
                <w:b/>
                <w:bCs/>
                <w:noProof w:val="0"/>
                <w:sz w:val="14"/>
                <w:szCs w:val="22"/>
              </w:rPr>
            </w:pPr>
            <w:r w:rsidRPr="00214356">
              <w:rPr>
                <w:rFonts w:ascii="Courier New" w:eastAsia="Times New Roman" w:hAnsi="Courier New" w:cs="Courier New"/>
                <w:b/>
                <w:bCs/>
                <w:noProof w:val="0"/>
                <w:sz w:val="14"/>
                <w:szCs w:val="22"/>
              </w:rPr>
              <w:t>Rate schedule</w:t>
            </w:r>
          </w:p>
        </w:tc>
        <w:tc>
          <w:tcPr>
            <w:tcW w:w="1080" w:type="dxa"/>
            <w:tcBorders>
              <w:top w:val="single" w:sz="4" w:space="0" w:color="auto"/>
              <w:left w:val="single" w:sz="4" w:space="0" w:color="auto"/>
              <w:bottom w:val="single" w:sz="4" w:space="0" w:color="auto"/>
              <w:right w:val="single" w:sz="4" w:space="0" w:color="auto"/>
            </w:tcBorders>
            <w:shd w:val="clear" w:color="000000" w:fill="7F7F7F"/>
            <w:noWrap/>
            <w:hideMark/>
          </w:tcPr>
          <w:p w:rsidR="00D858CA" w:rsidRPr="00214356" w:rsidRDefault="00D858CA" w:rsidP="00FC030B">
            <w:pPr>
              <w:jc w:val="center"/>
              <w:rPr>
                <w:rFonts w:ascii="Courier New" w:eastAsia="Times New Roman" w:hAnsi="Courier New" w:cs="Courier New"/>
                <w:b/>
                <w:bCs/>
                <w:noProof w:val="0"/>
                <w:sz w:val="14"/>
                <w:szCs w:val="22"/>
              </w:rPr>
            </w:pPr>
            <w:r w:rsidRPr="00214356">
              <w:rPr>
                <w:rFonts w:ascii="Courier New" w:eastAsia="Times New Roman" w:hAnsi="Courier New" w:cs="Courier New"/>
                <w:b/>
                <w:bCs/>
                <w:noProof w:val="0"/>
                <w:sz w:val="14"/>
                <w:szCs w:val="22"/>
              </w:rPr>
              <w:t>Service Active (3)</w:t>
            </w:r>
          </w:p>
        </w:tc>
        <w:tc>
          <w:tcPr>
            <w:tcW w:w="1080" w:type="dxa"/>
            <w:tcBorders>
              <w:top w:val="single" w:sz="4" w:space="0" w:color="auto"/>
              <w:left w:val="single" w:sz="4" w:space="0" w:color="auto"/>
              <w:bottom w:val="single" w:sz="4" w:space="0" w:color="auto"/>
              <w:right w:val="single" w:sz="4" w:space="0" w:color="auto"/>
            </w:tcBorders>
            <w:shd w:val="clear" w:color="000000" w:fill="7F7F7F"/>
          </w:tcPr>
          <w:p w:rsidR="00D858CA" w:rsidRPr="00214356" w:rsidRDefault="00D858CA" w:rsidP="00FC030B">
            <w:pPr>
              <w:jc w:val="center"/>
              <w:rPr>
                <w:rFonts w:ascii="Courier New" w:eastAsia="Times New Roman" w:hAnsi="Courier New" w:cs="Courier New"/>
                <w:b/>
                <w:bCs/>
                <w:noProof w:val="0"/>
                <w:sz w:val="14"/>
                <w:szCs w:val="22"/>
              </w:rPr>
            </w:pPr>
            <w:r>
              <w:rPr>
                <w:rFonts w:ascii="Courier New" w:eastAsia="Times New Roman" w:hAnsi="Courier New" w:cs="Courier New"/>
                <w:b/>
                <w:bCs/>
                <w:noProof w:val="0"/>
                <w:sz w:val="14"/>
                <w:szCs w:val="22"/>
              </w:rPr>
              <w:t>Date of Retrofit</w:t>
            </w:r>
          </w:p>
        </w:tc>
      </w:tr>
      <w:tr w:rsidR="00D858CA" w:rsidRPr="00041E48" w:rsidTr="00FC030B">
        <w:trPr>
          <w:gridAfter w:val="1"/>
          <w:wAfter w:w="738" w:type="dxa"/>
          <w:trHeight w:val="296"/>
        </w:trPr>
        <w:tc>
          <w:tcPr>
            <w:tcW w:w="113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58CA" w:rsidRPr="00041E48" w:rsidRDefault="00D858CA" w:rsidP="00FC030B">
            <w:pPr>
              <w:jc w:val="center"/>
              <w:rPr>
                <w:rFonts w:ascii="Courier New" w:eastAsia="Times New Roman" w:hAnsi="Courier New" w:cs="Courier New"/>
                <w:i/>
                <w:iCs/>
                <w:noProof w:val="0"/>
                <w:color w:val="000000"/>
                <w:sz w:val="14"/>
                <w:szCs w:val="22"/>
              </w:rPr>
            </w:pPr>
            <w:r w:rsidRPr="00041E48">
              <w:rPr>
                <w:rFonts w:ascii="Courier New" w:eastAsia="Times New Roman" w:hAnsi="Courier New" w:cs="Courier New"/>
                <w:i/>
                <w:iCs/>
                <w:noProof w:val="0"/>
                <w:color w:val="000000"/>
                <w:sz w:val="14"/>
                <w:szCs w:val="22"/>
              </w:rPr>
              <w:t>1234 56789</w:t>
            </w:r>
          </w:p>
        </w:tc>
        <w:tc>
          <w:tcPr>
            <w:tcW w:w="858" w:type="dxa"/>
            <w:tcBorders>
              <w:top w:val="single" w:sz="4" w:space="0" w:color="auto"/>
              <w:left w:val="single" w:sz="4" w:space="0" w:color="auto"/>
              <w:bottom w:val="single" w:sz="4" w:space="0" w:color="auto"/>
              <w:right w:val="single" w:sz="4" w:space="0" w:color="auto"/>
            </w:tcBorders>
            <w:vAlign w:val="center"/>
          </w:tcPr>
          <w:p w:rsidR="00D858CA" w:rsidRPr="00041E48" w:rsidRDefault="00D858CA" w:rsidP="00FC030B">
            <w:pPr>
              <w:jc w:val="center"/>
              <w:rPr>
                <w:rFonts w:ascii="Courier New" w:eastAsia="Times New Roman" w:hAnsi="Courier New" w:cs="Courier New"/>
                <w:i/>
                <w:iCs/>
                <w:noProof w:val="0"/>
                <w:color w:val="000000"/>
                <w:sz w:val="14"/>
                <w:szCs w:val="22"/>
              </w:rPr>
            </w:pPr>
            <w:r>
              <w:rPr>
                <w:rFonts w:ascii="Courier New" w:eastAsia="Times New Roman" w:hAnsi="Courier New" w:cs="Courier New"/>
                <w:i/>
                <w:iCs/>
                <w:noProof w:val="0"/>
                <w:color w:val="000000"/>
                <w:sz w:val="14"/>
                <w:szCs w:val="22"/>
              </w:rPr>
              <w:t>ABC Utility</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FFF99"/>
            <w:noWrap/>
            <w:vAlign w:val="center"/>
            <w:hideMark/>
          </w:tcPr>
          <w:p w:rsidR="00D858CA" w:rsidRPr="00041E48" w:rsidRDefault="00D858CA" w:rsidP="00FC030B">
            <w:pPr>
              <w:jc w:val="center"/>
              <w:rPr>
                <w:rFonts w:ascii="Courier New" w:eastAsia="Times New Roman" w:hAnsi="Courier New" w:cs="Courier New"/>
                <w:i/>
                <w:iCs/>
                <w:noProof w:val="0"/>
                <w:color w:val="000000"/>
                <w:sz w:val="14"/>
                <w:szCs w:val="22"/>
              </w:rPr>
            </w:pPr>
            <w:r w:rsidRPr="00041E48">
              <w:rPr>
                <w:rFonts w:ascii="Courier New" w:eastAsia="Times New Roman" w:hAnsi="Courier New" w:cs="Courier New"/>
                <w:i/>
                <w:iCs/>
                <w:noProof w:val="0"/>
                <w:color w:val="000000"/>
                <w:sz w:val="14"/>
                <w:szCs w:val="22"/>
              </w:rPr>
              <w:t>10/6/2010</w:t>
            </w:r>
          </w:p>
        </w:tc>
        <w:tc>
          <w:tcPr>
            <w:tcW w:w="990"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rsidR="00D858CA" w:rsidRPr="00041E48" w:rsidRDefault="00D858CA" w:rsidP="00FC030B">
            <w:pPr>
              <w:jc w:val="center"/>
              <w:rPr>
                <w:rFonts w:ascii="Courier New" w:eastAsia="Times New Roman" w:hAnsi="Courier New" w:cs="Courier New"/>
                <w:i/>
                <w:iCs/>
                <w:noProof w:val="0"/>
                <w:color w:val="000000"/>
                <w:sz w:val="14"/>
                <w:szCs w:val="22"/>
              </w:rPr>
            </w:pPr>
            <w:r w:rsidRPr="00041E48">
              <w:rPr>
                <w:rFonts w:ascii="Courier New" w:eastAsia="Times New Roman" w:hAnsi="Courier New" w:cs="Courier New"/>
                <w:i/>
                <w:iCs/>
                <w:noProof w:val="0"/>
                <w:color w:val="000000"/>
                <w:sz w:val="14"/>
                <w:szCs w:val="22"/>
              </w:rPr>
              <w:t>11/4/2010</w:t>
            </w:r>
          </w:p>
        </w:tc>
        <w:tc>
          <w:tcPr>
            <w:tcW w:w="810"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rsidR="00D858CA" w:rsidRPr="00041E48" w:rsidRDefault="00D858CA" w:rsidP="00FC030B">
            <w:pPr>
              <w:jc w:val="center"/>
              <w:rPr>
                <w:rFonts w:ascii="Courier New" w:eastAsia="Times New Roman" w:hAnsi="Courier New" w:cs="Courier New"/>
                <w:i/>
                <w:iCs/>
                <w:noProof w:val="0"/>
                <w:color w:val="000000"/>
                <w:sz w:val="14"/>
                <w:szCs w:val="22"/>
              </w:rPr>
            </w:pPr>
            <w:r w:rsidRPr="00041E48">
              <w:rPr>
                <w:rFonts w:ascii="Courier New" w:eastAsia="Times New Roman" w:hAnsi="Courier New" w:cs="Courier New"/>
                <w:i/>
                <w:iCs/>
                <w:noProof w:val="0"/>
                <w:color w:val="000000"/>
                <w:sz w:val="14"/>
                <w:szCs w:val="22"/>
              </w:rPr>
              <w:t>Actual</w:t>
            </w:r>
          </w:p>
        </w:tc>
        <w:tc>
          <w:tcPr>
            <w:tcW w:w="957"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rsidR="00D858CA" w:rsidRPr="00041E48" w:rsidRDefault="00D858CA" w:rsidP="00FC030B">
            <w:pPr>
              <w:jc w:val="center"/>
              <w:rPr>
                <w:rFonts w:ascii="Courier New" w:eastAsia="Times New Roman" w:hAnsi="Courier New" w:cs="Courier New"/>
                <w:i/>
                <w:iCs/>
                <w:noProof w:val="0"/>
                <w:color w:val="000000"/>
                <w:sz w:val="14"/>
                <w:szCs w:val="22"/>
              </w:rPr>
            </w:pPr>
            <w:r w:rsidRPr="00041E48">
              <w:rPr>
                <w:rFonts w:ascii="Courier New" w:eastAsia="Times New Roman" w:hAnsi="Courier New" w:cs="Courier New"/>
                <w:i/>
                <w:iCs/>
                <w:noProof w:val="0"/>
                <w:color w:val="000000"/>
                <w:sz w:val="14"/>
                <w:szCs w:val="22"/>
              </w:rPr>
              <w:t>3.0</w:t>
            </w:r>
          </w:p>
        </w:tc>
        <w:tc>
          <w:tcPr>
            <w:tcW w:w="882"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rsidR="00D858CA" w:rsidRPr="00041E48" w:rsidRDefault="00D858CA" w:rsidP="00FC030B">
            <w:pPr>
              <w:jc w:val="center"/>
              <w:rPr>
                <w:rFonts w:ascii="Courier New" w:eastAsia="Times New Roman" w:hAnsi="Courier New" w:cs="Courier New"/>
                <w:i/>
                <w:iCs/>
                <w:noProof w:val="0"/>
                <w:color w:val="000000"/>
                <w:sz w:val="14"/>
                <w:szCs w:val="22"/>
              </w:rPr>
            </w:pPr>
            <w:proofErr w:type="spellStart"/>
            <w:r w:rsidRPr="00041E48">
              <w:rPr>
                <w:rFonts w:ascii="Courier New" w:eastAsia="Times New Roman" w:hAnsi="Courier New" w:cs="Courier New"/>
                <w:i/>
                <w:iCs/>
                <w:noProof w:val="0"/>
                <w:color w:val="000000"/>
                <w:sz w:val="14"/>
                <w:szCs w:val="22"/>
              </w:rPr>
              <w:t>Therms</w:t>
            </w:r>
            <w:proofErr w:type="spellEnd"/>
          </w:p>
        </w:tc>
        <w:tc>
          <w:tcPr>
            <w:tcW w:w="951"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rsidR="00D858CA" w:rsidRPr="00041E48" w:rsidRDefault="00D858CA" w:rsidP="00FC030B">
            <w:pPr>
              <w:jc w:val="center"/>
              <w:rPr>
                <w:rFonts w:ascii="Courier New" w:eastAsia="Times New Roman" w:hAnsi="Courier New" w:cs="Courier New"/>
                <w:i/>
                <w:iCs/>
                <w:noProof w:val="0"/>
                <w:color w:val="000000"/>
                <w:sz w:val="14"/>
                <w:szCs w:val="22"/>
              </w:rPr>
            </w:pPr>
            <w:r w:rsidRPr="00041E48">
              <w:rPr>
                <w:rFonts w:ascii="Courier New" w:eastAsia="Times New Roman" w:hAnsi="Courier New" w:cs="Courier New"/>
                <w:i/>
                <w:iCs/>
                <w:noProof w:val="0"/>
                <w:color w:val="000000"/>
                <w:sz w:val="14"/>
                <w:szCs w:val="22"/>
              </w:rPr>
              <w:t>R</w:t>
            </w:r>
          </w:p>
        </w:tc>
        <w:tc>
          <w:tcPr>
            <w:tcW w:w="1080"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rsidR="00D858CA" w:rsidRPr="00041E48" w:rsidRDefault="00D858CA" w:rsidP="00FC030B">
            <w:pPr>
              <w:jc w:val="center"/>
              <w:rPr>
                <w:rFonts w:ascii="Courier New" w:eastAsia="Times New Roman" w:hAnsi="Courier New" w:cs="Courier New"/>
                <w:i/>
                <w:iCs/>
                <w:noProof w:val="0"/>
                <w:color w:val="000000"/>
                <w:sz w:val="14"/>
                <w:szCs w:val="22"/>
              </w:rPr>
            </w:pPr>
            <w:r w:rsidRPr="00041E48">
              <w:rPr>
                <w:rFonts w:ascii="Courier New" w:eastAsia="Times New Roman" w:hAnsi="Courier New" w:cs="Courier New"/>
                <w:i/>
                <w:iCs/>
                <w:noProof w:val="0"/>
                <w:color w:val="000000"/>
                <w:sz w:val="14"/>
                <w:szCs w:val="22"/>
              </w:rPr>
              <w:t>1</w:t>
            </w:r>
          </w:p>
        </w:tc>
        <w:tc>
          <w:tcPr>
            <w:tcW w:w="1080" w:type="dxa"/>
            <w:tcBorders>
              <w:top w:val="single" w:sz="4" w:space="0" w:color="auto"/>
              <w:left w:val="single" w:sz="4" w:space="0" w:color="auto"/>
              <w:bottom w:val="single" w:sz="4" w:space="0" w:color="auto"/>
              <w:right w:val="single" w:sz="4" w:space="0" w:color="auto"/>
            </w:tcBorders>
            <w:vAlign w:val="center"/>
          </w:tcPr>
          <w:p w:rsidR="00D858CA" w:rsidRPr="00041E48" w:rsidRDefault="00D858CA" w:rsidP="00FC030B">
            <w:pPr>
              <w:jc w:val="center"/>
              <w:rPr>
                <w:rFonts w:ascii="Courier New" w:eastAsia="Times New Roman" w:hAnsi="Courier New" w:cs="Courier New"/>
                <w:i/>
                <w:iCs/>
                <w:noProof w:val="0"/>
                <w:color w:val="000000"/>
                <w:sz w:val="14"/>
                <w:szCs w:val="22"/>
              </w:rPr>
            </w:pPr>
            <w:r>
              <w:rPr>
                <w:rFonts w:ascii="Courier New" w:eastAsia="Times New Roman" w:hAnsi="Courier New" w:cs="Courier New"/>
                <w:i/>
                <w:iCs/>
                <w:noProof w:val="0"/>
                <w:color w:val="000000"/>
                <w:sz w:val="14"/>
                <w:szCs w:val="22"/>
              </w:rPr>
              <w:t>10/11/2010</w:t>
            </w:r>
          </w:p>
        </w:tc>
      </w:tr>
      <w:tr w:rsidR="00D858CA" w:rsidRPr="00041E48" w:rsidTr="00FC030B">
        <w:trPr>
          <w:trHeight w:val="90"/>
        </w:trPr>
        <w:tc>
          <w:tcPr>
            <w:tcW w:w="916" w:type="dxa"/>
            <w:tcBorders>
              <w:top w:val="single" w:sz="4" w:space="0" w:color="auto"/>
              <w:left w:val="nil"/>
              <w:bottom w:val="nil"/>
              <w:right w:val="nil"/>
            </w:tcBorders>
          </w:tcPr>
          <w:p w:rsidR="00D858CA" w:rsidRDefault="00D858CA" w:rsidP="00CF7E82">
            <w:pPr>
              <w:rPr>
                <w:rFonts w:ascii="Courier New" w:eastAsia="Times New Roman" w:hAnsi="Courier New" w:cs="Courier New"/>
                <w:noProof w:val="0"/>
                <w:color w:val="000000"/>
                <w:sz w:val="14"/>
              </w:rPr>
            </w:pPr>
          </w:p>
          <w:p w:rsidR="00D858CA" w:rsidRPr="00041E48" w:rsidRDefault="00D858CA" w:rsidP="00CF7E82">
            <w:pPr>
              <w:rPr>
                <w:rFonts w:ascii="Courier New" w:eastAsia="Times New Roman" w:hAnsi="Courier New" w:cs="Courier New"/>
                <w:noProof w:val="0"/>
                <w:color w:val="000000"/>
                <w:sz w:val="14"/>
              </w:rPr>
            </w:pPr>
          </w:p>
        </w:tc>
        <w:tc>
          <w:tcPr>
            <w:tcW w:w="1080" w:type="dxa"/>
            <w:gridSpan w:val="3"/>
            <w:tcBorders>
              <w:left w:val="nil"/>
              <w:bottom w:val="nil"/>
              <w:right w:val="nil"/>
            </w:tcBorders>
          </w:tcPr>
          <w:p w:rsidR="00D858CA" w:rsidRDefault="00D858CA" w:rsidP="00CF7E82">
            <w:pPr>
              <w:rPr>
                <w:rFonts w:ascii="Courier New" w:eastAsia="Times New Roman" w:hAnsi="Courier New" w:cs="Courier New"/>
                <w:noProof w:val="0"/>
                <w:color w:val="000000"/>
                <w:sz w:val="14"/>
              </w:rPr>
            </w:pPr>
          </w:p>
        </w:tc>
        <w:tc>
          <w:tcPr>
            <w:tcW w:w="8562" w:type="dxa"/>
            <w:gridSpan w:val="9"/>
            <w:tcBorders>
              <w:left w:val="nil"/>
              <w:bottom w:val="nil"/>
              <w:right w:val="nil"/>
            </w:tcBorders>
            <w:shd w:val="clear" w:color="auto" w:fill="auto"/>
            <w:noWrap/>
            <w:vAlign w:val="bottom"/>
            <w:hideMark/>
          </w:tcPr>
          <w:p w:rsidR="00D858CA" w:rsidRDefault="00D858CA" w:rsidP="00CF7E82">
            <w:pPr>
              <w:rPr>
                <w:rFonts w:ascii="Courier New" w:eastAsia="Times New Roman" w:hAnsi="Courier New" w:cs="Courier New"/>
                <w:noProof w:val="0"/>
                <w:color w:val="000000"/>
                <w:sz w:val="14"/>
              </w:rPr>
            </w:pPr>
          </w:p>
          <w:p w:rsidR="00D858CA" w:rsidRDefault="00D858CA" w:rsidP="00CF7E82">
            <w:pPr>
              <w:rPr>
                <w:rFonts w:ascii="Courier New" w:eastAsia="Times New Roman" w:hAnsi="Courier New" w:cs="Courier New"/>
                <w:noProof w:val="0"/>
                <w:color w:val="000000"/>
                <w:sz w:val="14"/>
              </w:rPr>
            </w:pPr>
            <w:r w:rsidRPr="00041E48">
              <w:rPr>
                <w:rFonts w:ascii="Courier New" w:eastAsia="Times New Roman" w:hAnsi="Courier New" w:cs="Courier New"/>
                <w:noProof w:val="0"/>
                <w:color w:val="000000"/>
                <w:sz w:val="14"/>
              </w:rPr>
              <w:t>(1): Indicate whether reading was either actual or estimated</w:t>
            </w:r>
          </w:p>
          <w:p w:rsidR="00D858CA" w:rsidRPr="00041E48" w:rsidRDefault="00D858CA" w:rsidP="00CF7E82">
            <w:pPr>
              <w:rPr>
                <w:rFonts w:ascii="Courier New" w:eastAsia="Times New Roman" w:hAnsi="Courier New" w:cs="Courier New"/>
                <w:noProof w:val="0"/>
                <w:color w:val="000000"/>
                <w:sz w:val="14"/>
              </w:rPr>
            </w:pPr>
            <w:r w:rsidRPr="00041E48">
              <w:rPr>
                <w:rFonts w:ascii="Courier New" w:eastAsia="Times New Roman" w:hAnsi="Courier New" w:cs="Courier New"/>
                <w:noProof w:val="0"/>
                <w:color w:val="000000"/>
                <w:sz w:val="14"/>
              </w:rPr>
              <w:t xml:space="preserve">(2): Use the following units: KWH for electricity, </w:t>
            </w:r>
            <w:proofErr w:type="spellStart"/>
            <w:r w:rsidRPr="00041E48">
              <w:rPr>
                <w:rFonts w:ascii="Courier New" w:eastAsia="Times New Roman" w:hAnsi="Courier New" w:cs="Courier New"/>
                <w:noProof w:val="0"/>
                <w:color w:val="000000"/>
                <w:sz w:val="14"/>
              </w:rPr>
              <w:t>Therms</w:t>
            </w:r>
            <w:proofErr w:type="spellEnd"/>
            <w:r w:rsidRPr="00041E48">
              <w:rPr>
                <w:rFonts w:ascii="Courier New" w:eastAsia="Times New Roman" w:hAnsi="Courier New" w:cs="Courier New"/>
                <w:noProof w:val="0"/>
                <w:color w:val="000000"/>
                <w:sz w:val="14"/>
              </w:rPr>
              <w:t xml:space="preserve"> for natural gas</w:t>
            </w:r>
          </w:p>
        </w:tc>
      </w:tr>
      <w:tr w:rsidR="00D858CA" w:rsidRPr="00041E48" w:rsidTr="00FC030B">
        <w:trPr>
          <w:trHeight w:val="126"/>
        </w:trPr>
        <w:tc>
          <w:tcPr>
            <w:tcW w:w="916" w:type="dxa"/>
            <w:tcBorders>
              <w:top w:val="nil"/>
              <w:left w:val="nil"/>
              <w:bottom w:val="nil"/>
              <w:right w:val="nil"/>
            </w:tcBorders>
          </w:tcPr>
          <w:p w:rsidR="00D858CA" w:rsidRPr="00041E48" w:rsidRDefault="00D858CA" w:rsidP="00041E48">
            <w:pPr>
              <w:rPr>
                <w:rFonts w:ascii="Courier New" w:eastAsia="Times New Roman" w:hAnsi="Courier New" w:cs="Courier New"/>
                <w:noProof w:val="0"/>
                <w:color w:val="000000"/>
                <w:sz w:val="14"/>
              </w:rPr>
            </w:pPr>
          </w:p>
        </w:tc>
        <w:tc>
          <w:tcPr>
            <w:tcW w:w="1080" w:type="dxa"/>
            <w:gridSpan w:val="3"/>
            <w:tcBorders>
              <w:top w:val="nil"/>
              <w:left w:val="nil"/>
              <w:bottom w:val="nil"/>
              <w:right w:val="nil"/>
            </w:tcBorders>
          </w:tcPr>
          <w:p w:rsidR="00D858CA" w:rsidRPr="00041E48" w:rsidRDefault="00D858CA" w:rsidP="00041E48">
            <w:pPr>
              <w:rPr>
                <w:rFonts w:ascii="Courier New" w:eastAsia="Times New Roman" w:hAnsi="Courier New" w:cs="Courier New"/>
                <w:noProof w:val="0"/>
                <w:color w:val="000000"/>
                <w:sz w:val="14"/>
              </w:rPr>
            </w:pPr>
          </w:p>
        </w:tc>
        <w:tc>
          <w:tcPr>
            <w:tcW w:w="8562" w:type="dxa"/>
            <w:gridSpan w:val="9"/>
            <w:tcBorders>
              <w:top w:val="nil"/>
              <w:left w:val="nil"/>
              <w:bottom w:val="nil"/>
              <w:right w:val="nil"/>
            </w:tcBorders>
            <w:shd w:val="clear" w:color="auto" w:fill="auto"/>
            <w:noWrap/>
            <w:vAlign w:val="bottom"/>
            <w:hideMark/>
          </w:tcPr>
          <w:p w:rsidR="00D858CA" w:rsidRPr="00041E48" w:rsidRDefault="00D858CA" w:rsidP="00041E48">
            <w:pPr>
              <w:rPr>
                <w:rFonts w:ascii="Courier New" w:eastAsia="Times New Roman" w:hAnsi="Courier New" w:cs="Courier New"/>
                <w:noProof w:val="0"/>
                <w:color w:val="000000"/>
                <w:sz w:val="14"/>
              </w:rPr>
            </w:pPr>
            <w:r w:rsidRPr="00041E48">
              <w:rPr>
                <w:rFonts w:ascii="Courier New" w:eastAsia="Times New Roman" w:hAnsi="Courier New" w:cs="Courier New"/>
                <w:noProof w:val="0"/>
                <w:color w:val="000000"/>
                <w:sz w:val="14"/>
              </w:rPr>
              <w:t>(3): Yes = 1, Otherwise = 0</w:t>
            </w:r>
          </w:p>
        </w:tc>
      </w:tr>
    </w:tbl>
    <w:p w:rsidR="00414D99" w:rsidRDefault="00414D99" w:rsidP="005F5E83">
      <w:pPr>
        <w:tabs>
          <w:tab w:val="left" w:pos="9360"/>
        </w:tabs>
      </w:pPr>
    </w:p>
    <w:p w:rsidR="00CF7E82" w:rsidRDefault="00214356" w:rsidP="00214356">
      <w:pPr>
        <w:ind w:left="720"/>
        <w:rPr>
          <w:rFonts w:ascii="Times New Roman" w:hAnsi="Times New Roman"/>
          <w:b/>
        </w:rPr>
      </w:pPr>
      <w:r>
        <w:rPr>
          <w:rFonts w:ascii="Times New Roman" w:hAnsi="Times New Roman"/>
          <w:b/>
        </w:rPr>
        <w:tab/>
      </w:r>
      <w:r>
        <w:rPr>
          <w:rFonts w:ascii="Times New Roman" w:hAnsi="Times New Roman"/>
          <w:b/>
        </w:rPr>
        <w:tab/>
      </w:r>
    </w:p>
    <w:p w:rsidR="003F33DE" w:rsidRDefault="000F32F7" w:rsidP="00214356">
      <w:pPr>
        <w:ind w:left="720"/>
        <w:rPr>
          <w:rFonts w:ascii="Times New Roman" w:hAnsi="Times New Roman"/>
          <w:b/>
        </w:rPr>
      </w:pPr>
      <w:r>
        <w:rPr>
          <w:rFonts w:ascii="Times New Roman" w:hAnsi="Times New Roman"/>
          <w:b/>
        </w:rPr>
        <w:pict>
          <v:shape id="_x0000_s1037" type="#_x0000_t202" style="position:absolute;left:0;text-align:left;margin-left:1.9pt;margin-top:14.6pt;width:464.25pt;height:56.55pt;z-index:251661312;mso-width-relative:margin;mso-height-relative:margin">
            <v:textbox style="mso-next-textbox:#_x0000_s1037">
              <w:txbxContent>
                <w:p w:rsidR="003F33DE" w:rsidRPr="00414D99" w:rsidRDefault="003F33DE" w:rsidP="003F33DE">
                  <w:pPr>
                    <w:rPr>
                      <w:b/>
                    </w:rPr>
                  </w:pPr>
                  <w:r>
                    <w:rPr>
                      <w:b/>
                    </w:rPr>
                    <w:tab/>
                  </w:r>
                  <w:r>
                    <w:rPr>
                      <w:b/>
                    </w:rPr>
                    <w:tab/>
                  </w:r>
                  <w:r>
                    <w:rPr>
                      <w:b/>
                    </w:rPr>
                    <w:tab/>
                  </w:r>
                  <w:r>
                    <w:rPr>
                      <w:b/>
                    </w:rPr>
                    <w:tab/>
                    <w:t>Section 2: Requested information</w:t>
                  </w:r>
                </w:p>
                <w:p w:rsidR="003F33DE" w:rsidRDefault="003F33DE" w:rsidP="003F33DE">
                  <w:r>
                    <w:tab/>
                    <w:t xml:space="preserve">DOE requests that utility billing data be provided in the format specified </w:t>
                  </w:r>
                  <w:r w:rsidR="00D858CA">
                    <w:t>above for the data highlighted in yellow</w:t>
                  </w:r>
                  <w:r>
                    <w:t xml:space="preserve">. This information will be requested </w:t>
                  </w:r>
                  <w:r w:rsidR="00D858CA">
                    <w:t xml:space="preserve">as needed but no more than yearly. </w:t>
                  </w:r>
                  <w:r>
                    <w:t xml:space="preserve"> </w:t>
                  </w:r>
                </w:p>
                <w:p w:rsidR="003F33DE" w:rsidRDefault="003F33DE" w:rsidP="003F33DE"/>
              </w:txbxContent>
            </v:textbox>
            <w10:wrap type="square"/>
          </v:shape>
        </w:pict>
      </w:r>
    </w:p>
    <w:p w:rsidR="003F33DE" w:rsidRDefault="003F33DE" w:rsidP="00214356">
      <w:pPr>
        <w:ind w:left="720"/>
        <w:rPr>
          <w:rFonts w:ascii="Times New Roman" w:hAnsi="Times New Roman"/>
          <w:b/>
        </w:rPr>
      </w:pPr>
    </w:p>
    <w:p w:rsidR="003F33DE" w:rsidRDefault="003F33DE" w:rsidP="00214356">
      <w:pPr>
        <w:ind w:left="720"/>
        <w:rPr>
          <w:rFonts w:ascii="Times New Roman" w:hAnsi="Times New Roman"/>
          <w:b/>
        </w:rPr>
      </w:pPr>
    </w:p>
    <w:p w:rsidR="003F33DE" w:rsidRDefault="003F33DE" w:rsidP="00214356">
      <w:pPr>
        <w:ind w:left="720"/>
        <w:rPr>
          <w:rFonts w:ascii="Times New Roman" w:hAnsi="Times New Roman"/>
          <w:b/>
        </w:rPr>
      </w:pPr>
    </w:p>
    <w:p w:rsidR="00CF7E82" w:rsidRDefault="00CF7E82" w:rsidP="00CF7E82">
      <w:pPr>
        <w:ind w:left="720"/>
        <w:rPr>
          <w:rFonts w:ascii="Times New Roman" w:hAnsi="Times New Roman"/>
          <w:b/>
        </w:rPr>
      </w:pPr>
    </w:p>
    <w:p w:rsidR="00C31995" w:rsidRDefault="00C31995" w:rsidP="00CF7E82">
      <w:pPr>
        <w:ind w:left="720"/>
        <w:rPr>
          <w:rFonts w:ascii="Times New Roman" w:hAnsi="Times New Roman"/>
          <w:b/>
        </w:rPr>
      </w:pPr>
    </w:p>
    <w:p w:rsidR="005F5E83" w:rsidRPr="00CF7E82" w:rsidRDefault="00C31995" w:rsidP="00CF7E82">
      <w:pPr>
        <w:ind w:left="720"/>
        <w:rPr>
          <w:rFonts w:ascii="Times New Roman" w:hAnsi="Times New Roman"/>
          <w:b/>
          <w:u w:val="single"/>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CF7E82">
        <w:rPr>
          <w:rFonts w:ascii="Times New Roman" w:hAnsi="Times New Roman"/>
          <w:b/>
          <w:u w:val="single"/>
        </w:rPr>
        <w:t>Public Reporting Burden</w:t>
      </w:r>
    </w:p>
    <w:p w:rsidR="00414D99" w:rsidRPr="00CF7E82" w:rsidRDefault="00414D99" w:rsidP="00CF7E82">
      <w:pPr>
        <w:tabs>
          <w:tab w:val="left" w:pos="9360"/>
        </w:tabs>
        <w:ind w:left="720" w:right="900"/>
        <w:rPr>
          <w:rFonts w:ascii="Times New Roman" w:eastAsia="Times New Roman" w:hAnsi="Times New Roman"/>
          <w:bCs/>
          <w:noProof w:val="0"/>
          <w:szCs w:val="24"/>
        </w:rPr>
      </w:pPr>
      <w:r w:rsidRPr="00CF7E82">
        <w:rPr>
          <w:rFonts w:ascii="Times New Roman" w:eastAsia="Times New Roman" w:hAnsi="Times New Roman"/>
          <w:bCs/>
          <w:noProof w:val="0"/>
          <w:szCs w:val="24"/>
        </w:rPr>
        <w:t xml:space="preserve">Public reporting burden </w:t>
      </w:r>
      <w:r w:rsidR="008849D5">
        <w:rPr>
          <w:rFonts w:ascii="Times New Roman" w:eastAsia="Times New Roman" w:hAnsi="Times New Roman"/>
          <w:bCs/>
          <w:noProof w:val="0"/>
          <w:szCs w:val="24"/>
        </w:rPr>
        <w:t xml:space="preserve">by utilities </w:t>
      </w:r>
      <w:r w:rsidRPr="00CF7E82">
        <w:rPr>
          <w:rFonts w:ascii="Times New Roman" w:eastAsia="Times New Roman" w:hAnsi="Times New Roman"/>
          <w:bCs/>
          <w:noProof w:val="0"/>
          <w:szCs w:val="24"/>
        </w:rPr>
        <w:t xml:space="preserve">for this collection of information is estimated to average </w:t>
      </w:r>
      <w:r w:rsidR="00D858CA">
        <w:rPr>
          <w:rFonts w:ascii="Times New Roman" w:eastAsia="Times New Roman" w:hAnsi="Times New Roman"/>
          <w:bCs/>
          <w:noProof w:val="0"/>
          <w:szCs w:val="24"/>
        </w:rPr>
        <w:t>ten minutes</w:t>
      </w:r>
      <w:r w:rsidRPr="00CF7E82">
        <w:rPr>
          <w:rFonts w:ascii="Times New Roman" w:eastAsia="Times New Roman" w:hAnsi="Times New Roman"/>
          <w:bCs/>
          <w:noProof w:val="0"/>
          <w:szCs w:val="24"/>
        </w:rPr>
        <w:t xml:space="preserve"> per</w:t>
      </w:r>
      <w:r w:rsidR="00D858CA">
        <w:rPr>
          <w:rFonts w:ascii="Times New Roman" w:eastAsia="Times New Roman" w:hAnsi="Times New Roman"/>
          <w:bCs/>
          <w:noProof w:val="0"/>
          <w:szCs w:val="24"/>
        </w:rPr>
        <w:t xml:space="preserve"> account number, </w:t>
      </w:r>
      <w:r w:rsidRPr="00CF7E82">
        <w:rPr>
          <w:rFonts w:ascii="Times New Roman" w:eastAsia="Times New Roman" w:hAnsi="Times New Roman"/>
          <w:bCs/>
          <w:noProof w:val="0"/>
          <w:szCs w:val="24"/>
        </w:rPr>
        <w:t>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Records Management Division, IM-11, Paperwork Reduction Project (1910-XXXX), U.S. Department of Energy, 1000 Independence Ave SW, Washington, DC, 20585-1290; and to the Office of Management and Budget (OMB), OIRA, Paperwork Reduction Project (1910-XXXX), Washington, DC  20503.</w:t>
      </w:r>
    </w:p>
    <w:p w:rsidR="00414D99" w:rsidRDefault="00414D99" w:rsidP="005F5E83">
      <w:pPr>
        <w:tabs>
          <w:tab w:val="left" w:pos="9360"/>
        </w:tabs>
      </w:pPr>
    </w:p>
    <w:p w:rsidR="006B1E20" w:rsidRDefault="006B1E20" w:rsidP="005F5E83">
      <w:pPr>
        <w:tabs>
          <w:tab w:val="left" w:pos="9360"/>
        </w:tabs>
      </w:pPr>
    </w:p>
    <w:p w:rsidR="006B1E20" w:rsidRDefault="006B1E20" w:rsidP="005F5E83">
      <w:pPr>
        <w:tabs>
          <w:tab w:val="left" w:pos="9360"/>
        </w:tabs>
      </w:pPr>
    </w:p>
    <w:p w:rsidR="006B1E20" w:rsidRDefault="006B1E20" w:rsidP="005F5E83">
      <w:pPr>
        <w:tabs>
          <w:tab w:val="left" w:pos="9360"/>
        </w:tabs>
      </w:pPr>
    </w:p>
    <w:sectPr w:rsidR="006B1E20" w:rsidSect="002F4307">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063C" w:rsidRDefault="0065063C" w:rsidP="00CF7E82">
      <w:r>
        <w:separator/>
      </w:r>
    </w:p>
  </w:endnote>
  <w:endnote w:type="continuationSeparator" w:id="0">
    <w:p w:rsidR="0065063C" w:rsidRDefault="0065063C" w:rsidP="00CF7E8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063C" w:rsidRDefault="0065063C" w:rsidP="00CF7E82">
      <w:r>
        <w:separator/>
      </w:r>
    </w:p>
  </w:footnote>
  <w:footnote w:type="continuationSeparator" w:id="0">
    <w:p w:rsidR="0065063C" w:rsidRDefault="0065063C" w:rsidP="00CF7E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82" w:rsidRPr="00CF7E82" w:rsidRDefault="00CF7E82" w:rsidP="00CF7E82">
    <w:pPr>
      <w:pStyle w:val="Header"/>
      <w:jc w:val="right"/>
      <w:rPr>
        <w:rFonts w:ascii="Times New Roman" w:hAnsi="Times New Roman"/>
      </w:rPr>
    </w:pPr>
    <w:r w:rsidRPr="00CF7E82">
      <w:rPr>
        <w:rFonts w:ascii="Times New Roman" w:hAnsi="Times New Roman"/>
      </w:rPr>
      <w:t>OMB Control Number 1910-XXXX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330A5C"/>
    <w:multiLevelType w:val="hybridMultilevel"/>
    <w:tmpl w:val="0E36A4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414D99"/>
    <w:rsid w:val="0000296D"/>
    <w:rsid w:val="0000392B"/>
    <w:rsid w:val="00011B31"/>
    <w:rsid w:val="00023351"/>
    <w:rsid w:val="000309E0"/>
    <w:rsid w:val="0003416A"/>
    <w:rsid w:val="000409D4"/>
    <w:rsid w:val="00041E48"/>
    <w:rsid w:val="000425B9"/>
    <w:rsid w:val="000438FB"/>
    <w:rsid w:val="00046AA7"/>
    <w:rsid w:val="00047C61"/>
    <w:rsid w:val="00053B6A"/>
    <w:rsid w:val="00063D98"/>
    <w:rsid w:val="00064D29"/>
    <w:rsid w:val="00067F0E"/>
    <w:rsid w:val="00071D6B"/>
    <w:rsid w:val="00072374"/>
    <w:rsid w:val="00072D8D"/>
    <w:rsid w:val="00073B4E"/>
    <w:rsid w:val="00074956"/>
    <w:rsid w:val="000752BE"/>
    <w:rsid w:val="00076623"/>
    <w:rsid w:val="0007744B"/>
    <w:rsid w:val="000816EB"/>
    <w:rsid w:val="00082AE5"/>
    <w:rsid w:val="0008561B"/>
    <w:rsid w:val="00086AEC"/>
    <w:rsid w:val="00090656"/>
    <w:rsid w:val="0009231F"/>
    <w:rsid w:val="00094D7C"/>
    <w:rsid w:val="00095CF1"/>
    <w:rsid w:val="000A309A"/>
    <w:rsid w:val="000B0EC1"/>
    <w:rsid w:val="000B5711"/>
    <w:rsid w:val="000B72DD"/>
    <w:rsid w:val="000B7D3C"/>
    <w:rsid w:val="000C0EFD"/>
    <w:rsid w:val="000C4C4C"/>
    <w:rsid w:val="000C4CA2"/>
    <w:rsid w:val="000C5085"/>
    <w:rsid w:val="000D3EAE"/>
    <w:rsid w:val="000D6F54"/>
    <w:rsid w:val="000E18F9"/>
    <w:rsid w:val="000E202A"/>
    <w:rsid w:val="000E45DC"/>
    <w:rsid w:val="000E4735"/>
    <w:rsid w:val="000E54CD"/>
    <w:rsid w:val="000E790E"/>
    <w:rsid w:val="000F32F7"/>
    <w:rsid w:val="000F499B"/>
    <w:rsid w:val="000F6687"/>
    <w:rsid w:val="00103D80"/>
    <w:rsid w:val="0010420D"/>
    <w:rsid w:val="001052E4"/>
    <w:rsid w:val="00105A49"/>
    <w:rsid w:val="00110A78"/>
    <w:rsid w:val="001131DD"/>
    <w:rsid w:val="00113E46"/>
    <w:rsid w:val="001179E0"/>
    <w:rsid w:val="00121C1B"/>
    <w:rsid w:val="00122057"/>
    <w:rsid w:val="001237AC"/>
    <w:rsid w:val="00130D16"/>
    <w:rsid w:val="0013194A"/>
    <w:rsid w:val="00135335"/>
    <w:rsid w:val="001365C9"/>
    <w:rsid w:val="00137FE3"/>
    <w:rsid w:val="001450AC"/>
    <w:rsid w:val="00147904"/>
    <w:rsid w:val="001532A9"/>
    <w:rsid w:val="00153DF6"/>
    <w:rsid w:val="00160788"/>
    <w:rsid w:val="00162A1C"/>
    <w:rsid w:val="001670A5"/>
    <w:rsid w:val="00167C82"/>
    <w:rsid w:val="001750D7"/>
    <w:rsid w:val="001916A8"/>
    <w:rsid w:val="00191BB2"/>
    <w:rsid w:val="00196A4B"/>
    <w:rsid w:val="001A08AF"/>
    <w:rsid w:val="001A2512"/>
    <w:rsid w:val="001A2C5F"/>
    <w:rsid w:val="001A4D1F"/>
    <w:rsid w:val="001A61A0"/>
    <w:rsid w:val="001A64F9"/>
    <w:rsid w:val="001B42D3"/>
    <w:rsid w:val="001C1D4F"/>
    <w:rsid w:val="001C4F83"/>
    <w:rsid w:val="001C6156"/>
    <w:rsid w:val="001C6FD4"/>
    <w:rsid w:val="001C7824"/>
    <w:rsid w:val="001D33BF"/>
    <w:rsid w:val="001D418A"/>
    <w:rsid w:val="001D5AC6"/>
    <w:rsid w:val="001F29D9"/>
    <w:rsid w:val="0020094D"/>
    <w:rsid w:val="00200B78"/>
    <w:rsid w:val="0020773E"/>
    <w:rsid w:val="00214356"/>
    <w:rsid w:val="00214C60"/>
    <w:rsid w:val="0021792D"/>
    <w:rsid w:val="00220A6E"/>
    <w:rsid w:val="00220F4B"/>
    <w:rsid w:val="00221BAF"/>
    <w:rsid w:val="0022423E"/>
    <w:rsid w:val="002274B7"/>
    <w:rsid w:val="002309AE"/>
    <w:rsid w:val="00233EA2"/>
    <w:rsid w:val="002445B0"/>
    <w:rsid w:val="00245786"/>
    <w:rsid w:val="00246353"/>
    <w:rsid w:val="00260819"/>
    <w:rsid w:val="00262536"/>
    <w:rsid w:val="00262736"/>
    <w:rsid w:val="002636C6"/>
    <w:rsid w:val="0026496F"/>
    <w:rsid w:val="00270141"/>
    <w:rsid w:val="002716DE"/>
    <w:rsid w:val="00274015"/>
    <w:rsid w:val="00275631"/>
    <w:rsid w:val="002813F8"/>
    <w:rsid w:val="0028500E"/>
    <w:rsid w:val="002931B0"/>
    <w:rsid w:val="002931FE"/>
    <w:rsid w:val="002933B0"/>
    <w:rsid w:val="002A56DE"/>
    <w:rsid w:val="002A71EA"/>
    <w:rsid w:val="002B7C52"/>
    <w:rsid w:val="002C2D53"/>
    <w:rsid w:val="002D2F2A"/>
    <w:rsid w:val="002E1C93"/>
    <w:rsid w:val="002E2C33"/>
    <w:rsid w:val="002E730B"/>
    <w:rsid w:val="002F03F6"/>
    <w:rsid w:val="002F04A9"/>
    <w:rsid w:val="002F4307"/>
    <w:rsid w:val="00313383"/>
    <w:rsid w:val="0032790C"/>
    <w:rsid w:val="00330FC5"/>
    <w:rsid w:val="003359F9"/>
    <w:rsid w:val="00335CFD"/>
    <w:rsid w:val="0033660E"/>
    <w:rsid w:val="003370F3"/>
    <w:rsid w:val="003535E1"/>
    <w:rsid w:val="00354F57"/>
    <w:rsid w:val="00361535"/>
    <w:rsid w:val="0036562B"/>
    <w:rsid w:val="003672D6"/>
    <w:rsid w:val="00374560"/>
    <w:rsid w:val="003824BB"/>
    <w:rsid w:val="00385F09"/>
    <w:rsid w:val="00391F7D"/>
    <w:rsid w:val="003935B4"/>
    <w:rsid w:val="00396DC7"/>
    <w:rsid w:val="003A2A75"/>
    <w:rsid w:val="003B3CB2"/>
    <w:rsid w:val="003B4B52"/>
    <w:rsid w:val="003C02A8"/>
    <w:rsid w:val="003C14AC"/>
    <w:rsid w:val="003D3B2A"/>
    <w:rsid w:val="003D425E"/>
    <w:rsid w:val="003D59BA"/>
    <w:rsid w:val="003F049C"/>
    <w:rsid w:val="003F1072"/>
    <w:rsid w:val="003F33DE"/>
    <w:rsid w:val="003F3510"/>
    <w:rsid w:val="00400327"/>
    <w:rsid w:val="00412D6A"/>
    <w:rsid w:val="00414120"/>
    <w:rsid w:val="00414368"/>
    <w:rsid w:val="00414D99"/>
    <w:rsid w:val="00415E9C"/>
    <w:rsid w:val="004208DA"/>
    <w:rsid w:val="00430EB1"/>
    <w:rsid w:val="004312A5"/>
    <w:rsid w:val="00435AC8"/>
    <w:rsid w:val="004367C0"/>
    <w:rsid w:val="004456CF"/>
    <w:rsid w:val="00451D77"/>
    <w:rsid w:val="004538B3"/>
    <w:rsid w:val="00460E92"/>
    <w:rsid w:val="00467365"/>
    <w:rsid w:val="0047625C"/>
    <w:rsid w:val="00477793"/>
    <w:rsid w:val="0049011E"/>
    <w:rsid w:val="00491ADD"/>
    <w:rsid w:val="004956B8"/>
    <w:rsid w:val="004958ED"/>
    <w:rsid w:val="004962A9"/>
    <w:rsid w:val="004A261D"/>
    <w:rsid w:val="004A2980"/>
    <w:rsid w:val="004A49F6"/>
    <w:rsid w:val="004B2DE9"/>
    <w:rsid w:val="004B52ED"/>
    <w:rsid w:val="004C1E4B"/>
    <w:rsid w:val="004C5AFF"/>
    <w:rsid w:val="004C6641"/>
    <w:rsid w:val="004D6CA3"/>
    <w:rsid w:val="004D77FD"/>
    <w:rsid w:val="004D7AEE"/>
    <w:rsid w:val="004E12E9"/>
    <w:rsid w:val="004E3D5F"/>
    <w:rsid w:val="004E419F"/>
    <w:rsid w:val="004F4C8F"/>
    <w:rsid w:val="00500774"/>
    <w:rsid w:val="005046C0"/>
    <w:rsid w:val="00506F38"/>
    <w:rsid w:val="0052070A"/>
    <w:rsid w:val="00531069"/>
    <w:rsid w:val="0055270B"/>
    <w:rsid w:val="0055356B"/>
    <w:rsid w:val="00560052"/>
    <w:rsid w:val="00565091"/>
    <w:rsid w:val="00565A29"/>
    <w:rsid w:val="00576430"/>
    <w:rsid w:val="005778A5"/>
    <w:rsid w:val="00586A38"/>
    <w:rsid w:val="0059761E"/>
    <w:rsid w:val="005A29B5"/>
    <w:rsid w:val="005A30E1"/>
    <w:rsid w:val="005A63B4"/>
    <w:rsid w:val="005B36FE"/>
    <w:rsid w:val="005B414D"/>
    <w:rsid w:val="005C1BD9"/>
    <w:rsid w:val="005C63CE"/>
    <w:rsid w:val="005C7D6F"/>
    <w:rsid w:val="005D7966"/>
    <w:rsid w:val="005E0415"/>
    <w:rsid w:val="005E2DD8"/>
    <w:rsid w:val="005E63B7"/>
    <w:rsid w:val="005E6EB4"/>
    <w:rsid w:val="005F06D4"/>
    <w:rsid w:val="005F3C3F"/>
    <w:rsid w:val="005F5E83"/>
    <w:rsid w:val="005F7C43"/>
    <w:rsid w:val="006045E9"/>
    <w:rsid w:val="00610CD7"/>
    <w:rsid w:val="00627704"/>
    <w:rsid w:val="00633AA8"/>
    <w:rsid w:val="0064052B"/>
    <w:rsid w:val="00642F1D"/>
    <w:rsid w:val="00645B3E"/>
    <w:rsid w:val="0065063C"/>
    <w:rsid w:val="006531F1"/>
    <w:rsid w:val="00653475"/>
    <w:rsid w:val="0065506B"/>
    <w:rsid w:val="0066395C"/>
    <w:rsid w:val="00663FAA"/>
    <w:rsid w:val="00671500"/>
    <w:rsid w:val="0067325F"/>
    <w:rsid w:val="00680143"/>
    <w:rsid w:val="00680BF4"/>
    <w:rsid w:val="0068227C"/>
    <w:rsid w:val="00697F91"/>
    <w:rsid w:val="006A447D"/>
    <w:rsid w:val="006B01EE"/>
    <w:rsid w:val="006B1E20"/>
    <w:rsid w:val="006B4134"/>
    <w:rsid w:val="006D3AAF"/>
    <w:rsid w:val="006F1745"/>
    <w:rsid w:val="006F70CA"/>
    <w:rsid w:val="006F71D3"/>
    <w:rsid w:val="00703212"/>
    <w:rsid w:val="00706365"/>
    <w:rsid w:val="00713639"/>
    <w:rsid w:val="00715C95"/>
    <w:rsid w:val="007267C8"/>
    <w:rsid w:val="00731D09"/>
    <w:rsid w:val="007358D7"/>
    <w:rsid w:val="007436F1"/>
    <w:rsid w:val="007533CD"/>
    <w:rsid w:val="007567F6"/>
    <w:rsid w:val="00756B0D"/>
    <w:rsid w:val="007609E1"/>
    <w:rsid w:val="00762233"/>
    <w:rsid w:val="00770852"/>
    <w:rsid w:val="0077431B"/>
    <w:rsid w:val="007862D9"/>
    <w:rsid w:val="007876FB"/>
    <w:rsid w:val="00794C76"/>
    <w:rsid w:val="007967E8"/>
    <w:rsid w:val="007A66D9"/>
    <w:rsid w:val="007B0C87"/>
    <w:rsid w:val="007B160C"/>
    <w:rsid w:val="007B7D5C"/>
    <w:rsid w:val="007C6C56"/>
    <w:rsid w:val="007E1826"/>
    <w:rsid w:val="007E36FF"/>
    <w:rsid w:val="007E65D3"/>
    <w:rsid w:val="007F0AE4"/>
    <w:rsid w:val="007F118A"/>
    <w:rsid w:val="007F3A36"/>
    <w:rsid w:val="008055FE"/>
    <w:rsid w:val="00806708"/>
    <w:rsid w:val="00811B6A"/>
    <w:rsid w:val="008161B5"/>
    <w:rsid w:val="008169ED"/>
    <w:rsid w:val="008170CF"/>
    <w:rsid w:val="00817660"/>
    <w:rsid w:val="00820546"/>
    <w:rsid w:val="00823AE6"/>
    <w:rsid w:val="00824AC4"/>
    <w:rsid w:val="00825D8C"/>
    <w:rsid w:val="00834C78"/>
    <w:rsid w:val="00835AD1"/>
    <w:rsid w:val="008420DC"/>
    <w:rsid w:val="00843B0F"/>
    <w:rsid w:val="00846F49"/>
    <w:rsid w:val="00865498"/>
    <w:rsid w:val="00871B91"/>
    <w:rsid w:val="008720B3"/>
    <w:rsid w:val="00873628"/>
    <w:rsid w:val="008778F5"/>
    <w:rsid w:val="00882009"/>
    <w:rsid w:val="008849D5"/>
    <w:rsid w:val="0088602B"/>
    <w:rsid w:val="008A2F3B"/>
    <w:rsid w:val="008A3AB7"/>
    <w:rsid w:val="008B02BE"/>
    <w:rsid w:val="008B1C01"/>
    <w:rsid w:val="008B423A"/>
    <w:rsid w:val="008C18F8"/>
    <w:rsid w:val="008C3C1D"/>
    <w:rsid w:val="008C70B8"/>
    <w:rsid w:val="008D017E"/>
    <w:rsid w:val="008D226D"/>
    <w:rsid w:val="008D438F"/>
    <w:rsid w:val="008D46B4"/>
    <w:rsid w:val="008F1E55"/>
    <w:rsid w:val="008F2BF6"/>
    <w:rsid w:val="00916082"/>
    <w:rsid w:val="00920806"/>
    <w:rsid w:val="00933A90"/>
    <w:rsid w:val="00937BB5"/>
    <w:rsid w:val="00945A3E"/>
    <w:rsid w:val="00951B81"/>
    <w:rsid w:val="00955B4A"/>
    <w:rsid w:val="00970A55"/>
    <w:rsid w:val="00973C77"/>
    <w:rsid w:val="0098047D"/>
    <w:rsid w:val="009837E8"/>
    <w:rsid w:val="00983C40"/>
    <w:rsid w:val="00985184"/>
    <w:rsid w:val="0099158F"/>
    <w:rsid w:val="009962DE"/>
    <w:rsid w:val="009963DA"/>
    <w:rsid w:val="009964D5"/>
    <w:rsid w:val="009A2C4A"/>
    <w:rsid w:val="009B7DA6"/>
    <w:rsid w:val="009C10CC"/>
    <w:rsid w:val="009C1137"/>
    <w:rsid w:val="009C1A47"/>
    <w:rsid w:val="009C4A2A"/>
    <w:rsid w:val="009E05B8"/>
    <w:rsid w:val="009E069C"/>
    <w:rsid w:val="009E0BE5"/>
    <w:rsid w:val="009E2046"/>
    <w:rsid w:val="009E7C72"/>
    <w:rsid w:val="00A07EE3"/>
    <w:rsid w:val="00A14243"/>
    <w:rsid w:val="00A14B81"/>
    <w:rsid w:val="00A17088"/>
    <w:rsid w:val="00A2019B"/>
    <w:rsid w:val="00A21BFD"/>
    <w:rsid w:val="00A22B8C"/>
    <w:rsid w:val="00A22CA7"/>
    <w:rsid w:val="00A261A1"/>
    <w:rsid w:val="00A33517"/>
    <w:rsid w:val="00A36F48"/>
    <w:rsid w:val="00A40E0D"/>
    <w:rsid w:val="00A41273"/>
    <w:rsid w:val="00A44337"/>
    <w:rsid w:val="00A53091"/>
    <w:rsid w:val="00A54DED"/>
    <w:rsid w:val="00A60997"/>
    <w:rsid w:val="00A6433F"/>
    <w:rsid w:val="00A72506"/>
    <w:rsid w:val="00A72C2A"/>
    <w:rsid w:val="00A74B56"/>
    <w:rsid w:val="00A81131"/>
    <w:rsid w:val="00A812A4"/>
    <w:rsid w:val="00A8431E"/>
    <w:rsid w:val="00A85EF9"/>
    <w:rsid w:val="00A96300"/>
    <w:rsid w:val="00A9648D"/>
    <w:rsid w:val="00AA11C1"/>
    <w:rsid w:val="00AA426A"/>
    <w:rsid w:val="00AA5F89"/>
    <w:rsid w:val="00AA74B9"/>
    <w:rsid w:val="00AB1520"/>
    <w:rsid w:val="00AB4633"/>
    <w:rsid w:val="00AC1C78"/>
    <w:rsid w:val="00AC39EC"/>
    <w:rsid w:val="00AD035C"/>
    <w:rsid w:val="00AE29EA"/>
    <w:rsid w:val="00AE2BEE"/>
    <w:rsid w:val="00AE4619"/>
    <w:rsid w:val="00AF404D"/>
    <w:rsid w:val="00B12E49"/>
    <w:rsid w:val="00B14694"/>
    <w:rsid w:val="00B15CBF"/>
    <w:rsid w:val="00B275C7"/>
    <w:rsid w:val="00B277BA"/>
    <w:rsid w:val="00B3399E"/>
    <w:rsid w:val="00B468AD"/>
    <w:rsid w:val="00B46EE2"/>
    <w:rsid w:val="00B53527"/>
    <w:rsid w:val="00B61F21"/>
    <w:rsid w:val="00B62EA4"/>
    <w:rsid w:val="00B638A4"/>
    <w:rsid w:val="00B63E5B"/>
    <w:rsid w:val="00B71FB1"/>
    <w:rsid w:val="00B83112"/>
    <w:rsid w:val="00B877CB"/>
    <w:rsid w:val="00B936C2"/>
    <w:rsid w:val="00B93E5C"/>
    <w:rsid w:val="00BA1860"/>
    <w:rsid w:val="00BB2453"/>
    <w:rsid w:val="00BB6AF4"/>
    <w:rsid w:val="00BC2A7E"/>
    <w:rsid w:val="00BC7A4D"/>
    <w:rsid w:val="00BD0260"/>
    <w:rsid w:val="00BD05ED"/>
    <w:rsid w:val="00BD1E9F"/>
    <w:rsid w:val="00BE2745"/>
    <w:rsid w:val="00BE6ED0"/>
    <w:rsid w:val="00BF30FC"/>
    <w:rsid w:val="00BF43CC"/>
    <w:rsid w:val="00BF7A16"/>
    <w:rsid w:val="00C0074D"/>
    <w:rsid w:val="00C073A1"/>
    <w:rsid w:val="00C07579"/>
    <w:rsid w:val="00C22610"/>
    <w:rsid w:val="00C23969"/>
    <w:rsid w:val="00C30910"/>
    <w:rsid w:val="00C31995"/>
    <w:rsid w:val="00C33123"/>
    <w:rsid w:val="00C34D45"/>
    <w:rsid w:val="00C40CB3"/>
    <w:rsid w:val="00C41208"/>
    <w:rsid w:val="00C45257"/>
    <w:rsid w:val="00C53C08"/>
    <w:rsid w:val="00C57D0D"/>
    <w:rsid w:val="00C627E8"/>
    <w:rsid w:val="00C63F4E"/>
    <w:rsid w:val="00C642B6"/>
    <w:rsid w:val="00C64D92"/>
    <w:rsid w:val="00C6615C"/>
    <w:rsid w:val="00C66E37"/>
    <w:rsid w:val="00C71694"/>
    <w:rsid w:val="00C723E7"/>
    <w:rsid w:val="00C7661E"/>
    <w:rsid w:val="00C82B7D"/>
    <w:rsid w:val="00C873DB"/>
    <w:rsid w:val="00C90D34"/>
    <w:rsid w:val="00C93CFF"/>
    <w:rsid w:val="00C94EE1"/>
    <w:rsid w:val="00CA0EDE"/>
    <w:rsid w:val="00CA58D1"/>
    <w:rsid w:val="00CB0D30"/>
    <w:rsid w:val="00CB664B"/>
    <w:rsid w:val="00CC0C96"/>
    <w:rsid w:val="00CC10F4"/>
    <w:rsid w:val="00CD72AD"/>
    <w:rsid w:val="00CE334A"/>
    <w:rsid w:val="00CE4685"/>
    <w:rsid w:val="00CE66E9"/>
    <w:rsid w:val="00CF6318"/>
    <w:rsid w:val="00CF6D5E"/>
    <w:rsid w:val="00CF70DE"/>
    <w:rsid w:val="00CF7A6A"/>
    <w:rsid w:val="00CF7E82"/>
    <w:rsid w:val="00D01C36"/>
    <w:rsid w:val="00D17774"/>
    <w:rsid w:val="00D2385A"/>
    <w:rsid w:val="00D353C3"/>
    <w:rsid w:val="00D416A6"/>
    <w:rsid w:val="00D45B73"/>
    <w:rsid w:val="00D50DBE"/>
    <w:rsid w:val="00D51DA1"/>
    <w:rsid w:val="00D60CF9"/>
    <w:rsid w:val="00D62AB6"/>
    <w:rsid w:val="00D7338C"/>
    <w:rsid w:val="00D74667"/>
    <w:rsid w:val="00D80B8B"/>
    <w:rsid w:val="00D821D2"/>
    <w:rsid w:val="00D82270"/>
    <w:rsid w:val="00D830BF"/>
    <w:rsid w:val="00D858CA"/>
    <w:rsid w:val="00D87A75"/>
    <w:rsid w:val="00DA2C5B"/>
    <w:rsid w:val="00DC0F1F"/>
    <w:rsid w:val="00DC7AD0"/>
    <w:rsid w:val="00DD7AA7"/>
    <w:rsid w:val="00DE55B4"/>
    <w:rsid w:val="00DE6285"/>
    <w:rsid w:val="00DF41FE"/>
    <w:rsid w:val="00DF5DEA"/>
    <w:rsid w:val="00E004FD"/>
    <w:rsid w:val="00E012CA"/>
    <w:rsid w:val="00E04A6D"/>
    <w:rsid w:val="00E0634B"/>
    <w:rsid w:val="00E0687B"/>
    <w:rsid w:val="00E105C9"/>
    <w:rsid w:val="00E1785E"/>
    <w:rsid w:val="00E2408E"/>
    <w:rsid w:val="00E30331"/>
    <w:rsid w:val="00E32B3F"/>
    <w:rsid w:val="00E33531"/>
    <w:rsid w:val="00E3569C"/>
    <w:rsid w:val="00E378B7"/>
    <w:rsid w:val="00E40867"/>
    <w:rsid w:val="00E53114"/>
    <w:rsid w:val="00E55874"/>
    <w:rsid w:val="00E62912"/>
    <w:rsid w:val="00E64306"/>
    <w:rsid w:val="00E7131B"/>
    <w:rsid w:val="00E71528"/>
    <w:rsid w:val="00E74574"/>
    <w:rsid w:val="00E800EC"/>
    <w:rsid w:val="00E85A17"/>
    <w:rsid w:val="00E87828"/>
    <w:rsid w:val="00E91550"/>
    <w:rsid w:val="00E91BD6"/>
    <w:rsid w:val="00E96140"/>
    <w:rsid w:val="00EA18EF"/>
    <w:rsid w:val="00EA38CF"/>
    <w:rsid w:val="00EA5D68"/>
    <w:rsid w:val="00EA7F68"/>
    <w:rsid w:val="00EB09F5"/>
    <w:rsid w:val="00EB1B39"/>
    <w:rsid w:val="00EC5A84"/>
    <w:rsid w:val="00ED394D"/>
    <w:rsid w:val="00ED5382"/>
    <w:rsid w:val="00EE0433"/>
    <w:rsid w:val="00EE5DC4"/>
    <w:rsid w:val="00EF28ED"/>
    <w:rsid w:val="00EF5F40"/>
    <w:rsid w:val="00EF79B3"/>
    <w:rsid w:val="00F12DF7"/>
    <w:rsid w:val="00F15F68"/>
    <w:rsid w:val="00F17441"/>
    <w:rsid w:val="00F271C2"/>
    <w:rsid w:val="00F31173"/>
    <w:rsid w:val="00F31427"/>
    <w:rsid w:val="00F33415"/>
    <w:rsid w:val="00F37D6A"/>
    <w:rsid w:val="00F43FFB"/>
    <w:rsid w:val="00F47CCE"/>
    <w:rsid w:val="00F51575"/>
    <w:rsid w:val="00F53709"/>
    <w:rsid w:val="00F60364"/>
    <w:rsid w:val="00F619BA"/>
    <w:rsid w:val="00F6309A"/>
    <w:rsid w:val="00F64E8E"/>
    <w:rsid w:val="00F705C4"/>
    <w:rsid w:val="00F74831"/>
    <w:rsid w:val="00F8410D"/>
    <w:rsid w:val="00F84120"/>
    <w:rsid w:val="00F920EA"/>
    <w:rsid w:val="00F94B8F"/>
    <w:rsid w:val="00FA0DAE"/>
    <w:rsid w:val="00FA231B"/>
    <w:rsid w:val="00FB1F7F"/>
    <w:rsid w:val="00FB2AB7"/>
    <w:rsid w:val="00FB7CC5"/>
    <w:rsid w:val="00FC030B"/>
    <w:rsid w:val="00FC688C"/>
    <w:rsid w:val="00FC71FC"/>
    <w:rsid w:val="00FD36DB"/>
    <w:rsid w:val="00FD3D1E"/>
    <w:rsid w:val="00FD4748"/>
    <w:rsid w:val="00FD5BAA"/>
    <w:rsid w:val="00FE60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D99"/>
    <w:pPr>
      <w:spacing w:after="0" w:line="240" w:lineRule="auto"/>
    </w:pPr>
    <w:rPr>
      <w:rFonts w:ascii="Arial" w:eastAsia="Arial" w:hAnsi="Arial"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414D99"/>
    <w:pPr>
      <w:spacing w:after="0" w:line="240" w:lineRule="auto"/>
    </w:pPr>
    <w:rPr>
      <w:rFonts w:ascii="Arial" w:eastAsia="Arial" w:hAnsi="Arial" w:cs="Times New Roman"/>
      <w:noProof/>
      <w:sz w:val="24"/>
      <w:szCs w:val="20"/>
    </w:rPr>
  </w:style>
  <w:style w:type="paragraph" w:styleId="BalloonText">
    <w:name w:val="Balloon Text"/>
    <w:basedOn w:val="Normal"/>
    <w:link w:val="BalloonTextChar"/>
    <w:uiPriority w:val="99"/>
    <w:semiHidden/>
    <w:unhideWhenUsed/>
    <w:rsid w:val="00414D99"/>
    <w:rPr>
      <w:rFonts w:ascii="Tahoma" w:hAnsi="Tahoma" w:cs="Tahoma"/>
      <w:sz w:val="16"/>
      <w:szCs w:val="16"/>
    </w:rPr>
  </w:style>
  <w:style w:type="character" w:customStyle="1" w:styleId="BalloonTextChar">
    <w:name w:val="Balloon Text Char"/>
    <w:basedOn w:val="DefaultParagraphFont"/>
    <w:link w:val="BalloonText"/>
    <w:uiPriority w:val="99"/>
    <w:semiHidden/>
    <w:rsid w:val="00414D99"/>
    <w:rPr>
      <w:rFonts w:ascii="Tahoma" w:eastAsia="Arial" w:hAnsi="Tahoma" w:cs="Tahoma"/>
      <w:noProof/>
      <w:sz w:val="16"/>
      <w:szCs w:val="16"/>
    </w:rPr>
  </w:style>
  <w:style w:type="paragraph" w:styleId="Header">
    <w:name w:val="header"/>
    <w:basedOn w:val="Normal"/>
    <w:link w:val="HeaderChar"/>
    <w:uiPriority w:val="99"/>
    <w:semiHidden/>
    <w:unhideWhenUsed/>
    <w:rsid w:val="00CF7E82"/>
    <w:pPr>
      <w:tabs>
        <w:tab w:val="center" w:pos="4680"/>
        <w:tab w:val="right" w:pos="9360"/>
      </w:tabs>
    </w:pPr>
  </w:style>
  <w:style w:type="character" w:customStyle="1" w:styleId="HeaderChar">
    <w:name w:val="Header Char"/>
    <w:basedOn w:val="DefaultParagraphFont"/>
    <w:link w:val="Header"/>
    <w:uiPriority w:val="99"/>
    <w:semiHidden/>
    <w:rsid w:val="00CF7E82"/>
    <w:rPr>
      <w:rFonts w:ascii="Arial" w:eastAsia="Arial" w:hAnsi="Arial" w:cs="Times New Roman"/>
      <w:noProof/>
      <w:sz w:val="20"/>
      <w:szCs w:val="20"/>
    </w:rPr>
  </w:style>
  <w:style w:type="paragraph" w:styleId="Footer">
    <w:name w:val="footer"/>
    <w:basedOn w:val="Normal"/>
    <w:link w:val="FooterChar"/>
    <w:uiPriority w:val="99"/>
    <w:semiHidden/>
    <w:unhideWhenUsed/>
    <w:rsid w:val="00CF7E82"/>
    <w:pPr>
      <w:tabs>
        <w:tab w:val="center" w:pos="4680"/>
        <w:tab w:val="right" w:pos="9360"/>
      </w:tabs>
    </w:pPr>
  </w:style>
  <w:style w:type="character" w:customStyle="1" w:styleId="FooterChar">
    <w:name w:val="Footer Char"/>
    <w:basedOn w:val="DefaultParagraphFont"/>
    <w:link w:val="Footer"/>
    <w:uiPriority w:val="99"/>
    <w:semiHidden/>
    <w:rsid w:val="00CF7E82"/>
    <w:rPr>
      <w:rFonts w:ascii="Arial" w:eastAsia="Arial" w:hAnsi="Arial" w:cs="Times New Roman"/>
      <w:noProof/>
      <w:sz w:val="20"/>
      <w:szCs w:val="20"/>
    </w:rPr>
  </w:style>
  <w:style w:type="paragraph" w:styleId="ListParagraph">
    <w:name w:val="List Paragraph"/>
    <w:basedOn w:val="Normal"/>
    <w:uiPriority w:val="34"/>
    <w:qFormat/>
    <w:rsid w:val="00820546"/>
    <w:pPr>
      <w:spacing w:after="200" w:line="276" w:lineRule="auto"/>
      <w:ind w:left="720"/>
      <w:contextualSpacing/>
    </w:pPr>
    <w:rPr>
      <w:rFonts w:asciiTheme="minorHAnsi" w:eastAsiaTheme="minorHAnsi" w:hAnsiTheme="minorHAnsi" w:cstheme="minorBidi"/>
      <w:noProof w:val="0"/>
      <w:sz w:val="22"/>
      <w:szCs w:val="22"/>
    </w:rPr>
  </w:style>
  <w:style w:type="character" w:styleId="CommentReference">
    <w:name w:val="annotation reference"/>
    <w:basedOn w:val="DefaultParagraphFont"/>
    <w:uiPriority w:val="99"/>
    <w:semiHidden/>
    <w:unhideWhenUsed/>
    <w:rsid w:val="008F2BF6"/>
    <w:rPr>
      <w:sz w:val="16"/>
      <w:szCs w:val="16"/>
    </w:rPr>
  </w:style>
  <w:style w:type="paragraph" w:styleId="CommentText">
    <w:name w:val="annotation text"/>
    <w:basedOn w:val="Normal"/>
    <w:link w:val="CommentTextChar"/>
    <w:uiPriority w:val="99"/>
    <w:semiHidden/>
    <w:unhideWhenUsed/>
    <w:rsid w:val="008F2BF6"/>
  </w:style>
  <w:style w:type="character" w:customStyle="1" w:styleId="CommentTextChar">
    <w:name w:val="Comment Text Char"/>
    <w:basedOn w:val="DefaultParagraphFont"/>
    <w:link w:val="CommentText"/>
    <w:uiPriority w:val="99"/>
    <w:semiHidden/>
    <w:rsid w:val="008F2BF6"/>
    <w:rPr>
      <w:rFonts w:ascii="Arial" w:eastAsia="Arial" w:hAnsi="Arial" w:cs="Times New Roman"/>
      <w:noProof/>
      <w:sz w:val="20"/>
      <w:szCs w:val="20"/>
    </w:rPr>
  </w:style>
  <w:style w:type="paragraph" w:styleId="CommentSubject">
    <w:name w:val="annotation subject"/>
    <w:basedOn w:val="CommentText"/>
    <w:next w:val="CommentText"/>
    <w:link w:val="CommentSubjectChar"/>
    <w:uiPriority w:val="99"/>
    <w:semiHidden/>
    <w:unhideWhenUsed/>
    <w:rsid w:val="008F2BF6"/>
    <w:rPr>
      <w:b/>
      <w:bCs/>
    </w:rPr>
  </w:style>
  <w:style w:type="character" w:customStyle="1" w:styleId="CommentSubjectChar">
    <w:name w:val="Comment Subject Char"/>
    <w:basedOn w:val="CommentTextChar"/>
    <w:link w:val="CommentSubject"/>
    <w:uiPriority w:val="99"/>
    <w:semiHidden/>
    <w:rsid w:val="008F2BF6"/>
    <w:rPr>
      <w:b/>
      <w:bCs/>
    </w:rPr>
  </w:style>
</w:styles>
</file>

<file path=word/webSettings.xml><?xml version="1.0" encoding="utf-8"?>
<w:webSettings xmlns:r="http://schemas.openxmlformats.org/officeDocument/2006/relationships" xmlns:w="http://schemas.openxmlformats.org/wordprocessingml/2006/main">
  <w:divs>
    <w:div w:id="41983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F9B90-BFF9-4591-8F23-7E313FF5C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436</Words>
  <Characters>2931</Characters>
  <Application>Microsoft Office Word</Application>
  <DocSecurity>0</DocSecurity>
  <Lines>97</Lines>
  <Paragraphs>23</Paragraphs>
  <ScaleCrop>false</ScaleCrop>
  <HeadingPairs>
    <vt:vector size="2" baseType="variant">
      <vt:variant>
        <vt:lpstr>Title</vt:lpstr>
      </vt:variant>
      <vt:variant>
        <vt:i4>1</vt:i4>
      </vt:variant>
    </vt:vector>
  </HeadingPairs>
  <TitlesOfParts>
    <vt:vector size="1" baseType="lpstr">
      <vt:lpstr/>
    </vt:vector>
  </TitlesOfParts>
  <Company>EERE</Company>
  <LinksUpToDate>false</LinksUpToDate>
  <CharactersWithSpaces>3344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Norcross</dc:creator>
  <cp:keywords/>
  <dc:description/>
  <cp:lastModifiedBy>Frank Norcross</cp:lastModifiedBy>
  <cp:revision>4</cp:revision>
  <dcterms:created xsi:type="dcterms:W3CDTF">2010-11-30T22:07:00Z</dcterms:created>
  <dcterms:modified xsi:type="dcterms:W3CDTF">2010-12-01T01:00:00Z</dcterms:modified>
</cp:coreProperties>
</file>