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EC" w:rsidRPr="00AF72EC" w:rsidRDefault="00677513"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AF72EC">
        <w:rPr>
          <w:sz w:val="22"/>
          <w:szCs w:val="22"/>
          <w:lang w:val="en-CA"/>
        </w:rPr>
        <w:fldChar w:fldCharType="begin"/>
      </w:r>
      <w:r w:rsidR="00CC6514" w:rsidRPr="00AF72EC">
        <w:rPr>
          <w:sz w:val="22"/>
          <w:szCs w:val="22"/>
          <w:lang w:val="en-CA"/>
        </w:rPr>
        <w:instrText xml:space="preserve"> SEQ CHAPTER \h \r 1</w:instrText>
      </w:r>
      <w:r w:rsidRPr="00AF72EC">
        <w:rPr>
          <w:sz w:val="22"/>
          <w:szCs w:val="22"/>
          <w:lang w:val="en-CA"/>
        </w:rPr>
        <w:fldChar w:fldCharType="end"/>
      </w:r>
      <w:r w:rsidR="00CC6514" w:rsidRPr="00AF72EC">
        <w:rPr>
          <w:b/>
          <w:bCs/>
          <w:sz w:val="22"/>
          <w:szCs w:val="22"/>
        </w:rPr>
        <w:t>Supporting Statement for Paperwork Reduction Act Submission</w:t>
      </w:r>
      <w:r w:rsidR="00AF72EC" w:rsidRPr="00AF72EC">
        <w:rPr>
          <w:b/>
          <w:bCs/>
          <w:sz w:val="22"/>
          <w:szCs w:val="22"/>
        </w:rPr>
        <w:t>:</w:t>
      </w:r>
    </w:p>
    <w:p w:rsidR="00AF72EC" w:rsidRPr="00AF72EC" w:rsidRDefault="00AF72EC"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AF72EC">
        <w:rPr>
          <w:b/>
          <w:bCs/>
          <w:sz w:val="22"/>
          <w:szCs w:val="22"/>
        </w:rPr>
        <w:t>Part A</w:t>
      </w:r>
    </w:p>
    <w:p w:rsidR="00AF72EC" w:rsidRPr="00AF72EC" w:rsidRDefault="00AF72EC"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AF72EC">
        <w:rPr>
          <w:b/>
          <w:bCs/>
          <w:sz w:val="22"/>
          <w:szCs w:val="22"/>
        </w:rPr>
        <w:t>National Park Service Visitor Survey Card</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AF72EC" w:rsidRDefault="00653949"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AF72EC">
        <w:rPr>
          <w:b/>
          <w:bCs/>
          <w:sz w:val="22"/>
          <w:szCs w:val="22"/>
        </w:rPr>
        <w:t>Re</w:t>
      </w:r>
      <w:r w:rsidR="002A2E35" w:rsidRPr="00AF72EC">
        <w:rPr>
          <w:b/>
          <w:bCs/>
          <w:sz w:val="22"/>
          <w:szCs w:val="22"/>
        </w:rPr>
        <w:t>newal</w:t>
      </w:r>
      <w:r w:rsidR="00CC6514" w:rsidRPr="00AF72EC">
        <w:rPr>
          <w:b/>
          <w:bCs/>
          <w:sz w:val="22"/>
          <w:szCs w:val="22"/>
        </w:rPr>
        <w:t xml:space="preserve"> of </w:t>
      </w:r>
      <w:r w:rsidR="00AF72EC">
        <w:rPr>
          <w:b/>
          <w:bCs/>
          <w:sz w:val="22"/>
          <w:szCs w:val="22"/>
        </w:rPr>
        <w:t>a Currently Approved Collection</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AF72EC">
        <w:rPr>
          <w:b/>
          <w:bCs/>
          <w:sz w:val="22"/>
          <w:szCs w:val="22"/>
        </w:rPr>
        <w:t>OMB Control Number</w:t>
      </w:r>
      <w:r w:rsidR="00AF72EC">
        <w:rPr>
          <w:b/>
          <w:bCs/>
          <w:sz w:val="22"/>
          <w:szCs w:val="22"/>
        </w:rPr>
        <w:t>:</w:t>
      </w:r>
      <w:r w:rsidRPr="00AF72EC">
        <w:rPr>
          <w:b/>
          <w:bCs/>
          <w:sz w:val="22"/>
          <w:szCs w:val="22"/>
        </w:rPr>
        <w:t xml:space="preserve"> 1024-0216</w:t>
      </w:r>
    </w:p>
    <w:p w:rsidR="00AF72EC" w:rsidRDefault="00AF72EC"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Pr>
          <w:b/>
          <w:bCs/>
          <w:sz w:val="22"/>
          <w:szCs w:val="22"/>
        </w:rPr>
        <w:t>Expiration Date: November 30, 2010</w:t>
      </w:r>
    </w:p>
    <w:p w:rsidR="00AF72EC" w:rsidRPr="00AF72EC" w:rsidRDefault="00AF72EC"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AF72EC" w:rsidRPr="00AF72EC" w:rsidRDefault="00AF72EC"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451EF3" w:rsidRDefault="00AF72EC" w:rsidP="00AF72EC">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F161A7">
        <w:rPr>
          <w:b/>
          <w:bCs/>
          <w:sz w:val="24"/>
          <w:szCs w:val="24"/>
        </w:rPr>
        <w:t xml:space="preserve">Terms of Clearance: </w:t>
      </w:r>
    </w:p>
    <w:p w:rsidR="00AF72EC" w:rsidRPr="00451EF3" w:rsidRDefault="00451EF3" w:rsidP="00AF72EC">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b/>
          <w:bCs/>
          <w:sz w:val="24"/>
          <w:szCs w:val="24"/>
        </w:rPr>
        <w:t>“</w:t>
      </w:r>
      <w:r w:rsidR="00AF72EC" w:rsidRPr="00451EF3">
        <w:rPr>
          <w:i/>
          <w:sz w:val="24"/>
          <w:szCs w:val="24"/>
        </w:rPr>
        <w:t>This ICR was approved for 18 months for NPS to evaluate the current collection methods and to improve them so that the data collected would be suitable to be used for GPRA and other program evaluation purposes. The average response rates achieved for the Visitor Survey Card ICR are approximately 25%. The agency has not demonstrated that the corresponding non-response bias is not significant. Since other NPS visitor surveys achieve much higher response rates, the low response rates for this survey should be improved. Within three months of approval of this ICR, the agency must submit to OMB a study plan that NPS will undertake to evaluate and improve the current collection methods, including a non-response bias assessment plan.</w:t>
      </w:r>
    </w:p>
    <w:p w:rsidR="00AF72EC" w:rsidRPr="00F161A7" w:rsidRDefault="00AF72EC" w:rsidP="00AF72EC">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72EC" w:rsidRPr="00451EF3" w:rsidRDefault="00AF72EC" w:rsidP="00AF72EC">
      <w:pPr>
        <w:widowControl/>
        <w:rPr>
          <w:i/>
          <w:sz w:val="24"/>
          <w:szCs w:val="24"/>
        </w:rPr>
      </w:pPr>
      <w:r w:rsidRPr="00451EF3">
        <w:rPr>
          <w:i/>
          <w:sz w:val="24"/>
          <w:szCs w:val="24"/>
        </w:rPr>
        <w:t>Within three months of approval of this ICR, the agency must submit to OMB a study plan that NPS will undertake to evaluate and improve the current collection methods, including a non-response bias assessment plan.</w:t>
      </w:r>
      <w:r w:rsidR="00451EF3">
        <w:rPr>
          <w:i/>
          <w:sz w:val="24"/>
          <w:szCs w:val="24"/>
        </w:rPr>
        <w:t>”</w:t>
      </w:r>
    </w:p>
    <w:p w:rsidR="00AF72EC" w:rsidRPr="00F161A7" w:rsidRDefault="00AF72EC" w:rsidP="00AF72EC">
      <w:pPr>
        <w:widowControl/>
        <w:rPr>
          <w:sz w:val="24"/>
          <w:szCs w:val="24"/>
        </w:rPr>
      </w:pPr>
    </w:p>
    <w:p w:rsidR="00072ADF" w:rsidRDefault="00F161A7" w:rsidP="003B5706">
      <w:pPr>
        <w:rPr>
          <w:sz w:val="24"/>
          <w:szCs w:val="24"/>
        </w:rPr>
      </w:pPr>
      <w:r w:rsidRPr="00CB5C1F">
        <w:rPr>
          <w:b/>
          <w:color w:val="000000"/>
          <w:sz w:val="24"/>
          <w:szCs w:val="24"/>
        </w:rPr>
        <w:t>Response:</w:t>
      </w:r>
      <w:r w:rsidRPr="00CB5C1F">
        <w:rPr>
          <w:color w:val="000000"/>
          <w:sz w:val="24"/>
          <w:szCs w:val="24"/>
        </w:rPr>
        <w:t xml:space="preserve">  On March 20, 2010, we </w:t>
      </w:r>
      <w:r w:rsidR="008F54CC" w:rsidRPr="00CB5C1F">
        <w:rPr>
          <w:color w:val="000000"/>
          <w:sz w:val="24"/>
          <w:szCs w:val="24"/>
        </w:rPr>
        <w:t>submitted a study plan</w:t>
      </w:r>
      <w:r w:rsidRPr="00CB5C1F">
        <w:rPr>
          <w:color w:val="000000"/>
          <w:sz w:val="24"/>
          <w:szCs w:val="24"/>
        </w:rPr>
        <w:t xml:space="preserve"> to </w:t>
      </w:r>
      <w:r w:rsidR="002A3A89">
        <w:rPr>
          <w:color w:val="000000"/>
          <w:sz w:val="24"/>
          <w:szCs w:val="24"/>
        </w:rPr>
        <w:t>the Office of Management and Budget (</w:t>
      </w:r>
      <w:r w:rsidRPr="00CB5C1F">
        <w:rPr>
          <w:color w:val="000000"/>
          <w:sz w:val="24"/>
          <w:szCs w:val="24"/>
        </w:rPr>
        <w:t>OMB</w:t>
      </w:r>
      <w:r w:rsidR="002A3A89">
        <w:rPr>
          <w:color w:val="000000"/>
          <w:sz w:val="24"/>
          <w:szCs w:val="24"/>
        </w:rPr>
        <w:t>)</w:t>
      </w:r>
      <w:r w:rsidRPr="00CB5C1F">
        <w:rPr>
          <w:color w:val="000000"/>
          <w:sz w:val="24"/>
          <w:szCs w:val="24"/>
        </w:rPr>
        <w:t xml:space="preserve"> </w:t>
      </w:r>
      <w:r w:rsidRPr="00CB5C1F">
        <w:rPr>
          <w:sz w:val="24"/>
          <w:szCs w:val="24"/>
        </w:rPr>
        <w:t>as a response to terms of clearance listed above</w:t>
      </w:r>
      <w:r w:rsidRPr="00CB5C1F">
        <w:rPr>
          <w:color w:val="000000"/>
          <w:sz w:val="24"/>
          <w:szCs w:val="24"/>
        </w:rPr>
        <w:t xml:space="preserve"> (attached in ROCIS as a supplementary document).</w:t>
      </w:r>
      <w:r w:rsidR="008F54CC" w:rsidRPr="00CB5C1F">
        <w:rPr>
          <w:color w:val="000000"/>
          <w:sz w:val="24"/>
          <w:szCs w:val="24"/>
        </w:rPr>
        <w:t xml:space="preserve"> </w:t>
      </w:r>
      <w:r w:rsidR="008F54CC" w:rsidRPr="00CB5C1F">
        <w:rPr>
          <w:sz w:val="24"/>
          <w:szCs w:val="24"/>
        </w:rPr>
        <w:t>Th</w:t>
      </w:r>
      <w:r w:rsidR="00FD6E1A" w:rsidRPr="00CB5C1F">
        <w:rPr>
          <w:sz w:val="24"/>
          <w:szCs w:val="24"/>
        </w:rPr>
        <w:t xml:space="preserve">e NPS </w:t>
      </w:r>
      <w:r w:rsidR="008F54CC" w:rsidRPr="00CB5C1F">
        <w:rPr>
          <w:sz w:val="24"/>
          <w:szCs w:val="24"/>
        </w:rPr>
        <w:t>prepared four alternatives to improv</w:t>
      </w:r>
      <w:r w:rsidR="00072ADF" w:rsidRPr="00CB5C1F">
        <w:rPr>
          <w:sz w:val="24"/>
          <w:szCs w:val="24"/>
        </w:rPr>
        <w:t>e</w:t>
      </w:r>
      <w:r w:rsidR="008F54CC" w:rsidRPr="00CB5C1F">
        <w:rPr>
          <w:sz w:val="24"/>
          <w:szCs w:val="24"/>
        </w:rPr>
        <w:t xml:space="preserve"> response rates</w:t>
      </w:r>
      <w:r w:rsidR="00072ADF" w:rsidRPr="00CB5C1F">
        <w:rPr>
          <w:sz w:val="24"/>
          <w:szCs w:val="24"/>
        </w:rPr>
        <w:t xml:space="preserve"> to address the issue of non-response bias analysis. At this point the NPS has added on-site drop boxes as a return option for the </w:t>
      </w:r>
      <w:r w:rsidR="00A12BCE" w:rsidRPr="00CB5C1F">
        <w:rPr>
          <w:sz w:val="24"/>
          <w:szCs w:val="24"/>
        </w:rPr>
        <w:t>respondents;</w:t>
      </w:r>
      <w:r w:rsidR="00072ADF" w:rsidRPr="00CB5C1F">
        <w:rPr>
          <w:sz w:val="24"/>
          <w:szCs w:val="24"/>
        </w:rPr>
        <w:t xml:space="preserve"> this option has been used with </w:t>
      </w:r>
      <w:r w:rsidR="00A12BCE">
        <w:rPr>
          <w:sz w:val="24"/>
          <w:szCs w:val="24"/>
        </w:rPr>
        <w:t>a</w:t>
      </w:r>
      <w:r w:rsidR="00A12BCE" w:rsidRPr="00CB5C1F">
        <w:rPr>
          <w:sz w:val="24"/>
          <w:szCs w:val="24"/>
        </w:rPr>
        <w:t xml:space="preserve"> </w:t>
      </w:r>
      <w:r w:rsidR="00072ADF" w:rsidRPr="00CB5C1F">
        <w:rPr>
          <w:sz w:val="24"/>
          <w:szCs w:val="24"/>
        </w:rPr>
        <w:t xml:space="preserve">similar survey conducted by the Bureau of Land Management with a response rate of at least 60%.  </w:t>
      </w:r>
      <w:r w:rsidR="00CB5C1F" w:rsidRPr="00CB5C1F">
        <w:rPr>
          <w:sz w:val="24"/>
          <w:szCs w:val="24"/>
        </w:rPr>
        <w:t xml:space="preserve">Secondly, a non-response bias analysis </w:t>
      </w:r>
      <w:r w:rsidR="00451EF3" w:rsidRPr="00CB5C1F">
        <w:rPr>
          <w:sz w:val="24"/>
          <w:szCs w:val="24"/>
        </w:rPr>
        <w:t>w</w:t>
      </w:r>
      <w:r w:rsidR="00451EF3">
        <w:rPr>
          <w:sz w:val="24"/>
          <w:szCs w:val="24"/>
        </w:rPr>
        <w:t>ill</w:t>
      </w:r>
      <w:r w:rsidR="00451EF3" w:rsidRPr="00CB5C1F">
        <w:rPr>
          <w:sz w:val="24"/>
          <w:szCs w:val="24"/>
        </w:rPr>
        <w:t xml:space="preserve"> </w:t>
      </w:r>
      <w:r w:rsidR="00CB5C1F" w:rsidRPr="00CB5C1F">
        <w:rPr>
          <w:sz w:val="24"/>
          <w:szCs w:val="24"/>
        </w:rPr>
        <w:t xml:space="preserve">be conducted by surveying </w:t>
      </w:r>
      <w:r w:rsidR="00451EF3">
        <w:rPr>
          <w:sz w:val="24"/>
          <w:szCs w:val="24"/>
        </w:rPr>
        <w:t xml:space="preserve">a </w:t>
      </w:r>
      <w:r w:rsidR="00CB5C1F" w:rsidRPr="00CB5C1F">
        <w:rPr>
          <w:sz w:val="24"/>
          <w:szCs w:val="24"/>
        </w:rPr>
        <w:t xml:space="preserve">stratified random </w:t>
      </w:r>
      <w:r w:rsidR="00451EF3">
        <w:rPr>
          <w:sz w:val="24"/>
          <w:szCs w:val="24"/>
        </w:rPr>
        <w:t xml:space="preserve">sample </w:t>
      </w:r>
      <w:r w:rsidR="00CB5C1F" w:rsidRPr="00CB5C1F">
        <w:rPr>
          <w:sz w:val="24"/>
          <w:szCs w:val="24"/>
        </w:rPr>
        <w:t xml:space="preserve">of respondents at </w:t>
      </w:r>
      <w:r w:rsidR="00B60A43">
        <w:rPr>
          <w:sz w:val="24"/>
          <w:szCs w:val="24"/>
        </w:rPr>
        <w:t>approximately 33</w:t>
      </w:r>
      <w:r w:rsidR="00A12BCE">
        <w:rPr>
          <w:sz w:val="24"/>
          <w:szCs w:val="24"/>
        </w:rPr>
        <w:t xml:space="preserve"> of the </w:t>
      </w:r>
      <w:r w:rsidR="00B60A43">
        <w:rPr>
          <w:sz w:val="24"/>
          <w:szCs w:val="24"/>
        </w:rPr>
        <w:t>parks annually</w:t>
      </w:r>
      <w:r w:rsidR="00A12BCE">
        <w:rPr>
          <w:sz w:val="24"/>
          <w:szCs w:val="24"/>
        </w:rPr>
        <w:t xml:space="preserve"> </w:t>
      </w:r>
      <w:r w:rsidR="00CB5C1F" w:rsidRPr="00CB5C1F">
        <w:rPr>
          <w:sz w:val="24"/>
          <w:szCs w:val="24"/>
        </w:rPr>
        <w:t xml:space="preserve">(10% sampling error at 90% confidence level). At these </w:t>
      </w:r>
      <w:r w:rsidR="005F6414">
        <w:rPr>
          <w:sz w:val="24"/>
          <w:szCs w:val="24"/>
        </w:rPr>
        <w:t xml:space="preserve">33 </w:t>
      </w:r>
      <w:r w:rsidR="00CB5C1F" w:rsidRPr="00CB5C1F">
        <w:rPr>
          <w:sz w:val="24"/>
          <w:szCs w:val="24"/>
        </w:rPr>
        <w:t xml:space="preserve">units, </w:t>
      </w:r>
      <w:r w:rsidR="005F6414">
        <w:rPr>
          <w:sz w:val="24"/>
          <w:szCs w:val="24"/>
        </w:rPr>
        <w:t>every contact</w:t>
      </w:r>
      <w:r w:rsidR="00CB5C1F" w:rsidRPr="00CB5C1F">
        <w:rPr>
          <w:sz w:val="24"/>
          <w:szCs w:val="24"/>
        </w:rPr>
        <w:t xml:space="preserve"> </w:t>
      </w:r>
      <w:r w:rsidR="00451EF3" w:rsidRPr="00CB5C1F">
        <w:rPr>
          <w:sz w:val="24"/>
          <w:szCs w:val="24"/>
        </w:rPr>
        <w:t>w</w:t>
      </w:r>
      <w:r w:rsidR="00451EF3">
        <w:rPr>
          <w:sz w:val="24"/>
          <w:szCs w:val="24"/>
        </w:rPr>
        <w:t>ill</w:t>
      </w:r>
      <w:r w:rsidR="00451EF3" w:rsidRPr="00CB5C1F">
        <w:rPr>
          <w:sz w:val="24"/>
          <w:szCs w:val="24"/>
        </w:rPr>
        <w:t xml:space="preserve"> </w:t>
      </w:r>
      <w:r w:rsidR="00CB5C1F" w:rsidRPr="00CB5C1F">
        <w:rPr>
          <w:sz w:val="24"/>
          <w:szCs w:val="24"/>
        </w:rPr>
        <w:t xml:space="preserve">be asked </w:t>
      </w:r>
      <w:r w:rsidR="005F6414">
        <w:rPr>
          <w:sz w:val="24"/>
          <w:szCs w:val="24"/>
        </w:rPr>
        <w:t>their age, the overall satisfaction question from the VSC survey and their gender will be observed</w:t>
      </w:r>
      <w:r w:rsidR="00CB5C1F" w:rsidRPr="00CB5C1F">
        <w:rPr>
          <w:sz w:val="24"/>
          <w:szCs w:val="24"/>
        </w:rPr>
        <w:t xml:space="preserve">. Findings from non-respondents </w:t>
      </w:r>
      <w:r w:rsidR="00451EF3" w:rsidRPr="00CB5C1F">
        <w:rPr>
          <w:sz w:val="24"/>
          <w:szCs w:val="24"/>
        </w:rPr>
        <w:t>w</w:t>
      </w:r>
      <w:r w:rsidR="00451EF3">
        <w:rPr>
          <w:sz w:val="24"/>
          <w:szCs w:val="24"/>
        </w:rPr>
        <w:t>ill</w:t>
      </w:r>
      <w:r w:rsidR="00451EF3" w:rsidRPr="00CB5C1F">
        <w:rPr>
          <w:sz w:val="24"/>
          <w:szCs w:val="24"/>
        </w:rPr>
        <w:t xml:space="preserve"> </w:t>
      </w:r>
      <w:r w:rsidR="00CB5C1F" w:rsidRPr="00CB5C1F">
        <w:rPr>
          <w:sz w:val="24"/>
          <w:szCs w:val="24"/>
        </w:rPr>
        <w:t>be compared to respondents to check for significant differences. If no significant differences are found, the probability of non-response bias is reduced. If differences are detected</w:t>
      </w:r>
      <w:r w:rsidR="00451EF3">
        <w:rPr>
          <w:sz w:val="24"/>
          <w:szCs w:val="24"/>
        </w:rPr>
        <w:t>,</w:t>
      </w:r>
      <w:r w:rsidR="00CB5C1F" w:rsidRPr="00CB5C1F">
        <w:rPr>
          <w:sz w:val="24"/>
          <w:szCs w:val="24"/>
        </w:rPr>
        <w:t xml:space="preserve"> actions to improve response rates will be implemented in future years.</w:t>
      </w:r>
    </w:p>
    <w:p w:rsidR="00CB5C1F" w:rsidRPr="00CB5C1F" w:rsidRDefault="00CB5C1F" w:rsidP="003B5706">
      <w:pPr>
        <w:rPr>
          <w:sz w:val="24"/>
          <w:szCs w:val="24"/>
        </w:rPr>
      </w:pPr>
    </w:p>
    <w:p w:rsidR="00072ADF" w:rsidRDefault="00072ADF" w:rsidP="003B5706">
      <w:pPr>
        <w:rPr>
          <w:sz w:val="24"/>
          <w:szCs w:val="24"/>
        </w:rPr>
      </w:pPr>
    </w:p>
    <w:p w:rsidR="002540BF" w:rsidRDefault="002540BF">
      <w:pPr>
        <w:widowControl/>
        <w:autoSpaceDE/>
        <w:autoSpaceDN/>
        <w:adjustRightInd/>
        <w:rPr>
          <w:b/>
          <w:bCs/>
          <w:sz w:val="24"/>
        </w:rPr>
      </w:pPr>
      <w:r>
        <w:rPr>
          <w:b/>
          <w:bCs/>
          <w:sz w:val="24"/>
        </w:rPr>
        <w:br w:type="page"/>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rPr>
          <w:b/>
          <w:bCs/>
          <w:sz w:val="24"/>
        </w:rPr>
        <w:lastRenderedPageBreak/>
        <w:t>A.</w:t>
      </w:r>
      <w:r>
        <w:rPr>
          <w:b/>
          <w:bCs/>
          <w:sz w:val="24"/>
        </w:rPr>
        <w:tab/>
        <w:t>Justification</w:t>
      </w:r>
    </w:p>
    <w:p w:rsidR="00CC6514" w:rsidRPr="00DC2581"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F72EC" w:rsidRPr="00AF72EC" w:rsidRDefault="00AF72EC" w:rsidP="00AF72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AF72EC">
        <w:rPr>
          <w:b/>
          <w:bCs/>
          <w:sz w:val="24"/>
          <w:szCs w:val="24"/>
        </w:rPr>
        <w:t>1.</w:t>
      </w:r>
      <w:r w:rsidRPr="00AF72EC">
        <w:rPr>
          <w:b/>
          <w:bCs/>
          <w:sz w:val="24"/>
          <w:szCs w:val="24"/>
        </w:rPr>
        <w:tab/>
        <w:t xml:space="preserve">Explain the circumstances that make the collection of information necessary.  </w:t>
      </w:r>
      <w:r w:rsidRPr="00AF72EC">
        <w:rPr>
          <w:b/>
          <w:sz w:val="24"/>
          <w:szCs w:val="24"/>
        </w:rPr>
        <w:t>Identify any legal or administrative requirements that necessitate the collection.  Attach a copy of the appropriate section of each statute and regulation mandating or authorizing the collection of information</w:t>
      </w:r>
      <w:r w:rsidRPr="00AF72EC">
        <w:rPr>
          <w:rFonts w:ascii="Arial" w:hAnsi="Arial" w:cs="Arial"/>
          <w:b/>
          <w:sz w:val="24"/>
          <w:szCs w:val="24"/>
        </w:rPr>
        <w:t>.</w:t>
      </w:r>
    </w:p>
    <w:p w:rsidR="00DC2581" w:rsidRDefault="00DC2581"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661F8B" w:rsidRDefault="00A67B2E" w:rsidP="00C30345">
      <w:pPr>
        <w:widowControl/>
        <w:rPr>
          <w:sz w:val="24"/>
          <w:szCs w:val="24"/>
        </w:rPr>
      </w:pPr>
      <w:r>
        <w:rPr>
          <w:sz w:val="24"/>
          <w:szCs w:val="24"/>
        </w:rPr>
        <w:t>Because</w:t>
      </w:r>
      <w:r w:rsidR="00C85208">
        <w:rPr>
          <w:sz w:val="24"/>
          <w:szCs w:val="24"/>
        </w:rPr>
        <w:t xml:space="preserve"> t</w:t>
      </w:r>
      <w:r w:rsidR="00661F8B" w:rsidRPr="00C30345">
        <w:rPr>
          <w:sz w:val="24"/>
          <w:szCs w:val="24"/>
        </w:rPr>
        <w:t xml:space="preserve">he National Park Service (NPS) has the overall federal responsibility of managing </w:t>
      </w:r>
      <w:r w:rsidRPr="00C30345">
        <w:rPr>
          <w:sz w:val="24"/>
          <w:szCs w:val="24"/>
        </w:rPr>
        <w:t xml:space="preserve">visitor service programs </w:t>
      </w:r>
      <w:r>
        <w:rPr>
          <w:sz w:val="24"/>
          <w:szCs w:val="24"/>
        </w:rPr>
        <w:t xml:space="preserve">that assist in </w:t>
      </w:r>
      <w:r w:rsidR="00661F8B" w:rsidRPr="00C30345">
        <w:rPr>
          <w:sz w:val="24"/>
          <w:szCs w:val="24"/>
        </w:rPr>
        <w:t>preserv</w:t>
      </w:r>
      <w:r w:rsidR="00C85208">
        <w:rPr>
          <w:sz w:val="24"/>
          <w:szCs w:val="24"/>
        </w:rPr>
        <w:t>ing</w:t>
      </w:r>
      <w:r w:rsidR="00661F8B" w:rsidRPr="00C30345">
        <w:rPr>
          <w:sz w:val="24"/>
          <w:szCs w:val="24"/>
        </w:rPr>
        <w:t xml:space="preserve"> national parks for the use and enjoyment of present and future generations</w:t>
      </w:r>
      <w:r>
        <w:rPr>
          <w:sz w:val="24"/>
          <w:szCs w:val="24"/>
        </w:rPr>
        <w:t>,</w:t>
      </w:r>
      <w:r w:rsidR="00661F8B" w:rsidRPr="00C30345">
        <w:rPr>
          <w:sz w:val="24"/>
          <w:szCs w:val="24"/>
        </w:rPr>
        <w:t xml:space="preserve"> </w:t>
      </w:r>
      <w:r>
        <w:rPr>
          <w:sz w:val="24"/>
          <w:szCs w:val="24"/>
        </w:rPr>
        <w:t>up-to-date information is necessary to</w:t>
      </w:r>
      <w:r w:rsidR="00661F8B" w:rsidRPr="00C30345">
        <w:rPr>
          <w:sz w:val="24"/>
          <w:szCs w:val="24"/>
        </w:rPr>
        <w:t xml:space="preserve"> assist </w:t>
      </w:r>
      <w:r>
        <w:rPr>
          <w:sz w:val="24"/>
          <w:szCs w:val="24"/>
        </w:rPr>
        <w:t xml:space="preserve">with </w:t>
      </w:r>
      <w:r w:rsidR="00661F8B" w:rsidRPr="00C30345">
        <w:rPr>
          <w:sz w:val="24"/>
          <w:szCs w:val="24"/>
        </w:rPr>
        <w:t>park man</w:t>
      </w:r>
      <w:r>
        <w:rPr>
          <w:sz w:val="24"/>
          <w:szCs w:val="24"/>
        </w:rPr>
        <w:t>agement and planning</w:t>
      </w:r>
      <w:r w:rsidR="00661F8B" w:rsidRPr="00C30345">
        <w:rPr>
          <w:sz w:val="24"/>
          <w:szCs w:val="24"/>
        </w:rPr>
        <w:t>. To assist in carrying out these responsibilities,</w:t>
      </w:r>
      <w:r w:rsidR="00C85208">
        <w:rPr>
          <w:sz w:val="24"/>
          <w:szCs w:val="24"/>
        </w:rPr>
        <w:t xml:space="preserve"> t</w:t>
      </w:r>
      <w:r w:rsidR="00C30345" w:rsidRPr="00C30345">
        <w:rPr>
          <w:sz w:val="24"/>
          <w:szCs w:val="24"/>
        </w:rPr>
        <w:t xml:space="preserve">he Visitor Survey Card (VSC) </w:t>
      </w:r>
      <w:r w:rsidR="00C30345">
        <w:rPr>
          <w:sz w:val="24"/>
          <w:szCs w:val="24"/>
        </w:rPr>
        <w:t xml:space="preserve">is administered annually by </w:t>
      </w:r>
      <w:r w:rsidR="00C30345" w:rsidRPr="00DC2581">
        <w:rPr>
          <w:sz w:val="24"/>
        </w:rPr>
        <w:t>the Park Studies Unit at the University of Idaho</w:t>
      </w:r>
      <w:r w:rsidR="00C30345">
        <w:rPr>
          <w:sz w:val="24"/>
        </w:rPr>
        <w:t xml:space="preserve">. </w:t>
      </w:r>
      <w:r w:rsidR="00C30345" w:rsidRPr="00C30345">
        <w:rPr>
          <w:sz w:val="24"/>
          <w:szCs w:val="24"/>
        </w:rPr>
        <w:t xml:space="preserve"> The authorizations for carrying out this survey are: </w:t>
      </w:r>
    </w:p>
    <w:p w:rsidR="00C30345" w:rsidRPr="00C30345" w:rsidRDefault="00C30345" w:rsidP="00C30345">
      <w:pPr>
        <w:widowControl/>
        <w:rPr>
          <w:sz w:val="24"/>
          <w:szCs w:val="24"/>
        </w:rPr>
      </w:pPr>
    </w:p>
    <w:p w:rsidR="00C30345" w:rsidRPr="00C30345" w:rsidRDefault="00C30345" w:rsidP="00A67B2E">
      <w:pPr>
        <w:widowControl/>
        <w:numPr>
          <w:ilvl w:val="0"/>
          <w:numId w:val="5"/>
        </w:numPr>
        <w:ind w:left="720"/>
        <w:rPr>
          <w:sz w:val="24"/>
          <w:szCs w:val="24"/>
        </w:rPr>
      </w:pPr>
      <w:r w:rsidRPr="00C30345">
        <w:rPr>
          <w:sz w:val="24"/>
          <w:szCs w:val="24"/>
        </w:rPr>
        <w:t>National Park Service Act of 1916, 38 Stat 535, 16 USC 1, et seq.;</w:t>
      </w:r>
    </w:p>
    <w:p w:rsidR="00C30345" w:rsidRPr="00C30345" w:rsidRDefault="00C30345" w:rsidP="00A67B2E">
      <w:pPr>
        <w:widowControl/>
        <w:numPr>
          <w:ilvl w:val="0"/>
          <w:numId w:val="5"/>
        </w:numPr>
        <w:ind w:left="720"/>
        <w:rPr>
          <w:sz w:val="24"/>
          <w:szCs w:val="24"/>
        </w:rPr>
      </w:pPr>
      <w:r w:rsidRPr="00C30345">
        <w:rPr>
          <w:sz w:val="24"/>
          <w:szCs w:val="24"/>
        </w:rPr>
        <w:t xml:space="preserve">National Environmental Policy Act, 1969; and </w:t>
      </w:r>
    </w:p>
    <w:p w:rsidR="00C30345" w:rsidRPr="00A67B2E" w:rsidRDefault="00C30345" w:rsidP="00A67B2E">
      <w:pPr>
        <w:widowControl/>
        <w:numPr>
          <w:ilvl w:val="0"/>
          <w:numId w:val="5"/>
        </w:numPr>
        <w:ind w:left="720"/>
        <w:rPr>
          <w:sz w:val="24"/>
        </w:rPr>
      </w:pPr>
      <w:r w:rsidRPr="00A67B2E">
        <w:rPr>
          <w:sz w:val="24"/>
          <w:szCs w:val="24"/>
        </w:rPr>
        <w:t>The Government Performance and Results Act of 1993 (P.L. 103-62).</w:t>
      </w:r>
      <w:r w:rsidR="00A67B2E">
        <w:rPr>
          <w:sz w:val="24"/>
          <w:szCs w:val="24"/>
        </w:rPr>
        <w:t xml:space="preserve"> </w:t>
      </w:r>
      <w:r w:rsidRPr="00A67B2E">
        <w:rPr>
          <w:sz w:val="24"/>
        </w:rPr>
        <w:t xml:space="preserve">This collection </w:t>
      </w:r>
      <w:r w:rsidRPr="00A67B2E">
        <w:rPr>
          <w:sz w:val="24"/>
          <w:szCs w:val="24"/>
        </w:rPr>
        <w:t>has been designed and maintained to provide information to NPS managers concerning</w:t>
      </w:r>
      <w:r w:rsidRPr="00A67B2E">
        <w:rPr>
          <w:sz w:val="24"/>
        </w:rPr>
        <w:t xml:space="preserve"> GPRA goals IIa1 and IIb1: </w:t>
      </w:r>
    </w:p>
    <w:p w:rsidR="00A67B2E" w:rsidRPr="00A67B2E" w:rsidRDefault="00A67B2E" w:rsidP="00A67B2E">
      <w:pPr>
        <w:widowControl/>
        <w:ind w:left="1440"/>
        <w:rPr>
          <w:bCs/>
          <w:u w:val="single"/>
        </w:rPr>
      </w:pPr>
    </w:p>
    <w:p w:rsidR="00C30345" w:rsidRPr="00A67B2E" w:rsidRDefault="00C30345" w:rsidP="00A67B2E">
      <w:pPr>
        <w:widowControl/>
        <w:ind w:left="1440" w:right="1530"/>
        <w:rPr>
          <w:i/>
          <w:sz w:val="24"/>
          <w:szCs w:val="24"/>
        </w:rPr>
      </w:pPr>
      <w:r w:rsidRPr="00A67B2E">
        <w:rPr>
          <w:bCs/>
          <w:i/>
          <w:sz w:val="24"/>
          <w:szCs w:val="24"/>
          <w:u w:val="single"/>
        </w:rPr>
        <w:t>IIa</w:t>
      </w:r>
      <w:r w:rsidRPr="00A67B2E">
        <w:rPr>
          <w:bCs/>
          <w:i/>
          <w:sz w:val="24"/>
          <w:szCs w:val="24"/>
        </w:rPr>
        <w:t>: Visitors safely enjoy and are satisfied with the availability, accessibility, diversity, and quality of park facilities, services and appropriate recreational opportunities</w:t>
      </w:r>
    </w:p>
    <w:p w:rsidR="00C30345" w:rsidRPr="00A67B2E" w:rsidRDefault="00C30345" w:rsidP="00A67B2E">
      <w:pPr>
        <w:widowControl/>
        <w:ind w:left="1440" w:right="1530"/>
        <w:rPr>
          <w:i/>
          <w:sz w:val="24"/>
          <w:szCs w:val="24"/>
        </w:rPr>
      </w:pPr>
    </w:p>
    <w:p w:rsidR="00C30345" w:rsidRPr="00A67B2E" w:rsidRDefault="00C30345" w:rsidP="00A67B2E">
      <w:pPr>
        <w:widowControl/>
        <w:ind w:left="1440" w:right="1530"/>
        <w:rPr>
          <w:i/>
          <w:iCs/>
          <w:sz w:val="24"/>
          <w:szCs w:val="24"/>
        </w:rPr>
      </w:pPr>
      <w:r w:rsidRPr="00A67B2E">
        <w:rPr>
          <w:bCs/>
          <w:i/>
          <w:sz w:val="24"/>
          <w:szCs w:val="24"/>
        </w:rPr>
        <w:t>IIb: Park visitors and the general public understand and appreciate the preservation of parks and their resources for this and future generations</w:t>
      </w:r>
    </w:p>
    <w:p w:rsidR="004A775E" w:rsidRDefault="004A775E" w:rsidP="00C30345">
      <w:pPr>
        <w:widowControl/>
        <w:rPr>
          <w:rFonts w:ascii="Arial" w:hAnsi="Arial" w:cs="Arial"/>
          <w:sz w:val="17"/>
          <w:szCs w:val="17"/>
        </w:rPr>
      </w:pPr>
    </w:p>
    <w:p w:rsidR="00DC2581" w:rsidRPr="00DC2581" w:rsidRDefault="00DC2581" w:rsidP="00597AE7">
      <w:pPr>
        <w:widowControl/>
        <w:ind w:left="360"/>
        <w:rPr>
          <w:sz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2.</w:t>
      </w:r>
      <w:r w:rsidRPr="00AF72EC">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C2581" w:rsidRDefault="00DC2581" w:rsidP="00597AE7">
      <w:pPr>
        <w:widowControl/>
        <w:rPr>
          <w:sz w:val="24"/>
        </w:rPr>
      </w:pPr>
    </w:p>
    <w:p w:rsidR="000B3A3D" w:rsidRPr="000B3A3D" w:rsidRDefault="000B3A3D" w:rsidP="000B3A3D">
      <w:pPr>
        <w:widowControl/>
        <w:rPr>
          <w:sz w:val="24"/>
          <w:szCs w:val="24"/>
        </w:rPr>
      </w:pPr>
      <w:r w:rsidRPr="000B3A3D">
        <w:rPr>
          <w:sz w:val="24"/>
          <w:szCs w:val="24"/>
        </w:rPr>
        <w:t xml:space="preserve">The Visitor Services Project, part of the National Park Service Social Science Program, </w:t>
      </w:r>
      <w:r>
        <w:rPr>
          <w:sz w:val="24"/>
          <w:szCs w:val="24"/>
        </w:rPr>
        <w:t xml:space="preserve">uses the VSC to </w:t>
      </w:r>
      <w:r w:rsidRPr="000B3A3D">
        <w:rPr>
          <w:sz w:val="24"/>
          <w:szCs w:val="24"/>
        </w:rPr>
        <w:t xml:space="preserve">provide park managers with scientifically accurate data about visitors. The studies answer questions about visitors: who they are, what they do, what they need, and what their opinions are. Parks use the results to improve visitor services and facilities. Local businesses </w:t>
      </w:r>
      <w:r>
        <w:rPr>
          <w:sz w:val="24"/>
          <w:szCs w:val="24"/>
        </w:rPr>
        <w:t>also</w:t>
      </w:r>
      <w:r w:rsidRPr="000B3A3D">
        <w:rPr>
          <w:sz w:val="24"/>
          <w:szCs w:val="24"/>
        </w:rPr>
        <w:t xml:space="preserve"> use the data to determine how visitors are contributing to the area economy, and to discover new markets.</w:t>
      </w:r>
    </w:p>
    <w:p w:rsidR="000B3A3D" w:rsidRDefault="000B3A3D" w:rsidP="00822084">
      <w:pPr>
        <w:widowControl/>
        <w:rPr>
          <w:b/>
          <w:sz w:val="24"/>
          <w:u w:val="single"/>
        </w:rPr>
      </w:pPr>
    </w:p>
    <w:p w:rsidR="00B058BA" w:rsidRPr="00A67B2E" w:rsidRDefault="00F87B88" w:rsidP="00822084">
      <w:pPr>
        <w:widowControl/>
        <w:rPr>
          <w:b/>
          <w:sz w:val="24"/>
          <w:u w:val="single"/>
        </w:rPr>
      </w:pPr>
      <w:r w:rsidRPr="00F87B88">
        <w:rPr>
          <w:b/>
          <w:sz w:val="24"/>
          <w:u w:val="single"/>
        </w:rPr>
        <w:t xml:space="preserve">Use of Information </w:t>
      </w:r>
    </w:p>
    <w:p w:rsidR="00AC7746" w:rsidRPr="00B058BA" w:rsidRDefault="00AC7746" w:rsidP="00597AE7">
      <w:pPr>
        <w:widowControl/>
        <w:ind w:left="360"/>
        <w:rPr>
          <w:sz w:val="24"/>
          <w:u w:val="single"/>
        </w:rPr>
      </w:pPr>
    </w:p>
    <w:p w:rsidR="004133EF" w:rsidRPr="004133EF" w:rsidRDefault="00DC2581" w:rsidP="00822084">
      <w:pPr>
        <w:widowControl/>
        <w:rPr>
          <w:sz w:val="24"/>
          <w:szCs w:val="24"/>
        </w:rPr>
      </w:pPr>
      <w:r w:rsidRPr="004133EF">
        <w:rPr>
          <w:sz w:val="24"/>
          <w:szCs w:val="24"/>
        </w:rPr>
        <w:t xml:space="preserve">Data from </w:t>
      </w:r>
      <w:r w:rsidR="00537021" w:rsidRPr="004133EF">
        <w:rPr>
          <w:sz w:val="24"/>
          <w:szCs w:val="24"/>
        </w:rPr>
        <w:t>this</w:t>
      </w:r>
      <w:r w:rsidRPr="004133EF">
        <w:rPr>
          <w:sz w:val="24"/>
          <w:szCs w:val="24"/>
        </w:rPr>
        <w:t xml:space="preserve"> </w:t>
      </w:r>
      <w:r w:rsidR="004133EF" w:rsidRPr="004133EF">
        <w:rPr>
          <w:sz w:val="24"/>
          <w:szCs w:val="24"/>
        </w:rPr>
        <w:t xml:space="preserve">collection </w:t>
      </w:r>
      <w:r w:rsidR="00A938D0" w:rsidRPr="004133EF">
        <w:rPr>
          <w:sz w:val="24"/>
          <w:szCs w:val="24"/>
        </w:rPr>
        <w:t xml:space="preserve">has been used for more than 20 years by NPS managers to </w:t>
      </w:r>
      <w:r w:rsidR="004133EF" w:rsidRPr="004133EF">
        <w:rPr>
          <w:sz w:val="24"/>
          <w:szCs w:val="24"/>
        </w:rPr>
        <w:t xml:space="preserve">assist them in </w:t>
      </w:r>
      <w:r w:rsidR="00A938D0" w:rsidRPr="004133EF">
        <w:rPr>
          <w:sz w:val="24"/>
          <w:szCs w:val="24"/>
        </w:rPr>
        <w:t>develop</w:t>
      </w:r>
      <w:r w:rsidR="004133EF" w:rsidRPr="004133EF">
        <w:rPr>
          <w:sz w:val="24"/>
          <w:szCs w:val="24"/>
        </w:rPr>
        <w:t>ing</w:t>
      </w:r>
      <w:r w:rsidR="00A938D0" w:rsidRPr="004133EF">
        <w:rPr>
          <w:sz w:val="24"/>
          <w:szCs w:val="24"/>
        </w:rPr>
        <w:t xml:space="preserve"> </w:t>
      </w:r>
      <w:r w:rsidR="005D04B9" w:rsidRPr="004133EF">
        <w:rPr>
          <w:sz w:val="24"/>
          <w:szCs w:val="24"/>
        </w:rPr>
        <w:t xml:space="preserve">long-term and </w:t>
      </w:r>
      <w:r w:rsidR="00A938D0" w:rsidRPr="004133EF">
        <w:rPr>
          <w:sz w:val="24"/>
          <w:szCs w:val="24"/>
        </w:rPr>
        <w:t xml:space="preserve">annual </w:t>
      </w:r>
      <w:r w:rsidR="005D04B9" w:rsidRPr="004133EF">
        <w:rPr>
          <w:sz w:val="24"/>
          <w:szCs w:val="24"/>
        </w:rPr>
        <w:t>goal</w:t>
      </w:r>
      <w:r w:rsidR="004133EF" w:rsidRPr="004133EF">
        <w:rPr>
          <w:sz w:val="24"/>
          <w:szCs w:val="24"/>
        </w:rPr>
        <w:t xml:space="preserve">s. </w:t>
      </w:r>
      <w:r w:rsidR="00A938D0" w:rsidRPr="004133EF">
        <w:rPr>
          <w:sz w:val="24"/>
          <w:szCs w:val="24"/>
        </w:rPr>
        <w:t xml:space="preserve"> </w:t>
      </w:r>
      <w:r w:rsidR="00C85208">
        <w:rPr>
          <w:sz w:val="24"/>
          <w:szCs w:val="24"/>
        </w:rPr>
        <w:t xml:space="preserve">The results of the </w:t>
      </w:r>
      <w:r w:rsidR="005D04B9" w:rsidRPr="004133EF">
        <w:rPr>
          <w:sz w:val="24"/>
          <w:szCs w:val="24"/>
        </w:rPr>
        <w:t>VSC have been</w:t>
      </w:r>
      <w:r w:rsidR="004133EF" w:rsidRPr="004133EF">
        <w:rPr>
          <w:sz w:val="24"/>
          <w:szCs w:val="24"/>
        </w:rPr>
        <w:t xml:space="preserve"> used by park managers to assess</w:t>
      </w:r>
      <w:r w:rsidR="005D04B9" w:rsidRPr="004133EF">
        <w:rPr>
          <w:sz w:val="24"/>
          <w:szCs w:val="24"/>
        </w:rPr>
        <w:t xml:space="preserve"> visitor services at</w:t>
      </w:r>
      <w:r w:rsidR="004133EF" w:rsidRPr="004133EF">
        <w:rPr>
          <w:sz w:val="24"/>
          <w:szCs w:val="24"/>
        </w:rPr>
        <w:t xml:space="preserve"> more than</w:t>
      </w:r>
      <w:r w:rsidR="005D04B9" w:rsidRPr="004133EF">
        <w:rPr>
          <w:sz w:val="24"/>
          <w:szCs w:val="24"/>
        </w:rPr>
        <w:t xml:space="preserve"> 330 units where the survey has been administered.</w:t>
      </w:r>
      <w:r w:rsidR="004133EF" w:rsidRPr="004133EF">
        <w:rPr>
          <w:sz w:val="24"/>
          <w:szCs w:val="24"/>
        </w:rPr>
        <w:t xml:space="preserve"> </w:t>
      </w:r>
      <w:r w:rsidR="00F87B88" w:rsidRPr="00F87B88">
        <w:rPr>
          <w:sz w:val="24"/>
          <w:szCs w:val="24"/>
        </w:rPr>
        <w:t>The Service, in cooperation with the Cooperative Park Studies Unit at the University of Idaho, has been conducting customer satisfaction surveys at various NPS units since 1982, with the objective of using the data to improve service to park visitors. The twelve activities included and rated in the visitor services survey include: park personnel, visitor centers, directional signs, restrooms, campgrounds, picnic areas, ranger led/conducted programs, exhibits, park brochures, lodging, food services and gift shops. These functions serve as viable indicators of NPS performance in serving its primary customers, park visitors. The trend data provided by the survey are the basis for annual performance targets. Because regular surveys are needed by park managers to better manage the visitor experience, the NPS adopted the Visitor Survey Card as a means for assessing visitor satisfaction at all of the parks rather than just a few each year. The better</w:t>
      </w:r>
      <w:r w:rsidR="00451EF3">
        <w:rPr>
          <w:sz w:val="24"/>
          <w:szCs w:val="24"/>
        </w:rPr>
        <w:t>-</w:t>
      </w:r>
      <w:r w:rsidR="00F87B88" w:rsidRPr="00F87B88">
        <w:rPr>
          <w:sz w:val="24"/>
          <w:szCs w:val="24"/>
        </w:rPr>
        <w:t>than</w:t>
      </w:r>
      <w:r w:rsidR="00451EF3">
        <w:rPr>
          <w:sz w:val="24"/>
          <w:szCs w:val="24"/>
        </w:rPr>
        <w:t>-</w:t>
      </w:r>
      <w:r w:rsidR="00F87B88" w:rsidRPr="00F87B88">
        <w:rPr>
          <w:sz w:val="24"/>
          <w:szCs w:val="24"/>
        </w:rPr>
        <w:t>expected</w:t>
      </w:r>
      <w:r w:rsidR="00451EF3">
        <w:rPr>
          <w:sz w:val="24"/>
          <w:szCs w:val="24"/>
        </w:rPr>
        <w:t xml:space="preserve"> </w:t>
      </w:r>
      <w:r w:rsidR="00F87B88" w:rsidRPr="00F87B88">
        <w:rPr>
          <w:sz w:val="24"/>
          <w:szCs w:val="24"/>
        </w:rPr>
        <w:t>results from previous surveys are the basis for the continuation of the project. The visitor service project surveys will continue to collect in-depth visitor information to gauge visitor use trends, and determine the current visitor needs.</w:t>
      </w:r>
    </w:p>
    <w:p w:rsidR="00DC2581" w:rsidRPr="00DC2581" w:rsidRDefault="00DC2581" w:rsidP="004133EF">
      <w:pPr>
        <w:widowControl/>
        <w:ind w:left="1440"/>
        <w:rPr>
          <w:i/>
          <w:iCs/>
          <w:sz w:val="24"/>
        </w:rPr>
      </w:pPr>
    </w:p>
    <w:p w:rsidR="00B058BA" w:rsidRPr="00A67B2E" w:rsidRDefault="00F87B88" w:rsidP="00822084">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u w:val="single"/>
        </w:rPr>
      </w:pPr>
      <w:r w:rsidRPr="00F87B88">
        <w:rPr>
          <w:b/>
          <w:sz w:val="24"/>
          <w:u w:val="single"/>
        </w:rPr>
        <w:t>Question Justification</w:t>
      </w:r>
    </w:p>
    <w:p w:rsidR="00AC7746" w:rsidRDefault="00AC7746"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rPr>
      </w:pPr>
    </w:p>
    <w:p w:rsidR="00B058BA" w:rsidRDefault="00383FA1" w:rsidP="00822084">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The </w:t>
      </w:r>
      <w:r w:rsidR="00A52454">
        <w:rPr>
          <w:sz w:val="24"/>
        </w:rPr>
        <w:t xml:space="preserve">Visitor Survey Card </w:t>
      </w:r>
      <w:r>
        <w:rPr>
          <w:sz w:val="24"/>
        </w:rPr>
        <w:t>contains 17</w:t>
      </w:r>
      <w:r w:rsidR="00B058BA">
        <w:rPr>
          <w:sz w:val="24"/>
        </w:rPr>
        <w:t xml:space="preserve"> questions. Twelve </w:t>
      </w:r>
      <w:r w:rsidR="008452E6">
        <w:rPr>
          <w:sz w:val="24"/>
        </w:rPr>
        <w:t xml:space="preserve">questions </w:t>
      </w:r>
      <w:r w:rsidR="00B058BA">
        <w:rPr>
          <w:sz w:val="24"/>
        </w:rPr>
        <w:t xml:space="preserve">are grouped into </w:t>
      </w:r>
      <w:r w:rsidR="00854563">
        <w:rPr>
          <w:sz w:val="24"/>
        </w:rPr>
        <w:t xml:space="preserve">the following </w:t>
      </w:r>
      <w:r w:rsidR="00B058BA">
        <w:rPr>
          <w:sz w:val="24"/>
        </w:rPr>
        <w:t xml:space="preserve">three categories: </w:t>
      </w:r>
      <w:r w:rsidR="00B058BA" w:rsidRPr="00854563">
        <w:rPr>
          <w:i/>
          <w:sz w:val="24"/>
        </w:rPr>
        <w:t>park facilities</w:t>
      </w:r>
      <w:r w:rsidR="003453B1">
        <w:rPr>
          <w:sz w:val="24"/>
        </w:rPr>
        <w:t xml:space="preserve"> </w:t>
      </w:r>
      <w:r w:rsidR="00B058BA" w:rsidRPr="00854563">
        <w:rPr>
          <w:i/>
          <w:sz w:val="24"/>
        </w:rPr>
        <w:t>visitor services</w:t>
      </w:r>
      <w:r w:rsidR="008452E6">
        <w:rPr>
          <w:sz w:val="24"/>
        </w:rPr>
        <w:t xml:space="preserve">, </w:t>
      </w:r>
      <w:r w:rsidR="00B058BA" w:rsidRPr="00854563">
        <w:rPr>
          <w:sz w:val="24"/>
        </w:rPr>
        <w:t xml:space="preserve">and </w:t>
      </w:r>
      <w:r w:rsidR="00B058BA" w:rsidRPr="00854563">
        <w:rPr>
          <w:i/>
          <w:sz w:val="24"/>
        </w:rPr>
        <w:t>recreational opportunities</w:t>
      </w:r>
      <w:r w:rsidR="008452E6">
        <w:rPr>
          <w:sz w:val="24"/>
        </w:rPr>
        <w:t xml:space="preserve">. </w:t>
      </w:r>
      <w:r w:rsidR="00854563">
        <w:rPr>
          <w:sz w:val="24"/>
        </w:rPr>
        <w:t>These questions are followed by</w:t>
      </w:r>
      <w:r w:rsidR="00B058BA">
        <w:rPr>
          <w:sz w:val="24"/>
        </w:rPr>
        <w:t xml:space="preserve"> </w:t>
      </w:r>
      <w:r w:rsidR="008452E6">
        <w:rPr>
          <w:sz w:val="24"/>
        </w:rPr>
        <w:t xml:space="preserve">two demographic questions, </w:t>
      </w:r>
      <w:r w:rsidR="00B058BA">
        <w:rPr>
          <w:sz w:val="24"/>
        </w:rPr>
        <w:t xml:space="preserve">two open-ended questions, </w:t>
      </w:r>
      <w:r w:rsidR="008452E6">
        <w:rPr>
          <w:sz w:val="24"/>
        </w:rPr>
        <w:t>and</w:t>
      </w:r>
      <w:r w:rsidR="008452E6" w:rsidDel="003453B1">
        <w:rPr>
          <w:sz w:val="24"/>
        </w:rPr>
        <w:t xml:space="preserve"> </w:t>
      </w:r>
      <w:r w:rsidR="00B058BA">
        <w:rPr>
          <w:sz w:val="24"/>
        </w:rPr>
        <w:t>an “overall satisfaction” question</w:t>
      </w:r>
      <w:r>
        <w:rPr>
          <w:sz w:val="24"/>
        </w:rPr>
        <w:t>,</w:t>
      </w:r>
      <w:r w:rsidR="008452E6">
        <w:rPr>
          <w:sz w:val="24"/>
        </w:rPr>
        <w:t xml:space="preserve"> </w:t>
      </w:r>
    </w:p>
    <w:p w:rsidR="00854563" w:rsidRDefault="00854563" w:rsidP="00822084">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75111A" w:rsidRDefault="0075111A" w:rsidP="00822084">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i/>
          <w:sz w:val="24"/>
        </w:rPr>
        <w:t>P</w:t>
      </w:r>
      <w:r w:rsidRPr="00854563">
        <w:rPr>
          <w:i/>
          <w:sz w:val="24"/>
        </w:rPr>
        <w:t>ark facilities</w:t>
      </w:r>
    </w:p>
    <w:p w:rsidR="0075111A" w:rsidRDefault="0075111A" w:rsidP="00822084">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854563" w:rsidRDefault="0075111A" w:rsidP="00822084">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 xml:space="preserve">There are </w:t>
      </w:r>
      <w:r w:rsidR="00B058BA">
        <w:rPr>
          <w:sz w:val="24"/>
        </w:rPr>
        <w:t xml:space="preserve">five </w:t>
      </w:r>
      <w:r w:rsidR="00A364F8">
        <w:rPr>
          <w:sz w:val="24"/>
        </w:rPr>
        <w:t>items</w:t>
      </w:r>
      <w:r w:rsidR="00B058BA">
        <w:rPr>
          <w:sz w:val="24"/>
        </w:rPr>
        <w:t xml:space="preserve"> </w:t>
      </w:r>
      <w:r>
        <w:rPr>
          <w:sz w:val="24"/>
        </w:rPr>
        <w:t xml:space="preserve">in this category that </w:t>
      </w:r>
      <w:r w:rsidR="00B058BA">
        <w:rPr>
          <w:sz w:val="24"/>
        </w:rPr>
        <w:t xml:space="preserve">ask visitors to rate </w:t>
      </w:r>
      <w:r>
        <w:rPr>
          <w:sz w:val="24"/>
        </w:rPr>
        <w:t xml:space="preserve">the following </w:t>
      </w:r>
      <w:r w:rsidR="005F3213">
        <w:rPr>
          <w:sz w:val="24"/>
        </w:rPr>
        <w:t xml:space="preserve">park </w:t>
      </w:r>
      <w:r w:rsidR="00B058BA">
        <w:rPr>
          <w:sz w:val="24"/>
        </w:rPr>
        <w:t>facilities</w:t>
      </w:r>
      <w:r w:rsidR="00854563">
        <w:rPr>
          <w:sz w:val="24"/>
        </w:rPr>
        <w:t>:</w:t>
      </w:r>
    </w:p>
    <w:p w:rsidR="00854563" w:rsidRDefault="00854563" w:rsidP="00822084">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854563" w:rsidRDefault="00854563" w:rsidP="00822084">
      <w:pPr>
        <w:widowControl/>
        <w:numPr>
          <w:ilvl w:val="0"/>
          <w:numId w:val="1"/>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rPr>
      </w:pPr>
      <w:r>
        <w:rPr>
          <w:sz w:val="24"/>
        </w:rPr>
        <w:t>Visitor center</w:t>
      </w:r>
    </w:p>
    <w:p w:rsidR="00854563" w:rsidRDefault="00854563" w:rsidP="00822084">
      <w:pPr>
        <w:widowControl/>
        <w:numPr>
          <w:ilvl w:val="0"/>
          <w:numId w:val="1"/>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rPr>
      </w:pPr>
      <w:r>
        <w:rPr>
          <w:sz w:val="24"/>
        </w:rPr>
        <w:t>Exhibits (indoor and outdoor)</w:t>
      </w:r>
    </w:p>
    <w:p w:rsidR="00854563" w:rsidRDefault="00854563" w:rsidP="00822084">
      <w:pPr>
        <w:widowControl/>
        <w:numPr>
          <w:ilvl w:val="0"/>
          <w:numId w:val="1"/>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rPr>
      </w:pPr>
      <w:r>
        <w:rPr>
          <w:sz w:val="24"/>
        </w:rPr>
        <w:t>Restrooms</w:t>
      </w:r>
    </w:p>
    <w:p w:rsidR="00854563" w:rsidRDefault="00854563" w:rsidP="00822084">
      <w:pPr>
        <w:widowControl/>
        <w:numPr>
          <w:ilvl w:val="0"/>
          <w:numId w:val="1"/>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rPr>
      </w:pPr>
      <w:r>
        <w:rPr>
          <w:sz w:val="24"/>
        </w:rPr>
        <w:t>Walkways, trails, and roads</w:t>
      </w:r>
    </w:p>
    <w:p w:rsidR="00854563" w:rsidRDefault="00854563" w:rsidP="00822084">
      <w:pPr>
        <w:widowControl/>
        <w:numPr>
          <w:ilvl w:val="0"/>
          <w:numId w:val="1"/>
        </w:numPr>
        <w:tabs>
          <w:tab w:val="left" w:pos="-1080"/>
          <w:tab w:val="left" w:pos="-720"/>
          <w:tab w:val="left" w:pos="1440"/>
          <w:tab w:val="num" w:pos="17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rPr>
      </w:pPr>
      <w:r>
        <w:rPr>
          <w:sz w:val="24"/>
        </w:rPr>
        <w:t>Campgrounds and/or picnic areas.</w:t>
      </w:r>
    </w:p>
    <w:p w:rsidR="00854563" w:rsidRDefault="00854563" w:rsidP="00822084">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A52454" w:rsidRDefault="00854563" w:rsidP="00822084">
      <w:pPr>
        <w:ind w:left="720"/>
        <w:rPr>
          <w:sz w:val="24"/>
          <w:szCs w:val="24"/>
        </w:rPr>
      </w:pPr>
      <w:r w:rsidRPr="00854563">
        <w:rPr>
          <w:sz w:val="24"/>
          <w:szCs w:val="24"/>
        </w:rPr>
        <w:t xml:space="preserve">These variables are rated </w:t>
      </w:r>
      <w:r w:rsidR="00B058BA" w:rsidRPr="00854563">
        <w:rPr>
          <w:sz w:val="24"/>
          <w:szCs w:val="24"/>
        </w:rPr>
        <w:t>on a five-point scale ranging from “very good” to “very poor,” with an “average” mid-point.</w:t>
      </w:r>
      <w:r w:rsidRPr="00854563">
        <w:rPr>
          <w:sz w:val="24"/>
          <w:szCs w:val="24"/>
        </w:rPr>
        <w:t xml:space="preserve"> </w:t>
      </w:r>
      <w:r w:rsidR="00B058BA" w:rsidRPr="00854563">
        <w:rPr>
          <w:sz w:val="24"/>
          <w:szCs w:val="24"/>
        </w:rPr>
        <w:t xml:space="preserve"> A “not used or not available” option is included because not all parks have all facilities.</w:t>
      </w:r>
      <w:r w:rsidRPr="00854563">
        <w:rPr>
          <w:sz w:val="24"/>
          <w:szCs w:val="24"/>
        </w:rPr>
        <w:t xml:space="preserve"> </w:t>
      </w:r>
      <w:r w:rsidR="004304B0" w:rsidRPr="00854563">
        <w:rPr>
          <w:sz w:val="24"/>
          <w:szCs w:val="24"/>
        </w:rPr>
        <w:t xml:space="preserve">Parks </w:t>
      </w:r>
      <w:r w:rsidRPr="00854563">
        <w:rPr>
          <w:sz w:val="24"/>
          <w:szCs w:val="24"/>
        </w:rPr>
        <w:t xml:space="preserve">have </w:t>
      </w:r>
      <w:r w:rsidR="004304B0" w:rsidRPr="00854563">
        <w:rPr>
          <w:sz w:val="24"/>
          <w:szCs w:val="24"/>
        </w:rPr>
        <w:t>use</w:t>
      </w:r>
      <w:r w:rsidRPr="00854563">
        <w:rPr>
          <w:sz w:val="24"/>
          <w:szCs w:val="24"/>
        </w:rPr>
        <w:t>d</w:t>
      </w:r>
      <w:r w:rsidR="004304B0" w:rsidRPr="00854563">
        <w:rPr>
          <w:sz w:val="24"/>
          <w:szCs w:val="24"/>
        </w:rPr>
        <w:t xml:space="preserve"> these ratings to indicate potential areas of concern with facilities.</w:t>
      </w:r>
      <w:r w:rsidR="003453B1" w:rsidRPr="00854563">
        <w:rPr>
          <w:sz w:val="24"/>
          <w:szCs w:val="24"/>
        </w:rPr>
        <w:t xml:space="preserve"> This information is needed to </w:t>
      </w:r>
      <w:r>
        <w:rPr>
          <w:sz w:val="24"/>
          <w:szCs w:val="24"/>
        </w:rPr>
        <w:t>more effectively assess</w:t>
      </w:r>
      <w:r w:rsidRPr="00854563">
        <w:rPr>
          <w:sz w:val="24"/>
          <w:szCs w:val="24"/>
        </w:rPr>
        <w:t xml:space="preserve"> the condition of facilities </w:t>
      </w:r>
      <w:r>
        <w:rPr>
          <w:sz w:val="24"/>
          <w:szCs w:val="24"/>
        </w:rPr>
        <w:t xml:space="preserve">which </w:t>
      </w:r>
      <w:r w:rsidRPr="00854563">
        <w:rPr>
          <w:sz w:val="24"/>
          <w:szCs w:val="24"/>
        </w:rPr>
        <w:t>allows the NPS to better manage its facilities to</w:t>
      </w:r>
      <w:r>
        <w:rPr>
          <w:sz w:val="24"/>
          <w:szCs w:val="24"/>
        </w:rPr>
        <w:t xml:space="preserve"> </w:t>
      </w:r>
      <w:r w:rsidRPr="00854563">
        <w:rPr>
          <w:sz w:val="24"/>
          <w:szCs w:val="24"/>
        </w:rPr>
        <w:t>reduce costs and improve visitor satisfaction and safety</w:t>
      </w:r>
      <w:r w:rsidR="00822084">
        <w:rPr>
          <w:sz w:val="24"/>
          <w:szCs w:val="24"/>
        </w:rPr>
        <w:t>.</w:t>
      </w:r>
    </w:p>
    <w:p w:rsidR="004304B0" w:rsidRPr="00854563" w:rsidRDefault="004304B0" w:rsidP="00822084">
      <w:pPr>
        <w:rPr>
          <w:sz w:val="24"/>
          <w:szCs w:val="24"/>
        </w:rPr>
      </w:pPr>
    </w:p>
    <w:p w:rsidR="00050B93" w:rsidRDefault="008452E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r>
        <w:rPr>
          <w:i/>
          <w:sz w:val="24"/>
        </w:rPr>
        <w:t>V</w:t>
      </w:r>
      <w:r w:rsidRPr="00854563">
        <w:rPr>
          <w:i/>
          <w:sz w:val="24"/>
        </w:rPr>
        <w:t>isitor services</w:t>
      </w:r>
    </w:p>
    <w:p w:rsidR="00822084" w:rsidRDefault="0082208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4304B0" w:rsidRDefault="004304B0" w:rsidP="00A52454">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 xml:space="preserve">The five questions ask respondents to rate </w:t>
      </w:r>
      <w:r w:rsidR="005F3213">
        <w:rPr>
          <w:sz w:val="24"/>
        </w:rPr>
        <w:t xml:space="preserve">park </w:t>
      </w:r>
      <w:r>
        <w:rPr>
          <w:sz w:val="24"/>
        </w:rPr>
        <w:t>services</w:t>
      </w:r>
      <w:r w:rsidR="00A52454">
        <w:rPr>
          <w:sz w:val="24"/>
        </w:rPr>
        <w:t>. A</w:t>
      </w:r>
      <w:r>
        <w:rPr>
          <w:sz w:val="24"/>
        </w:rPr>
        <w:t xml:space="preserve"> five-point scale </w:t>
      </w:r>
      <w:r w:rsidR="00A52454">
        <w:rPr>
          <w:sz w:val="24"/>
        </w:rPr>
        <w:t>and the “not available” option (listed above) is used to rate these questions</w:t>
      </w:r>
      <w:r>
        <w:rPr>
          <w:sz w:val="24"/>
        </w:rPr>
        <w:t xml:space="preserve">. </w:t>
      </w:r>
      <w:r w:rsidR="0045232C">
        <w:rPr>
          <w:sz w:val="24"/>
        </w:rPr>
        <w:t xml:space="preserve">They </w:t>
      </w:r>
      <w:r w:rsidR="005F3213">
        <w:rPr>
          <w:sz w:val="24"/>
        </w:rPr>
        <w:t>include:</w:t>
      </w:r>
    </w:p>
    <w:p w:rsidR="00854563" w:rsidRDefault="00854563" w:rsidP="00597AE7">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4304B0" w:rsidRDefault="004304B0" w:rsidP="00597AE7">
      <w:pPr>
        <w:widowControl/>
        <w:numPr>
          <w:ilvl w:val="0"/>
          <w:numId w:val="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Assistance from park employees</w:t>
      </w:r>
    </w:p>
    <w:p w:rsidR="004304B0" w:rsidRDefault="004304B0" w:rsidP="00597AE7">
      <w:pPr>
        <w:widowControl/>
        <w:numPr>
          <w:ilvl w:val="0"/>
          <w:numId w:val="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Park map or brochure</w:t>
      </w:r>
    </w:p>
    <w:p w:rsidR="004304B0" w:rsidRDefault="004304B0" w:rsidP="00597AE7">
      <w:pPr>
        <w:widowControl/>
        <w:numPr>
          <w:ilvl w:val="0"/>
          <w:numId w:val="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Ranger programs</w:t>
      </w:r>
    </w:p>
    <w:p w:rsidR="004304B0" w:rsidRDefault="004304B0" w:rsidP="00597AE7">
      <w:pPr>
        <w:widowControl/>
        <w:numPr>
          <w:ilvl w:val="0"/>
          <w:numId w:val="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Commercial services in the park (food, lodging, gifts, rentals, etc.)</w:t>
      </w:r>
    </w:p>
    <w:p w:rsidR="004304B0" w:rsidRDefault="004304B0" w:rsidP="00597AE7">
      <w:pPr>
        <w:widowControl/>
        <w:numPr>
          <w:ilvl w:val="0"/>
          <w:numId w:val="2"/>
        </w:num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Value for entrance fee paid.</w:t>
      </w:r>
    </w:p>
    <w:p w:rsidR="004304B0" w:rsidRDefault="004304B0" w:rsidP="00597AE7">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75111A" w:rsidRDefault="00A52454" w:rsidP="0075111A">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 xml:space="preserve">These services </w:t>
      </w:r>
      <w:r w:rsidR="0075111A">
        <w:rPr>
          <w:sz w:val="24"/>
        </w:rPr>
        <w:t xml:space="preserve">are </w:t>
      </w:r>
      <w:r>
        <w:rPr>
          <w:sz w:val="24"/>
        </w:rPr>
        <w:t xml:space="preserve">considered essential to visitor orientation, education, and enjoyment. </w:t>
      </w:r>
      <w:r w:rsidR="00383FA1">
        <w:rPr>
          <w:sz w:val="24"/>
        </w:rPr>
        <w:t>These ratings are used by park managers</w:t>
      </w:r>
      <w:r w:rsidR="004304B0">
        <w:rPr>
          <w:sz w:val="24"/>
        </w:rPr>
        <w:t xml:space="preserve"> to improve the quality of services </w:t>
      </w:r>
      <w:r w:rsidR="00383FA1">
        <w:rPr>
          <w:sz w:val="24"/>
        </w:rPr>
        <w:t xml:space="preserve">offered </w:t>
      </w:r>
      <w:r w:rsidR="004304B0">
        <w:rPr>
          <w:sz w:val="24"/>
        </w:rPr>
        <w:t xml:space="preserve">to visitors. </w:t>
      </w:r>
      <w:r>
        <w:rPr>
          <w:sz w:val="24"/>
        </w:rPr>
        <w:t xml:space="preserve">The benefits derived from understanding visitor satisfaction about services offered within the park allowed park managers to </w:t>
      </w:r>
      <w:r w:rsidR="0075111A">
        <w:rPr>
          <w:sz w:val="24"/>
        </w:rPr>
        <w:t xml:space="preserve">continue justifying a wide range of services to encourage greater support by the visiting public. Park visitors are now provided with orientation services to ensure a safe and enjoyable visit while minimizing visitor related damages. </w:t>
      </w:r>
    </w:p>
    <w:p w:rsidR="0075111A" w:rsidRDefault="0075111A" w:rsidP="0075111A">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75111A" w:rsidRDefault="0075111A" w:rsidP="00822084">
      <w:pPr>
        <w:widowControl/>
        <w:rPr>
          <w:sz w:val="24"/>
          <w:szCs w:val="24"/>
        </w:rPr>
      </w:pPr>
      <w:r>
        <w:rPr>
          <w:sz w:val="24"/>
          <w:szCs w:val="24"/>
        </w:rPr>
        <w:t>With more than</w:t>
      </w:r>
      <w:r w:rsidRPr="0075111A">
        <w:rPr>
          <w:sz w:val="24"/>
          <w:szCs w:val="24"/>
        </w:rPr>
        <w:t xml:space="preserve"> 630 concessioner contracts and 418</w:t>
      </w:r>
      <w:r>
        <w:rPr>
          <w:sz w:val="24"/>
          <w:szCs w:val="24"/>
        </w:rPr>
        <w:t xml:space="preserve"> permits operating in 132 parks </w:t>
      </w:r>
      <w:r w:rsidRPr="0075111A">
        <w:rPr>
          <w:sz w:val="24"/>
          <w:szCs w:val="24"/>
        </w:rPr>
        <w:t>meeting the visitor satisfaction goal requires the development of</w:t>
      </w:r>
      <w:r>
        <w:rPr>
          <w:sz w:val="24"/>
          <w:szCs w:val="24"/>
        </w:rPr>
        <w:t xml:space="preserve"> </w:t>
      </w:r>
      <w:r w:rsidRPr="0075111A">
        <w:rPr>
          <w:sz w:val="24"/>
          <w:szCs w:val="24"/>
        </w:rPr>
        <w:t>contracting authorizations based on planning documents, which include terms and conditions, operating</w:t>
      </w:r>
      <w:r>
        <w:rPr>
          <w:sz w:val="24"/>
          <w:szCs w:val="24"/>
        </w:rPr>
        <w:t xml:space="preserve"> </w:t>
      </w:r>
      <w:r w:rsidRPr="0075111A">
        <w:rPr>
          <w:sz w:val="24"/>
          <w:szCs w:val="24"/>
        </w:rPr>
        <w:t xml:space="preserve">standards, and </w:t>
      </w:r>
      <w:r>
        <w:rPr>
          <w:sz w:val="24"/>
          <w:szCs w:val="24"/>
        </w:rPr>
        <w:t>m</w:t>
      </w:r>
      <w:r w:rsidRPr="0075111A">
        <w:rPr>
          <w:sz w:val="24"/>
          <w:szCs w:val="24"/>
        </w:rPr>
        <w:t>aintenance requirements, and the use of various operational programs. The concession</w:t>
      </w:r>
      <w:r>
        <w:rPr>
          <w:sz w:val="24"/>
          <w:szCs w:val="24"/>
        </w:rPr>
        <w:t xml:space="preserve"> </w:t>
      </w:r>
      <w:r w:rsidRPr="0075111A">
        <w:rPr>
          <w:sz w:val="24"/>
          <w:szCs w:val="24"/>
        </w:rPr>
        <w:t xml:space="preserve">program </w:t>
      </w:r>
      <w:r>
        <w:rPr>
          <w:sz w:val="24"/>
          <w:szCs w:val="24"/>
        </w:rPr>
        <w:t xml:space="preserve">uses the </w:t>
      </w:r>
      <w:r w:rsidRPr="0075111A">
        <w:rPr>
          <w:sz w:val="24"/>
          <w:szCs w:val="24"/>
        </w:rPr>
        <w:t>visitor survey</w:t>
      </w:r>
      <w:r>
        <w:rPr>
          <w:sz w:val="24"/>
          <w:szCs w:val="24"/>
        </w:rPr>
        <w:t xml:space="preserve"> card</w:t>
      </w:r>
      <w:r w:rsidRPr="0075111A">
        <w:rPr>
          <w:sz w:val="24"/>
          <w:szCs w:val="24"/>
        </w:rPr>
        <w:t xml:space="preserve"> to determine both visitor satisfaction</w:t>
      </w:r>
      <w:r>
        <w:rPr>
          <w:sz w:val="24"/>
          <w:szCs w:val="24"/>
        </w:rPr>
        <w:t xml:space="preserve"> </w:t>
      </w:r>
      <w:r w:rsidRPr="0075111A">
        <w:rPr>
          <w:sz w:val="24"/>
          <w:szCs w:val="24"/>
        </w:rPr>
        <w:t>levels and identifying areas of improvement.</w:t>
      </w:r>
    </w:p>
    <w:p w:rsidR="00822084" w:rsidRDefault="00822084" w:rsidP="008452E6">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p>
    <w:p w:rsidR="008452E6" w:rsidRDefault="008452E6" w:rsidP="00822084">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r>
        <w:rPr>
          <w:i/>
          <w:sz w:val="24"/>
        </w:rPr>
        <w:t>R</w:t>
      </w:r>
      <w:r w:rsidRPr="008452E6">
        <w:rPr>
          <w:i/>
          <w:sz w:val="24"/>
        </w:rPr>
        <w:t>ecreational opportunities</w:t>
      </w:r>
    </w:p>
    <w:p w:rsidR="008452E6" w:rsidRPr="008452E6" w:rsidRDefault="008452E6" w:rsidP="008452E6">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sz w:val="24"/>
        </w:rPr>
      </w:pPr>
    </w:p>
    <w:p w:rsidR="005F3213" w:rsidRDefault="008452E6" w:rsidP="0075111A">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The t</w:t>
      </w:r>
      <w:r w:rsidR="005F3213">
        <w:rPr>
          <w:sz w:val="24"/>
        </w:rPr>
        <w:t xml:space="preserve">wo questions </w:t>
      </w:r>
      <w:r>
        <w:rPr>
          <w:sz w:val="24"/>
        </w:rPr>
        <w:t xml:space="preserve">in this category </w:t>
      </w:r>
      <w:r w:rsidR="005F3213">
        <w:rPr>
          <w:sz w:val="24"/>
        </w:rPr>
        <w:t xml:space="preserve">are asked </w:t>
      </w:r>
      <w:r>
        <w:rPr>
          <w:sz w:val="24"/>
        </w:rPr>
        <w:t xml:space="preserve">to </w:t>
      </w:r>
      <w:r w:rsidR="005F3213">
        <w:rPr>
          <w:sz w:val="24"/>
        </w:rPr>
        <w:t xml:space="preserve">encompass the </w:t>
      </w:r>
      <w:r w:rsidR="00C348D6">
        <w:rPr>
          <w:sz w:val="24"/>
        </w:rPr>
        <w:t xml:space="preserve">range of cultural and natural resource-based recreation experiences </w:t>
      </w:r>
      <w:r w:rsidR="007E3DB1">
        <w:rPr>
          <w:sz w:val="24"/>
        </w:rPr>
        <w:t>provided</w:t>
      </w:r>
      <w:r w:rsidR="00C348D6">
        <w:rPr>
          <w:sz w:val="24"/>
        </w:rPr>
        <w:t xml:space="preserve"> in parks</w:t>
      </w:r>
      <w:r w:rsidR="005F3213">
        <w:rPr>
          <w:sz w:val="24"/>
        </w:rPr>
        <w:t xml:space="preserve">. </w:t>
      </w:r>
      <w:r w:rsidR="00C348D6">
        <w:rPr>
          <w:sz w:val="24"/>
        </w:rPr>
        <w:t>The</w:t>
      </w:r>
      <w:r w:rsidR="0045232C">
        <w:rPr>
          <w:sz w:val="24"/>
        </w:rPr>
        <w:t xml:space="preserve">se items use </w:t>
      </w:r>
      <w:r w:rsidR="00C348D6">
        <w:rPr>
          <w:sz w:val="24"/>
        </w:rPr>
        <w:t xml:space="preserve">the same five-point </w:t>
      </w:r>
      <w:r w:rsidR="0045232C">
        <w:rPr>
          <w:sz w:val="24"/>
        </w:rPr>
        <w:t xml:space="preserve">response </w:t>
      </w:r>
      <w:r w:rsidR="00C348D6">
        <w:rPr>
          <w:sz w:val="24"/>
        </w:rPr>
        <w:t xml:space="preserve">scale and also include “not used or not available” as a response option. The </w:t>
      </w:r>
      <w:r w:rsidR="006774B6">
        <w:rPr>
          <w:sz w:val="24"/>
        </w:rPr>
        <w:t>experiences</w:t>
      </w:r>
      <w:r>
        <w:rPr>
          <w:sz w:val="24"/>
        </w:rPr>
        <w:t xml:space="preserve"> include</w:t>
      </w:r>
      <w:r w:rsidR="005F3213">
        <w:rPr>
          <w:sz w:val="24"/>
        </w:rPr>
        <w:t>:</w:t>
      </w:r>
    </w:p>
    <w:p w:rsidR="008452E6" w:rsidRDefault="008452E6" w:rsidP="0075111A">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5F3213" w:rsidRDefault="005F3213" w:rsidP="0075111A">
      <w:pPr>
        <w:widowControl/>
        <w:numPr>
          <w:ilvl w:val="0"/>
          <w:numId w:val="3"/>
        </w:numPr>
        <w:tabs>
          <w:tab w:val="clear" w:pos="1080"/>
          <w:tab w:val="left" w:pos="-1080"/>
          <w:tab w:val="left" w:pos="-720"/>
          <w:tab w:val="left" w:pos="360"/>
          <w:tab w:val="num"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rPr>
      </w:pPr>
      <w:r>
        <w:rPr>
          <w:sz w:val="24"/>
        </w:rPr>
        <w:t>Learning about nature, history, or culture</w:t>
      </w:r>
    </w:p>
    <w:p w:rsidR="005F3213" w:rsidRDefault="005F3213" w:rsidP="0075111A">
      <w:pPr>
        <w:widowControl/>
        <w:numPr>
          <w:ilvl w:val="0"/>
          <w:numId w:val="3"/>
        </w:numPr>
        <w:tabs>
          <w:tab w:val="clear" w:pos="1080"/>
          <w:tab w:val="left" w:pos="-1080"/>
          <w:tab w:val="left" w:pos="-720"/>
          <w:tab w:val="left" w:pos="360"/>
          <w:tab w:val="num"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rPr>
      </w:pPr>
      <w:r>
        <w:rPr>
          <w:sz w:val="24"/>
        </w:rPr>
        <w:t>Outdoor recreation (sightseeing, camping, bicycling, boating, hiking, etc.)</w:t>
      </w:r>
    </w:p>
    <w:p w:rsidR="0045232C" w:rsidRDefault="0045232C" w:rsidP="0075111A">
      <w:pPr>
        <w:widowControl/>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45232C" w:rsidRDefault="0045232C" w:rsidP="0075111A">
      <w:pPr>
        <w:widowControl/>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 xml:space="preserve">Parks </w:t>
      </w:r>
      <w:r w:rsidR="008452E6">
        <w:rPr>
          <w:sz w:val="24"/>
        </w:rPr>
        <w:t xml:space="preserve">have </w:t>
      </w:r>
      <w:r>
        <w:rPr>
          <w:sz w:val="24"/>
        </w:rPr>
        <w:t>use</w:t>
      </w:r>
      <w:r w:rsidR="008452E6">
        <w:rPr>
          <w:sz w:val="24"/>
        </w:rPr>
        <w:t>d</w:t>
      </w:r>
      <w:r>
        <w:rPr>
          <w:sz w:val="24"/>
        </w:rPr>
        <w:t xml:space="preserve"> these ratings to determine if visitors are satisfied with the kinds of recreational experiences available to them in a park.</w:t>
      </w:r>
      <w:r w:rsidR="007E3DB1">
        <w:rPr>
          <w:sz w:val="24"/>
        </w:rPr>
        <w:t xml:space="preserve"> Tracking these ratings over time indicates if </w:t>
      </w:r>
      <w:r w:rsidR="009F274C">
        <w:rPr>
          <w:sz w:val="24"/>
        </w:rPr>
        <w:t xml:space="preserve">visitors think </w:t>
      </w:r>
      <w:r w:rsidR="007E3DB1">
        <w:rPr>
          <w:sz w:val="24"/>
        </w:rPr>
        <w:t xml:space="preserve">the </w:t>
      </w:r>
      <w:r w:rsidR="00383FA1">
        <w:rPr>
          <w:sz w:val="24"/>
        </w:rPr>
        <w:t>opportunity for</w:t>
      </w:r>
      <w:r w:rsidR="007E3DB1">
        <w:rPr>
          <w:sz w:val="24"/>
        </w:rPr>
        <w:t xml:space="preserve"> these experienc</w:t>
      </w:r>
      <w:r w:rsidR="009F274C">
        <w:rPr>
          <w:sz w:val="24"/>
        </w:rPr>
        <w:t>es is increasing or diminishing.</w:t>
      </w:r>
    </w:p>
    <w:p w:rsidR="0045232C" w:rsidRDefault="0045232C" w:rsidP="0075111A">
      <w:pPr>
        <w:widowControl/>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p>
    <w:p w:rsidR="0050505E" w:rsidRDefault="0045232C" w:rsidP="0075111A">
      <w:pPr>
        <w:widowControl/>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rPr>
      </w:pPr>
      <w:r>
        <w:rPr>
          <w:sz w:val="24"/>
        </w:rPr>
        <w:t>An additional question measure</w:t>
      </w:r>
      <w:r w:rsidR="009F274C">
        <w:rPr>
          <w:sz w:val="24"/>
        </w:rPr>
        <w:t>s</w:t>
      </w:r>
      <w:r>
        <w:rPr>
          <w:sz w:val="24"/>
        </w:rPr>
        <w:t xml:space="preserve"> performance on GPRA goal IIa1. Using the same “very good” to “very poor” response scale, visitors </w:t>
      </w:r>
      <w:r w:rsidR="008452E6">
        <w:rPr>
          <w:sz w:val="24"/>
        </w:rPr>
        <w:t xml:space="preserve">are able to </w:t>
      </w:r>
      <w:r>
        <w:rPr>
          <w:sz w:val="24"/>
        </w:rPr>
        <w:t>rate the “overall quality of facilities, services, and recreational opportunities.</w:t>
      </w:r>
      <w:r w:rsidR="009F274C">
        <w:rPr>
          <w:sz w:val="24"/>
        </w:rPr>
        <w:t>”</w:t>
      </w:r>
      <w:r>
        <w:rPr>
          <w:sz w:val="24"/>
        </w:rPr>
        <w:t xml:space="preserve"> This </w:t>
      </w:r>
      <w:r w:rsidR="008452E6">
        <w:rPr>
          <w:sz w:val="24"/>
        </w:rPr>
        <w:t xml:space="preserve">data </w:t>
      </w:r>
      <w:r>
        <w:rPr>
          <w:sz w:val="24"/>
        </w:rPr>
        <w:t>is reported for each park and for the National Park System as a whole.</w:t>
      </w:r>
    </w:p>
    <w:p w:rsidR="0045232C" w:rsidRDefault="0045232C" w:rsidP="0045232C">
      <w:pPr>
        <w:widowControl/>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F50119" w:rsidRDefault="008452E6" w:rsidP="00822084">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rPr>
      </w:pPr>
      <w:r>
        <w:rPr>
          <w:sz w:val="24"/>
        </w:rPr>
        <w:t>T</w:t>
      </w:r>
      <w:r w:rsidR="0050505E" w:rsidRPr="00A606C1">
        <w:rPr>
          <w:sz w:val="24"/>
        </w:rPr>
        <w:t xml:space="preserve">wo demographic questions </w:t>
      </w:r>
      <w:r>
        <w:rPr>
          <w:sz w:val="24"/>
        </w:rPr>
        <w:t>have</w:t>
      </w:r>
      <w:r w:rsidRPr="00A606C1">
        <w:rPr>
          <w:sz w:val="24"/>
        </w:rPr>
        <w:t xml:space="preserve"> </w:t>
      </w:r>
      <w:r>
        <w:rPr>
          <w:sz w:val="24"/>
        </w:rPr>
        <w:t>been</w:t>
      </w:r>
      <w:r w:rsidRPr="00A606C1">
        <w:rPr>
          <w:sz w:val="24"/>
        </w:rPr>
        <w:t xml:space="preserve"> </w:t>
      </w:r>
      <w:r w:rsidR="0050505E" w:rsidRPr="00A606C1">
        <w:rPr>
          <w:sz w:val="24"/>
        </w:rPr>
        <w:t xml:space="preserve">added to the instrument in order </w:t>
      </w:r>
      <w:r w:rsidR="004965AB">
        <w:rPr>
          <w:sz w:val="24"/>
        </w:rPr>
        <w:t xml:space="preserve">to </w:t>
      </w:r>
      <w:r w:rsidR="0050505E" w:rsidRPr="00A606C1">
        <w:rPr>
          <w:sz w:val="24"/>
        </w:rPr>
        <w:t xml:space="preserve">assess potential non-response bias. These questions are gender and age of the respondent. </w:t>
      </w:r>
      <w:r w:rsidR="00F50119" w:rsidRPr="00F97850">
        <w:rPr>
          <w:sz w:val="24"/>
        </w:rPr>
        <w:t>A</w:t>
      </w:r>
      <w:r w:rsidR="00F50119">
        <w:rPr>
          <w:sz w:val="24"/>
        </w:rPr>
        <w:t xml:space="preserve"> modified</w:t>
      </w:r>
      <w:r w:rsidR="00F50119" w:rsidRPr="00F97850">
        <w:rPr>
          <w:sz w:val="24"/>
        </w:rPr>
        <w:t xml:space="preserve"> </w:t>
      </w:r>
      <w:r w:rsidR="007E3DB1" w:rsidRPr="00F97850">
        <w:rPr>
          <w:sz w:val="24"/>
        </w:rPr>
        <w:t>open-ended question</w:t>
      </w:r>
      <w:r w:rsidR="00F50119">
        <w:rPr>
          <w:sz w:val="24"/>
        </w:rPr>
        <w:t xml:space="preserve"> will be used to ask the respondents to</w:t>
      </w:r>
      <w:r>
        <w:rPr>
          <w:sz w:val="24"/>
        </w:rPr>
        <w:t xml:space="preserve">: </w:t>
      </w:r>
    </w:p>
    <w:p w:rsidR="00F50119" w:rsidRDefault="00F50119" w:rsidP="00F50119">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sz w:val="24"/>
        </w:rPr>
      </w:pPr>
      <w:r w:rsidRPr="00F50119">
        <w:rPr>
          <w:i/>
          <w:sz w:val="24"/>
        </w:rPr>
        <w:t>Name two special things about this park that made it significant enough to be added to the National Park System.</w:t>
      </w:r>
    </w:p>
    <w:p w:rsidR="00F50119" w:rsidRPr="00F50119" w:rsidRDefault="00F50119" w:rsidP="00F50119">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i/>
          <w:sz w:val="24"/>
        </w:rPr>
      </w:pPr>
    </w:p>
    <w:p w:rsidR="00383FA1" w:rsidRDefault="00F50119" w:rsidP="00822084">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color w:val="0000FF"/>
          <w:sz w:val="24"/>
        </w:rPr>
      </w:pPr>
      <w:r>
        <w:rPr>
          <w:sz w:val="24"/>
        </w:rPr>
        <w:t xml:space="preserve">This question has been used to </w:t>
      </w:r>
      <w:r w:rsidR="007E3DB1" w:rsidRPr="00F97850">
        <w:rPr>
          <w:sz w:val="24"/>
        </w:rPr>
        <w:t>measure</w:t>
      </w:r>
      <w:r w:rsidR="00F663D0">
        <w:rPr>
          <w:sz w:val="24"/>
        </w:rPr>
        <w:t xml:space="preserve"> performance for</w:t>
      </w:r>
      <w:r w:rsidR="007E3DB1" w:rsidRPr="00F97850">
        <w:rPr>
          <w:sz w:val="24"/>
        </w:rPr>
        <w:t xml:space="preserve"> GPRA goal IIb1. </w:t>
      </w:r>
      <w:r w:rsidR="00F97850" w:rsidRPr="00F97850">
        <w:rPr>
          <w:color w:val="000000"/>
          <w:sz w:val="24"/>
        </w:rPr>
        <w:t xml:space="preserve">Answers to this question are organized </w:t>
      </w:r>
      <w:r>
        <w:rPr>
          <w:color w:val="000000"/>
          <w:sz w:val="24"/>
        </w:rPr>
        <w:t>and s</w:t>
      </w:r>
      <w:r w:rsidR="00F97850" w:rsidRPr="00F97850">
        <w:rPr>
          <w:color w:val="000000"/>
          <w:sz w:val="24"/>
        </w:rPr>
        <w:t>core</w:t>
      </w:r>
      <w:r>
        <w:rPr>
          <w:color w:val="000000"/>
          <w:sz w:val="24"/>
        </w:rPr>
        <w:t>d</w:t>
      </w:r>
      <w:r w:rsidR="00F97850" w:rsidRPr="00F97850">
        <w:rPr>
          <w:color w:val="000000"/>
          <w:sz w:val="24"/>
        </w:rPr>
        <w:t xml:space="preserve"> based on the number of visitors correctly noting one of the five significance items reported by the park as a reason for the designation of the park</w:t>
      </w:r>
      <w:r>
        <w:rPr>
          <w:color w:val="000000"/>
          <w:sz w:val="24"/>
        </w:rPr>
        <w:t>. This is then</w:t>
      </w:r>
      <w:r w:rsidR="00F97850" w:rsidRPr="00F97850">
        <w:rPr>
          <w:color w:val="000000"/>
          <w:sz w:val="24"/>
        </w:rPr>
        <w:t xml:space="preserve"> divided by the total number of visitors answering the question. This average is then reported by the parks </w:t>
      </w:r>
      <w:r>
        <w:rPr>
          <w:color w:val="000000"/>
          <w:sz w:val="24"/>
        </w:rPr>
        <w:t>as part of the</w:t>
      </w:r>
      <w:r w:rsidR="00F97850">
        <w:rPr>
          <w:color w:val="000000"/>
          <w:sz w:val="24"/>
        </w:rPr>
        <w:t xml:space="preserve"> GPRA </w:t>
      </w:r>
      <w:r w:rsidR="00EC0817">
        <w:rPr>
          <w:color w:val="000000"/>
          <w:sz w:val="24"/>
        </w:rPr>
        <w:t>requirement</w:t>
      </w:r>
      <w:r w:rsidR="00B20AC4">
        <w:rPr>
          <w:color w:val="000000"/>
          <w:sz w:val="24"/>
        </w:rPr>
        <w:t xml:space="preserve"> to educate visitors on </w:t>
      </w:r>
      <w:r>
        <w:rPr>
          <w:color w:val="000000"/>
          <w:sz w:val="24"/>
        </w:rPr>
        <w:t>the park’s significance</w:t>
      </w:r>
      <w:r w:rsidR="00F97850" w:rsidRPr="00F97850">
        <w:rPr>
          <w:color w:val="000000"/>
          <w:sz w:val="24"/>
        </w:rPr>
        <w:t>.</w:t>
      </w:r>
      <w:r w:rsidR="00924F67" w:rsidRPr="00F97850">
        <w:rPr>
          <w:color w:val="0000FF"/>
          <w:sz w:val="24"/>
        </w:rPr>
        <w:t xml:space="preserve"> </w:t>
      </w:r>
    </w:p>
    <w:p w:rsidR="00383FA1" w:rsidRDefault="00383FA1" w:rsidP="00822084">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color w:val="0000FF"/>
          <w:sz w:val="24"/>
        </w:rPr>
      </w:pPr>
    </w:p>
    <w:p w:rsidR="00B058BA" w:rsidRDefault="00F50119" w:rsidP="00822084">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rPr>
      </w:pPr>
      <w:r>
        <w:rPr>
          <w:sz w:val="24"/>
        </w:rPr>
        <w:t>Finally, an</w:t>
      </w:r>
      <w:r w:rsidR="007E3DB1">
        <w:rPr>
          <w:sz w:val="24"/>
        </w:rPr>
        <w:t xml:space="preserve"> open-ended question </w:t>
      </w:r>
      <w:r>
        <w:rPr>
          <w:sz w:val="24"/>
        </w:rPr>
        <w:t xml:space="preserve">will be used to </w:t>
      </w:r>
      <w:r w:rsidR="00B83FE9">
        <w:rPr>
          <w:sz w:val="24"/>
        </w:rPr>
        <w:t>ask</w:t>
      </w:r>
      <w:r w:rsidR="007E3DB1">
        <w:rPr>
          <w:sz w:val="24"/>
        </w:rPr>
        <w:t xml:space="preserve"> visitors if there is anything else they would like to tell the park about </w:t>
      </w:r>
      <w:r w:rsidR="00822014">
        <w:rPr>
          <w:sz w:val="24"/>
        </w:rPr>
        <w:t>its</w:t>
      </w:r>
      <w:r w:rsidR="007E3DB1">
        <w:rPr>
          <w:sz w:val="24"/>
        </w:rPr>
        <w:t xml:space="preserve"> facilities, services, or recreational opportunities. This</w:t>
      </w:r>
      <w:r w:rsidR="00822014">
        <w:rPr>
          <w:sz w:val="24"/>
        </w:rPr>
        <w:t xml:space="preserve"> question</w:t>
      </w:r>
      <w:r w:rsidR="00F97850">
        <w:rPr>
          <w:sz w:val="24"/>
        </w:rPr>
        <w:t xml:space="preserve"> gives respondents a </w:t>
      </w:r>
      <w:r w:rsidR="00822014">
        <w:rPr>
          <w:sz w:val="24"/>
        </w:rPr>
        <w:t>chance</w:t>
      </w:r>
      <w:r w:rsidR="007E3DB1">
        <w:rPr>
          <w:sz w:val="24"/>
        </w:rPr>
        <w:t xml:space="preserve"> to comment on other aspects of their experience not </w:t>
      </w:r>
      <w:r>
        <w:rPr>
          <w:sz w:val="24"/>
        </w:rPr>
        <w:t xml:space="preserve">previously </w:t>
      </w:r>
      <w:r w:rsidR="007E3DB1">
        <w:rPr>
          <w:sz w:val="24"/>
        </w:rPr>
        <w:t>covered.</w:t>
      </w:r>
    </w:p>
    <w:p w:rsidR="005F3213" w:rsidRDefault="005F3213"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3.</w:t>
      </w:r>
      <w:r w:rsidRPr="00AF72E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1F27A0" w:rsidRDefault="001F27A0" w:rsidP="00597AE7">
      <w:pPr>
        <w:widowControl/>
        <w:ind w:left="360"/>
        <w:rPr>
          <w:sz w:val="24"/>
        </w:rPr>
      </w:pPr>
    </w:p>
    <w:p w:rsidR="00050B93" w:rsidRDefault="00F50119">
      <w:pPr>
        <w:widowControl/>
        <w:rPr>
          <w:sz w:val="24"/>
        </w:rPr>
      </w:pPr>
      <w:r>
        <w:rPr>
          <w:sz w:val="24"/>
        </w:rPr>
        <w:t>The visitor will have the option of mailing the survey back to the University of Idaho or using a designated</w:t>
      </w:r>
      <w:r w:rsidR="001F27A0">
        <w:rPr>
          <w:sz w:val="24"/>
        </w:rPr>
        <w:t xml:space="preserve"> </w:t>
      </w:r>
      <w:r>
        <w:rPr>
          <w:sz w:val="24"/>
        </w:rPr>
        <w:t xml:space="preserve">surveys </w:t>
      </w:r>
      <w:r w:rsidR="001F27A0">
        <w:rPr>
          <w:sz w:val="24"/>
        </w:rPr>
        <w:t>drop-box</w:t>
      </w:r>
      <w:r w:rsidR="001F27A0" w:rsidRPr="006550AE">
        <w:rPr>
          <w:sz w:val="24"/>
        </w:rPr>
        <w:t>. No automated data</w:t>
      </w:r>
      <w:r w:rsidR="001F27A0">
        <w:rPr>
          <w:sz w:val="24"/>
        </w:rPr>
        <w:t xml:space="preserve"> </w:t>
      </w:r>
      <w:r w:rsidR="001F27A0" w:rsidRPr="006550AE">
        <w:rPr>
          <w:sz w:val="24"/>
        </w:rPr>
        <w:t>collection will take place.</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4.</w:t>
      </w:r>
      <w:r w:rsidRPr="00AF72EC">
        <w:rPr>
          <w:b/>
          <w:sz w:val="24"/>
          <w:szCs w:val="24"/>
        </w:rPr>
        <w:tab/>
        <w:t>Describe ef</w:t>
      </w:r>
      <w:r w:rsidR="00A57A2E" w:rsidRPr="00AF72EC">
        <w:rPr>
          <w:b/>
          <w:sz w:val="24"/>
          <w:szCs w:val="24"/>
        </w:rPr>
        <w:t xml:space="preserve">forts to identify duplication.  </w:t>
      </w:r>
      <w:r w:rsidRPr="00AF72EC">
        <w:rPr>
          <w:b/>
          <w:sz w:val="24"/>
          <w:szCs w:val="24"/>
        </w:rPr>
        <w:t>Show specifically why any similar information already available cannot be used or modified for use for the purposes described in Item 2 above.</w:t>
      </w:r>
    </w:p>
    <w:p w:rsidR="001F27A0" w:rsidRDefault="001F27A0"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p w:rsidR="00050B93" w:rsidRDefault="00F87B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87B88">
        <w:rPr>
          <w:sz w:val="24"/>
          <w:szCs w:val="24"/>
        </w:rPr>
        <w:t xml:space="preserve">There are no other comparable sources of reliable data on visitor satisfaction on a park by park basis that we can adapt to </w:t>
      </w:r>
      <w:r w:rsidR="00F31291">
        <w:rPr>
          <w:sz w:val="24"/>
          <w:szCs w:val="24"/>
        </w:rPr>
        <w:t>satisfy the requirements of GPRA and the DOI Strategic Plan</w:t>
      </w:r>
      <w:r w:rsidRPr="00F87B88">
        <w:rPr>
          <w:sz w:val="24"/>
          <w:szCs w:val="24"/>
        </w:rPr>
        <w:t xml:space="preserve">. </w:t>
      </w:r>
      <w:r w:rsidR="00D0227F" w:rsidRPr="00B83FE9">
        <w:rPr>
          <w:sz w:val="24"/>
          <w:szCs w:val="24"/>
        </w:rPr>
        <w:t xml:space="preserve">Without </w:t>
      </w:r>
      <w:r w:rsidR="00F31291">
        <w:rPr>
          <w:sz w:val="24"/>
          <w:szCs w:val="24"/>
        </w:rPr>
        <w:t>this survey,</w:t>
      </w:r>
      <w:r w:rsidR="00D0227F" w:rsidRPr="00B83FE9">
        <w:rPr>
          <w:sz w:val="24"/>
          <w:szCs w:val="24"/>
        </w:rPr>
        <w:t xml:space="preserve"> the </w:t>
      </w:r>
      <w:r w:rsidR="00F31291">
        <w:rPr>
          <w:sz w:val="24"/>
          <w:szCs w:val="24"/>
        </w:rPr>
        <w:t>NPS</w:t>
      </w:r>
      <w:r w:rsidR="00D0227F" w:rsidRPr="00B83FE9">
        <w:rPr>
          <w:sz w:val="24"/>
          <w:szCs w:val="24"/>
        </w:rPr>
        <w:t xml:space="preserve"> will have to acquire the data at greater expense and delay or use outdated and inconsistent data where available.  </w:t>
      </w:r>
    </w:p>
    <w:p w:rsidR="001F27A0" w:rsidRDefault="001F27A0"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CC6514" w:rsidRPr="0082208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2084">
        <w:rPr>
          <w:b/>
          <w:sz w:val="24"/>
          <w:szCs w:val="24"/>
        </w:rPr>
        <w:t>5.</w:t>
      </w:r>
      <w:r w:rsidRPr="00822084">
        <w:rPr>
          <w:b/>
          <w:sz w:val="24"/>
          <w:szCs w:val="24"/>
        </w:rPr>
        <w:tab/>
        <w:t>If the collection of information impacts small businesses or other small entities describe any methods used to minimize burden.</w:t>
      </w:r>
    </w:p>
    <w:p w:rsidR="001F27A0" w:rsidRDefault="001F27A0" w:rsidP="00597AE7">
      <w:pPr>
        <w:widowControl/>
        <w:ind w:firstLine="360"/>
        <w:rPr>
          <w:sz w:val="24"/>
        </w:rPr>
      </w:pPr>
    </w:p>
    <w:p w:rsidR="00050B93" w:rsidRDefault="001F27A0">
      <w:pPr>
        <w:widowControl/>
      </w:pPr>
      <w:r>
        <w:rPr>
          <w:sz w:val="24"/>
        </w:rPr>
        <w:t xml:space="preserve">The </w:t>
      </w:r>
      <w:r w:rsidR="00307EA7">
        <w:rPr>
          <w:sz w:val="24"/>
        </w:rPr>
        <w:t xml:space="preserve">proposed </w:t>
      </w:r>
      <w:r>
        <w:rPr>
          <w:sz w:val="24"/>
        </w:rPr>
        <w:t xml:space="preserve">data collection </w:t>
      </w:r>
      <w:r w:rsidR="00307EA7">
        <w:rPr>
          <w:sz w:val="24"/>
        </w:rPr>
        <w:t xml:space="preserve">does </w:t>
      </w:r>
      <w:r>
        <w:rPr>
          <w:sz w:val="24"/>
        </w:rPr>
        <w:t>not impact small businesses or other small entities.</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304B8"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6.</w:t>
      </w:r>
      <w:r w:rsidRPr="00AF72EC">
        <w:rPr>
          <w:b/>
          <w:sz w:val="24"/>
          <w:szCs w:val="24"/>
        </w:rPr>
        <w:tab/>
        <w:t>Describe the consequence to Federal program or policy activities if the collection is not conducted or is conducted less frequently, as well as any technical or legal obstacles to reducing burden.</w:t>
      </w:r>
    </w:p>
    <w:p w:rsidR="00CC6514" w:rsidRPr="00C614D3"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22C10" w:rsidRDefault="0024557F" w:rsidP="0024557F">
      <w:pPr>
        <w:widowControl/>
        <w:rPr>
          <w:rFonts w:ascii="Arial" w:hAnsi="Arial" w:cs="Arial"/>
          <w:sz w:val="17"/>
          <w:szCs w:val="17"/>
        </w:rPr>
      </w:pPr>
      <w:r>
        <w:rPr>
          <w:sz w:val="24"/>
          <w:szCs w:val="24"/>
        </w:rPr>
        <w:t xml:space="preserve">This survey is administered to </w:t>
      </w:r>
      <w:r w:rsidRPr="00422C10">
        <w:rPr>
          <w:sz w:val="24"/>
          <w:szCs w:val="24"/>
        </w:rPr>
        <w:t>more</w:t>
      </w:r>
      <w:r>
        <w:rPr>
          <w:sz w:val="24"/>
          <w:szCs w:val="24"/>
        </w:rPr>
        <w:t xml:space="preserve"> than 100,000 v</w:t>
      </w:r>
      <w:r w:rsidR="00422C10" w:rsidRPr="00422C10">
        <w:rPr>
          <w:sz w:val="24"/>
          <w:szCs w:val="24"/>
        </w:rPr>
        <w:t xml:space="preserve">isitors </w:t>
      </w:r>
      <w:r>
        <w:rPr>
          <w:sz w:val="24"/>
          <w:szCs w:val="24"/>
        </w:rPr>
        <w:t xml:space="preserve">over </w:t>
      </w:r>
      <w:r w:rsidR="00422C10" w:rsidRPr="00422C10">
        <w:rPr>
          <w:sz w:val="24"/>
          <w:szCs w:val="24"/>
        </w:rPr>
        <w:t>300 national park sites</w:t>
      </w:r>
      <w:r>
        <w:rPr>
          <w:sz w:val="24"/>
          <w:szCs w:val="24"/>
        </w:rPr>
        <w:t>.</w:t>
      </w:r>
      <w:r w:rsidR="00422C10" w:rsidRPr="00422C10">
        <w:rPr>
          <w:sz w:val="24"/>
          <w:szCs w:val="24"/>
        </w:rPr>
        <w:t xml:space="preserve"> </w:t>
      </w:r>
      <w:r>
        <w:rPr>
          <w:sz w:val="24"/>
          <w:szCs w:val="24"/>
        </w:rPr>
        <w:t xml:space="preserve">This </w:t>
      </w:r>
      <w:r w:rsidR="00422C10" w:rsidRPr="00422C10">
        <w:rPr>
          <w:sz w:val="24"/>
          <w:szCs w:val="24"/>
        </w:rPr>
        <w:t>opportunit</w:t>
      </w:r>
      <w:r>
        <w:rPr>
          <w:sz w:val="24"/>
          <w:szCs w:val="24"/>
        </w:rPr>
        <w:t>y does not occur using any other form at any other time providing results on an annual basis.</w:t>
      </w:r>
      <w:r w:rsidR="00422C10" w:rsidRPr="00422C10">
        <w:rPr>
          <w:sz w:val="24"/>
          <w:szCs w:val="24"/>
        </w:rPr>
        <w:t xml:space="preserve"> </w:t>
      </w:r>
      <w:r>
        <w:rPr>
          <w:sz w:val="24"/>
          <w:szCs w:val="24"/>
        </w:rPr>
        <w:t xml:space="preserve"> This survey has become an integral component of NPS management and operations. </w:t>
      </w:r>
    </w:p>
    <w:p w:rsidR="00422C10" w:rsidRDefault="00422C10" w:rsidP="00422C10">
      <w:pPr>
        <w:widowControl/>
        <w:ind w:left="360"/>
        <w:rPr>
          <w:rFonts w:ascii="Arial" w:hAnsi="Arial" w:cs="Arial"/>
          <w:sz w:val="17"/>
          <w:szCs w:val="17"/>
        </w:rPr>
      </w:pPr>
    </w:p>
    <w:p w:rsidR="00C614D3" w:rsidRDefault="00307EA7" w:rsidP="00422C10">
      <w:pPr>
        <w:widowControl/>
        <w:rPr>
          <w:rFonts w:ascii="Arial" w:hAnsi="Arial" w:cs="Arial"/>
          <w:sz w:val="17"/>
          <w:szCs w:val="17"/>
        </w:rPr>
      </w:pPr>
      <w:r w:rsidRPr="00C614D3">
        <w:rPr>
          <w:sz w:val="24"/>
          <w:szCs w:val="24"/>
        </w:rPr>
        <w:t xml:space="preserve">This request correlates </w:t>
      </w:r>
      <w:r w:rsidR="00422C10">
        <w:rPr>
          <w:sz w:val="24"/>
          <w:szCs w:val="24"/>
        </w:rPr>
        <w:t>with t</w:t>
      </w:r>
      <w:r w:rsidRPr="00C614D3">
        <w:rPr>
          <w:sz w:val="24"/>
          <w:szCs w:val="24"/>
        </w:rPr>
        <w:t>he goal in the NPS and Department of the Interior’s Strategic Plans</w:t>
      </w:r>
      <w:r w:rsidR="00C614D3" w:rsidRPr="00C614D3">
        <w:rPr>
          <w:sz w:val="24"/>
          <w:szCs w:val="24"/>
        </w:rPr>
        <w:t xml:space="preserve"> used to measure specific GPRA Goals IIa1 (visitor satisfaction) and IIb1 (visitor understanding and</w:t>
      </w:r>
      <w:r w:rsidR="00C614D3">
        <w:rPr>
          <w:sz w:val="24"/>
          <w:szCs w:val="24"/>
        </w:rPr>
        <w:t xml:space="preserve"> </w:t>
      </w:r>
      <w:r w:rsidR="00C614D3" w:rsidRPr="00C614D3">
        <w:rPr>
          <w:sz w:val="24"/>
          <w:szCs w:val="24"/>
        </w:rPr>
        <w:t>appreciation)</w:t>
      </w:r>
      <w:r w:rsidR="0024557F">
        <w:rPr>
          <w:sz w:val="24"/>
          <w:szCs w:val="24"/>
        </w:rPr>
        <w:t xml:space="preserve"> and complies with P</w:t>
      </w:r>
      <w:r w:rsidR="00C614D3" w:rsidRPr="00C614D3">
        <w:rPr>
          <w:sz w:val="24"/>
          <w:szCs w:val="24"/>
        </w:rPr>
        <w:t>.</w:t>
      </w:r>
      <w:r w:rsidR="0024557F">
        <w:rPr>
          <w:sz w:val="24"/>
          <w:szCs w:val="24"/>
        </w:rPr>
        <w:t>L. 103-62.</w:t>
      </w:r>
      <w:r w:rsidR="00C614D3" w:rsidRPr="00C614D3">
        <w:rPr>
          <w:sz w:val="24"/>
          <w:szCs w:val="24"/>
        </w:rPr>
        <w:t xml:space="preserve"> </w:t>
      </w:r>
      <w:r w:rsidR="00C614D3">
        <w:rPr>
          <w:sz w:val="24"/>
          <w:szCs w:val="24"/>
        </w:rPr>
        <w:t xml:space="preserve"> </w:t>
      </w:r>
      <w:r w:rsidR="001915B1">
        <w:rPr>
          <w:sz w:val="24"/>
          <w:szCs w:val="24"/>
        </w:rPr>
        <w:t xml:space="preserve">Visitor responses are used, by park managers, to </w:t>
      </w:r>
      <w:r w:rsidR="00C614D3">
        <w:rPr>
          <w:sz w:val="24"/>
          <w:szCs w:val="24"/>
        </w:rPr>
        <w:t>compare</w:t>
      </w:r>
      <w:r w:rsidR="001915B1">
        <w:rPr>
          <w:sz w:val="24"/>
          <w:szCs w:val="24"/>
        </w:rPr>
        <w:t xml:space="preserve"> </w:t>
      </w:r>
      <w:r w:rsidR="00C614D3">
        <w:rPr>
          <w:sz w:val="24"/>
          <w:szCs w:val="24"/>
        </w:rPr>
        <w:t xml:space="preserve">to the significance statements </w:t>
      </w:r>
      <w:r w:rsidR="001915B1">
        <w:rPr>
          <w:sz w:val="24"/>
          <w:szCs w:val="24"/>
        </w:rPr>
        <w:t xml:space="preserve">identified in the park’s GPRA plans. </w:t>
      </w:r>
      <w:r w:rsidR="0024557F" w:rsidRPr="0024557F">
        <w:rPr>
          <w:sz w:val="24"/>
          <w:szCs w:val="24"/>
        </w:rPr>
        <w:t xml:space="preserve">Without this survey park managers will not have rapid response </w:t>
      </w:r>
      <w:r w:rsidR="0024557F">
        <w:rPr>
          <w:sz w:val="24"/>
          <w:szCs w:val="24"/>
        </w:rPr>
        <w:t xml:space="preserve">to </w:t>
      </w:r>
      <w:r w:rsidR="0024557F" w:rsidRPr="0024557F">
        <w:rPr>
          <w:sz w:val="24"/>
          <w:szCs w:val="24"/>
        </w:rPr>
        <w:t xml:space="preserve">fundamental research needed to meet their management goals that </w:t>
      </w:r>
      <w:r w:rsidR="0024557F">
        <w:rPr>
          <w:sz w:val="24"/>
          <w:szCs w:val="24"/>
        </w:rPr>
        <w:t>are</w:t>
      </w:r>
      <w:r w:rsidR="0024557F" w:rsidRPr="0024557F">
        <w:rPr>
          <w:sz w:val="24"/>
          <w:szCs w:val="24"/>
        </w:rPr>
        <w:t xml:space="preserve"> linked to decision making</w:t>
      </w:r>
      <w:r w:rsidR="008128A4">
        <w:rPr>
          <w:sz w:val="24"/>
          <w:szCs w:val="24"/>
        </w:rPr>
        <w:t>.</w:t>
      </w:r>
    </w:p>
    <w:p w:rsidR="008128A4" w:rsidRPr="00C614D3" w:rsidRDefault="008128A4" w:rsidP="00422C10">
      <w:pPr>
        <w:widowControl/>
        <w:rPr>
          <w:sz w:val="24"/>
          <w:szCs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7.</w:t>
      </w:r>
      <w:r w:rsidRPr="00AF72EC">
        <w:rPr>
          <w:b/>
          <w:sz w:val="24"/>
          <w:szCs w:val="24"/>
        </w:rPr>
        <w:tab/>
        <w:t>Explain any special circumstances that would cause an information collection to be conducted in a manner:</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requiring respondents to report information to the agency more often than quarterly;</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requiring respondents to prepare a written response to a collection of information in fewer than 30 days after receipt of it;</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requiring respondents to submit more than an original and two copies of any document;</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requiring respondents to retain records, other than health, medical, government contract, grant-in-aid, or tax records, for more than three years;</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in connection with a statistical survey, that is not designed to produce valid and reliable results that can be generalized to the universe of study;</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requiring the use of a statistical data classification that has not been reviewed and approved by OMB;</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F72EC">
        <w:rPr>
          <w:b/>
          <w:sz w:val="24"/>
          <w:szCs w:val="24"/>
        </w:rPr>
        <w:tab/>
        <w:t>*</w:t>
      </w:r>
      <w:r w:rsidRPr="00AF72EC">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174A55" w:rsidRDefault="00174A55" w:rsidP="00597AE7">
      <w:pPr>
        <w:widowControl/>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2B48E9" w:rsidRPr="002B48E9" w:rsidRDefault="002B48E9" w:rsidP="002B48E9">
      <w:pPr>
        <w:rPr>
          <w:sz w:val="24"/>
          <w:szCs w:val="24"/>
        </w:rPr>
      </w:pPr>
      <w:r w:rsidRPr="002B48E9">
        <w:rPr>
          <w:sz w:val="24"/>
          <w:szCs w:val="24"/>
        </w:rPr>
        <w:t>There are no circumstances that require us to collect the information in a manner inconsistent with OMB guidelines.</w:t>
      </w:r>
    </w:p>
    <w:p w:rsidR="002B48E9" w:rsidRDefault="002B48E9" w:rsidP="00597AE7">
      <w:pPr>
        <w:widowControl/>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8.</w:t>
      </w:r>
      <w:r w:rsidRPr="00AF72E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AF72E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50B93" w:rsidRDefault="00D7171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B66B2">
        <w:rPr>
          <w:sz w:val="24"/>
        </w:rPr>
        <w:t>The NPS published a 60-</w:t>
      </w:r>
      <w:r>
        <w:rPr>
          <w:sz w:val="24"/>
        </w:rPr>
        <w:t>d</w:t>
      </w:r>
      <w:r w:rsidRPr="00AB66B2">
        <w:rPr>
          <w:sz w:val="24"/>
        </w:rPr>
        <w:t xml:space="preserve">ay </w:t>
      </w:r>
      <w:r w:rsidR="008E04C9">
        <w:rPr>
          <w:sz w:val="24"/>
        </w:rPr>
        <w:t>Federal Register N</w:t>
      </w:r>
      <w:r w:rsidRPr="00AB66B2">
        <w:rPr>
          <w:sz w:val="24"/>
        </w:rPr>
        <w:t xml:space="preserve">otice on </w:t>
      </w:r>
      <w:r w:rsidR="00C304B8">
        <w:rPr>
          <w:sz w:val="24"/>
        </w:rPr>
        <w:t>July 20, 2010</w:t>
      </w:r>
      <w:r w:rsidRPr="00AB66B2">
        <w:rPr>
          <w:sz w:val="24"/>
        </w:rPr>
        <w:t xml:space="preserve"> (7</w:t>
      </w:r>
      <w:r w:rsidR="00C304B8">
        <w:rPr>
          <w:sz w:val="24"/>
        </w:rPr>
        <w:t>5</w:t>
      </w:r>
      <w:r w:rsidR="00C6506E">
        <w:rPr>
          <w:sz w:val="24"/>
        </w:rPr>
        <w:t xml:space="preserve"> </w:t>
      </w:r>
      <w:r w:rsidR="008E04C9">
        <w:rPr>
          <w:sz w:val="24"/>
        </w:rPr>
        <w:t>FR</w:t>
      </w:r>
      <w:r w:rsidR="00C304B8">
        <w:rPr>
          <w:sz w:val="24"/>
        </w:rPr>
        <w:t xml:space="preserve"> 42116</w:t>
      </w:r>
      <w:r w:rsidRPr="00AB66B2">
        <w:rPr>
          <w:sz w:val="24"/>
        </w:rPr>
        <w:t xml:space="preserve">).  </w:t>
      </w:r>
      <w:r w:rsidR="004C0164" w:rsidRPr="004C0164">
        <w:rPr>
          <w:sz w:val="24"/>
          <w:szCs w:val="24"/>
        </w:rPr>
        <w:t xml:space="preserve"> </w:t>
      </w:r>
      <w:r w:rsidR="004C0164" w:rsidRPr="00521E6E">
        <w:rPr>
          <w:sz w:val="24"/>
          <w:szCs w:val="24"/>
        </w:rPr>
        <w:t xml:space="preserve">We received </w:t>
      </w:r>
      <w:r w:rsidR="008128A4">
        <w:rPr>
          <w:sz w:val="24"/>
          <w:szCs w:val="24"/>
        </w:rPr>
        <w:t xml:space="preserve">a </w:t>
      </w:r>
      <w:r w:rsidR="004C0164" w:rsidRPr="00521E6E">
        <w:rPr>
          <w:sz w:val="24"/>
          <w:szCs w:val="24"/>
        </w:rPr>
        <w:t xml:space="preserve">comment from one individual </w:t>
      </w:r>
      <w:r w:rsidR="004C0164" w:rsidRPr="00FB0ADB">
        <w:rPr>
          <w:sz w:val="24"/>
          <w:szCs w:val="24"/>
        </w:rPr>
        <w:t xml:space="preserve">who objected to the use of </w:t>
      </w:r>
      <w:r w:rsidR="004C0164">
        <w:rPr>
          <w:sz w:val="24"/>
          <w:szCs w:val="24"/>
        </w:rPr>
        <w:t>the national parks</w:t>
      </w:r>
      <w:r w:rsidR="004C0164" w:rsidRPr="00FB0ADB">
        <w:rPr>
          <w:sz w:val="24"/>
          <w:szCs w:val="24"/>
        </w:rPr>
        <w:t xml:space="preserve"> for hunting, and related recreational uses.  The commenter did not address the necessity, clarity, or accuracy of the information collection, but suggested that we seek input </w:t>
      </w:r>
      <w:r w:rsidR="004C0164">
        <w:rPr>
          <w:sz w:val="24"/>
          <w:szCs w:val="24"/>
        </w:rPr>
        <w:t>concerning her objections to hunting inside the park boundaries</w:t>
      </w:r>
      <w:r w:rsidR="004C0164" w:rsidRPr="00FB0ADB">
        <w:rPr>
          <w:sz w:val="24"/>
          <w:szCs w:val="24"/>
        </w:rPr>
        <w:t xml:space="preserve">.  The proposed survey will include a representative sample of all visitors to the </w:t>
      </w:r>
      <w:r w:rsidR="004C0164">
        <w:rPr>
          <w:sz w:val="24"/>
          <w:szCs w:val="24"/>
        </w:rPr>
        <w:t>park</w:t>
      </w:r>
      <w:r w:rsidR="004C0164" w:rsidRPr="00FB0ADB">
        <w:rPr>
          <w:sz w:val="24"/>
          <w:szCs w:val="24"/>
        </w:rPr>
        <w:t>.  We did not make any changes to our information collection based on this comment.</w:t>
      </w:r>
    </w:p>
    <w:p w:rsidR="00D71712" w:rsidRDefault="00D71712" w:rsidP="004C0164">
      <w:pPr>
        <w:widowControl/>
        <w:rPr>
          <w:sz w:val="24"/>
        </w:rPr>
      </w:pPr>
    </w:p>
    <w:p w:rsidR="004C0164" w:rsidRDefault="004C0164" w:rsidP="004C0164">
      <w:pPr>
        <w:rPr>
          <w:sz w:val="24"/>
          <w:szCs w:val="24"/>
        </w:rPr>
      </w:pPr>
      <w:r w:rsidRPr="004C0164">
        <w:rPr>
          <w:sz w:val="24"/>
          <w:szCs w:val="24"/>
        </w:rPr>
        <w:t xml:space="preserve">In addition to our Federal Register notice, we solicited comments from </w:t>
      </w:r>
      <w:r>
        <w:rPr>
          <w:sz w:val="24"/>
          <w:szCs w:val="24"/>
        </w:rPr>
        <w:t xml:space="preserve">potential survey respondents </w:t>
      </w:r>
      <w:r w:rsidRPr="004C0164">
        <w:rPr>
          <w:sz w:val="24"/>
          <w:szCs w:val="24"/>
        </w:rPr>
        <w:t xml:space="preserve">to obtain their views on the clarity of the </w:t>
      </w:r>
      <w:r>
        <w:rPr>
          <w:sz w:val="24"/>
          <w:szCs w:val="24"/>
        </w:rPr>
        <w:t>questions</w:t>
      </w:r>
      <w:r w:rsidRPr="004C0164">
        <w:rPr>
          <w:sz w:val="24"/>
          <w:szCs w:val="24"/>
        </w:rPr>
        <w:t xml:space="preserve"> and the </w:t>
      </w:r>
      <w:r>
        <w:rPr>
          <w:sz w:val="24"/>
          <w:szCs w:val="24"/>
        </w:rPr>
        <w:t xml:space="preserve">estimated </w:t>
      </w:r>
      <w:r w:rsidRPr="004C0164">
        <w:rPr>
          <w:sz w:val="24"/>
          <w:szCs w:val="24"/>
        </w:rPr>
        <w:t xml:space="preserve">burden </w:t>
      </w:r>
      <w:r>
        <w:rPr>
          <w:sz w:val="24"/>
          <w:szCs w:val="24"/>
        </w:rPr>
        <w:t>time to complete the survey.</w:t>
      </w:r>
      <w:r w:rsidRPr="004C0164">
        <w:rPr>
          <w:sz w:val="24"/>
          <w:szCs w:val="24"/>
        </w:rPr>
        <w:t xml:space="preserve"> </w:t>
      </w:r>
      <w:r w:rsidR="00036113" w:rsidRPr="004C0164">
        <w:rPr>
          <w:sz w:val="24"/>
          <w:szCs w:val="24"/>
        </w:rPr>
        <w:t>We incorporated their suggestions and comments</w:t>
      </w:r>
      <w:r w:rsidR="00036113">
        <w:rPr>
          <w:sz w:val="24"/>
          <w:szCs w:val="24"/>
        </w:rPr>
        <w:t xml:space="preserve"> conce</w:t>
      </w:r>
      <w:r w:rsidR="00DF6F65">
        <w:rPr>
          <w:sz w:val="24"/>
          <w:szCs w:val="24"/>
        </w:rPr>
        <w:t>r</w:t>
      </w:r>
      <w:r w:rsidR="00036113">
        <w:rPr>
          <w:sz w:val="24"/>
          <w:szCs w:val="24"/>
        </w:rPr>
        <w:t xml:space="preserve">ning grammatical </w:t>
      </w:r>
      <w:r w:rsidR="008128A4">
        <w:rPr>
          <w:sz w:val="24"/>
          <w:szCs w:val="24"/>
        </w:rPr>
        <w:t>edits</w:t>
      </w:r>
      <w:r w:rsidR="008128A4" w:rsidRPr="004C0164">
        <w:rPr>
          <w:sz w:val="24"/>
          <w:szCs w:val="24"/>
        </w:rPr>
        <w:t xml:space="preserve"> </w:t>
      </w:r>
      <w:r w:rsidR="00036113" w:rsidRPr="004C0164">
        <w:rPr>
          <w:sz w:val="24"/>
          <w:szCs w:val="24"/>
        </w:rPr>
        <w:t xml:space="preserve">in the final survey. </w:t>
      </w:r>
      <w:r w:rsidR="00036113">
        <w:rPr>
          <w:sz w:val="24"/>
          <w:szCs w:val="24"/>
        </w:rPr>
        <w:t xml:space="preserve"> </w:t>
      </w:r>
      <w:r w:rsidRPr="004C0164">
        <w:rPr>
          <w:sz w:val="24"/>
          <w:szCs w:val="24"/>
        </w:rPr>
        <w:t xml:space="preserve">The individuals contacted are listed in Table 1 below. </w:t>
      </w:r>
    </w:p>
    <w:p w:rsidR="00036113" w:rsidRDefault="00036113" w:rsidP="004C0164">
      <w:pPr>
        <w:rPr>
          <w:sz w:val="24"/>
          <w:szCs w:val="24"/>
        </w:rPr>
      </w:pPr>
    </w:p>
    <w:p w:rsidR="004C0164" w:rsidRPr="00036D81" w:rsidRDefault="004C0164" w:rsidP="004C0164">
      <w:pPr>
        <w:rPr>
          <w:b/>
          <w:sz w:val="22"/>
          <w:szCs w:val="22"/>
        </w:rPr>
      </w:pPr>
      <w:r w:rsidRPr="00036D81">
        <w:rPr>
          <w:b/>
          <w:sz w:val="22"/>
          <w:szCs w:val="22"/>
        </w:rPr>
        <w:t xml:space="preserve">Table 1. </w:t>
      </w:r>
      <w:bookmarkStart w:id="0" w:name="_GoBack"/>
      <w:bookmarkEnd w:id="0"/>
      <w:r w:rsidRPr="00036D81">
        <w:rPr>
          <w:b/>
          <w:sz w:val="22"/>
          <w:szCs w:val="22"/>
        </w:rPr>
        <w:t xml:space="preserve">Individuals Contacted </w:t>
      </w:r>
    </w:p>
    <w:p w:rsidR="004C0164" w:rsidRPr="00036D81" w:rsidRDefault="004C0164" w:rsidP="004C016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510"/>
        <w:gridCol w:w="2790"/>
      </w:tblGrid>
      <w:tr w:rsidR="004C0164" w:rsidRPr="00036D81" w:rsidTr="00EF72D6">
        <w:trPr>
          <w:trHeight w:val="1538"/>
        </w:trPr>
        <w:tc>
          <w:tcPr>
            <w:tcW w:w="2898" w:type="dxa"/>
          </w:tcPr>
          <w:p w:rsidR="004C0164" w:rsidRPr="008128A4" w:rsidRDefault="004C0164" w:rsidP="00BF6F14">
            <w:pPr>
              <w:widowControl/>
              <w:rPr>
                <w:b/>
                <w:iCs/>
                <w:sz w:val="22"/>
                <w:szCs w:val="22"/>
              </w:rPr>
            </w:pPr>
            <w:r w:rsidRPr="008128A4">
              <w:rPr>
                <w:b/>
                <w:iCs/>
                <w:sz w:val="22"/>
                <w:szCs w:val="22"/>
              </w:rPr>
              <w:t>Contact #1</w:t>
            </w:r>
          </w:p>
          <w:p w:rsidR="004C016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Nancy Holmes</w:t>
            </w:r>
          </w:p>
          <w:p w:rsidR="00C4658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P.O. Box 8981</w:t>
            </w:r>
          </w:p>
          <w:p w:rsidR="00C4658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Moscow, ID 83843</w:t>
            </w:r>
          </w:p>
          <w:p w:rsidR="00C4658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208-883-4918</w:t>
            </w:r>
          </w:p>
        </w:tc>
        <w:tc>
          <w:tcPr>
            <w:tcW w:w="3510" w:type="dxa"/>
          </w:tcPr>
          <w:p w:rsidR="004C0164" w:rsidRPr="008128A4" w:rsidRDefault="004C0164" w:rsidP="00BF6F14">
            <w:pPr>
              <w:widowControl/>
              <w:rPr>
                <w:b/>
                <w:sz w:val="22"/>
                <w:szCs w:val="22"/>
              </w:rPr>
            </w:pPr>
            <w:r w:rsidRPr="008128A4">
              <w:rPr>
                <w:b/>
                <w:sz w:val="22"/>
                <w:szCs w:val="22"/>
              </w:rPr>
              <w:t>Contact #2</w:t>
            </w:r>
          </w:p>
          <w:p w:rsidR="004C016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Will Boyd</w:t>
            </w:r>
          </w:p>
          <w:p w:rsidR="00C4658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P.O. Box 8605</w:t>
            </w:r>
          </w:p>
          <w:p w:rsidR="00C4658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Moscow, ID 83843</w:t>
            </w:r>
          </w:p>
          <w:p w:rsidR="00C46584" w:rsidRPr="008128A4" w:rsidRDefault="00C46584" w:rsidP="00BF6F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2"/>
                <w:szCs w:val="22"/>
              </w:rPr>
            </w:pPr>
            <w:r w:rsidRPr="008128A4">
              <w:rPr>
                <w:color w:val="000000"/>
                <w:sz w:val="22"/>
                <w:szCs w:val="22"/>
              </w:rPr>
              <w:t>208-301-4737</w:t>
            </w:r>
          </w:p>
        </w:tc>
        <w:tc>
          <w:tcPr>
            <w:tcW w:w="2790" w:type="dxa"/>
          </w:tcPr>
          <w:p w:rsidR="004C0164" w:rsidRPr="008128A4" w:rsidRDefault="004C0164" w:rsidP="00BF6F14">
            <w:pPr>
              <w:widowControl/>
              <w:rPr>
                <w:b/>
                <w:sz w:val="22"/>
                <w:szCs w:val="22"/>
              </w:rPr>
            </w:pPr>
            <w:r w:rsidRPr="008128A4">
              <w:rPr>
                <w:b/>
                <w:sz w:val="22"/>
                <w:szCs w:val="22"/>
              </w:rPr>
              <w:t>Contact #3</w:t>
            </w:r>
          </w:p>
          <w:p w:rsidR="00774201" w:rsidRPr="008128A4" w:rsidRDefault="00DB0F4B">
            <w:pPr>
              <w:widowControl/>
              <w:ind w:left="360"/>
              <w:rPr>
                <w:sz w:val="22"/>
                <w:szCs w:val="22"/>
              </w:rPr>
            </w:pPr>
            <w:r w:rsidRPr="008128A4">
              <w:rPr>
                <w:sz w:val="22"/>
                <w:szCs w:val="22"/>
              </w:rPr>
              <w:t>Cyndi Jette</w:t>
            </w:r>
          </w:p>
          <w:p w:rsidR="00774201" w:rsidRPr="008128A4" w:rsidRDefault="00DB0F4B">
            <w:pPr>
              <w:widowControl/>
              <w:ind w:left="360"/>
              <w:rPr>
                <w:sz w:val="22"/>
                <w:szCs w:val="22"/>
              </w:rPr>
            </w:pPr>
            <w:r w:rsidRPr="008128A4">
              <w:rPr>
                <w:sz w:val="22"/>
                <w:szCs w:val="22"/>
              </w:rPr>
              <w:t>928 West C</w:t>
            </w:r>
          </w:p>
          <w:p w:rsidR="00774201" w:rsidRPr="008128A4" w:rsidRDefault="00DB0F4B">
            <w:pPr>
              <w:widowControl/>
              <w:ind w:left="360"/>
              <w:rPr>
                <w:sz w:val="22"/>
                <w:szCs w:val="22"/>
              </w:rPr>
            </w:pPr>
            <w:r w:rsidRPr="008128A4">
              <w:rPr>
                <w:sz w:val="22"/>
                <w:szCs w:val="22"/>
              </w:rPr>
              <w:t>Moscow, ID 83843</w:t>
            </w:r>
          </w:p>
          <w:p w:rsidR="00774201" w:rsidRPr="008128A4" w:rsidRDefault="00DB0F4B">
            <w:pPr>
              <w:widowControl/>
              <w:ind w:left="360"/>
              <w:rPr>
                <w:b/>
                <w:sz w:val="22"/>
                <w:szCs w:val="22"/>
              </w:rPr>
            </w:pPr>
            <w:r w:rsidRPr="008128A4">
              <w:rPr>
                <w:sz w:val="22"/>
                <w:szCs w:val="22"/>
              </w:rPr>
              <w:t>208-310-9909</w:t>
            </w:r>
          </w:p>
        </w:tc>
      </w:tr>
      <w:tr w:rsidR="00036113" w:rsidRPr="00036D81" w:rsidTr="00EF72D6">
        <w:trPr>
          <w:trHeight w:val="1592"/>
        </w:trPr>
        <w:tc>
          <w:tcPr>
            <w:tcW w:w="2898" w:type="dxa"/>
          </w:tcPr>
          <w:p w:rsidR="00036113" w:rsidRPr="008128A4" w:rsidRDefault="00C46584" w:rsidP="00BF6F14">
            <w:pPr>
              <w:widowControl/>
              <w:rPr>
                <w:b/>
                <w:iCs/>
                <w:sz w:val="22"/>
                <w:szCs w:val="22"/>
              </w:rPr>
            </w:pPr>
            <w:r w:rsidRPr="008128A4">
              <w:rPr>
                <w:b/>
                <w:iCs/>
                <w:sz w:val="22"/>
                <w:szCs w:val="22"/>
              </w:rPr>
              <w:t>Contact #4</w:t>
            </w:r>
          </w:p>
          <w:p w:rsidR="00C46584" w:rsidRPr="008128A4" w:rsidRDefault="00C46584" w:rsidP="00C46584">
            <w:pPr>
              <w:widowControl/>
              <w:ind w:left="360"/>
              <w:rPr>
                <w:iCs/>
                <w:sz w:val="22"/>
                <w:szCs w:val="22"/>
              </w:rPr>
            </w:pPr>
            <w:r w:rsidRPr="008128A4">
              <w:rPr>
                <w:iCs/>
                <w:sz w:val="22"/>
                <w:szCs w:val="22"/>
              </w:rPr>
              <w:t>Lourana Swayne</w:t>
            </w:r>
          </w:p>
          <w:p w:rsidR="00C46584" w:rsidRPr="008128A4" w:rsidRDefault="00C46584" w:rsidP="00C46584">
            <w:pPr>
              <w:widowControl/>
              <w:ind w:left="360"/>
              <w:rPr>
                <w:iCs/>
                <w:sz w:val="22"/>
                <w:szCs w:val="22"/>
              </w:rPr>
            </w:pPr>
            <w:r w:rsidRPr="008128A4">
              <w:rPr>
                <w:iCs/>
                <w:sz w:val="22"/>
                <w:szCs w:val="22"/>
              </w:rPr>
              <w:t>315 N. Almon</w:t>
            </w:r>
          </w:p>
          <w:p w:rsidR="00C46584" w:rsidRPr="008128A4" w:rsidRDefault="00C46584" w:rsidP="00C46584">
            <w:pPr>
              <w:widowControl/>
              <w:ind w:left="360"/>
              <w:rPr>
                <w:iCs/>
                <w:sz w:val="22"/>
                <w:szCs w:val="22"/>
              </w:rPr>
            </w:pPr>
            <w:r w:rsidRPr="008128A4">
              <w:rPr>
                <w:iCs/>
                <w:sz w:val="22"/>
                <w:szCs w:val="22"/>
              </w:rPr>
              <w:t>Moscow, ID 83843</w:t>
            </w:r>
          </w:p>
          <w:p w:rsidR="00774201" w:rsidRPr="008128A4" w:rsidRDefault="00C46584">
            <w:pPr>
              <w:widowControl/>
              <w:ind w:left="360"/>
              <w:rPr>
                <w:iCs/>
                <w:sz w:val="22"/>
                <w:szCs w:val="22"/>
              </w:rPr>
            </w:pPr>
            <w:r w:rsidRPr="008128A4">
              <w:rPr>
                <w:iCs/>
                <w:sz w:val="22"/>
                <w:szCs w:val="22"/>
              </w:rPr>
              <w:t>208-882-4230</w:t>
            </w:r>
          </w:p>
        </w:tc>
        <w:tc>
          <w:tcPr>
            <w:tcW w:w="3510" w:type="dxa"/>
          </w:tcPr>
          <w:p w:rsidR="00036113" w:rsidRPr="008128A4" w:rsidRDefault="00A220F5" w:rsidP="00BF6F14">
            <w:pPr>
              <w:widowControl/>
              <w:rPr>
                <w:b/>
                <w:sz w:val="22"/>
                <w:szCs w:val="22"/>
              </w:rPr>
            </w:pPr>
            <w:r w:rsidRPr="008128A4">
              <w:rPr>
                <w:b/>
                <w:sz w:val="22"/>
                <w:szCs w:val="22"/>
              </w:rPr>
              <w:t>Contact #5</w:t>
            </w:r>
          </w:p>
          <w:p w:rsidR="00A220F5" w:rsidRPr="008128A4" w:rsidRDefault="00A220F5" w:rsidP="00A220F5">
            <w:pPr>
              <w:widowControl/>
              <w:ind w:left="360"/>
              <w:rPr>
                <w:sz w:val="22"/>
                <w:szCs w:val="22"/>
              </w:rPr>
            </w:pPr>
            <w:r w:rsidRPr="008128A4">
              <w:rPr>
                <w:sz w:val="22"/>
                <w:szCs w:val="22"/>
              </w:rPr>
              <w:t>Judy Kunth-Folts</w:t>
            </w:r>
          </w:p>
          <w:p w:rsidR="00A220F5" w:rsidRPr="008128A4" w:rsidRDefault="00A220F5" w:rsidP="00A220F5">
            <w:pPr>
              <w:widowControl/>
              <w:ind w:left="360"/>
              <w:rPr>
                <w:sz w:val="22"/>
                <w:szCs w:val="22"/>
              </w:rPr>
            </w:pPr>
            <w:r w:rsidRPr="008128A4">
              <w:rPr>
                <w:sz w:val="22"/>
                <w:szCs w:val="22"/>
              </w:rPr>
              <w:t>P.O. Box 168</w:t>
            </w:r>
          </w:p>
          <w:p w:rsidR="00A220F5" w:rsidRPr="008128A4" w:rsidRDefault="00A220F5" w:rsidP="00A220F5">
            <w:pPr>
              <w:widowControl/>
              <w:ind w:left="360"/>
              <w:rPr>
                <w:sz w:val="22"/>
                <w:szCs w:val="22"/>
              </w:rPr>
            </w:pPr>
            <w:r w:rsidRPr="008128A4">
              <w:rPr>
                <w:sz w:val="22"/>
                <w:szCs w:val="22"/>
              </w:rPr>
              <w:t>Yellowstone National Park, WY</w:t>
            </w:r>
          </w:p>
          <w:p w:rsidR="00A220F5" w:rsidRPr="008128A4" w:rsidRDefault="00A220F5" w:rsidP="00A220F5">
            <w:pPr>
              <w:widowControl/>
              <w:ind w:left="360"/>
              <w:rPr>
                <w:sz w:val="22"/>
                <w:szCs w:val="22"/>
              </w:rPr>
            </w:pPr>
            <w:r w:rsidRPr="008128A4">
              <w:rPr>
                <w:sz w:val="22"/>
                <w:szCs w:val="22"/>
              </w:rPr>
              <w:t>82190-0168</w:t>
            </w:r>
          </w:p>
          <w:p w:rsidR="00774201" w:rsidRPr="008128A4" w:rsidRDefault="00A220F5" w:rsidP="0053629B">
            <w:pPr>
              <w:widowControl/>
              <w:ind w:left="360"/>
              <w:rPr>
                <w:sz w:val="22"/>
                <w:szCs w:val="22"/>
              </w:rPr>
            </w:pPr>
            <w:r w:rsidRPr="008128A4">
              <w:rPr>
                <w:sz w:val="22"/>
                <w:szCs w:val="22"/>
              </w:rPr>
              <w:t>307-344-2255</w:t>
            </w:r>
          </w:p>
        </w:tc>
        <w:tc>
          <w:tcPr>
            <w:tcW w:w="2790" w:type="dxa"/>
          </w:tcPr>
          <w:p w:rsidR="00036113" w:rsidRPr="008128A4" w:rsidRDefault="00036113" w:rsidP="00BF6F14">
            <w:pPr>
              <w:widowControl/>
              <w:rPr>
                <w:b/>
                <w:sz w:val="22"/>
                <w:szCs w:val="22"/>
              </w:rPr>
            </w:pPr>
          </w:p>
        </w:tc>
      </w:tr>
    </w:tbl>
    <w:p w:rsidR="004C0164" w:rsidRDefault="004C016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9.</w:t>
      </w:r>
      <w:r w:rsidRPr="00AF72EC">
        <w:rPr>
          <w:b/>
          <w:sz w:val="24"/>
          <w:szCs w:val="24"/>
        </w:rPr>
        <w:tab/>
        <w:t>Explain any decision to provide any payment or gift to respondents, other than remuneration of contractors or grantees.</w:t>
      </w:r>
    </w:p>
    <w:p w:rsidR="00174A55" w:rsidRDefault="00174A55" w:rsidP="00597AE7">
      <w:pPr>
        <w:widowControl/>
        <w:ind w:left="360"/>
        <w:rPr>
          <w:sz w:val="24"/>
        </w:rPr>
      </w:pPr>
    </w:p>
    <w:p w:rsidR="00174A55" w:rsidRPr="00941579" w:rsidRDefault="00174A55" w:rsidP="00CB5C1F">
      <w:pPr>
        <w:widowControl/>
        <w:rPr>
          <w:sz w:val="24"/>
        </w:rPr>
      </w:pPr>
      <w:r>
        <w:rPr>
          <w:sz w:val="24"/>
        </w:rPr>
        <w:t>No payments or gifts will be provided to respondents.</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10.</w:t>
      </w:r>
      <w:r w:rsidRPr="00AF72EC">
        <w:rPr>
          <w:b/>
          <w:sz w:val="24"/>
          <w:szCs w:val="24"/>
        </w:rPr>
        <w:tab/>
        <w:t>Describe any assurance of confidentiality provided to respondents and the basis for the assurance in statute, regulation, or agency policy.</w:t>
      </w:r>
    </w:p>
    <w:p w:rsidR="00174A55" w:rsidRDefault="00174A55" w:rsidP="00597AE7">
      <w:pPr>
        <w:widowControl/>
        <w:ind w:left="360"/>
        <w:rPr>
          <w:color w:val="000000"/>
          <w:sz w:val="24"/>
        </w:rPr>
      </w:pPr>
    </w:p>
    <w:p w:rsidR="00174A55" w:rsidRDefault="00036113" w:rsidP="00036113">
      <w:pPr>
        <w:rPr>
          <w:sz w:val="24"/>
        </w:rPr>
      </w:pPr>
      <w:r>
        <w:rPr>
          <w:sz w:val="24"/>
          <w:szCs w:val="24"/>
        </w:rPr>
        <w:t>We will ask r</w:t>
      </w:r>
      <w:r w:rsidRPr="00FA49A2">
        <w:rPr>
          <w:sz w:val="24"/>
          <w:szCs w:val="24"/>
        </w:rPr>
        <w:t>espondents questions about the type of recre</w:t>
      </w:r>
      <w:r>
        <w:rPr>
          <w:sz w:val="24"/>
          <w:szCs w:val="24"/>
        </w:rPr>
        <w:t>ation activities they engage in, but will not collect any personal identifying information. We will aggregate a</w:t>
      </w:r>
      <w:r w:rsidRPr="007D0765">
        <w:rPr>
          <w:sz w:val="24"/>
          <w:szCs w:val="24"/>
        </w:rPr>
        <w:t xml:space="preserve">ll information collected </w:t>
      </w:r>
      <w:r>
        <w:rPr>
          <w:sz w:val="24"/>
          <w:szCs w:val="24"/>
        </w:rPr>
        <w:t xml:space="preserve">and </w:t>
      </w:r>
      <w:r w:rsidRPr="007D0765">
        <w:rPr>
          <w:sz w:val="24"/>
          <w:szCs w:val="24"/>
        </w:rPr>
        <w:t>use</w:t>
      </w:r>
      <w:r>
        <w:rPr>
          <w:sz w:val="24"/>
          <w:szCs w:val="24"/>
        </w:rPr>
        <w:t xml:space="preserve"> it only for statistical purposes. </w:t>
      </w:r>
      <w:r w:rsidR="00174A55" w:rsidRPr="00405D60">
        <w:rPr>
          <w:color w:val="000000"/>
          <w:sz w:val="24"/>
        </w:rPr>
        <w:t>No assurance of confidentiality will be provided to respondents</w:t>
      </w:r>
      <w:r w:rsidR="00BD4D1D">
        <w:rPr>
          <w:color w:val="000000"/>
          <w:sz w:val="24"/>
        </w:rPr>
        <w:t>.</w:t>
      </w: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11.</w:t>
      </w:r>
      <w:r w:rsidRPr="00AF72E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74A55" w:rsidRDefault="00174A55" w:rsidP="00597AE7">
      <w:pPr>
        <w:widowControl/>
        <w:ind w:left="360"/>
        <w:rPr>
          <w:sz w:val="24"/>
        </w:rPr>
      </w:pPr>
    </w:p>
    <w:p w:rsidR="00174A55" w:rsidRPr="00684C72" w:rsidRDefault="00174A55" w:rsidP="00036113">
      <w:pPr>
        <w:widowControl/>
        <w:rPr>
          <w:sz w:val="24"/>
        </w:rPr>
      </w:pPr>
      <w:r w:rsidRPr="00684C72">
        <w:rPr>
          <w:sz w:val="24"/>
        </w:rPr>
        <w:t>No questions of a sensitive nature will be asked.</w:t>
      </w:r>
      <w:r>
        <w:rPr>
          <w:sz w:val="24"/>
        </w:rPr>
        <w:t xml:space="preserve"> </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C6514" w:rsidRPr="00AF72EC" w:rsidRDefault="00CC6514" w:rsidP="00036113">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12.</w:t>
      </w:r>
      <w:r w:rsidRPr="00AF72EC">
        <w:rPr>
          <w:b/>
          <w:sz w:val="24"/>
          <w:szCs w:val="24"/>
        </w:rPr>
        <w:tab/>
        <w:t xml:space="preserve">Provide estimates of the hour burden of the collection of information.  </w:t>
      </w:r>
    </w:p>
    <w:p w:rsidR="0075020D" w:rsidRDefault="0075020D"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142EC6" w:rsidRDefault="00FE2E1E" w:rsidP="00FE2E1E">
      <w:pPr>
        <w:rPr>
          <w:sz w:val="24"/>
          <w:szCs w:val="24"/>
        </w:rPr>
      </w:pPr>
      <w:r w:rsidRPr="00EA2CF2">
        <w:rPr>
          <w:sz w:val="24"/>
          <w:szCs w:val="24"/>
        </w:rPr>
        <w:t xml:space="preserve">We estimate that the total burden for this collection will be </w:t>
      </w:r>
      <w:r w:rsidR="009B71BB">
        <w:rPr>
          <w:sz w:val="24"/>
          <w:szCs w:val="24"/>
        </w:rPr>
        <w:t>4,</w:t>
      </w:r>
      <w:r w:rsidR="005F6414">
        <w:rPr>
          <w:sz w:val="24"/>
          <w:szCs w:val="24"/>
        </w:rPr>
        <w:t>400</w:t>
      </w:r>
      <w:r w:rsidR="00324B91">
        <w:rPr>
          <w:sz w:val="24"/>
          <w:szCs w:val="24"/>
        </w:rPr>
        <w:t xml:space="preserve"> </w:t>
      </w:r>
      <w:r w:rsidRPr="00EA2CF2">
        <w:rPr>
          <w:sz w:val="24"/>
          <w:szCs w:val="24"/>
        </w:rPr>
        <w:t xml:space="preserve">hours. Our estimate is based upon our own experience with </w:t>
      </w:r>
      <w:r w:rsidR="00412ED4" w:rsidRPr="00EA2CF2">
        <w:rPr>
          <w:sz w:val="24"/>
          <w:szCs w:val="24"/>
        </w:rPr>
        <w:t>previous iterations of this</w:t>
      </w:r>
      <w:r w:rsidRPr="00EA2CF2">
        <w:rPr>
          <w:sz w:val="24"/>
          <w:szCs w:val="24"/>
        </w:rPr>
        <w:t xml:space="preserve"> collection plus the outreach described in item 8.  For this collection we have considered the time </w:t>
      </w:r>
      <w:r w:rsidR="00C85208">
        <w:rPr>
          <w:sz w:val="24"/>
          <w:szCs w:val="24"/>
        </w:rPr>
        <w:t xml:space="preserve">to </w:t>
      </w:r>
      <w:r w:rsidR="00412ED4" w:rsidRPr="00EA2CF2">
        <w:rPr>
          <w:sz w:val="24"/>
          <w:szCs w:val="24"/>
        </w:rPr>
        <w:t xml:space="preserve">contact the visitors, </w:t>
      </w:r>
      <w:r w:rsidRPr="00EA2CF2">
        <w:rPr>
          <w:sz w:val="24"/>
          <w:szCs w:val="24"/>
        </w:rPr>
        <w:t xml:space="preserve">and </w:t>
      </w:r>
      <w:r w:rsidR="00412ED4" w:rsidRPr="00EA2CF2">
        <w:rPr>
          <w:sz w:val="24"/>
          <w:szCs w:val="24"/>
        </w:rPr>
        <w:t xml:space="preserve">for each respondent to read and </w:t>
      </w:r>
      <w:r w:rsidRPr="00EA2CF2">
        <w:rPr>
          <w:sz w:val="24"/>
          <w:szCs w:val="24"/>
        </w:rPr>
        <w:t xml:space="preserve">complete the survey. </w:t>
      </w:r>
    </w:p>
    <w:p w:rsidR="00142EC6" w:rsidRDefault="00142EC6" w:rsidP="00FE2E1E">
      <w:pPr>
        <w:rPr>
          <w:sz w:val="24"/>
          <w:szCs w:val="24"/>
        </w:rPr>
      </w:pPr>
    </w:p>
    <w:p w:rsidR="00FE2E1E" w:rsidRPr="00EA2CF2" w:rsidRDefault="00142EC6" w:rsidP="00FE2E1E">
      <w:pPr>
        <w:rPr>
          <w:sz w:val="24"/>
          <w:szCs w:val="24"/>
        </w:rPr>
      </w:pPr>
      <w:r>
        <w:rPr>
          <w:sz w:val="24"/>
          <w:szCs w:val="24"/>
        </w:rPr>
        <w:t xml:space="preserve">At a </w:t>
      </w:r>
      <w:r w:rsidR="009B71BB">
        <w:rPr>
          <w:sz w:val="24"/>
          <w:szCs w:val="24"/>
        </w:rPr>
        <w:t xml:space="preserve">random </w:t>
      </w:r>
      <w:r>
        <w:rPr>
          <w:sz w:val="24"/>
          <w:szCs w:val="24"/>
        </w:rPr>
        <w:t xml:space="preserve">sample of </w:t>
      </w:r>
      <w:r w:rsidR="009B71BB">
        <w:rPr>
          <w:sz w:val="24"/>
          <w:szCs w:val="24"/>
        </w:rPr>
        <w:t xml:space="preserve">33 </w:t>
      </w:r>
      <w:r>
        <w:rPr>
          <w:sz w:val="24"/>
          <w:szCs w:val="24"/>
        </w:rPr>
        <w:t>parks</w:t>
      </w:r>
      <w:r w:rsidR="001B1B00">
        <w:rPr>
          <w:sz w:val="24"/>
          <w:szCs w:val="24"/>
        </w:rPr>
        <w:t xml:space="preserve"> </w:t>
      </w:r>
      <w:r>
        <w:rPr>
          <w:sz w:val="24"/>
          <w:szCs w:val="24"/>
        </w:rPr>
        <w:t>a non</w:t>
      </w:r>
      <w:r w:rsidR="004965AB">
        <w:rPr>
          <w:sz w:val="24"/>
          <w:szCs w:val="24"/>
        </w:rPr>
        <w:t>-</w:t>
      </w:r>
      <w:r>
        <w:rPr>
          <w:sz w:val="24"/>
          <w:szCs w:val="24"/>
        </w:rPr>
        <w:t xml:space="preserve">response bias check will be conducted where </w:t>
      </w:r>
      <w:r w:rsidR="003C29AA">
        <w:rPr>
          <w:sz w:val="24"/>
          <w:szCs w:val="24"/>
        </w:rPr>
        <w:t>13,200</w:t>
      </w:r>
      <w:r>
        <w:rPr>
          <w:sz w:val="24"/>
          <w:szCs w:val="24"/>
        </w:rPr>
        <w:t xml:space="preserve"> visitors will be asked 2 verbal questions.</w:t>
      </w:r>
      <w:r w:rsidR="0031655B">
        <w:rPr>
          <w:sz w:val="24"/>
          <w:szCs w:val="24"/>
        </w:rPr>
        <w:t xml:space="preserve"> The verbal questions will take </w:t>
      </w:r>
      <w:r w:rsidR="009B71BB">
        <w:rPr>
          <w:sz w:val="24"/>
          <w:szCs w:val="24"/>
        </w:rPr>
        <w:t>2</w:t>
      </w:r>
      <w:r w:rsidR="0031655B">
        <w:rPr>
          <w:sz w:val="24"/>
          <w:szCs w:val="24"/>
        </w:rPr>
        <w:t xml:space="preserve"> minute</w:t>
      </w:r>
      <w:r w:rsidR="005F6414">
        <w:rPr>
          <w:sz w:val="24"/>
          <w:szCs w:val="24"/>
        </w:rPr>
        <w:t>s</w:t>
      </w:r>
      <w:r w:rsidR="0031655B">
        <w:rPr>
          <w:sz w:val="24"/>
          <w:szCs w:val="24"/>
        </w:rPr>
        <w:t xml:space="preserve"> to listen to and respond (totaling </w:t>
      </w:r>
      <w:r w:rsidR="009B71BB">
        <w:rPr>
          <w:sz w:val="24"/>
          <w:szCs w:val="24"/>
        </w:rPr>
        <w:t>4</w:t>
      </w:r>
      <w:r w:rsidR="005F6414">
        <w:rPr>
          <w:sz w:val="24"/>
          <w:szCs w:val="24"/>
        </w:rPr>
        <w:t>40</w:t>
      </w:r>
      <w:r w:rsidR="0031655B">
        <w:rPr>
          <w:sz w:val="24"/>
          <w:szCs w:val="24"/>
        </w:rPr>
        <w:t xml:space="preserve"> burden hours). </w:t>
      </w:r>
    </w:p>
    <w:p w:rsidR="00FE2E1E" w:rsidRPr="00EA2CF2" w:rsidRDefault="00FE2E1E" w:rsidP="00FE2E1E">
      <w:pPr>
        <w:rPr>
          <w:sz w:val="24"/>
          <w:szCs w:val="24"/>
        </w:rPr>
      </w:pPr>
    </w:p>
    <w:p w:rsidR="00412ED4" w:rsidRDefault="00412ED4" w:rsidP="00FE2E1E">
      <w:pPr>
        <w:rPr>
          <w:rFonts w:eastAsia="Arial Unicode MS"/>
          <w:sz w:val="24"/>
          <w:szCs w:val="24"/>
        </w:rPr>
      </w:pPr>
      <w:r w:rsidRPr="00EA2CF2">
        <w:rPr>
          <w:rFonts w:eastAsia="Arial Unicode MS"/>
          <w:sz w:val="24"/>
          <w:szCs w:val="24"/>
        </w:rPr>
        <w:t xml:space="preserve">We estimate the total annual dollar value of the burden hours will be </w:t>
      </w:r>
      <w:r w:rsidR="00677513" w:rsidRPr="00117ECD">
        <w:rPr>
          <w:noProof/>
          <w:sz w:val="24"/>
          <w:szCs w:val="24"/>
          <w:lang w:val="en-CA"/>
        </w:rPr>
        <w:fldChar w:fldCharType="begin"/>
      </w:r>
      <w:r w:rsidR="00117ECD" w:rsidRPr="00117ECD">
        <w:rPr>
          <w:noProof/>
          <w:sz w:val="24"/>
          <w:szCs w:val="24"/>
          <w:lang w:val="en-CA"/>
        </w:rPr>
        <w:instrText xml:space="preserve"> =SUM(ABOVE) </w:instrText>
      </w:r>
      <w:r w:rsidR="00677513" w:rsidRPr="00117ECD">
        <w:rPr>
          <w:noProof/>
          <w:sz w:val="24"/>
          <w:szCs w:val="24"/>
          <w:lang w:val="en-CA"/>
        </w:rPr>
        <w:fldChar w:fldCharType="separate"/>
      </w:r>
      <w:r w:rsidR="00117ECD" w:rsidRPr="00117ECD">
        <w:rPr>
          <w:noProof/>
          <w:sz w:val="24"/>
          <w:szCs w:val="24"/>
          <w:lang w:val="en-CA"/>
        </w:rPr>
        <w:t>$</w:t>
      </w:r>
      <w:r w:rsidR="005F6414" w:rsidRPr="005F6414">
        <w:rPr>
          <w:noProof/>
          <w:sz w:val="24"/>
          <w:szCs w:val="24"/>
          <w:lang w:val="en-CA"/>
        </w:rPr>
        <w:t>120,296</w:t>
      </w:r>
      <w:r w:rsidR="00677513" w:rsidRPr="00117ECD">
        <w:rPr>
          <w:noProof/>
          <w:sz w:val="24"/>
          <w:szCs w:val="24"/>
          <w:lang w:val="en-CA"/>
        </w:rPr>
        <w:fldChar w:fldCharType="end"/>
      </w:r>
      <w:r w:rsidR="00DB4E43">
        <w:rPr>
          <w:rFonts w:eastAsia="Arial Unicode MS"/>
          <w:sz w:val="24"/>
          <w:szCs w:val="24"/>
        </w:rPr>
        <w:t xml:space="preserve">. </w:t>
      </w:r>
      <w:r w:rsidR="004D3011">
        <w:rPr>
          <w:rFonts w:eastAsia="Arial Unicode MS"/>
          <w:sz w:val="24"/>
          <w:szCs w:val="24"/>
        </w:rPr>
        <w:t>The hour cost is based on the</w:t>
      </w:r>
      <w:r w:rsidRPr="00EA2CF2">
        <w:rPr>
          <w:rFonts w:eastAsia="Arial Unicode MS"/>
          <w:sz w:val="24"/>
          <w:szCs w:val="24"/>
        </w:rPr>
        <w:t xml:space="preserve"> B</w:t>
      </w:r>
      <w:r w:rsidR="00DB4E43">
        <w:rPr>
          <w:rFonts w:eastAsia="Arial Unicode MS"/>
          <w:sz w:val="24"/>
          <w:szCs w:val="24"/>
        </w:rPr>
        <w:t>ureau of Labor Statistics (BLS)</w:t>
      </w:r>
      <w:r w:rsidRPr="00EA2CF2">
        <w:rPr>
          <w:rFonts w:eastAsia="Arial Unicode MS"/>
          <w:sz w:val="24"/>
          <w:szCs w:val="24"/>
        </w:rPr>
        <w:t xml:space="preserve"> news release USDL-10-</w:t>
      </w:r>
      <w:r w:rsidR="00DB4E43">
        <w:rPr>
          <w:rFonts w:eastAsia="Arial Unicode MS"/>
          <w:sz w:val="24"/>
          <w:szCs w:val="24"/>
        </w:rPr>
        <w:t>1241</w:t>
      </w:r>
      <w:r w:rsidR="004D3011">
        <w:rPr>
          <w:rFonts w:eastAsia="Arial Unicode MS"/>
          <w:sz w:val="24"/>
          <w:szCs w:val="24"/>
        </w:rPr>
        <w:t xml:space="preserve"> of </w:t>
      </w:r>
      <w:r w:rsidR="00DB4E43">
        <w:rPr>
          <w:rFonts w:eastAsia="Arial Unicode MS"/>
          <w:sz w:val="24"/>
          <w:szCs w:val="24"/>
        </w:rPr>
        <w:t>September 8</w:t>
      </w:r>
      <w:r w:rsidRPr="00EA2CF2">
        <w:rPr>
          <w:rFonts w:eastAsia="Arial Unicode MS"/>
          <w:sz w:val="24"/>
          <w:szCs w:val="24"/>
        </w:rPr>
        <w:t>,</w:t>
      </w:r>
      <w:r w:rsidR="00DB4E43">
        <w:rPr>
          <w:rFonts w:eastAsia="Arial Unicode MS"/>
          <w:sz w:val="24"/>
          <w:szCs w:val="24"/>
        </w:rPr>
        <w:t xml:space="preserve"> 2010</w:t>
      </w:r>
      <w:r w:rsidR="008B5C0C">
        <w:rPr>
          <w:rFonts w:eastAsia="Arial Unicode MS"/>
          <w:sz w:val="24"/>
          <w:szCs w:val="24"/>
        </w:rPr>
        <w:t>,</w:t>
      </w:r>
      <w:r w:rsidR="004D3011">
        <w:rPr>
          <w:rFonts w:eastAsia="Arial Unicode MS"/>
          <w:sz w:val="24"/>
          <w:szCs w:val="24"/>
        </w:rPr>
        <w:t xml:space="preserve"> </w:t>
      </w:r>
      <w:r w:rsidR="001F1E7A" w:rsidRPr="00EA2CF2">
        <w:rPr>
          <w:rFonts w:eastAsia="Arial Unicode MS"/>
          <w:sz w:val="24"/>
          <w:szCs w:val="24"/>
        </w:rPr>
        <w:t>to obtain the individual/household average hourly wage</w:t>
      </w:r>
      <w:r w:rsidR="001F1E7A">
        <w:rPr>
          <w:rFonts w:eastAsia="Arial Unicode MS"/>
          <w:sz w:val="24"/>
          <w:szCs w:val="24"/>
        </w:rPr>
        <w:t xml:space="preserve"> using the</w:t>
      </w:r>
      <w:r w:rsidR="001F1E7A" w:rsidRPr="00036D81">
        <w:rPr>
          <w:sz w:val="22"/>
          <w:szCs w:val="22"/>
        </w:rPr>
        <w:t xml:space="preserve"> average full compensation per hour including benefits for private industry </w:t>
      </w:r>
      <w:r w:rsidR="001F1E7A">
        <w:rPr>
          <w:sz w:val="22"/>
          <w:szCs w:val="22"/>
        </w:rPr>
        <w:t>(</w:t>
      </w:r>
      <w:hyperlink r:id="rId9" w:history="1">
        <w:r w:rsidR="001F1E7A" w:rsidRPr="001120A9">
          <w:rPr>
            <w:rStyle w:val="Hyperlink"/>
            <w:rFonts w:eastAsia="Arial Unicode MS"/>
            <w:sz w:val="24"/>
            <w:szCs w:val="24"/>
          </w:rPr>
          <w:t>http://www.bls.gov/news.release/pdf/ecec.pdf</w:t>
        </w:r>
      </w:hyperlink>
      <w:r w:rsidR="001F1E7A">
        <w:rPr>
          <w:rFonts w:eastAsia="Arial Unicode MS"/>
          <w:sz w:val="24"/>
          <w:szCs w:val="24"/>
        </w:rPr>
        <w:t xml:space="preserve">). </w:t>
      </w:r>
      <w:r w:rsidRPr="00EA2CF2">
        <w:rPr>
          <w:rFonts w:eastAsia="Arial Unicode MS"/>
          <w:sz w:val="24"/>
          <w:szCs w:val="24"/>
        </w:rPr>
        <w:t>According to this news release, the private industry hourly wage is $</w:t>
      </w:r>
      <w:r w:rsidR="00DB4E43">
        <w:rPr>
          <w:rFonts w:eastAsia="Arial Unicode MS"/>
          <w:sz w:val="24"/>
          <w:szCs w:val="24"/>
        </w:rPr>
        <w:t>27.34</w:t>
      </w:r>
      <w:r w:rsidRPr="00EA2CF2">
        <w:rPr>
          <w:rFonts w:eastAsia="Arial Unicode MS"/>
          <w:sz w:val="24"/>
          <w:szCs w:val="24"/>
        </w:rPr>
        <w:t xml:space="preserve">, </w:t>
      </w:r>
      <w:r w:rsidRPr="00EA2CF2">
        <w:rPr>
          <w:sz w:val="24"/>
          <w:szCs w:val="24"/>
        </w:rPr>
        <w:t>(average hourly wage is $19.</w:t>
      </w:r>
      <w:r w:rsidR="00DB4E43">
        <w:rPr>
          <w:sz w:val="24"/>
          <w:szCs w:val="24"/>
        </w:rPr>
        <w:t>53</w:t>
      </w:r>
      <w:r w:rsidRPr="00EA2CF2">
        <w:rPr>
          <w:sz w:val="24"/>
          <w:szCs w:val="24"/>
        </w:rPr>
        <w:t xml:space="preserve"> multiplied by 1.4 to account for benefits).  </w:t>
      </w:r>
      <w:r w:rsidRPr="00EA2CF2">
        <w:rPr>
          <w:rFonts w:eastAsia="Arial Unicode MS"/>
          <w:sz w:val="24"/>
          <w:szCs w:val="24"/>
        </w:rPr>
        <w:t>We used this information to calculate the value of respondent burden hours</w:t>
      </w:r>
      <w:r w:rsidR="009D7680">
        <w:rPr>
          <w:rFonts w:eastAsia="Arial Unicode MS"/>
          <w:sz w:val="24"/>
          <w:szCs w:val="24"/>
        </w:rPr>
        <w:t>.</w:t>
      </w:r>
    </w:p>
    <w:p w:rsidR="00EA2CF2" w:rsidRDefault="00EA2CF2" w:rsidP="00FE2E1E">
      <w:pPr>
        <w:rPr>
          <w:rFonts w:eastAsia="Arial Unicode MS"/>
          <w:sz w:val="24"/>
          <w:szCs w:val="24"/>
        </w:rPr>
      </w:pPr>
    </w:p>
    <w:p w:rsidR="00036113" w:rsidRDefault="00036113" w:rsidP="00036113">
      <w:pPr>
        <w:pStyle w:val="BodyText"/>
        <w:rPr>
          <w:b w:val="0"/>
          <w:bCs/>
        </w:rPr>
      </w:pPr>
      <w:r w:rsidRPr="00EA2CF2">
        <w:rPr>
          <w:b w:val="0"/>
          <w:bCs/>
        </w:rPr>
        <w:t>The projected number of respondents and the estimated burden for the VSC are indicated in the table</w:t>
      </w:r>
      <w:r w:rsidR="001F1E7A">
        <w:rPr>
          <w:b w:val="0"/>
          <w:bCs/>
        </w:rPr>
        <w:t xml:space="preserve"> 2 below.</w:t>
      </w:r>
    </w:p>
    <w:p w:rsidR="001F1E7A" w:rsidRDefault="001F1E7A" w:rsidP="00036113">
      <w:pPr>
        <w:pStyle w:val="BodyText"/>
        <w:rPr>
          <w:b w:val="0"/>
          <w:bCs/>
        </w:rPr>
      </w:pPr>
    </w:p>
    <w:p w:rsidR="003C29AA" w:rsidRDefault="003C29AA" w:rsidP="001F1E7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1F1E7A" w:rsidRPr="00720812" w:rsidRDefault="001F1E7A" w:rsidP="001F1E7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20812">
        <w:rPr>
          <w:b/>
          <w:sz w:val="22"/>
          <w:szCs w:val="22"/>
        </w:rPr>
        <w:t>Table 2. Estimated Dollar Value of Annual Burden Hours</w:t>
      </w:r>
    </w:p>
    <w:p w:rsidR="001F1E7A" w:rsidRDefault="001F1E7A" w:rsidP="00036113">
      <w:pPr>
        <w:pStyle w:val="BodyText"/>
        <w:rPr>
          <w:b w:val="0"/>
          <w:bCs/>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260"/>
        <w:gridCol w:w="1620"/>
        <w:gridCol w:w="1170"/>
        <w:gridCol w:w="1350"/>
        <w:gridCol w:w="1440"/>
      </w:tblGrid>
      <w:tr w:rsidR="00840E83" w:rsidRPr="00840E83" w:rsidTr="005F6414">
        <w:trPr>
          <w:trHeight w:val="861"/>
        </w:trPr>
        <w:tc>
          <w:tcPr>
            <w:tcW w:w="2430" w:type="dxa"/>
            <w:shd w:val="clear" w:color="auto" w:fill="D9D9D9" w:themeFill="background1" w:themeFillShade="D9"/>
            <w:vAlign w:val="center"/>
          </w:tcPr>
          <w:p w:rsidR="00840E83" w:rsidRPr="00840E83" w:rsidRDefault="00840E83" w:rsidP="000F370A">
            <w:pPr>
              <w:jc w:val="center"/>
              <w:rPr>
                <w:b/>
                <w:lang w:val="en-CA"/>
              </w:rPr>
            </w:pPr>
            <w:r w:rsidRPr="00840E83">
              <w:rPr>
                <w:b/>
                <w:lang w:val="en-CA"/>
              </w:rPr>
              <w:t>Intercepted Visitors</w:t>
            </w:r>
          </w:p>
          <w:p w:rsidR="00840E83" w:rsidRPr="00840E83" w:rsidRDefault="00840E83" w:rsidP="005F6414">
            <w:pPr>
              <w:jc w:val="center"/>
              <w:rPr>
                <w:b/>
                <w:bCs/>
                <w:i/>
                <w:iCs/>
                <w:lang w:val="en-CA"/>
              </w:rPr>
            </w:pPr>
            <w:r w:rsidRPr="00840E83">
              <w:rPr>
                <w:b/>
                <w:lang w:val="en-CA"/>
              </w:rPr>
              <w:t xml:space="preserve">at </w:t>
            </w:r>
            <w:r w:rsidR="005F6414" w:rsidRPr="00840E83">
              <w:rPr>
                <w:b/>
                <w:lang w:val="en-CA"/>
              </w:rPr>
              <w:t>2</w:t>
            </w:r>
            <w:r w:rsidR="005F6414">
              <w:rPr>
                <w:b/>
                <w:lang w:val="en-CA"/>
              </w:rPr>
              <w:t>9</w:t>
            </w:r>
            <w:r w:rsidR="005F6414" w:rsidRPr="00840E83">
              <w:rPr>
                <w:b/>
                <w:lang w:val="en-CA"/>
              </w:rPr>
              <w:t>7</w:t>
            </w:r>
            <w:r w:rsidR="005F6414">
              <w:rPr>
                <w:b/>
                <w:lang w:val="en-CA"/>
              </w:rPr>
              <w:t xml:space="preserve"> </w:t>
            </w:r>
            <w:r w:rsidRPr="00840E83">
              <w:rPr>
                <w:b/>
                <w:lang w:val="en-CA"/>
              </w:rPr>
              <w:t>NPS sites</w:t>
            </w:r>
          </w:p>
        </w:tc>
        <w:tc>
          <w:tcPr>
            <w:tcW w:w="1260" w:type="dxa"/>
            <w:shd w:val="clear" w:color="auto" w:fill="D9D9D9" w:themeFill="background1" w:themeFillShade="D9"/>
          </w:tcPr>
          <w:p w:rsidR="00840E83" w:rsidRPr="00840E83" w:rsidRDefault="00840E83" w:rsidP="000F370A">
            <w:pPr>
              <w:jc w:val="center"/>
              <w:rPr>
                <w:b/>
                <w:bCs/>
                <w:i/>
                <w:iCs/>
                <w:lang w:val="en-CA"/>
              </w:rPr>
            </w:pPr>
            <w:r w:rsidRPr="00840E83">
              <w:rPr>
                <w:b/>
                <w:bCs/>
                <w:i/>
                <w:iCs/>
                <w:lang w:val="en-CA"/>
              </w:rPr>
              <w:t>Annual Number of Responses</w:t>
            </w:r>
          </w:p>
        </w:tc>
        <w:tc>
          <w:tcPr>
            <w:tcW w:w="1620" w:type="dxa"/>
            <w:shd w:val="clear" w:color="auto" w:fill="D9D9D9" w:themeFill="background1" w:themeFillShade="D9"/>
          </w:tcPr>
          <w:p w:rsidR="00840E83" w:rsidRPr="00840E83" w:rsidRDefault="00840E83" w:rsidP="000F370A">
            <w:pPr>
              <w:jc w:val="center"/>
              <w:rPr>
                <w:b/>
                <w:bCs/>
                <w:i/>
                <w:iCs/>
                <w:lang w:val="en-CA"/>
              </w:rPr>
            </w:pPr>
            <w:r w:rsidRPr="00840E83">
              <w:rPr>
                <w:b/>
                <w:bCs/>
                <w:i/>
                <w:iCs/>
                <w:lang w:val="en-CA"/>
              </w:rPr>
              <w:t>Estimated Completion Time per Response</w:t>
            </w:r>
          </w:p>
        </w:tc>
        <w:tc>
          <w:tcPr>
            <w:tcW w:w="1170" w:type="dxa"/>
            <w:shd w:val="clear" w:color="auto" w:fill="D9D9D9" w:themeFill="background1" w:themeFillShade="D9"/>
          </w:tcPr>
          <w:p w:rsidR="00840E83" w:rsidRPr="00840E83" w:rsidRDefault="00840E83" w:rsidP="000F370A">
            <w:pPr>
              <w:jc w:val="center"/>
              <w:rPr>
                <w:b/>
                <w:bCs/>
                <w:i/>
                <w:iCs/>
                <w:lang w:val="en-CA"/>
              </w:rPr>
            </w:pPr>
            <w:r w:rsidRPr="00840E83">
              <w:rPr>
                <w:b/>
                <w:bCs/>
                <w:i/>
                <w:iCs/>
                <w:lang w:val="en-CA"/>
              </w:rPr>
              <w:t>Total Annual Burden Hours</w:t>
            </w:r>
          </w:p>
        </w:tc>
        <w:tc>
          <w:tcPr>
            <w:tcW w:w="1350" w:type="dxa"/>
            <w:shd w:val="clear" w:color="auto" w:fill="D9D9D9" w:themeFill="background1" w:themeFillShade="D9"/>
          </w:tcPr>
          <w:p w:rsidR="00840E83" w:rsidRPr="00840E83" w:rsidRDefault="00840E83" w:rsidP="000F370A">
            <w:pPr>
              <w:jc w:val="center"/>
              <w:rPr>
                <w:b/>
                <w:bCs/>
                <w:i/>
                <w:iCs/>
                <w:lang w:val="en-CA"/>
              </w:rPr>
            </w:pPr>
            <w:r w:rsidRPr="00840E83">
              <w:rPr>
                <w:b/>
                <w:bCs/>
                <w:i/>
                <w:iCs/>
                <w:lang w:val="en-CA"/>
              </w:rPr>
              <w:t>Dollar Value of Burden Hour  Including Benefits</w:t>
            </w:r>
          </w:p>
        </w:tc>
        <w:tc>
          <w:tcPr>
            <w:tcW w:w="1440" w:type="dxa"/>
            <w:shd w:val="clear" w:color="auto" w:fill="D9D9D9" w:themeFill="background1" w:themeFillShade="D9"/>
          </w:tcPr>
          <w:p w:rsidR="00840E83" w:rsidRPr="00840E83" w:rsidRDefault="00840E83" w:rsidP="000F370A">
            <w:pPr>
              <w:jc w:val="center"/>
              <w:rPr>
                <w:b/>
                <w:bCs/>
                <w:i/>
                <w:lang w:val="en-CA"/>
              </w:rPr>
            </w:pPr>
            <w:r w:rsidRPr="00840E83">
              <w:rPr>
                <w:b/>
                <w:i/>
                <w:lang w:val="en-CA"/>
              </w:rPr>
              <w:t xml:space="preserve">Total Dollar Value of Annual Burden Hours* </w:t>
            </w:r>
          </w:p>
        </w:tc>
      </w:tr>
      <w:tr w:rsidR="00840E83" w:rsidRPr="0053629B" w:rsidTr="005F6414">
        <w:trPr>
          <w:trHeight w:val="530"/>
        </w:trPr>
        <w:tc>
          <w:tcPr>
            <w:tcW w:w="2430" w:type="dxa"/>
            <w:vAlign w:val="center"/>
          </w:tcPr>
          <w:p w:rsidR="00840E83" w:rsidRPr="0053629B" w:rsidRDefault="00840E83" w:rsidP="000F370A">
            <w:pPr>
              <w:rPr>
                <w:sz w:val="22"/>
                <w:szCs w:val="22"/>
                <w:lang w:val="en-CA"/>
              </w:rPr>
            </w:pPr>
            <w:r w:rsidRPr="0053629B">
              <w:rPr>
                <w:sz w:val="22"/>
                <w:szCs w:val="22"/>
                <w:lang w:val="en-CA"/>
              </w:rPr>
              <w:t>Initial contact</w:t>
            </w:r>
          </w:p>
        </w:tc>
        <w:tc>
          <w:tcPr>
            <w:tcW w:w="1260" w:type="dxa"/>
            <w:vAlign w:val="center"/>
          </w:tcPr>
          <w:p w:rsidR="00840E83" w:rsidRPr="0053629B" w:rsidRDefault="00840E83" w:rsidP="000F370A">
            <w:pPr>
              <w:jc w:val="center"/>
              <w:rPr>
                <w:sz w:val="22"/>
                <w:szCs w:val="22"/>
                <w:lang w:val="en-CA"/>
              </w:rPr>
            </w:pPr>
            <w:r>
              <w:rPr>
                <w:sz w:val="22"/>
                <w:szCs w:val="22"/>
                <w:lang w:val="en-CA"/>
              </w:rPr>
              <w:t>118,800</w:t>
            </w:r>
          </w:p>
        </w:tc>
        <w:tc>
          <w:tcPr>
            <w:tcW w:w="1620" w:type="dxa"/>
            <w:vAlign w:val="center"/>
          </w:tcPr>
          <w:p w:rsidR="00840E83" w:rsidRPr="0053629B" w:rsidRDefault="00840E83" w:rsidP="000F370A">
            <w:pPr>
              <w:jc w:val="center"/>
              <w:rPr>
                <w:sz w:val="22"/>
                <w:szCs w:val="22"/>
                <w:lang w:val="en-CA"/>
              </w:rPr>
            </w:pPr>
            <w:r>
              <w:rPr>
                <w:sz w:val="22"/>
                <w:szCs w:val="22"/>
                <w:lang w:val="en-CA"/>
              </w:rPr>
              <w:t xml:space="preserve">1 </w:t>
            </w:r>
            <w:r w:rsidRPr="0053629B">
              <w:rPr>
                <w:sz w:val="22"/>
                <w:szCs w:val="22"/>
                <w:lang w:val="en-CA"/>
              </w:rPr>
              <w:t>minute</w:t>
            </w:r>
          </w:p>
        </w:tc>
        <w:tc>
          <w:tcPr>
            <w:tcW w:w="1170" w:type="dxa"/>
            <w:vAlign w:val="center"/>
          </w:tcPr>
          <w:p w:rsidR="00840E83" w:rsidRPr="0053629B" w:rsidRDefault="00840E83" w:rsidP="000F370A">
            <w:pPr>
              <w:jc w:val="center"/>
              <w:rPr>
                <w:sz w:val="22"/>
                <w:szCs w:val="22"/>
                <w:lang w:val="en-CA"/>
              </w:rPr>
            </w:pPr>
            <w:r>
              <w:rPr>
                <w:sz w:val="22"/>
                <w:szCs w:val="22"/>
                <w:lang w:val="en-CA"/>
              </w:rPr>
              <w:t>1,980</w:t>
            </w:r>
          </w:p>
        </w:tc>
        <w:tc>
          <w:tcPr>
            <w:tcW w:w="1350" w:type="dxa"/>
            <w:vAlign w:val="center"/>
          </w:tcPr>
          <w:p w:rsidR="00840E83" w:rsidRPr="0053629B" w:rsidRDefault="00840E83" w:rsidP="000F370A">
            <w:pPr>
              <w:jc w:val="center"/>
              <w:rPr>
                <w:sz w:val="22"/>
                <w:szCs w:val="22"/>
                <w:lang w:val="en-CA"/>
              </w:rPr>
            </w:pPr>
            <w:r w:rsidRPr="0053629B">
              <w:rPr>
                <w:sz w:val="22"/>
                <w:szCs w:val="22"/>
                <w:lang w:val="en-CA"/>
              </w:rPr>
              <w:t>$27.34</w:t>
            </w:r>
          </w:p>
        </w:tc>
        <w:tc>
          <w:tcPr>
            <w:tcW w:w="1440" w:type="dxa"/>
            <w:vAlign w:val="center"/>
          </w:tcPr>
          <w:p w:rsidR="00840E83" w:rsidRPr="0053629B" w:rsidRDefault="005F6414" w:rsidP="000F370A">
            <w:pPr>
              <w:jc w:val="center"/>
              <w:rPr>
                <w:sz w:val="22"/>
                <w:szCs w:val="22"/>
                <w:lang w:val="en-CA"/>
              </w:rPr>
            </w:pPr>
            <w:r>
              <w:rPr>
                <w:sz w:val="22"/>
                <w:szCs w:val="22"/>
                <w:lang w:val="en-CA"/>
              </w:rPr>
              <w:t>$</w:t>
            </w:r>
            <w:r w:rsidR="00840E83">
              <w:rPr>
                <w:sz w:val="22"/>
                <w:szCs w:val="22"/>
                <w:lang w:val="en-CA"/>
              </w:rPr>
              <w:t>54,133</w:t>
            </w:r>
          </w:p>
        </w:tc>
      </w:tr>
      <w:tr w:rsidR="00840E83" w:rsidRPr="0053629B" w:rsidTr="005F6414">
        <w:trPr>
          <w:trHeight w:val="620"/>
        </w:trPr>
        <w:tc>
          <w:tcPr>
            <w:tcW w:w="2430" w:type="dxa"/>
            <w:tcBorders>
              <w:bottom w:val="single" w:sz="4" w:space="0" w:color="auto"/>
            </w:tcBorders>
          </w:tcPr>
          <w:p w:rsidR="00840E83" w:rsidRDefault="00840E83" w:rsidP="000F370A">
            <w:pPr>
              <w:rPr>
                <w:sz w:val="22"/>
                <w:szCs w:val="22"/>
                <w:lang w:val="en-CA"/>
              </w:rPr>
            </w:pPr>
            <w:r>
              <w:rPr>
                <w:sz w:val="22"/>
                <w:szCs w:val="22"/>
                <w:lang w:val="en-CA"/>
              </w:rPr>
              <w:t>V</w:t>
            </w:r>
            <w:r w:rsidRPr="0053629B">
              <w:rPr>
                <w:sz w:val="22"/>
                <w:szCs w:val="22"/>
                <w:lang w:val="en-CA"/>
              </w:rPr>
              <w:t>isitors completing the survey</w:t>
            </w:r>
            <w:r>
              <w:rPr>
                <w:sz w:val="22"/>
                <w:szCs w:val="22"/>
                <w:lang w:val="en-CA"/>
              </w:rPr>
              <w:t xml:space="preserve"> </w:t>
            </w:r>
          </w:p>
          <w:p w:rsidR="00840E83" w:rsidRPr="0053629B" w:rsidRDefault="00840E83" w:rsidP="000F370A">
            <w:pPr>
              <w:rPr>
                <w:sz w:val="22"/>
                <w:szCs w:val="22"/>
                <w:lang w:val="en-CA"/>
              </w:rPr>
            </w:pPr>
            <w:r>
              <w:rPr>
                <w:sz w:val="22"/>
                <w:szCs w:val="22"/>
                <w:lang w:val="en-CA"/>
              </w:rPr>
              <w:t>(responses)</w:t>
            </w:r>
          </w:p>
        </w:tc>
        <w:tc>
          <w:tcPr>
            <w:tcW w:w="1260" w:type="dxa"/>
            <w:tcBorders>
              <w:bottom w:val="single" w:sz="4" w:space="0" w:color="auto"/>
            </w:tcBorders>
            <w:vAlign w:val="center"/>
          </w:tcPr>
          <w:p w:rsidR="00840E83" w:rsidRPr="0053629B" w:rsidRDefault="00840E83" w:rsidP="000F370A">
            <w:pPr>
              <w:jc w:val="center"/>
              <w:rPr>
                <w:sz w:val="22"/>
                <w:szCs w:val="22"/>
                <w:lang w:val="en-CA"/>
              </w:rPr>
            </w:pPr>
            <w:r>
              <w:rPr>
                <w:sz w:val="22"/>
                <w:szCs w:val="22"/>
                <w:lang w:val="en-CA"/>
              </w:rPr>
              <w:t>35,640</w:t>
            </w:r>
          </w:p>
        </w:tc>
        <w:tc>
          <w:tcPr>
            <w:tcW w:w="1620" w:type="dxa"/>
            <w:tcBorders>
              <w:bottom w:val="single" w:sz="4" w:space="0" w:color="auto"/>
            </w:tcBorders>
            <w:vAlign w:val="center"/>
          </w:tcPr>
          <w:p w:rsidR="00840E83" w:rsidRPr="0053629B" w:rsidRDefault="00840E83" w:rsidP="000F370A">
            <w:pPr>
              <w:jc w:val="center"/>
              <w:rPr>
                <w:sz w:val="22"/>
                <w:szCs w:val="22"/>
                <w:lang w:val="en-CA"/>
              </w:rPr>
            </w:pPr>
            <w:r>
              <w:rPr>
                <w:sz w:val="22"/>
                <w:szCs w:val="22"/>
                <w:lang w:val="en-CA"/>
              </w:rPr>
              <w:t xml:space="preserve">3 </w:t>
            </w:r>
            <w:r w:rsidRPr="0053629B">
              <w:rPr>
                <w:sz w:val="22"/>
                <w:szCs w:val="22"/>
                <w:lang w:val="en-CA"/>
              </w:rPr>
              <w:t>minutes</w:t>
            </w:r>
          </w:p>
        </w:tc>
        <w:tc>
          <w:tcPr>
            <w:tcW w:w="1170" w:type="dxa"/>
            <w:tcBorders>
              <w:bottom w:val="single" w:sz="4" w:space="0" w:color="auto"/>
            </w:tcBorders>
            <w:vAlign w:val="center"/>
          </w:tcPr>
          <w:p w:rsidR="00840E83" w:rsidRPr="0053629B" w:rsidRDefault="00840E83" w:rsidP="000F370A">
            <w:pPr>
              <w:jc w:val="center"/>
              <w:rPr>
                <w:sz w:val="22"/>
                <w:szCs w:val="22"/>
                <w:lang w:val="en-CA"/>
              </w:rPr>
            </w:pPr>
            <w:r>
              <w:rPr>
                <w:sz w:val="22"/>
                <w:szCs w:val="22"/>
                <w:lang w:val="en-CA"/>
              </w:rPr>
              <w:t>1,782</w:t>
            </w:r>
          </w:p>
        </w:tc>
        <w:tc>
          <w:tcPr>
            <w:tcW w:w="1350" w:type="dxa"/>
            <w:tcBorders>
              <w:bottom w:val="single" w:sz="4" w:space="0" w:color="auto"/>
            </w:tcBorders>
            <w:vAlign w:val="center"/>
          </w:tcPr>
          <w:p w:rsidR="00840E83" w:rsidRPr="0053629B" w:rsidRDefault="00840E83" w:rsidP="000F370A">
            <w:pPr>
              <w:jc w:val="center"/>
              <w:rPr>
                <w:sz w:val="22"/>
                <w:szCs w:val="22"/>
                <w:lang w:val="en-CA"/>
              </w:rPr>
            </w:pPr>
            <w:r w:rsidRPr="0053629B">
              <w:rPr>
                <w:sz w:val="22"/>
                <w:szCs w:val="22"/>
                <w:lang w:val="en-CA"/>
              </w:rPr>
              <w:t>$27.34</w:t>
            </w:r>
          </w:p>
        </w:tc>
        <w:tc>
          <w:tcPr>
            <w:tcW w:w="1440" w:type="dxa"/>
            <w:tcBorders>
              <w:bottom w:val="single" w:sz="4" w:space="0" w:color="auto"/>
            </w:tcBorders>
            <w:vAlign w:val="center"/>
          </w:tcPr>
          <w:p w:rsidR="00840E83" w:rsidRPr="0053629B" w:rsidRDefault="00142072" w:rsidP="000F370A">
            <w:pPr>
              <w:jc w:val="center"/>
              <w:rPr>
                <w:sz w:val="22"/>
                <w:szCs w:val="22"/>
                <w:lang w:val="en-CA"/>
              </w:rPr>
            </w:pPr>
            <w:r>
              <w:rPr>
                <w:sz w:val="22"/>
                <w:szCs w:val="22"/>
                <w:lang w:val="en-CA"/>
              </w:rPr>
              <w:t>$</w:t>
            </w:r>
            <w:r w:rsidR="00840E83">
              <w:rPr>
                <w:sz w:val="22"/>
                <w:szCs w:val="22"/>
                <w:lang w:val="en-CA"/>
              </w:rPr>
              <w:t>48,720</w:t>
            </w:r>
          </w:p>
        </w:tc>
      </w:tr>
      <w:tr w:rsidR="002D0B6F" w:rsidRPr="00EA2CF2" w:rsidTr="005F6414">
        <w:trPr>
          <w:trHeight w:val="861"/>
        </w:trPr>
        <w:tc>
          <w:tcPr>
            <w:tcW w:w="2430" w:type="dxa"/>
            <w:shd w:val="clear" w:color="auto" w:fill="D9D9D9" w:themeFill="background1" w:themeFillShade="D9"/>
            <w:vAlign w:val="center"/>
          </w:tcPr>
          <w:p w:rsidR="00840E83" w:rsidRPr="00840E83" w:rsidRDefault="00840E83" w:rsidP="00840E83">
            <w:pPr>
              <w:jc w:val="center"/>
              <w:rPr>
                <w:b/>
                <w:lang w:val="en-CA"/>
              </w:rPr>
            </w:pPr>
            <w:r w:rsidRPr="00840E83">
              <w:rPr>
                <w:b/>
                <w:lang w:val="en-CA"/>
              </w:rPr>
              <w:t>Intercepted Visitors</w:t>
            </w:r>
          </w:p>
          <w:p w:rsidR="002D0B6F" w:rsidRPr="00840E83" w:rsidRDefault="00840E83" w:rsidP="005F6414">
            <w:pPr>
              <w:jc w:val="center"/>
              <w:rPr>
                <w:b/>
                <w:bCs/>
                <w:i/>
                <w:iCs/>
                <w:lang w:val="en-CA"/>
              </w:rPr>
            </w:pPr>
            <w:r w:rsidRPr="00840E83">
              <w:rPr>
                <w:b/>
                <w:lang w:val="en-CA"/>
              </w:rPr>
              <w:t xml:space="preserve">at </w:t>
            </w:r>
            <w:r w:rsidR="005F6414">
              <w:rPr>
                <w:b/>
                <w:lang w:val="en-CA"/>
              </w:rPr>
              <w:t>33</w:t>
            </w:r>
            <w:r w:rsidR="005F6414" w:rsidRPr="00840E83">
              <w:rPr>
                <w:b/>
                <w:lang w:val="en-CA"/>
              </w:rPr>
              <w:t xml:space="preserve"> </w:t>
            </w:r>
            <w:r w:rsidRPr="00840E83">
              <w:rPr>
                <w:b/>
                <w:lang w:val="en-CA"/>
              </w:rPr>
              <w:t>NPS sites</w:t>
            </w:r>
          </w:p>
        </w:tc>
        <w:tc>
          <w:tcPr>
            <w:tcW w:w="1260" w:type="dxa"/>
            <w:shd w:val="clear" w:color="auto" w:fill="D9D9D9" w:themeFill="background1" w:themeFillShade="D9"/>
          </w:tcPr>
          <w:p w:rsidR="002D0B6F" w:rsidRPr="00840E83" w:rsidRDefault="00DB0F4B" w:rsidP="00BF6F14">
            <w:pPr>
              <w:jc w:val="center"/>
              <w:rPr>
                <w:b/>
                <w:bCs/>
                <w:i/>
                <w:iCs/>
                <w:lang w:val="en-CA"/>
              </w:rPr>
            </w:pPr>
            <w:r w:rsidRPr="00840E83">
              <w:rPr>
                <w:b/>
                <w:bCs/>
                <w:i/>
                <w:iCs/>
                <w:lang w:val="en-CA"/>
              </w:rPr>
              <w:t>Annual Number of Responses</w:t>
            </w:r>
          </w:p>
        </w:tc>
        <w:tc>
          <w:tcPr>
            <w:tcW w:w="1620" w:type="dxa"/>
            <w:shd w:val="clear" w:color="auto" w:fill="D9D9D9" w:themeFill="background1" w:themeFillShade="D9"/>
          </w:tcPr>
          <w:p w:rsidR="002D0B6F" w:rsidRPr="00840E83" w:rsidRDefault="00DB0F4B" w:rsidP="00BF6F14">
            <w:pPr>
              <w:jc w:val="center"/>
              <w:rPr>
                <w:b/>
                <w:bCs/>
                <w:i/>
                <w:iCs/>
                <w:lang w:val="en-CA"/>
              </w:rPr>
            </w:pPr>
            <w:r w:rsidRPr="00840E83">
              <w:rPr>
                <w:b/>
                <w:bCs/>
                <w:i/>
                <w:iCs/>
                <w:lang w:val="en-CA"/>
              </w:rPr>
              <w:t>Estimated Completion Time per Response</w:t>
            </w:r>
          </w:p>
        </w:tc>
        <w:tc>
          <w:tcPr>
            <w:tcW w:w="1170" w:type="dxa"/>
            <w:shd w:val="clear" w:color="auto" w:fill="D9D9D9" w:themeFill="background1" w:themeFillShade="D9"/>
          </w:tcPr>
          <w:p w:rsidR="002D0B6F" w:rsidRPr="00840E83" w:rsidRDefault="00DB0F4B" w:rsidP="00BF6F14">
            <w:pPr>
              <w:jc w:val="center"/>
              <w:rPr>
                <w:b/>
                <w:bCs/>
                <w:i/>
                <w:iCs/>
                <w:lang w:val="en-CA"/>
              </w:rPr>
            </w:pPr>
            <w:r w:rsidRPr="00840E83">
              <w:rPr>
                <w:b/>
                <w:bCs/>
                <w:i/>
                <w:iCs/>
                <w:lang w:val="en-CA"/>
              </w:rPr>
              <w:t>Total Annual Burden Hours</w:t>
            </w:r>
          </w:p>
        </w:tc>
        <w:tc>
          <w:tcPr>
            <w:tcW w:w="1350" w:type="dxa"/>
            <w:shd w:val="clear" w:color="auto" w:fill="D9D9D9" w:themeFill="background1" w:themeFillShade="D9"/>
          </w:tcPr>
          <w:p w:rsidR="002D0B6F" w:rsidRPr="00840E83" w:rsidRDefault="00DB0F4B" w:rsidP="00BF6F14">
            <w:pPr>
              <w:jc w:val="center"/>
              <w:rPr>
                <w:b/>
                <w:bCs/>
                <w:i/>
                <w:iCs/>
                <w:lang w:val="en-CA"/>
              </w:rPr>
            </w:pPr>
            <w:r w:rsidRPr="00840E83">
              <w:rPr>
                <w:b/>
                <w:bCs/>
                <w:i/>
                <w:iCs/>
                <w:lang w:val="en-CA"/>
              </w:rPr>
              <w:t>Dollar Value of Burden Hour  Including Benefits</w:t>
            </w:r>
          </w:p>
        </w:tc>
        <w:tc>
          <w:tcPr>
            <w:tcW w:w="1440" w:type="dxa"/>
            <w:shd w:val="clear" w:color="auto" w:fill="D9D9D9" w:themeFill="background1" w:themeFillShade="D9"/>
          </w:tcPr>
          <w:p w:rsidR="002D0B6F" w:rsidRPr="00840E83" w:rsidRDefault="00DB0F4B" w:rsidP="00BF6F14">
            <w:pPr>
              <w:jc w:val="center"/>
              <w:rPr>
                <w:b/>
                <w:bCs/>
                <w:i/>
                <w:lang w:val="en-CA"/>
              </w:rPr>
            </w:pPr>
            <w:r w:rsidRPr="00840E83">
              <w:rPr>
                <w:b/>
                <w:i/>
                <w:lang w:val="en-CA"/>
              </w:rPr>
              <w:t xml:space="preserve">Total Dollar Value of Annual Burden Hours* </w:t>
            </w:r>
          </w:p>
        </w:tc>
      </w:tr>
      <w:tr w:rsidR="007E280B" w:rsidRPr="00036D81" w:rsidTr="005F6414">
        <w:trPr>
          <w:trHeight w:val="530"/>
        </w:trPr>
        <w:tc>
          <w:tcPr>
            <w:tcW w:w="2430" w:type="dxa"/>
            <w:vAlign w:val="center"/>
          </w:tcPr>
          <w:p w:rsidR="007E280B" w:rsidRPr="0053629B" w:rsidRDefault="007E280B" w:rsidP="00FE2E1E">
            <w:pPr>
              <w:rPr>
                <w:sz w:val="22"/>
                <w:szCs w:val="22"/>
                <w:lang w:val="en-CA"/>
              </w:rPr>
            </w:pPr>
            <w:r w:rsidRPr="0053629B">
              <w:rPr>
                <w:sz w:val="22"/>
                <w:szCs w:val="22"/>
                <w:lang w:val="en-CA"/>
              </w:rPr>
              <w:t>Initial contact</w:t>
            </w:r>
          </w:p>
        </w:tc>
        <w:tc>
          <w:tcPr>
            <w:tcW w:w="1260" w:type="dxa"/>
            <w:vAlign w:val="center"/>
          </w:tcPr>
          <w:p w:rsidR="007E280B" w:rsidRPr="000E2487" w:rsidDel="00454C2F" w:rsidRDefault="007E280B" w:rsidP="005F6414">
            <w:pPr>
              <w:jc w:val="center"/>
              <w:rPr>
                <w:sz w:val="22"/>
                <w:szCs w:val="22"/>
                <w:lang w:val="en-CA"/>
              </w:rPr>
            </w:pPr>
            <w:r w:rsidRPr="000E2487">
              <w:rPr>
                <w:sz w:val="22"/>
                <w:szCs w:val="22"/>
                <w:lang w:val="en-CA"/>
              </w:rPr>
              <w:t>1</w:t>
            </w:r>
            <w:r w:rsidR="005F6414">
              <w:rPr>
                <w:sz w:val="22"/>
                <w:szCs w:val="22"/>
                <w:lang w:val="en-CA"/>
              </w:rPr>
              <w:t>3</w:t>
            </w:r>
            <w:r w:rsidRPr="000E2487">
              <w:rPr>
                <w:sz w:val="22"/>
                <w:szCs w:val="22"/>
                <w:lang w:val="en-CA"/>
              </w:rPr>
              <w:t>,</w:t>
            </w:r>
            <w:r w:rsidR="005F6414">
              <w:rPr>
                <w:sz w:val="22"/>
                <w:szCs w:val="22"/>
                <w:lang w:val="en-CA"/>
              </w:rPr>
              <w:t>200</w:t>
            </w:r>
          </w:p>
        </w:tc>
        <w:tc>
          <w:tcPr>
            <w:tcW w:w="1620" w:type="dxa"/>
            <w:vAlign w:val="center"/>
          </w:tcPr>
          <w:p w:rsidR="007E280B" w:rsidRPr="000E2487" w:rsidRDefault="007E280B" w:rsidP="000F370A">
            <w:pPr>
              <w:jc w:val="center"/>
              <w:rPr>
                <w:sz w:val="22"/>
                <w:szCs w:val="22"/>
                <w:lang w:val="en-CA"/>
              </w:rPr>
            </w:pPr>
            <w:r>
              <w:rPr>
                <w:sz w:val="22"/>
                <w:szCs w:val="22"/>
                <w:lang w:val="en-CA"/>
              </w:rPr>
              <w:t>2</w:t>
            </w:r>
            <w:r w:rsidRPr="000E2487">
              <w:rPr>
                <w:sz w:val="22"/>
                <w:szCs w:val="22"/>
                <w:lang w:val="en-CA"/>
              </w:rPr>
              <w:t xml:space="preserve"> minute</w:t>
            </w:r>
            <w:r w:rsidR="005F6414">
              <w:rPr>
                <w:sz w:val="22"/>
                <w:szCs w:val="22"/>
                <w:lang w:val="en-CA"/>
              </w:rPr>
              <w:t>s</w:t>
            </w:r>
          </w:p>
        </w:tc>
        <w:tc>
          <w:tcPr>
            <w:tcW w:w="1170" w:type="dxa"/>
            <w:vAlign w:val="center"/>
          </w:tcPr>
          <w:p w:rsidR="007E280B" w:rsidRPr="000E2487" w:rsidDel="00454C2F" w:rsidRDefault="005F6414" w:rsidP="000F370A">
            <w:pPr>
              <w:jc w:val="center"/>
              <w:rPr>
                <w:sz w:val="22"/>
                <w:szCs w:val="22"/>
                <w:lang w:val="en-CA"/>
              </w:rPr>
            </w:pPr>
            <w:r>
              <w:rPr>
                <w:sz w:val="22"/>
                <w:szCs w:val="22"/>
                <w:lang w:val="en-CA"/>
              </w:rPr>
              <w:t>440</w:t>
            </w:r>
          </w:p>
        </w:tc>
        <w:tc>
          <w:tcPr>
            <w:tcW w:w="1350" w:type="dxa"/>
            <w:vAlign w:val="center"/>
          </w:tcPr>
          <w:p w:rsidR="007E280B" w:rsidRPr="000E2487" w:rsidRDefault="007E280B" w:rsidP="000F370A">
            <w:pPr>
              <w:jc w:val="center"/>
              <w:rPr>
                <w:sz w:val="22"/>
                <w:szCs w:val="22"/>
                <w:lang w:val="en-CA"/>
              </w:rPr>
            </w:pPr>
            <w:r w:rsidRPr="0053629B">
              <w:rPr>
                <w:sz w:val="22"/>
                <w:szCs w:val="22"/>
                <w:lang w:val="en-CA"/>
              </w:rPr>
              <w:t>$27.34</w:t>
            </w:r>
          </w:p>
        </w:tc>
        <w:tc>
          <w:tcPr>
            <w:tcW w:w="1440" w:type="dxa"/>
            <w:vAlign w:val="center"/>
          </w:tcPr>
          <w:p w:rsidR="007E280B" w:rsidRPr="000E2487" w:rsidDel="00454C2F" w:rsidRDefault="00142072" w:rsidP="005F6414">
            <w:pPr>
              <w:jc w:val="center"/>
              <w:rPr>
                <w:noProof/>
                <w:sz w:val="22"/>
                <w:szCs w:val="22"/>
                <w:lang w:val="en-CA"/>
              </w:rPr>
            </w:pPr>
            <w:r>
              <w:rPr>
                <w:noProof/>
                <w:sz w:val="22"/>
                <w:szCs w:val="22"/>
                <w:lang w:val="en-CA"/>
              </w:rPr>
              <w:t>$</w:t>
            </w:r>
            <w:r w:rsidR="005F6414">
              <w:rPr>
                <w:noProof/>
                <w:sz w:val="22"/>
                <w:szCs w:val="22"/>
                <w:lang w:val="en-CA"/>
              </w:rPr>
              <w:t>12,030</w:t>
            </w:r>
          </w:p>
        </w:tc>
      </w:tr>
      <w:tr w:rsidR="007E280B" w:rsidRPr="00036D81" w:rsidTr="005F6414">
        <w:trPr>
          <w:trHeight w:val="620"/>
        </w:trPr>
        <w:tc>
          <w:tcPr>
            <w:tcW w:w="2430" w:type="dxa"/>
            <w:tcBorders>
              <w:bottom w:val="single" w:sz="4" w:space="0" w:color="auto"/>
            </w:tcBorders>
          </w:tcPr>
          <w:p w:rsidR="007E280B" w:rsidRDefault="007E280B" w:rsidP="00167980">
            <w:pPr>
              <w:rPr>
                <w:sz w:val="22"/>
                <w:szCs w:val="22"/>
                <w:lang w:val="en-CA"/>
              </w:rPr>
            </w:pPr>
            <w:r>
              <w:rPr>
                <w:sz w:val="22"/>
                <w:szCs w:val="22"/>
                <w:lang w:val="en-CA"/>
              </w:rPr>
              <w:t>V</w:t>
            </w:r>
            <w:r w:rsidRPr="0053629B">
              <w:rPr>
                <w:sz w:val="22"/>
                <w:szCs w:val="22"/>
                <w:lang w:val="en-CA"/>
              </w:rPr>
              <w:t>isitors completing the survey</w:t>
            </w:r>
            <w:r>
              <w:rPr>
                <w:sz w:val="22"/>
                <w:szCs w:val="22"/>
                <w:lang w:val="en-CA"/>
              </w:rPr>
              <w:t xml:space="preserve"> </w:t>
            </w:r>
          </w:p>
          <w:p w:rsidR="007E280B" w:rsidRPr="0053629B" w:rsidRDefault="007E280B" w:rsidP="00167980">
            <w:pPr>
              <w:rPr>
                <w:sz w:val="22"/>
                <w:szCs w:val="22"/>
                <w:lang w:val="en-CA"/>
              </w:rPr>
            </w:pPr>
            <w:r>
              <w:rPr>
                <w:sz w:val="22"/>
                <w:szCs w:val="22"/>
                <w:lang w:val="en-CA"/>
              </w:rPr>
              <w:t>(responses)</w:t>
            </w:r>
          </w:p>
        </w:tc>
        <w:tc>
          <w:tcPr>
            <w:tcW w:w="1260" w:type="dxa"/>
            <w:tcBorders>
              <w:bottom w:val="single" w:sz="4" w:space="0" w:color="auto"/>
            </w:tcBorders>
            <w:vAlign w:val="center"/>
          </w:tcPr>
          <w:p w:rsidR="007E280B" w:rsidRPr="000E2487" w:rsidDel="00454C2F" w:rsidRDefault="007E280B" w:rsidP="000F370A">
            <w:pPr>
              <w:jc w:val="center"/>
              <w:rPr>
                <w:sz w:val="22"/>
                <w:szCs w:val="22"/>
                <w:lang w:val="en-CA"/>
              </w:rPr>
            </w:pPr>
            <w:r w:rsidRPr="000E2487">
              <w:rPr>
                <w:sz w:val="22"/>
                <w:szCs w:val="22"/>
                <w:lang w:val="en-CA"/>
              </w:rPr>
              <w:t>3</w:t>
            </w:r>
            <w:r>
              <w:rPr>
                <w:sz w:val="22"/>
                <w:szCs w:val="22"/>
                <w:lang w:val="en-CA"/>
              </w:rPr>
              <w:t>,</w:t>
            </w:r>
            <w:r w:rsidRPr="000E2487">
              <w:rPr>
                <w:sz w:val="22"/>
                <w:szCs w:val="22"/>
                <w:lang w:val="en-CA"/>
              </w:rPr>
              <w:t>960</w:t>
            </w:r>
          </w:p>
        </w:tc>
        <w:tc>
          <w:tcPr>
            <w:tcW w:w="1620" w:type="dxa"/>
            <w:tcBorders>
              <w:bottom w:val="single" w:sz="4" w:space="0" w:color="auto"/>
            </w:tcBorders>
            <w:vAlign w:val="center"/>
          </w:tcPr>
          <w:p w:rsidR="007E280B" w:rsidRPr="000E2487" w:rsidRDefault="007E280B" w:rsidP="000F370A">
            <w:pPr>
              <w:jc w:val="center"/>
              <w:rPr>
                <w:sz w:val="22"/>
                <w:szCs w:val="22"/>
                <w:lang w:val="en-CA"/>
              </w:rPr>
            </w:pPr>
            <w:r w:rsidRPr="000E2487">
              <w:rPr>
                <w:sz w:val="22"/>
                <w:szCs w:val="22"/>
                <w:lang w:val="en-CA"/>
              </w:rPr>
              <w:t>3 minutes</w:t>
            </w:r>
          </w:p>
        </w:tc>
        <w:tc>
          <w:tcPr>
            <w:tcW w:w="1170" w:type="dxa"/>
            <w:tcBorders>
              <w:bottom w:val="single" w:sz="4" w:space="0" w:color="auto"/>
            </w:tcBorders>
            <w:vAlign w:val="center"/>
          </w:tcPr>
          <w:p w:rsidR="007E280B" w:rsidRPr="000E2487" w:rsidDel="00454C2F" w:rsidRDefault="007E280B" w:rsidP="000F370A">
            <w:pPr>
              <w:jc w:val="center"/>
              <w:rPr>
                <w:sz w:val="22"/>
                <w:szCs w:val="22"/>
                <w:lang w:val="en-CA"/>
              </w:rPr>
            </w:pPr>
            <w:r>
              <w:rPr>
                <w:sz w:val="22"/>
                <w:szCs w:val="22"/>
                <w:lang w:val="en-CA"/>
              </w:rPr>
              <w:t>198</w:t>
            </w:r>
          </w:p>
        </w:tc>
        <w:tc>
          <w:tcPr>
            <w:tcW w:w="1350" w:type="dxa"/>
            <w:tcBorders>
              <w:bottom w:val="single" w:sz="4" w:space="0" w:color="auto"/>
            </w:tcBorders>
            <w:vAlign w:val="center"/>
          </w:tcPr>
          <w:p w:rsidR="007E280B" w:rsidRPr="000E2487" w:rsidRDefault="007E280B" w:rsidP="000F370A">
            <w:pPr>
              <w:jc w:val="center"/>
              <w:rPr>
                <w:sz w:val="22"/>
                <w:szCs w:val="22"/>
                <w:lang w:val="en-CA"/>
              </w:rPr>
            </w:pPr>
            <w:r w:rsidRPr="00B56C80">
              <w:rPr>
                <w:sz w:val="22"/>
                <w:szCs w:val="22"/>
                <w:lang w:val="en-CA"/>
              </w:rPr>
              <w:t>$27.34</w:t>
            </w:r>
          </w:p>
        </w:tc>
        <w:tc>
          <w:tcPr>
            <w:tcW w:w="1440" w:type="dxa"/>
            <w:tcBorders>
              <w:bottom w:val="single" w:sz="4" w:space="0" w:color="auto"/>
            </w:tcBorders>
            <w:vAlign w:val="center"/>
          </w:tcPr>
          <w:p w:rsidR="007E280B" w:rsidRPr="000E2487" w:rsidDel="00454C2F" w:rsidRDefault="00142072" w:rsidP="000F370A">
            <w:pPr>
              <w:jc w:val="center"/>
              <w:rPr>
                <w:noProof/>
                <w:sz w:val="22"/>
                <w:szCs w:val="22"/>
                <w:lang w:val="en-CA"/>
              </w:rPr>
            </w:pPr>
            <w:r>
              <w:rPr>
                <w:noProof/>
                <w:sz w:val="22"/>
                <w:szCs w:val="22"/>
                <w:lang w:val="en-CA"/>
              </w:rPr>
              <w:t>$</w:t>
            </w:r>
            <w:r w:rsidR="007E280B" w:rsidRPr="000E2487">
              <w:rPr>
                <w:noProof/>
                <w:sz w:val="22"/>
                <w:szCs w:val="22"/>
                <w:lang w:val="en-CA"/>
              </w:rPr>
              <w:t>5,413</w:t>
            </w:r>
          </w:p>
        </w:tc>
      </w:tr>
      <w:tr w:rsidR="00840E83" w:rsidRPr="00036D81" w:rsidTr="00142072">
        <w:trPr>
          <w:trHeight w:val="305"/>
        </w:trPr>
        <w:tc>
          <w:tcPr>
            <w:tcW w:w="9270" w:type="dxa"/>
            <w:gridSpan w:val="6"/>
            <w:tcBorders>
              <w:left w:val="nil"/>
              <w:bottom w:val="single" w:sz="4" w:space="0" w:color="auto"/>
              <w:right w:val="nil"/>
            </w:tcBorders>
            <w:shd w:val="clear" w:color="auto" w:fill="auto"/>
            <w:vAlign w:val="center"/>
          </w:tcPr>
          <w:p w:rsidR="00840E83" w:rsidRDefault="00840E83" w:rsidP="000E2487">
            <w:pPr>
              <w:rPr>
                <w:b/>
                <w:bCs/>
                <w:sz w:val="22"/>
                <w:szCs w:val="22"/>
                <w:lang w:val="en-CA"/>
              </w:rPr>
            </w:pPr>
          </w:p>
        </w:tc>
      </w:tr>
      <w:tr w:rsidR="009E5D97" w:rsidRPr="00036D81" w:rsidTr="00757B9A">
        <w:trPr>
          <w:trHeight w:val="629"/>
        </w:trPr>
        <w:tc>
          <w:tcPr>
            <w:tcW w:w="2430" w:type="dxa"/>
            <w:tcBorders>
              <w:bottom w:val="single" w:sz="4" w:space="0" w:color="auto"/>
            </w:tcBorders>
            <w:vAlign w:val="center"/>
          </w:tcPr>
          <w:p w:rsidR="00142072" w:rsidRDefault="00DB0F4B" w:rsidP="007E7E87">
            <w:pPr>
              <w:rPr>
                <w:bCs/>
                <w:sz w:val="22"/>
                <w:szCs w:val="22"/>
                <w:lang w:val="en-CA"/>
              </w:rPr>
            </w:pPr>
            <w:r w:rsidRPr="0053629B">
              <w:rPr>
                <w:bCs/>
                <w:sz w:val="22"/>
                <w:szCs w:val="22"/>
                <w:lang w:val="en-CA"/>
              </w:rPr>
              <w:t>TOTAL</w:t>
            </w:r>
          </w:p>
          <w:p w:rsidR="002D0B6F" w:rsidRPr="0053629B" w:rsidRDefault="002D0B6F" w:rsidP="007E7E87">
            <w:pPr>
              <w:rPr>
                <w:b/>
                <w:bCs/>
                <w:sz w:val="22"/>
                <w:szCs w:val="22"/>
                <w:lang w:val="en-CA"/>
              </w:rPr>
            </w:pPr>
          </w:p>
        </w:tc>
        <w:tc>
          <w:tcPr>
            <w:tcW w:w="1260" w:type="dxa"/>
            <w:tcBorders>
              <w:bottom w:val="single" w:sz="4" w:space="0" w:color="auto"/>
            </w:tcBorders>
            <w:vAlign w:val="center"/>
          </w:tcPr>
          <w:p w:rsidR="002D0B6F" w:rsidRPr="0053629B" w:rsidRDefault="002D0B6F" w:rsidP="007E7E87">
            <w:pPr>
              <w:jc w:val="center"/>
              <w:rPr>
                <w:b/>
                <w:sz w:val="22"/>
                <w:szCs w:val="22"/>
                <w:lang w:val="en-CA"/>
              </w:rPr>
            </w:pPr>
          </w:p>
        </w:tc>
        <w:tc>
          <w:tcPr>
            <w:tcW w:w="1620" w:type="dxa"/>
            <w:tcBorders>
              <w:bottom w:val="single" w:sz="4" w:space="0" w:color="auto"/>
            </w:tcBorders>
            <w:vAlign w:val="center"/>
          </w:tcPr>
          <w:p w:rsidR="002D0B6F" w:rsidRPr="0053629B" w:rsidRDefault="002D0B6F" w:rsidP="007E7E87">
            <w:pPr>
              <w:jc w:val="center"/>
              <w:rPr>
                <w:b/>
                <w:sz w:val="22"/>
                <w:szCs w:val="22"/>
                <w:lang w:val="en-CA"/>
              </w:rPr>
            </w:pPr>
          </w:p>
        </w:tc>
        <w:tc>
          <w:tcPr>
            <w:tcW w:w="1170" w:type="dxa"/>
            <w:tcBorders>
              <w:bottom w:val="single" w:sz="4" w:space="0" w:color="auto"/>
            </w:tcBorders>
            <w:vAlign w:val="center"/>
          </w:tcPr>
          <w:p w:rsidR="002D0B6F" w:rsidRPr="0053629B" w:rsidRDefault="005F6414" w:rsidP="007E7E87">
            <w:pPr>
              <w:jc w:val="center"/>
              <w:rPr>
                <w:b/>
                <w:sz w:val="22"/>
                <w:szCs w:val="22"/>
                <w:lang w:val="en-CA"/>
              </w:rPr>
            </w:pPr>
            <w:r>
              <w:rPr>
                <w:b/>
                <w:sz w:val="22"/>
                <w:szCs w:val="22"/>
                <w:lang w:val="en-CA"/>
              </w:rPr>
              <w:t>4,400</w:t>
            </w:r>
          </w:p>
        </w:tc>
        <w:tc>
          <w:tcPr>
            <w:tcW w:w="1350" w:type="dxa"/>
            <w:tcBorders>
              <w:bottom w:val="single" w:sz="4" w:space="0" w:color="auto"/>
            </w:tcBorders>
            <w:vAlign w:val="center"/>
          </w:tcPr>
          <w:p w:rsidR="002D0B6F" w:rsidRPr="0053629B" w:rsidRDefault="002D0B6F" w:rsidP="007E7E87">
            <w:pPr>
              <w:jc w:val="center"/>
              <w:rPr>
                <w:b/>
                <w:sz w:val="22"/>
                <w:szCs w:val="22"/>
                <w:lang w:val="en-CA"/>
              </w:rPr>
            </w:pPr>
          </w:p>
        </w:tc>
        <w:tc>
          <w:tcPr>
            <w:tcW w:w="1440" w:type="dxa"/>
            <w:tcBorders>
              <w:bottom w:val="single" w:sz="4" w:space="0" w:color="auto"/>
            </w:tcBorders>
            <w:vAlign w:val="center"/>
          </w:tcPr>
          <w:p w:rsidR="002D0B6F" w:rsidRPr="0053629B" w:rsidRDefault="00142072" w:rsidP="005F6414">
            <w:pPr>
              <w:jc w:val="center"/>
              <w:rPr>
                <w:b/>
                <w:sz w:val="22"/>
                <w:szCs w:val="22"/>
                <w:lang w:val="en-CA"/>
              </w:rPr>
            </w:pPr>
            <w:r>
              <w:rPr>
                <w:b/>
                <w:noProof/>
                <w:sz w:val="22"/>
                <w:szCs w:val="22"/>
                <w:lang w:val="en-CA"/>
              </w:rPr>
              <w:t>$</w:t>
            </w:r>
            <w:r w:rsidR="005F6414">
              <w:rPr>
                <w:b/>
                <w:noProof/>
                <w:sz w:val="22"/>
                <w:szCs w:val="22"/>
                <w:lang w:val="en-CA"/>
              </w:rPr>
              <w:t>120,296</w:t>
            </w:r>
            <w:r w:rsidR="00677513">
              <w:rPr>
                <w:b/>
                <w:sz w:val="22"/>
                <w:szCs w:val="22"/>
                <w:lang w:val="en-CA"/>
              </w:rPr>
              <w:fldChar w:fldCharType="begin"/>
            </w:r>
            <w:r w:rsidR="00117ECD">
              <w:rPr>
                <w:b/>
                <w:sz w:val="22"/>
                <w:szCs w:val="22"/>
                <w:lang w:val="en-CA"/>
              </w:rPr>
              <w:instrText xml:space="preserve">  </w:instrText>
            </w:r>
            <w:r w:rsidR="00677513">
              <w:rPr>
                <w:b/>
                <w:sz w:val="22"/>
                <w:szCs w:val="22"/>
                <w:lang w:val="en-CA"/>
              </w:rPr>
              <w:fldChar w:fldCharType="end"/>
            </w:r>
            <w:r w:rsidR="00677513">
              <w:rPr>
                <w:b/>
                <w:sz w:val="22"/>
                <w:szCs w:val="22"/>
                <w:lang w:val="en-CA"/>
              </w:rPr>
              <w:fldChar w:fldCharType="begin"/>
            </w:r>
            <w:r w:rsidR="00117ECD">
              <w:rPr>
                <w:b/>
                <w:sz w:val="22"/>
                <w:szCs w:val="22"/>
                <w:lang w:val="en-CA"/>
              </w:rPr>
              <w:instrText xml:space="preserve">  </w:instrText>
            </w:r>
            <w:r w:rsidR="00677513">
              <w:rPr>
                <w:b/>
                <w:sz w:val="22"/>
                <w:szCs w:val="22"/>
                <w:lang w:val="en-CA"/>
              </w:rPr>
              <w:fldChar w:fldCharType="end"/>
            </w:r>
          </w:p>
        </w:tc>
      </w:tr>
      <w:tr w:rsidR="007E7E87" w:rsidRPr="00036D81" w:rsidTr="00840E83">
        <w:trPr>
          <w:trHeight w:val="422"/>
        </w:trPr>
        <w:tc>
          <w:tcPr>
            <w:tcW w:w="9270" w:type="dxa"/>
            <w:gridSpan w:val="6"/>
            <w:tcBorders>
              <w:left w:val="nil"/>
              <w:bottom w:val="nil"/>
              <w:right w:val="nil"/>
            </w:tcBorders>
            <w:vAlign w:val="center"/>
          </w:tcPr>
          <w:p w:rsidR="00840E83" w:rsidRDefault="00142072" w:rsidP="007E7E87">
            <w:pPr>
              <w:rPr>
                <w:i/>
              </w:rPr>
            </w:pPr>
            <w:r w:rsidRPr="00DB0F4B">
              <w:rPr>
                <w:i/>
              </w:rPr>
              <w:t>* Total is rounded</w:t>
            </w:r>
          </w:p>
          <w:p w:rsidR="007E7E87" w:rsidRPr="002636C8" w:rsidRDefault="007E7E87" w:rsidP="007E7E87"/>
        </w:tc>
      </w:tr>
    </w:tbl>
    <w:p w:rsidR="00050B93" w:rsidRDefault="00CC6514" w:rsidP="00CB5C1F">
      <w:pPr>
        <w:widowControl/>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F72EC">
        <w:rPr>
          <w:b/>
          <w:sz w:val="24"/>
          <w:szCs w:val="24"/>
        </w:rPr>
        <w:t>13.</w:t>
      </w:r>
      <w:r w:rsidRPr="00AF72EC">
        <w:rPr>
          <w:b/>
          <w:sz w:val="24"/>
          <w:szCs w:val="24"/>
        </w:rPr>
        <w:tab/>
        <w:t>Provide an estimate of the total annual [non-hour] cost burden to respondents or record</w:t>
      </w:r>
      <w:r w:rsidR="003B5706">
        <w:rPr>
          <w:b/>
          <w:sz w:val="24"/>
          <w:szCs w:val="24"/>
        </w:rPr>
        <w:t xml:space="preserve"> </w:t>
      </w:r>
      <w:r w:rsidRPr="00AF72EC">
        <w:rPr>
          <w:b/>
          <w:sz w:val="24"/>
          <w:szCs w:val="24"/>
        </w:rPr>
        <w:t>keepers resulting from the collection of information</w:t>
      </w:r>
    </w:p>
    <w:p w:rsidR="0075020D" w:rsidRDefault="0075020D" w:rsidP="00597AE7">
      <w:pPr>
        <w:widowControl/>
        <w:ind w:firstLine="360"/>
        <w:rPr>
          <w:sz w:val="24"/>
        </w:rPr>
      </w:pPr>
    </w:p>
    <w:p w:rsidR="000206D4" w:rsidRDefault="00BD4D1D" w:rsidP="00BD4D1D">
      <w:pPr>
        <w:widowControl/>
        <w:rPr>
          <w:sz w:val="24"/>
        </w:rPr>
      </w:pPr>
      <w:r w:rsidRPr="00A67B2E">
        <w:rPr>
          <w:sz w:val="24"/>
        </w:rPr>
        <w:t xml:space="preserve">There is no </w:t>
      </w:r>
      <w:r w:rsidRPr="00A67B2E">
        <w:rPr>
          <w:sz w:val="24"/>
          <w:szCs w:val="24"/>
        </w:rPr>
        <w:t>non-hour cost burden to respondents or record</w:t>
      </w:r>
      <w:r w:rsidR="003B5706">
        <w:rPr>
          <w:sz w:val="24"/>
          <w:szCs w:val="24"/>
        </w:rPr>
        <w:t>-</w:t>
      </w:r>
      <w:r w:rsidRPr="00A67B2E">
        <w:rPr>
          <w:sz w:val="24"/>
          <w:szCs w:val="24"/>
        </w:rPr>
        <w:t>keepers associated with this collection</w:t>
      </w:r>
      <w:r>
        <w:rPr>
          <w:b/>
          <w:sz w:val="24"/>
          <w:szCs w:val="24"/>
        </w:rPr>
        <w:t>.</w:t>
      </w:r>
    </w:p>
    <w:p w:rsidR="00142072" w:rsidRDefault="00142072"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FF"/>
          <w:sz w:val="24"/>
          <w:szCs w:val="24"/>
        </w:rPr>
      </w:pPr>
      <w:r w:rsidRPr="00AF72EC">
        <w:rPr>
          <w:b/>
          <w:sz w:val="24"/>
          <w:szCs w:val="24"/>
        </w:rPr>
        <w:t>14.</w:t>
      </w:r>
      <w:r w:rsidRPr="00AF72E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924F67" w:rsidRPr="00AF72EC">
        <w:rPr>
          <w:b/>
          <w:sz w:val="24"/>
          <w:szCs w:val="24"/>
        </w:rPr>
        <w:t xml:space="preserve">  </w:t>
      </w:r>
    </w:p>
    <w:p w:rsidR="00924F67" w:rsidRDefault="00924F67"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9E5D97" w:rsidRPr="001D5C4D" w:rsidRDefault="009E5D97" w:rsidP="009E5D97">
      <w:pPr>
        <w:tabs>
          <w:tab w:val="left" w:pos="1440"/>
          <w:tab w:val="left" w:pos="2160"/>
        </w:tabs>
        <w:rPr>
          <w:rFonts w:ascii="Arial" w:hAnsi="Arial" w:cs="Arial"/>
          <w:sz w:val="24"/>
          <w:szCs w:val="24"/>
        </w:rPr>
      </w:pPr>
      <w:r w:rsidRPr="001D5C4D">
        <w:rPr>
          <w:sz w:val="24"/>
          <w:szCs w:val="24"/>
        </w:rPr>
        <w:t xml:space="preserve">The total estimated cost to the Federal Government for </w:t>
      </w:r>
      <w:r w:rsidR="005E55CB" w:rsidRPr="001D5C4D">
        <w:rPr>
          <w:sz w:val="24"/>
          <w:szCs w:val="24"/>
        </w:rPr>
        <w:t xml:space="preserve">collecting data, analyzing result and preparing </w:t>
      </w:r>
      <w:r w:rsidRPr="001D5C4D">
        <w:rPr>
          <w:sz w:val="24"/>
          <w:szCs w:val="24"/>
        </w:rPr>
        <w:t xml:space="preserve">reports as a result of this collection of information is </w:t>
      </w:r>
      <w:r w:rsidR="00677513" w:rsidRPr="001D5C4D">
        <w:rPr>
          <w:bCs/>
          <w:sz w:val="24"/>
          <w:szCs w:val="24"/>
        </w:rPr>
        <w:fldChar w:fldCharType="begin"/>
      </w:r>
      <w:r w:rsidRPr="001D5C4D">
        <w:rPr>
          <w:bCs/>
          <w:sz w:val="24"/>
          <w:szCs w:val="24"/>
        </w:rPr>
        <w:instrText xml:space="preserve"> =SUM(ABOVE) </w:instrText>
      </w:r>
      <w:r w:rsidR="00677513" w:rsidRPr="001D5C4D">
        <w:rPr>
          <w:bCs/>
          <w:sz w:val="24"/>
          <w:szCs w:val="24"/>
        </w:rPr>
        <w:fldChar w:fldCharType="separate"/>
      </w:r>
      <w:r w:rsidRPr="001D5C4D">
        <w:rPr>
          <w:bCs/>
          <w:noProof/>
          <w:sz w:val="24"/>
          <w:szCs w:val="24"/>
        </w:rPr>
        <w:t>$</w:t>
      </w:r>
      <w:r w:rsidR="006774B6">
        <w:rPr>
          <w:bCs/>
          <w:noProof/>
          <w:sz w:val="24"/>
          <w:szCs w:val="24"/>
        </w:rPr>
        <w:t>211,550</w:t>
      </w:r>
      <w:r w:rsidRPr="001D5C4D">
        <w:rPr>
          <w:bCs/>
          <w:noProof/>
          <w:sz w:val="24"/>
          <w:szCs w:val="24"/>
        </w:rPr>
        <w:t>.</w:t>
      </w:r>
      <w:r w:rsidR="00677513" w:rsidRPr="001D5C4D">
        <w:rPr>
          <w:bCs/>
          <w:sz w:val="24"/>
          <w:szCs w:val="24"/>
        </w:rPr>
        <w:fldChar w:fldCharType="end"/>
      </w:r>
      <w:r w:rsidRPr="001D5C4D">
        <w:rPr>
          <w:b/>
          <w:bCs/>
          <w:sz w:val="24"/>
          <w:szCs w:val="24"/>
        </w:rPr>
        <w:t xml:space="preserve"> </w:t>
      </w:r>
      <w:r w:rsidR="00DF6F65">
        <w:rPr>
          <w:bCs/>
          <w:sz w:val="24"/>
          <w:szCs w:val="24"/>
        </w:rPr>
        <w:t xml:space="preserve">This includes </w:t>
      </w:r>
      <w:r w:rsidR="00FA43B4">
        <w:rPr>
          <w:sz w:val="24"/>
          <w:szCs w:val="24"/>
        </w:rPr>
        <w:t>non-federal FTE,</w:t>
      </w:r>
      <w:r w:rsidR="005E55CB" w:rsidRPr="001D5C4D">
        <w:rPr>
          <w:sz w:val="24"/>
          <w:szCs w:val="24"/>
        </w:rPr>
        <w:t xml:space="preserve"> travel, equipment and operating costs associated with this information collection (Table </w:t>
      </w:r>
      <w:r w:rsidR="00DF6F65">
        <w:rPr>
          <w:sz w:val="24"/>
          <w:szCs w:val="24"/>
        </w:rPr>
        <w:t>3</w:t>
      </w:r>
      <w:r w:rsidR="005E55CB" w:rsidRPr="001D5C4D">
        <w:rPr>
          <w:sz w:val="24"/>
          <w:szCs w:val="24"/>
        </w:rPr>
        <w:t xml:space="preserve">).  </w:t>
      </w:r>
    </w:p>
    <w:p w:rsidR="009E5D97" w:rsidRDefault="009E5D97"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A67B2E" w:rsidRDefault="00593F9F">
      <w:pPr>
        <w:rPr>
          <w:sz w:val="24"/>
        </w:rPr>
      </w:pPr>
      <w:r w:rsidRPr="00DC2581">
        <w:rPr>
          <w:sz w:val="24"/>
        </w:rPr>
        <w:t xml:space="preserve">The VSC is a component of the Visitors Services Project, which is funded by the NPS through a cooperative agreement with the Park Studies Unit at the University of Idaho. </w:t>
      </w:r>
      <w:r>
        <w:rPr>
          <w:sz w:val="24"/>
        </w:rPr>
        <w:t xml:space="preserve">The non-Federal FTE and expenses listed in Table 4 below are included in the tasks associated with the agreement. </w:t>
      </w:r>
    </w:p>
    <w:p w:rsidR="00A67B2E" w:rsidRDefault="00A67B2E">
      <w:pPr>
        <w:rPr>
          <w:sz w:val="24"/>
        </w:rPr>
      </w:pPr>
    </w:p>
    <w:p w:rsidR="00142072" w:rsidRDefault="00142072">
      <w:pPr>
        <w:rPr>
          <w:b/>
          <w:sz w:val="24"/>
          <w:szCs w:val="24"/>
        </w:rPr>
      </w:pPr>
    </w:p>
    <w:p w:rsidR="00142072" w:rsidRDefault="00142072">
      <w:pPr>
        <w:rPr>
          <w:b/>
          <w:sz w:val="24"/>
          <w:szCs w:val="24"/>
        </w:rPr>
      </w:pPr>
    </w:p>
    <w:p w:rsidR="00142072" w:rsidRDefault="00142072">
      <w:pPr>
        <w:rPr>
          <w:b/>
          <w:sz w:val="24"/>
          <w:szCs w:val="24"/>
        </w:rPr>
      </w:pPr>
    </w:p>
    <w:p w:rsidR="00142072" w:rsidRDefault="00142072">
      <w:pPr>
        <w:rPr>
          <w:b/>
          <w:sz w:val="24"/>
          <w:szCs w:val="24"/>
        </w:rPr>
      </w:pPr>
    </w:p>
    <w:p w:rsidR="00142072" w:rsidRDefault="00142072">
      <w:pPr>
        <w:rPr>
          <w:b/>
          <w:sz w:val="24"/>
          <w:szCs w:val="24"/>
        </w:rPr>
      </w:pPr>
    </w:p>
    <w:p w:rsidR="00142072" w:rsidRDefault="00142072">
      <w:pPr>
        <w:rPr>
          <w:b/>
          <w:sz w:val="24"/>
          <w:szCs w:val="24"/>
        </w:rPr>
      </w:pPr>
    </w:p>
    <w:p w:rsidR="00142072" w:rsidRDefault="00142072">
      <w:pPr>
        <w:rPr>
          <w:b/>
          <w:sz w:val="24"/>
          <w:szCs w:val="24"/>
        </w:rPr>
      </w:pPr>
    </w:p>
    <w:p w:rsidR="00AC7110" w:rsidRPr="001D5C4D" w:rsidRDefault="001D5C4D">
      <w:pPr>
        <w:rPr>
          <w:b/>
          <w:sz w:val="24"/>
          <w:szCs w:val="24"/>
        </w:rPr>
      </w:pPr>
      <w:r w:rsidRPr="001D5C4D">
        <w:rPr>
          <w:b/>
          <w:sz w:val="24"/>
          <w:szCs w:val="24"/>
        </w:rPr>
        <w:t xml:space="preserve">Table </w:t>
      </w:r>
      <w:r w:rsidR="00DF6F65">
        <w:rPr>
          <w:b/>
          <w:sz w:val="24"/>
          <w:szCs w:val="24"/>
        </w:rPr>
        <w:t>3</w:t>
      </w:r>
      <w:r w:rsidRPr="001D5C4D">
        <w:rPr>
          <w:b/>
          <w:sz w:val="24"/>
          <w:szCs w:val="24"/>
        </w:rPr>
        <w:t>. Costs associated with this information collection</w:t>
      </w:r>
    </w:p>
    <w:p w:rsidR="001D5C4D" w:rsidRDefault="001D5C4D"/>
    <w:tbl>
      <w:tblPr>
        <w:tblW w:w="6210" w:type="dxa"/>
        <w:tblInd w:w="558" w:type="dxa"/>
        <w:tblLayout w:type="fixed"/>
        <w:tblLook w:val="0000" w:firstRow="0" w:lastRow="0" w:firstColumn="0" w:lastColumn="0" w:noHBand="0" w:noVBand="0"/>
      </w:tblPr>
      <w:tblGrid>
        <w:gridCol w:w="4410"/>
        <w:gridCol w:w="1800"/>
      </w:tblGrid>
      <w:tr w:rsidR="00AC7110" w:rsidRPr="004F532E">
        <w:trPr>
          <w:trHeight w:val="387"/>
        </w:trPr>
        <w:tc>
          <w:tcPr>
            <w:tcW w:w="4410" w:type="dxa"/>
            <w:tcBorders>
              <w:top w:val="single" w:sz="4" w:space="0" w:color="auto"/>
              <w:left w:val="single" w:sz="4" w:space="0" w:color="auto"/>
              <w:bottom w:val="single" w:sz="4" w:space="0" w:color="auto"/>
            </w:tcBorders>
            <w:vAlign w:val="center"/>
          </w:tcPr>
          <w:p w:rsidR="00AC7110" w:rsidRPr="007E7E87" w:rsidRDefault="00DB0F4B" w:rsidP="00002119">
            <w:pPr>
              <w:widowControl/>
              <w:autoSpaceDE/>
              <w:autoSpaceDN/>
              <w:adjustRightInd/>
              <w:rPr>
                <w:b/>
                <w:sz w:val="22"/>
                <w:szCs w:val="22"/>
              </w:rPr>
            </w:pPr>
            <w:r w:rsidRPr="007E7E87">
              <w:rPr>
                <w:b/>
                <w:sz w:val="22"/>
                <w:szCs w:val="22"/>
              </w:rPr>
              <w:t>Expense</w:t>
            </w:r>
          </w:p>
        </w:tc>
        <w:tc>
          <w:tcPr>
            <w:tcW w:w="1800" w:type="dxa"/>
            <w:tcBorders>
              <w:top w:val="single" w:sz="4" w:space="0" w:color="auto"/>
              <w:bottom w:val="single" w:sz="4" w:space="0" w:color="auto"/>
              <w:right w:val="single" w:sz="4" w:space="0" w:color="auto"/>
            </w:tcBorders>
            <w:noWrap/>
            <w:vAlign w:val="center"/>
          </w:tcPr>
          <w:p w:rsidR="00AC7110" w:rsidRPr="007E7E87" w:rsidRDefault="00DB0F4B" w:rsidP="00BF6F14">
            <w:pPr>
              <w:widowControl/>
              <w:autoSpaceDE/>
              <w:autoSpaceDN/>
              <w:adjustRightInd/>
              <w:jc w:val="center"/>
              <w:rPr>
                <w:b/>
                <w:sz w:val="22"/>
                <w:szCs w:val="22"/>
              </w:rPr>
            </w:pPr>
            <w:r w:rsidRPr="007E7E87">
              <w:rPr>
                <w:b/>
                <w:sz w:val="22"/>
                <w:szCs w:val="22"/>
              </w:rPr>
              <w:t>Annual Cost</w:t>
            </w:r>
          </w:p>
        </w:tc>
      </w:tr>
      <w:tr w:rsidR="00A80173" w:rsidRPr="004F532E">
        <w:trPr>
          <w:trHeight w:val="1286"/>
        </w:trPr>
        <w:tc>
          <w:tcPr>
            <w:tcW w:w="4410" w:type="dxa"/>
            <w:tcBorders>
              <w:top w:val="single" w:sz="4" w:space="0" w:color="auto"/>
              <w:left w:val="single" w:sz="4" w:space="0" w:color="auto"/>
            </w:tcBorders>
            <w:vAlign w:val="center"/>
          </w:tcPr>
          <w:p w:rsidR="00A80173" w:rsidRPr="00CB5C1F" w:rsidRDefault="00DB0F4B" w:rsidP="00002119">
            <w:pPr>
              <w:widowControl/>
              <w:autoSpaceDE/>
              <w:autoSpaceDN/>
              <w:adjustRightInd/>
              <w:rPr>
                <w:b/>
                <w:sz w:val="24"/>
                <w:szCs w:val="24"/>
              </w:rPr>
            </w:pPr>
            <w:r w:rsidRPr="00CB5C1F">
              <w:rPr>
                <w:b/>
                <w:sz w:val="24"/>
                <w:szCs w:val="24"/>
              </w:rPr>
              <w:t>Non-federal Personnel FTE</w:t>
            </w:r>
          </w:p>
          <w:p w:rsidR="00A80173" w:rsidRPr="00CB5C1F" w:rsidRDefault="00DB0F4B" w:rsidP="00002119">
            <w:pPr>
              <w:widowControl/>
              <w:autoSpaceDE/>
              <w:autoSpaceDN/>
              <w:adjustRightInd/>
              <w:ind w:left="522"/>
              <w:rPr>
                <w:sz w:val="24"/>
                <w:szCs w:val="24"/>
              </w:rPr>
            </w:pPr>
            <w:r w:rsidRPr="00CB5C1F">
              <w:rPr>
                <w:sz w:val="24"/>
                <w:szCs w:val="24"/>
              </w:rPr>
              <w:t>Research Scientist</w:t>
            </w:r>
          </w:p>
          <w:p w:rsidR="00A80173" w:rsidRPr="00CB5C1F" w:rsidRDefault="00DB0F4B" w:rsidP="00002119">
            <w:pPr>
              <w:widowControl/>
              <w:autoSpaceDE/>
              <w:autoSpaceDN/>
              <w:adjustRightInd/>
              <w:ind w:left="522"/>
              <w:rPr>
                <w:sz w:val="24"/>
                <w:szCs w:val="24"/>
              </w:rPr>
            </w:pPr>
            <w:r w:rsidRPr="00CB5C1F">
              <w:rPr>
                <w:sz w:val="24"/>
                <w:szCs w:val="24"/>
              </w:rPr>
              <w:t>Technical Reports Specialist</w:t>
            </w:r>
          </w:p>
          <w:p w:rsidR="00A80173" w:rsidRPr="00CB5C1F" w:rsidRDefault="00DB0F4B" w:rsidP="006F769E">
            <w:pPr>
              <w:ind w:left="522"/>
              <w:rPr>
                <w:b/>
                <w:sz w:val="24"/>
                <w:szCs w:val="24"/>
              </w:rPr>
            </w:pPr>
            <w:r w:rsidRPr="00CB5C1F">
              <w:rPr>
                <w:sz w:val="24"/>
                <w:szCs w:val="24"/>
              </w:rPr>
              <w:t xml:space="preserve">Part--time Assistant </w:t>
            </w:r>
          </w:p>
        </w:tc>
        <w:tc>
          <w:tcPr>
            <w:tcW w:w="1800" w:type="dxa"/>
            <w:tcBorders>
              <w:top w:val="single" w:sz="4" w:space="0" w:color="auto"/>
              <w:right w:val="single" w:sz="4" w:space="0" w:color="auto"/>
            </w:tcBorders>
            <w:noWrap/>
            <w:vAlign w:val="center"/>
          </w:tcPr>
          <w:p w:rsidR="00A80173" w:rsidRPr="00CB5C1F" w:rsidRDefault="00A80173" w:rsidP="00002119">
            <w:pPr>
              <w:widowControl/>
              <w:autoSpaceDE/>
              <w:autoSpaceDN/>
              <w:adjustRightInd/>
              <w:jc w:val="right"/>
              <w:rPr>
                <w:sz w:val="24"/>
                <w:szCs w:val="24"/>
              </w:rPr>
            </w:pPr>
          </w:p>
          <w:p w:rsidR="00A80173" w:rsidRPr="00CB5C1F" w:rsidRDefault="00DB0F4B" w:rsidP="00002119">
            <w:pPr>
              <w:widowControl/>
              <w:autoSpaceDE/>
              <w:autoSpaceDN/>
              <w:adjustRightInd/>
              <w:jc w:val="right"/>
              <w:rPr>
                <w:sz w:val="24"/>
                <w:szCs w:val="24"/>
              </w:rPr>
            </w:pPr>
            <w:r w:rsidRPr="00CB5C1F">
              <w:rPr>
                <w:sz w:val="24"/>
                <w:szCs w:val="24"/>
              </w:rPr>
              <w:t>$54,000</w:t>
            </w:r>
          </w:p>
          <w:p w:rsidR="00A80173" w:rsidRPr="00CB5C1F" w:rsidRDefault="00DB0F4B" w:rsidP="00002119">
            <w:pPr>
              <w:widowControl/>
              <w:autoSpaceDE/>
              <w:autoSpaceDN/>
              <w:adjustRightInd/>
              <w:jc w:val="right"/>
              <w:rPr>
                <w:sz w:val="24"/>
                <w:szCs w:val="24"/>
              </w:rPr>
            </w:pPr>
            <w:r w:rsidRPr="00CB5C1F">
              <w:rPr>
                <w:sz w:val="24"/>
                <w:szCs w:val="24"/>
              </w:rPr>
              <w:t>$7,505</w:t>
            </w:r>
          </w:p>
          <w:p w:rsidR="00A80173" w:rsidRPr="00CB5C1F" w:rsidRDefault="00DB0F4B" w:rsidP="00002119">
            <w:pPr>
              <w:jc w:val="right"/>
              <w:rPr>
                <w:sz w:val="24"/>
                <w:szCs w:val="24"/>
              </w:rPr>
            </w:pPr>
            <w:r w:rsidRPr="00CB5C1F">
              <w:rPr>
                <w:sz w:val="24"/>
                <w:szCs w:val="24"/>
              </w:rPr>
              <w:t>$3,968</w:t>
            </w:r>
          </w:p>
        </w:tc>
      </w:tr>
      <w:tr w:rsidR="00AC7110" w:rsidRPr="004F532E">
        <w:trPr>
          <w:trHeight w:val="279"/>
        </w:trPr>
        <w:tc>
          <w:tcPr>
            <w:tcW w:w="4410" w:type="dxa"/>
            <w:tcBorders>
              <w:left w:val="single" w:sz="4" w:space="0" w:color="auto"/>
            </w:tcBorders>
            <w:vAlign w:val="center"/>
          </w:tcPr>
          <w:p w:rsidR="00AC7110" w:rsidRPr="00CB5C1F" w:rsidRDefault="00DB0F4B" w:rsidP="001D5C4D">
            <w:pPr>
              <w:rPr>
                <w:sz w:val="24"/>
                <w:szCs w:val="24"/>
              </w:rPr>
            </w:pPr>
            <w:r w:rsidRPr="00CB5C1F">
              <w:rPr>
                <w:b/>
                <w:sz w:val="24"/>
                <w:szCs w:val="24"/>
              </w:rPr>
              <w:t>Travel</w:t>
            </w:r>
          </w:p>
        </w:tc>
        <w:tc>
          <w:tcPr>
            <w:tcW w:w="1800" w:type="dxa"/>
            <w:tcBorders>
              <w:right w:val="single" w:sz="4" w:space="0" w:color="auto"/>
            </w:tcBorders>
            <w:noWrap/>
            <w:vAlign w:val="center"/>
          </w:tcPr>
          <w:p w:rsidR="00AC7110" w:rsidRPr="00CB5C1F" w:rsidRDefault="00DB0F4B" w:rsidP="00002119">
            <w:pPr>
              <w:jc w:val="right"/>
              <w:rPr>
                <w:sz w:val="24"/>
                <w:szCs w:val="24"/>
              </w:rPr>
            </w:pPr>
            <w:r w:rsidRPr="00CB5C1F">
              <w:rPr>
                <w:sz w:val="24"/>
                <w:szCs w:val="24"/>
              </w:rPr>
              <w:t>$6,000</w:t>
            </w:r>
          </w:p>
        </w:tc>
      </w:tr>
      <w:tr w:rsidR="00044FF9" w:rsidRPr="004F532E">
        <w:trPr>
          <w:trHeight w:val="360"/>
        </w:trPr>
        <w:tc>
          <w:tcPr>
            <w:tcW w:w="4410" w:type="dxa"/>
            <w:tcBorders>
              <w:left w:val="single" w:sz="4" w:space="0" w:color="auto"/>
            </w:tcBorders>
            <w:vAlign w:val="center"/>
          </w:tcPr>
          <w:p w:rsidR="00044FF9" w:rsidRPr="00CB5C1F" w:rsidRDefault="00DB0F4B" w:rsidP="00044FF9">
            <w:pPr>
              <w:widowControl/>
              <w:autoSpaceDE/>
              <w:autoSpaceDN/>
              <w:adjustRightInd/>
              <w:rPr>
                <w:b/>
                <w:sz w:val="24"/>
                <w:szCs w:val="24"/>
              </w:rPr>
            </w:pPr>
            <w:r w:rsidRPr="00CB5C1F">
              <w:rPr>
                <w:b/>
                <w:sz w:val="24"/>
                <w:szCs w:val="24"/>
              </w:rPr>
              <w:t xml:space="preserve">Operating Expenses </w:t>
            </w:r>
          </w:p>
        </w:tc>
        <w:tc>
          <w:tcPr>
            <w:tcW w:w="1800" w:type="dxa"/>
            <w:tcBorders>
              <w:right w:val="single" w:sz="4" w:space="0" w:color="auto"/>
            </w:tcBorders>
            <w:noWrap/>
            <w:vAlign w:val="center"/>
          </w:tcPr>
          <w:p w:rsidR="00044FF9" w:rsidRPr="00CB5C1F" w:rsidRDefault="00044FF9" w:rsidP="00044FF9">
            <w:pPr>
              <w:rPr>
                <w:sz w:val="24"/>
                <w:szCs w:val="24"/>
              </w:rPr>
            </w:pPr>
          </w:p>
        </w:tc>
      </w:tr>
      <w:tr w:rsidR="00044FF9" w:rsidRPr="004F532E">
        <w:trPr>
          <w:trHeight w:val="360"/>
        </w:trPr>
        <w:tc>
          <w:tcPr>
            <w:tcW w:w="4410" w:type="dxa"/>
            <w:tcBorders>
              <w:left w:val="single" w:sz="4" w:space="0" w:color="auto"/>
            </w:tcBorders>
          </w:tcPr>
          <w:p w:rsidR="00044FF9" w:rsidRPr="00CB5C1F" w:rsidRDefault="00DB0F4B" w:rsidP="00044FF9">
            <w:pPr>
              <w:ind w:left="522"/>
              <w:rPr>
                <w:b/>
                <w:sz w:val="24"/>
                <w:szCs w:val="24"/>
              </w:rPr>
            </w:pPr>
            <w:r w:rsidRPr="00CB5C1F">
              <w:rPr>
                <w:sz w:val="24"/>
                <w:szCs w:val="24"/>
              </w:rPr>
              <w:t>Printing</w:t>
            </w:r>
            <w:r w:rsidR="006F769E" w:rsidRPr="00CB5C1F">
              <w:rPr>
                <w:sz w:val="24"/>
                <w:szCs w:val="24"/>
              </w:rPr>
              <w:t>/Shipping materials</w:t>
            </w:r>
          </w:p>
        </w:tc>
        <w:tc>
          <w:tcPr>
            <w:tcW w:w="1800" w:type="dxa"/>
            <w:tcBorders>
              <w:right w:val="single" w:sz="4" w:space="0" w:color="auto"/>
            </w:tcBorders>
            <w:noWrap/>
          </w:tcPr>
          <w:p w:rsidR="00044FF9" w:rsidRPr="00CB5C1F" w:rsidRDefault="00DB0F4B" w:rsidP="00044FF9">
            <w:pPr>
              <w:jc w:val="right"/>
              <w:rPr>
                <w:sz w:val="24"/>
                <w:szCs w:val="24"/>
              </w:rPr>
            </w:pPr>
            <w:r w:rsidRPr="00CB5C1F">
              <w:rPr>
                <w:sz w:val="24"/>
                <w:szCs w:val="24"/>
              </w:rPr>
              <w:t>$34,339</w:t>
            </w:r>
          </w:p>
        </w:tc>
      </w:tr>
      <w:tr w:rsidR="00044FF9" w:rsidRPr="004F532E">
        <w:trPr>
          <w:trHeight w:val="441"/>
        </w:trPr>
        <w:tc>
          <w:tcPr>
            <w:tcW w:w="4410" w:type="dxa"/>
            <w:tcBorders>
              <w:left w:val="single" w:sz="4" w:space="0" w:color="auto"/>
            </w:tcBorders>
          </w:tcPr>
          <w:p w:rsidR="00044FF9" w:rsidRPr="00CB5C1F" w:rsidRDefault="00DB0F4B" w:rsidP="00044FF9">
            <w:pPr>
              <w:ind w:left="522"/>
              <w:rPr>
                <w:b/>
                <w:sz w:val="24"/>
                <w:szCs w:val="24"/>
              </w:rPr>
            </w:pPr>
            <w:r w:rsidRPr="00CB5C1F">
              <w:rPr>
                <w:sz w:val="24"/>
                <w:szCs w:val="24"/>
              </w:rPr>
              <w:t>Equipment</w:t>
            </w:r>
          </w:p>
        </w:tc>
        <w:tc>
          <w:tcPr>
            <w:tcW w:w="1800" w:type="dxa"/>
            <w:tcBorders>
              <w:right w:val="single" w:sz="4" w:space="0" w:color="auto"/>
            </w:tcBorders>
            <w:noWrap/>
          </w:tcPr>
          <w:p w:rsidR="00044FF9" w:rsidRPr="00CB5C1F" w:rsidRDefault="00DB0F4B" w:rsidP="00044FF9">
            <w:pPr>
              <w:widowControl/>
              <w:autoSpaceDE/>
              <w:autoSpaceDN/>
              <w:adjustRightInd/>
              <w:jc w:val="right"/>
              <w:rPr>
                <w:sz w:val="24"/>
                <w:szCs w:val="24"/>
              </w:rPr>
            </w:pPr>
            <w:r w:rsidRPr="00CB5C1F">
              <w:rPr>
                <w:sz w:val="24"/>
                <w:szCs w:val="24"/>
              </w:rPr>
              <w:t xml:space="preserve"> $5,000</w:t>
            </w:r>
          </w:p>
        </w:tc>
      </w:tr>
      <w:tr w:rsidR="00044FF9" w:rsidRPr="004F532E">
        <w:trPr>
          <w:trHeight w:val="360"/>
        </w:trPr>
        <w:tc>
          <w:tcPr>
            <w:tcW w:w="4410" w:type="dxa"/>
            <w:tcBorders>
              <w:left w:val="single" w:sz="4" w:space="0" w:color="auto"/>
            </w:tcBorders>
          </w:tcPr>
          <w:p w:rsidR="00044FF9" w:rsidRPr="00CB5C1F" w:rsidRDefault="00DB0F4B" w:rsidP="00044FF9">
            <w:pPr>
              <w:ind w:left="522"/>
              <w:rPr>
                <w:sz w:val="24"/>
                <w:szCs w:val="24"/>
              </w:rPr>
            </w:pPr>
            <w:r w:rsidRPr="00CB5C1F">
              <w:rPr>
                <w:sz w:val="24"/>
                <w:szCs w:val="24"/>
              </w:rPr>
              <w:t>Miscellaneous (VISA subcontract)</w:t>
            </w:r>
          </w:p>
        </w:tc>
        <w:tc>
          <w:tcPr>
            <w:tcW w:w="1800" w:type="dxa"/>
            <w:tcBorders>
              <w:bottom w:val="single" w:sz="4" w:space="0" w:color="auto"/>
              <w:right w:val="single" w:sz="4" w:space="0" w:color="auto"/>
            </w:tcBorders>
            <w:noWrap/>
          </w:tcPr>
          <w:p w:rsidR="00044FF9" w:rsidRPr="00CB5C1F" w:rsidRDefault="00DB0F4B" w:rsidP="00044FF9">
            <w:pPr>
              <w:widowControl/>
              <w:autoSpaceDE/>
              <w:autoSpaceDN/>
              <w:adjustRightInd/>
              <w:jc w:val="right"/>
              <w:rPr>
                <w:sz w:val="24"/>
                <w:szCs w:val="24"/>
              </w:rPr>
            </w:pPr>
            <w:r w:rsidRPr="00CB5C1F">
              <w:rPr>
                <w:sz w:val="24"/>
                <w:szCs w:val="24"/>
              </w:rPr>
              <w:t xml:space="preserve"> $70,000 </w:t>
            </w:r>
          </w:p>
        </w:tc>
      </w:tr>
      <w:tr w:rsidR="00AC7110" w:rsidRPr="004F532E">
        <w:trPr>
          <w:trHeight w:val="350"/>
        </w:trPr>
        <w:tc>
          <w:tcPr>
            <w:tcW w:w="4410" w:type="dxa"/>
            <w:tcBorders>
              <w:left w:val="single" w:sz="4" w:space="0" w:color="auto"/>
            </w:tcBorders>
            <w:vAlign w:val="center"/>
          </w:tcPr>
          <w:p w:rsidR="00AC7110" w:rsidRPr="00CB5C1F" w:rsidRDefault="00DB0F4B" w:rsidP="00AC7110">
            <w:pPr>
              <w:widowControl/>
              <w:autoSpaceDE/>
              <w:autoSpaceDN/>
              <w:adjustRightInd/>
              <w:jc w:val="right"/>
              <w:rPr>
                <w:sz w:val="24"/>
                <w:szCs w:val="24"/>
              </w:rPr>
            </w:pPr>
            <w:r w:rsidRPr="00CB5C1F">
              <w:rPr>
                <w:sz w:val="24"/>
                <w:szCs w:val="24"/>
              </w:rPr>
              <w:t>SUBTOTAL</w:t>
            </w:r>
          </w:p>
        </w:tc>
        <w:tc>
          <w:tcPr>
            <w:tcW w:w="1800" w:type="dxa"/>
            <w:tcBorders>
              <w:top w:val="single" w:sz="4" w:space="0" w:color="auto"/>
              <w:right w:val="single" w:sz="4" w:space="0" w:color="auto"/>
            </w:tcBorders>
            <w:noWrap/>
            <w:vAlign w:val="center"/>
          </w:tcPr>
          <w:p w:rsidR="00AC7110" w:rsidRPr="00CB5C1F" w:rsidRDefault="00DB0F4B" w:rsidP="00AC7110">
            <w:pPr>
              <w:widowControl/>
              <w:autoSpaceDE/>
              <w:autoSpaceDN/>
              <w:adjustRightInd/>
              <w:jc w:val="right"/>
              <w:rPr>
                <w:sz w:val="24"/>
                <w:szCs w:val="24"/>
              </w:rPr>
            </w:pPr>
            <w:r w:rsidRPr="00CB5C1F">
              <w:rPr>
                <w:sz w:val="24"/>
                <w:szCs w:val="24"/>
              </w:rPr>
              <w:t>$180,812</w:t>
            </w:r>
          </w:p>
        </w:tc>
      </w:tr>
      <w:tr w:rsidR="00AC7110" w:rsidRPr="004F532E">
        <w:trPr>
          <w:trHeight w:val="576"/>
        </w:trPr>
        <w:tc>
          <w:tcPr>
            <w:tcW w:w="4410" w:type="dxa"/>
            <w:tcBorders>
              <w:left w:val="single" w:sz="4" w:space="0" w:color="auto"/>
            </w:tcBorders>
            <w:vAlign w:val="bottom"/>
          </w:tcPr>
          <w:p w:rsidR="00AC7110" w:rsidRPr="00CB5C1F" w:rsidRDefault="00DB0F4B" w:rsidP="00AC7110">
            <w:pPr>
              <w:widowControl/>
              <w:autoSpaceDE/>
              <w:autoSpaceDN/>
              <w:adjustRightInd/>
              <w:jc w:val="right"/>
              <w:rPr>
                <w:b/>
                <w:sz w:val="24"/>
                <w:szCs w:val="24"/>
              </w:rPr>
            </w:pPr>
            <w:r w:rsidRPr="00CB5C1F">
              <w:rPr>
                <w:sz w:val="24"/>
                <w:szCs w:val="24"/>
              </w:rPr>
              <w:t>Indirect Costs (17%)</w:t>
            </w:r>
          </w:p>
        </w:tc>
        <w:tc>
          <w:tcPr>
            <w:tcW w:w="1800" w:type="dxa"/>
            <w:tcBorders>
              <w:bottom w:val="single" w:sz="4" w:space="0" w:color="auto"/>
              <w:right w:val="single" w:sz="4" w:space="0" w:color="auto"/>
            </w:tcBorders>
            <w:noWrap/>
            <w:vAlign w:val="bottom"/>
          </w:tcPr>
          <w:p w:rsidR="00AC7110" w:rsidRPr="00CB5C1F" w:rsidRDefault="00DB0F4B" w:rsidP="00F408D9">
            <w:pPr>
              <w:widowControl/>
              <w:autoSpaceDE/>
              <w:autoSpaceDN/>
              <w:adjustRightInd/>
              <w:jc w:val="right"/>
              <w:rPr>
                <w:b/>
                <w:sz w:val="24"/>
                <w:szCs w:val="24"/>
              </w:rPr>
            </w:pPr>
            <w:r w:rsidRPr="00CB5C1F">
              <w:rPr>
                <w:sz w:val="24"/>
                <w:szCs w:val="24"/>
              </w:rPr>
              <w:t xml:space="preserve">$30,738 </w:t>
            </w:r>
          </w:p>
        </w:tc>
      </w:tr>
      <w:tr w:rsidR="00AC7110" w:rsidRPr="004F532E">
        <w:trPr>
          <w:trHeight w:val="404"/>
        </w:trPr>
        <w:tc>
          <w:tcPr>
            <w:tcW w:w="4410" w:type="dxa"/>
            <w:tcBorders>
              <w:left w:val="single" w:sz="4" w:space="0" w:color="auto"/>
              <w:bottom w:val="single" w:sz="4" w:space="0" w:color="auto"/>
            </w:tcBorders>
            <w:vAlign w:val="bottom"/>
          </w:tcPr>
          <w:p w:rsidR="00AC7110" w:rsidRPr="00CB5C1F" w:rsidRDefault="00DB0F4B" w:rsidP="00AC7110">
            <w:pPr>
              <w:widowControl/>
              <w:autoSpaceDE/>
              <w:autoSpaceDN/>
              <w:adjustRightInd/>
              <w:jc w:val="right"/>
              <w:rPr>
                <w:b/>
                <w:sz w:val="24"/>
                <w:szCs w:val="24"/>
              </w:rPr>
            </w:pPr>
            <w:r w:rsidRPr="00CB5C1F">
              <w:rPr>
                <w:b/>
                <w:sz w:val="24"/>
                <w:szCs w:val="24"/>
              </w:rPr>
              <w:t xml:space="preserve">TOTAL </w:t>
            </w:r>
          </w:p>
        </w:tc>
        <w:tc>
          <w:tcPr>
            <w:tcW w:w="1800" w:type="dxa"/>
            <w:tcBorders>
              <w:top w:val="single" w:sz="4" w:space="0" w:color="auto"/>
              <w:bottom w:val="single" w:sz="4" w:space="0" w:color="auto"/>
              <w:right w:val="single" w:sz="4" w:space="0" w:color="auto"/>
            </w:tcBorders>
            <w:noWrap/>
            <w:vAlign w:val="bottom"/>
          </w:tcPr>
          <w:p w:rsidR="00AC7110" w:rsidRPr="00CB5C1F" w:rsidRDefault="00DB0F4B" w:rsidP="00F408D9">
            <w:pPr>
              <w:widowControl/>
              <w:autoSpaceDE/>
              <w:autoSpaceDN/>
              <w:adjustRightInd/>
              <w:jc w:val="right"/>
              <w:rPr>
                <w:b/>
                <w:sz w:val="24"/>
                <w:szCs w:val="24"/>
              </w:rPr>
            </w:pPr>
            <w:r w:rsidRPr="00CB5C1F">
              <w:rPr>
                <w:b/>
                <w:sz w:val="24"/>
                <w:szCs w:val="24"/>
              </w:rPr>
              <w:t>$211,550</w:t>
            </w:r>
          </w:p>
        </w:tc>
      </w:tr>
    </w:tbl>
    <w:p w:rsidR="00A67B2E" w:rsidRDefault="00A67B2E" w:rsidP="00597AE7">
      <w:pPr>
        <w:widowControl/>
        <w:tabs>
          <w:tab w:val="right" w:pos="5400"/>
          <w:tab w:val="right" w:pos="7200"/>
          <w:tab w:val="right" w:pos="9180"/>
        </w:tabs>
        <w:ind w:right="1404"/>
        <w:rPr>
          <w:rFonts w:ascii="Arial" w:hAnsi="Arial" w:cs="Arial"/>
        </w:rPr>
      </w:pPr>
    </w:p>
    <w:p w:rsidR="00CA758C" w:rsidRDefault="00CA758C"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15.</w:t>
      </w:r>
      <w:r w:rsidRPr="00AF72EC">
        <w:rPr>
          <w:b/>
          <w:sz w:val="24"/>
          <w:szCs w:val="24"/>
        </w:rPr>
        <w:tab/>
        <w:t>Explain the reasons for any program changes or adjustments reported.</w:t>
      </w:r>
    </w:p>
    <w:p w:rsidR="00A80173" w:rsidRDefault="00A80173"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772DB" w:rsidRDefault="00757B9A" w:rsidP="00303A7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estimate that there will be an increase of 39</w:t>
      </w:r>
      <w:r w:rsidR="00AE3568">
        <w:rPr>
          <w:sz w:val="24"/>
          <w:szCs w:val="24"/>
        </w:rPr>
        <w:t>,</w:t>
      </w:r>
      <w:r>
        <w:rPr>
          <w:sz w:val="24"/>
          <w:szCs w:val="24"/>
        </w:rPr>
        <w:t>60</w:t>
      </w:r>
      <w:r w:rsidR="00AE3568">
        <w:rPr>
          <w:sz w:val="24"/>
          <w:szCs w:val="24"/>
        </w:rPr>
        <w:t>0</w:t>
      </w:r>
      <w:r>
        <w:rPr>
          <w:sz w:val="24"/>
          <w:szCs w:val="24"/>
        </w:rPr>
        <w:t xml:space="preserve"> responses totaling </w:t>
      </w:r>
      <w:r w:rsidR="00AE3568">
        <w:rPr>
          <w:sz w:val="24"/>
          <w:szCs w:val="24"/>
        </w:rPr>
        <w:t>a net increase of 933</w:t>
      </w:r>
      <w:r>
        <w:rPr>
          <w:sz w:val="24"/>
          <w:szCs w:val="24"/>
        </w:rPr>
        <w:t xml:space="preserve"> burden hours. </w:t>
      </w:r>
      <w:r w:rsidR="00C85208" w:rsidRPr="00C85208">
        <w:rPr>
          <w:sz w:val="24"/>
          <w:szCs w:val="24"/>
        </w:rPr>
        <w:t xml:space="preserve">This </w:t>
      </w:r>
      <w:r w:rsidR="00AE3568">
        <w:rPr>
          <w:sz w:val="24"/>
          <w:szCs w:val="24"/>
        </w:rPr>
        <w:t>program change is an increase from our</w:t>
      </w:r>
      <w:r w:rsidR="00C85208" w:rsidRPr="00C85208">
        <w:rPr>
          <w:sz w:val="24"/>
          <w:szCs w:val="24"/>
        </w:rPr>
        <w:t xml:space="preserve"> previous</w:t>
      </w:r>
      <w:r w:rsidR="00AE3568">
        <w:rPr>
          <w:sz w:val="24"/>
          <w:szCs w:val="24"/>
        </w:rPr>
        <w:t xml:space="preserve"> request of 132,000</w:t>
      </w:r>
      <w:r w:rsidR="00EF72D6">
        <w:rPr>
          <w:sz w:val="24"/>
          <w:szCs w:val="24"/>
        </w:rPr>
        <w:t xml:space="preserve"> to 171,600</w:t>
      </w:r>
      <w:r w:rsidR="00AE3568">
        <w:rPr>
          <w:sz w:val="24"/>
          <w:szCs w:val="24"/>
        </w:rPr>
        <w:t xml:space="preserve">. </w:t>
      </w:r>
      <w:r>
        <w:rPr>
          <w:sz w:val="24"/>
          <w:szCs w:val="24"/>
        </w:rPr>
        <w:t xml:space="preserve"> The </w:t>
      </w:r>
      <w:r w:rsidR="00AE3568">
        <w:rPr>
          <w:sz w:val="24"/>
          <w:szCs w:val="24"/>
        </w:rPr>
        <w:t>increase represents</w:t>
      </w:r>
      <w:r>
        <w:rPr>
          <w:sz w:val="24"/>
          <w:szCs w:val="24"/>
        </w:rPr>
        <w:t xml:space="preserve"> </w:t>
      </w:r>
      <w:r w:rsidR="00AE3568">
        <w:rPr>
          <w:sz w:val="24"/>
          <w:szCs w:val="24"/>
        </w:rPr>
        <w:t xml:space="preserve">the addition of </w:t>
      </w:r>
      <w:r w:rsidR="00C33166" w:rsidRPr="00C85208">
        <w:rPr>
          <w:sz w:val="24"/>
          <w:szCs w:val="24"/>
        </w:rPr>
        <w:t>new non-response survey to this collectio</w:t>
      </w:r>
      <w:r w:rsidR="00AE3568">
        <w:rPr>
          <w:sz w:val="24"/>
          <w:szCs w:val="24"/>
        </w:rPr>
        <w:t>n, upon the recommendation of OMB (3/28/2011).</w:t>
      </w:r>
    </w:p>
    <w:p w:rsidR="00C33166" w:rsidRDefault="00C33166" w:rsidP="00303A7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050B93" w:rsidRDefault="00CC6514">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16.</w:t>
      </w:r>
      <w:r w:rsidRPr="00AF72EC">
        <w:rPr>
          <w:b/>
          <w:sz w:val="24"/>
          <w:szCs w:val="24"/>
        </w:rPr>
        <w:tab/>
        <w:t xml:space="preserve">For collections of information whose results will be published, outline plans for tabulation and publication.  </w:t>
      </w:r>
    </w:p>
    <w:p w:rsidR="00050B93" w:rsidRDefault="00CC6514">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636C8">
        <w:rPr>
          <w:sz w:val="24"/>
          <w:szCs w:val="24"/>
        </w:rPr>
        <w:tab/>
      </w:r>
    </w:p>
    <w:p w:rsidR="00D60BCA" w:rsidRDefault="00B0681B" w:rsidP="008128A4">
      <w:pPr>
        <w:widowControl/>
        <w:rPr>
          <w:rFonts w:ascii="Times-Roman" w:hAnsi="Times-Roman" w:cs="Times-Roman"/>
          <w:sz w:val="18"/>
          <w:szCs w:val="18"/>
        </w:rPr>
      </w:pPr>
      <w:r w:rsidRPr="008128A4">
        <w:rPr>
          <w:sz w:val="24"/>
          <w:szCs w:val="24"/>
        </w:rPr>
        <w:t>All survey forms will use a scantron bubble mark format</w:t>
      </w:r>
      <w:r w:rsidR="00D60BCA" w:rsidRPr="008128A4">
        <w:rPr>
          <w:sz w:val="24"/>
          <w:szCs w:val="24"/>
        </w:rPr>
        <w:t xml:space="preserve">.  </w:t>
      </w:r>
      <w:r w:rsidR="008128A4" w:rsidRPr="008128A4">
        <w:rPr>
          <w:sz w:val="24"/>
          <w:szCs w:val="24"/>
        </w:rPr>
        <w:t xml:space="preserve">Returned cards </w:t>
      </w:r>
      <w:r w:rsidR="008128A4">
        <w:rPr>
          <w:sz w:val="24"/>
          <w:szCs w:val="24"/>
        </w:rPr>
        <w:t>will be</w:t>
      </w:r>
      <w:r w:rsidR="008128A4" w:rsidRPr="008128A4">
        <w:rPr>
          <w:sz w:val="24"/>
          <w:szCs w:val="24"/>
        </w:rPr>
        <w:t xml:space="preserve"> electronically scanned and the data analyzed. Frequency distributions </w:t>
      </w:r>
      <w:r w:rsidR="008128A4">
        <w:rPr>
          <w:sz w:val="24"/>
          <w:szCs w:val="24"/>
        </w:rPr>
        <w:t>will be</w:t>
      </w:r>
      <w:r w:rsidR="008128A4" w:rsidRPr="008128A4">
        <w:rPr>
          <w:sz w:val="24"/>
          <w:szCs w:val="24"/>
        </w:rPr>
        <w:t xml:space="preserve"> calculated for each indicator and category. All percentage calculations </w:t>
      </w:r>
      <w:r w:rsidR="008128A4">
        <w:rPr>
          <w:sz w:val="24"/>
          <w:szCs w:val="24"/>
        </w:rPr>
        <w:t xml:space="preserve">will be </w:t>
      </w:r>
      <w:r w:rsidR="008128A4" w:rsidRPr="008128A4">
        <w:rPr>
          <w:sz w:val="24"/>
          <w:szCs w:val="24"/>
        </w:rPr>
        <w:t>rounded to the nearest percent</w:t>
      </w:r>
      <w:r w:rsidR="008128A4">
        <w:rPr>
          <w:rFonts w:ascii="Times-Roman" w:hAnsi="Times-Roman" w:cs="Times-Roman"/>
          <w:sz w:val="18"/>
          <w:szCs w:val="18"/>
        </w:rPr>
        <w:t>.</w:t>
      </w:r>
    </w:p>
    <w:p w:rsidR="008128A4" w:rsidRDefault="008128A4" w:rsidP="008128A4">
      <w:pPr>
        <w:widowControl/>
        <w:rPr>
          <w:sz w:val="24"/>
        </w:rPr>
      </w:pPr>
    </w:p>
    <w:p w:rsidR="00B0681B" w:rsidRDefault="00B0681B" w:rsidP="00B0681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1875C7">
        <w:rPr>
          <w:sz w:val="24"/>
        </w:rPr>
        <w:t xml:space="preserve">All </w:t>
      </w:r>
      <w:r>
        <w:rPr>
          <w:sz w:val="24"/>
        </w:rPr>
        <w:t xml:space="preserve">survey results will be </w:t>
      </w:r>
      <w:r w:rsidRPr="001875C7">
        <w:rPr>
          <w:sz w:val="24"/>
        </w:rPr>
        <w:t>computed by the University of Idaho</w:t>
      </w:r>
      <w:r>
        <w:rPr>
          <w:sz w:val="24"/>
        </w:rPr>
        <w:t>.</w:t>
      </w:r>
      <w:r w:rsidRPr="001875C7">
        <w:rPr>
          <w:sz w:val="24"/>
        </w:rPr>
        <w:t xml:space="preserve"> </w:t>
      </w:r>
      <w:r>
        <w:rPr>
          <w:sz w:val="24"/>
        </w:rPr>
        <w:t>I</w:t>
      </w:r>
      <w:r w:rsidRPr="00CC6514">
        <w:rPr>
          <w:sz w:val="24"/>
        </w:rPr>
        <w:t>ndividual</w:t>
      </w:r>
      <w:r>
        <w:rPr>
          <w:sz w:val="24"/>
        </w:rPr>
        <w:t xml:space="preserve"> </w:t>
      </w:r>
      <w:r w:rsidR="008128A4">
        <w:rPr>
          <w:sz w:val="24"/>
        </w:rPr>
        <w:t xml:space="preserve">data </w:t>
      </w:r>
      <w:r w:rsidRPr="00CC6514">
        <w:rPr>
          <w:sz w:val="24"/>
        </w:rPr>
        <w:t xml:space="preserve">reports </w:t>
      </w:r>
      <w:r w:rsidR="008128A4">
        <w:rPr>
          <w:sz w:val="24"/>
        </w:rPr>
        <w:t xml:space="preserve">will be created </w:t>
      </w:r>
      <w:r w:rsidRPr="00CC6514">
        <w:rPr>
          <w:sz w:val="24"/>
        </w:rPr>
        <w:t xml:space="preserve">for each participating </w:t>
      </w:r>
      <w:r>
        <w:rPr>
          <w:sz w:val="24"/>
        </w:rPr>
        <w:t>National P</w:t>
      </w:r>
      <w:r w:rsidRPr="00CC6514">
        <w:rPr>
          <w:sz w:val="24"/>
        </w:rPr>
        <w:t>ark</w:t>
      </w:r>
      <w:r w:rsidR="001274AE">
        <w:rPr>
          <w:sz w:val="24"/>
        </w:rPr>
        <w:t>. A separate</w:t>
      </w:r>
      <w:r w:rsidR="00373B71">
        <w:rPr>
          <w:sz w:val="24"/>
        </w:rPr>
        <w:t xml:space="preserve"> System</w:t>
      </w:r>
      <w:r w:rsidR="009B71BB">
        <w:rPr>
          <w:sz w:val="24"/>
        </w:rPr>
        <w:t>-</w:t>
      </w:r>
      <w:r w:rsidR="00373B71">
        <w:rPr>
          <w:sz w:val="24"/>
        </w:rPr>
        <w:t xml:space="preserve">wide Report </w:t>
      </w:r>
      <w:r w:rsidR="009B71BB">
        <w:rPr>
          <w:sz w:val="24"/>
        </w:rPr>
        <w:t xml:space="preserve">will </w:t>
      </w:r>
      <w:r w:rsidR="001274AE">
        <w:rPr>
          <w:sz w:val="24"/>
        </w:rPr>
        <w:t>provide information for</w:t>
      </w:r>
      <w:r w:rsidR="00373B71">
        <w:rPr>
          <w:sz w:val="24"/>
        </w:rPr>
        <w:t xml:space="preserve"> all participating sites</w:t>
      </w:r>
      <w:r w:rsidR="008128A4">
        <w:rPr>
          <w:sz w:val="24"/>
        </w:rPr>
        <w:t>.</w:t>
      </w:r>
      <w:r>
        <w:rPr>
          <w:sz w:val="24"/>
        </w:rPr>
        <w:t xml:space="preserve"> </w:t>
      </w:r>
      <w:r w:rsidRPr="002636C8">
        <w:rPr>
          <w:sz w:val="24"/>
          <w:szCs w:val="24"/>
        </w:rPr>
        <w:t xml:space="preserve">These reports will </w:t>
      </w:r>
      <w:r>
        <w:rPr>
          <w:sz w:val="24"/>
          <w:szCs w:val="24"/>
        </w:rPr>
        <w:t xml:space="preserve">be </w:t>
      </w:r>
      <w:r w:rsidRPr="002636C8">
        <w:rPr>
          <w:sz w:val="24"/>
          <w:szCs w:val="24"/>
        </w:rPr>
        <w:t>produce</w:t>
      </w:r>
      <w:r>
        <w:rPr>
          <w:sz w:val="24"/>
          <w:szCs w:val="24"/>
        </w:rPr>
        <w:t>d</w:t>
      </w:r>
      <w:r w:rsidRPr="002636C8">
        <w:rPr>
          <w:sz w:val="24"/>
          <w:szCs w:val="24"/>
        </w:rPr>
        <w:t xml:space="preserve"> in </w:t>
      </w:r>
      <w:r>
        <w:rPr>
          <w:sz w:val="24"/>
          <w:szCs w:val="24"/>
        </w:rPr>
        <w:t xml:space="preserve">a </w:t>
      </w:r>
      <w:r w:rsidRPr="002636C8">
        <w:rPr>
          <w:sz w:val="24"/>
          <w:szCs w:val="24"/>
        </w:rPr>
        <w:t xml:space="preserve">printable PDF format </w:t>
      </w:r>
      <w:r>
        <w:rPr>
          <w:sz w:val="24"/>
          <w:szCs w:val="24"/>
        </w:rPr>
        <w:t xml:space="preserve">and </w:t>
      </w:r>
      <w:r w:rsidRPr="002636C8">
        <w:rPr>
          <w:sz w:val="24"/>
          <w:szCs w:val="24"/>
        </w:rPr>
        <w:t xml:space="preserve">will have formats and tables similar to those of previous reports published by the University of Idaho.  </w:t>
      </w:r>
      <w:r>
        <w:rPr>
          <w:sz w:val="24"/>
        </w:rPr>
        <w:t>C</w:t>
      </w:r>
      <w:r w:rsidRPr="00CC6514">
        <w:rPr>
          <w:sz w:val="24"/>
        </w:rPr>
        <w:t>op</w:t>
      </w:r>
      <w:r>
        <w:rPr>
          <w:sz w:val="24"/>
        </w:rPr>
        <w:t>ies</w:t>
      </w:r>
      <w:r w:rsidRPr="00CC6514">
        <w:rPr>
          <w:sz w:val="24"/>
        </w:rPr>
        <w:t xml:space="preserve"> of </w:t>
      </w:r>
      <w:r>
        <w:rPr>
          <w:sz w:val="24"/>
        </w:rPr>
        <w:t>the</w:t>
      </w:r>
      <w:r w:rsidRPr="00CC6514">
        <w:rPr>
          <w:sz w:val="24"/>
        </w:rPr>
        <w:t xml:space="preserve"> reports will be archived with the National Park Service Social Science Program for inclusion in the Social Science Studies Collection, and </w:t>
      </w:r>
      <w:r>
        <w:rPr>
          <w:sz w:val="24"/>
        </w:rPr>
        <w:t xml:space="preserve">will be </w:t>
      </w:r>
      <w:r w:rsidRPr="00CC6514">
        <w:rPr>
          <w:sz w:val="24"/>
        </w:rPr>
        <w:t>available on the University of Idaho Park Studies Unit website</w:t>
      </w:r>
      <w:r>
        <w:rPr>
          <w:sz w:val="24"/>
        </w:rPr>
        <w:t xml:space="preserve"> </w:t>
      </w:r>
      <w:hyperlink r:id="rId10" w:history="1">
        <w:r w:rsidRPr="003E724B">
          <w:rPr>
            <w:rStyle w:val="Hyperlink"/>
            <w:sz w:val="24"/>
          </w:rPr>
          <w:t>www.psu.uidaho.edu</w:t>
        </w:r>
      </w:hyperlink>
      <w:r>
        <w:rPr>
          <w:sz w:val="24"/>
        </w:rPr>
        <w:t>.</w:t>
      </w:r>
      <w:r w:rsidRPr="00CC6514">
        <w:rPr>
          <w:sz w:val="24"/>
        </w:rPr>
        <w:t xml:space="preserve"> </w:t>
      </w:r>
    </w:p>
    <w:p w:rsidR="00B0681B" w:rsidRDefault="00B0681B" w:rsidP="00347B5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373B71" w:rsidRDefault="00373B71" w:rsidP="00347B5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Data collected from the</w:t>
      </w:r>
      <w:r w:rsidR="00A265F7">
        <w:rPr>
          <w:sz w:val="24"/>
        </w:rPr>
        <w:t xml:space="preserve"> verbal questions at</w:t>
      </w:r>
      <w:r>
        <w:rPr>
          <w:sz w:val="24"/>
        </w:rPr>
        <w:t xml:space="preserve"> non response bias check </w:t>
      </w:r>
      <w:r w:rsidR="006C2A60">
        <w:rPr>
          <w:sz w:val="24"/>
        </w:rPr>
        <w:t xml:space="preserve">parks </w:t>
      </w:r>
      <w:r>
        <w:rPr>
          <w:sz w:val="24"/>
        </w:rPr>
        <w:t xml:space="preserve">will be </w:t>
      </w:r>
      <w:r w:rsidR="006C2A60">
        <w:rPr>
          <w:sz w:val="24"/>
        </w:rPr>
        <w:t>entered into an excel spreadsheet</w:t>
      </w:r>
      <w:r w:rsidR="00A265F7">
        <w:rPr>
          <w:sz w:val="24"/>
        </w:rPr>
        <w:t>. Analysis will determine if a non response bias exists</w:t>
      </w:r>
      <w:r w:rsidR="00551BB9">
        <w:rPr>
          <w:sz w:val="24"/>
        </w:rPr>
        <w:t xml:space="preserve"> on a System</w:t>
      </w:r>
      <w:r w:rsidR="009B71BB">
        <w:rPr>
          <w:sz w:val="24"/>
        </w:rPr>
        <w:t>-</w:t>
      </w:r>
      <w:r w:rsidR="00551BB9">
        <w:rPr>
          <w:sz w:val="24"/>
        </w:rPr>
        <w:t>wide level</w:t>
      </w:r>
      <w:r w:rsidR="00A265F7">
        <w:rPr>
          <w:sz w:val="24"/>
        </w:rPr>
        <w:t>. Results of this analysis will be provided to the National Park Service Social Science Program and OMB as a part of the terms of clearance. If bias exists, changes to the survey methodology may be implemented for year 2 with a repeat of the non</w:t>
      </w:r>
      <w:r w:rsidR="008179B8">
        <w:rPr>
          <w:sz w:val="24"/>
        </w:rPr>
        <w:t>-</w:t>
      </w:r>
      <w:r w:rsidR="00A265F7">
        <w:rPr>
          <w:sz w:val="24"/>
        </w:rPr>
        <w:t xml:space="preserve">response bias check.  </w:t>
      </w:r>
    </w:p>
    <w:p w:rsidR="00347B5B" w:rsidRDefault="00347B5B" w:rsidP="00347B5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CC6514">
        <w:rPr>
          <w:sz w:val="24"/>
        </w:rPr>
        <w:t xml:space="preserve">The sampling period each </w:t>
      </w:r>
      <w:r w:rsidR="00B0681B">
        <w:rPr>
          <w:sz w:val="24"/>
        </w:rPr>
        <w:t xml:space="preserve">for </w:t>
      </w:r>
      <w:r w:rsidRPr="00CC6514">
        <w:rPr>
          <w:sz w:val="24"/>
        </w:rPr>
        <w:t xml:space="preserve">year </w:t>
      </w:r>
      <w:r w:rsidR="008128A4">
        <w:rPr>
          <w:sz w:val="24"/>
        </w:rPr>
        <w:t xml:space="preserve">will </w:t>
      </w:r>
      <w:r w:rsidRPr="00CC6514">
        <w:rPr>
          <w:sz w:val="24"/>
        </w:rPr>
        <w:t xml:space="preserve">begin in February and end in August. </w:t>
      </w:r>
      <w:r w:rsidR="00B0681B">
        <w:rPr>
          <w:sz w:val="24"/>
        </w:rPr>
        <w:t>R</w:t>
      </w:r>
      <w:r w:rsidRPr="00CC6514">
        <w:rPr>
          <w:sz w:val="24"/>
        </w:rPr>
        <w:t>eports are typically available by mid</w:t>
      </w:r>
      <w:r>
        <w:rPr>
          <w:sz w:val="24"/>
        </w:rPr>
        <w:t>-October</w:t>
      </w:r>
      <w:r w:rsidRPr="00CC6514">
        <w:rPr>
          <w:sz w:val="24"/>
        </w:rPr>
        <w:t xml:space="preserve"> of each year.</w:t>
      </w:r>
      <w:r>
        <w:rPr>
          <w:sz w:val="24"/>
        </w:rPr>
        <w:t xml:space="preserve">  </w:t>
      </w:r>
    </w:p>
    <w:p w:rsidR="00DF69A8" w:rsidRDefault="00DF69A8" w:rsidP="00347B5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17.</w:t>
      </w:r>
      <w:r w:rsidRPr="00AF72EC">
        <w:rPr>
          <w:b/>
          <w:sz w:val="24"/>
          <w:szCs w:val="24"/>
        </w:rPr>
        <w:tab/>
        <w:t>If seeking approval to not display the expiration date for OMB approval of the information collection, explain the reasons that display would be inappropriate.</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E742D6" w:rsidRPr="00FB0977" w:rsidRDefault="00F87B88" w:rsidP="00E742D6">
      <w:pPr>
        <w:rPr>
          <w:rFonts w:ascii="Arial" w:hAnsi="Arial" w:cs="Arial"/>
          <w:sz w:val="22"/>
          <w:szCs w:val="22"/>
        </w:rPr>
      </w:pPr>
      <w:r w:rsidRPr="00F87B88">
        <w:rPr>
          <w:sz w:val="24"/>
          <w:szCs w:val="24"/>
        </w:rPr>
        <w:t>We will display the OMB control number and expiration date on appropriate materials</w:t>
      </w:r>
      <w:r w:rsidR="00E742D6" w:rsidRPr="00FB0977">
        <w:rPr>
          <w:rFonts w:ascii="Arial" w:hAnsi="Arial" w:cs="Arial"/>
          <w:sz w:val="22"/>
          <w:szCs w:val="22"/>
        </w:rPr>
        <w:t>.</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00CC6514" w:rsidRPr="00AF72EC"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F72EC">
        <w:rPr>
          <w:b/>
          <w:sz w:val="24"/>
          <w:szCs w:val="24"/>
        </w:rPr>
        <w:t>18.</w:t>
      </w:r>
      <w:r w:rsidRPr="00AF72EC">
        <w:rPr>
          <w:b/>
          <w:sz w:val="24"/>
          <w:szCs w:val="24"/>
        </w:rPr>
        <w:tab/>
        <w:t>Explain each exception to the Certification for Paperwork Reduction Act Submissions</w:t>
      </w:r>
      <w:r w:rsidR="00537021">
        <w:rPr>
          <w:b/>
          <w:sz w:val="24"/>
          <w:szCs w:val="24"/>
        </w:rPr>
        <w:t>.</w:t>
      </w:r>
    </w:p>
    <w:p w:rsidR="00CC6514" w:rsidRDefault="00CC6514" w:rsidP="00597AE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b/>
      </w:r>
    </w:p>
    <w:p w:rsidR="00050B93" w:rsidRDefault="00CC6514">
      <w:pPr>
        <w:widowControl/>
        <w:rPr>
          <w:sz w:val="24"/>
        </w:rPr>
      </w:pPr>
      <w:r w:rsidRPr="00C05A15">
        <w:rPr>
          <w:sz w:val="24"/>
        </w:rPr>
        <w:t>There are no exceptions to the certification statement</w:t>
      </w:r>
      <w:r>
        <w:rPr>
          <w:sz w:val="24"/>
        </w:rPr>
        <w:t>.</w:t>
      </w:r>
    </w:p>
    <w:p w:rsidR="00597AE7" w:rsidRDefault="00597AE7" w:rsidP="00597AE7">
      <w:pPr>
        <w:widowControl/>
        <w:ind w:left="360"/>
        <w:rPr>
          <w:sz w:val="24"/>
        </w:rPr>
      </w:pPr>
    </w:p>
    <w:p w:rsidR="00597AE7" w:rsidRDefault="00597AE7" w:rsidP="00597AE7">
      <w:pPr>
        <w:widowControl/>
        <w:ind w:left="360"/>
        <w:rPr>
          <w:sz w:val="24"/>
        </w:rPr>
      </w:pPr>
    </w:p>
    <w:p w:rsidR="00597AE7" w:rsidRDefault="00597AE7" w:rsidP="00597AE7">
      <w:pPr>
        <w:widowControl/>
        <w:rPr>
          <w:sz w:val="24"/>
        </w:rPr>
      </w:pPr>
    </w:p>
    <w:sectPr w:rsidR="00597AE7" w:rsidSect="00F87B88">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70" w:rsidRDefault="006B5470" w:rsidP="00C6506E">
      <w:r>
        <w:separator/>
      </w:r>
    </w:p>
  </w:endnote>
  <w:endnote w:type="continuationSeparator" w:id="0">
    <w:p w:rsidR="006B5470" w:rsidRDefault="006B5470" w:rsidP="00C6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21485"/>
      <w:docPartObj>
        <w:docPartGallery w:val="Page Numbers (Bottom of Page)"/>
        <w:docPartUnique/>
      </w:docPartObj>
    </w:sdtPr>
    <w:sdtEndPr/>
    <w:sdtContent>
      <w:p w:rsidR="006C2A60" w:rsidRDefault="00BB7489">
        <w:pPr>
          <w:pStyle w:val="Footer"/>
          <w:jc w:val="right"/>
        </w:pPr>
        <w:r>
          <w:fldChar w:fldCharType="begin"/>
        </w:r>
        <w:r>
          <w:instrText xml:space="preserve"> PAGE   \* MERGEFORMAT </w:instrText>
        </w:r>
        <w:r>
          <w:fldChar w:fldCharType="separate"/>
        </w:r>
        <w:r w:rsidR="006B5470">
          <w:rPr>
            <w:noProof/>
          </w:rPr>
          <w:t>1</w:t>
        </w:r>
        <w:r>
          <w:rPr>
            <w:noProof/>
          </w:rPr>
          <w:fldChar w:fldCharType="end"/>
        </w:r>
      </w:p>
    </w:sdtContent>
  </w:sdt>
  <w:p w:rsidR="006C2A60" w:rsidRDefault="006C2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70" w:rsidRDefault="006B5470" w:rsidP="00C6506E">
      <w:r>
        <w:separator/>
      </w:r>
    </w:p>
  </w:footnote>
  <w:footnote w:type="continuationSeparator" w:id="0">
    <w:p w:rsidR="006B5470" w:rsidRDefault="006B5470" w:rsidP="00C65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7794"/>
    <w:multiLevelType w:val="hybridMultilevel"/>
    <w:tmpl w:val="90EE7A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F3D44F5"/>
    <w:multiLevelType w:val="hybridMultilevel"/>
    <w:tmpl w:val="5F1E7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F45382"/>
    <w:multiLevelType w:val="hybridMultilevel"/>
    <w:tmpl w:val="C49054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47787984"/>
    <w:multiLevelType w:val="hybridMultilevel"/>
    <w:tmpl w:val="448E5E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96F45D5"/>
    <w:multiLevelType w:val="hybridMultilevel"/>
    <w:tmpl w:val="CCF66CFC"/>
    <w:lvl w:ilvl="0" w:tplc="04090001">
      <w:start w:val="1"/>
      <w:numFmt w:val="bullet"/>
      <w:lvlText w:val=""/>
      <w:lvlJc w:val="left"/>
      <w:pPr>
        <w:tabs>
          <w:tab w:val="num" w:pos="2430"/>
        </w:tabs>
        <w:ind w:left="2430" w:hanging="360"/>
      </w:pPr>
      <w:rPr>
        <w:rFonts w:ascii="Symbol" w:hAnsi="Symbol" w:hint="default"/>
      </w:rPr>
    </w:lvl>
    <w:lvl w:ilvl="1" w:tplc="04090003">
      <w:start w:val="1"/>
      <w:numFmt w:val="bullet"/>
      <w:lvlText w:val="o"/>
      <w:lvlJc w:val="left"/>
      <w:pPr>
        <w:tabs>
          <w:tab w:val="num" w:pos="3150"/>
        </w:tabs>
        <w:ind w:left="3150" w:hanging="360"/>
      </w:pPr>
      <w:rPr>
        <w:rFonts w:ascii="Courier New" w:hAnsi="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start w:val="1"/>
      <w:numFmt w:val="bullet"/>
      <w:lvlText w:val=""/>
      <w:lvlJc w:val="left"/>
      <w:pPr>
        <w:tabs>
          <w:tab w:val="num" w:pos="4590"/>
        </w:tabs>
        <w:ind w:left="4590" w:hanging="360"/>
      </w:pPr>
      <w:rPr>
        <w:rFonts w:ascii="Symbol" w:hAnsi="Symbol" w:hint="default"/>
      </w:rPr>
    </w:lvl>
    <w:lvl w:ilvl="4" w:tplc="04090003">
      <w:start w:val="1"/>
      <w:numFmt w:val="bullet"/>
      <w:lvlText w:val="o"/>
      <w:lvlJc w:val="left"/>
      <w:pPr>
        <w:tabs>
          <w:tab w:val="num" w:pos="5310"/>
        </w:tabs>
        <w:ind w:left="5310" w:hanging="360"/>
      </w:pPr>
      <w:rPr>
        <w:rFonts w:ascii="Courier New" w:hAnsi="Courier New" w:hint="default"/>
      </w:rPr>
    </w:lvl>
    <w:lvl w:ilvl="5" w:tplc="04090005">
      <w:start w:val="1"/>
      <w:numFmt w:val="bullet"/>
      <w:lvlText w:val=""/>
      <w:lvlJc w:val="left"/>
      <w:pPr>
        <w:tabs>
          <w:tab w:val="num" w:pos="6030"/>
        </w:tabs>
        <w:ind w:left="6030" w:hanging="360"/>
      </w:pPr>
      <w:rPr>
        <w:rFonts w:ascii="Wingdings" w:hAnsi="Wingdings" w:hint="default"/>
      </w:rPr>
    </w:lvl>
    <w:lvl w:ilvl="6" w:tplc="04090001">
      <w:start w:val="1"/>
      <w:numFmt w:val="bullet"/>
      <w:lvlText w:val=""/>
      <w:lvlJc w:val="left"/>
      <w:pPr>
        <w:tabs>
          <w:tab w:val="num" w:pos="6750"/>
        </w:tabs>
        <w:ind w:left="6750" w:hanging="360"/>
      </w:pPr>
      <w:rPr>
        <w:rFonts w:ascii="Symbol" w:hAnsi="Symbol" w:hint="default"/>
      </w:rPr>
    </w:lvl>
    <w:lvl w:ilvl="7" w:tplc="04090003">
      <w:start w:val="1"/>
      <w:numFmt w:val="bullet"/>
      <w:lvlText w:val="o"/>
      <w:lvlJc w:val="left"/>
      <w:pPr>
        <w:tabs>
          <w:tab w:val="num" w:pos="7470"/>
        </w:tabs>
        <w:ind w:left="7470" w:hanging="360"/>
      </w:pPr>
      <w:rPr>
        <w:rFonts w:ascii="Courier New" w:hAnsi="Courier New" w:hint="default"/>
      </w:rPr>
    </w:lvl>
    <w:lvl w:ilvl="8" w:tplc="04090005">
      <w:start w:val="1"/>
      <w:numFmt w:val="bullet"/>
      <w:lvlText w:val=""/>
      <w:lvlJc w:val="left"/>
      <w:pPr>
        <w:tabs>
          <w:tab w:val="num" w:pos="8190"/>
        </w:tabs>
        <w:ind w:left="819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C2581"/>
    <w:rsid w:val="00002119"/>
    <w:rsid w:val="00010F4F"/>
    <w:rsid w:val="000206D4"/>
    <w:rsid w:val="00024A6E"/>
    <w:rsid w:val="00026371"/>
    <w:rsid w:val="00036113"/>
    <w:rsid w:val="00036D81"/>
    <w:rsid w:val="00044FF9"/>
    <w:rsid w:val="000462BD"/>
    <w:rsid w:val="00050B93"/>
    <w:rsid w:val="00057BED"/>
    <w:rsid w:val="00062788"/>
    <w:rsid w:val="00072ADF"/>
    <w:rsid w:val="00077F78"/>
    <w:rsid w:val="00085D62"/>
    <w:rsid w:val="000B3A3D"/>
    <w:rsid w:val="000D333D"/>
    <w:rsid w:val="000E2202"/>
    <w:rsid w:val="000E2487"/>
    <w:rsid w:val="000E6417"/>
    <w:rsid w:val="000F7F7E"/>
    <w:rsid w:val="00103811"/>
    <w:rsid w:val="00112081"/>
    <w:rsid w:val="001120A9"/>
    <w:rsid w:val="00117ECD"/>
    <w:rsid w:val="001274AE"/>
    <w:rsid w:val="00142072"/>
    <w:rsid w:val="00142EC6"/>
    <w:rsid w:val="00151B81"/>
    <w:rsid w:val="0016330A"/>
    <w:rsid w:val="00167980"/>
    <w:rsid w:val="00167DF0"/>
    <w:rsid w:val="00174A55"/>
    <w:rsid w:val="00183175"/>
    <w:rsid w:val="001875C7"/>
    <w:rsid w:val="001915B1"/>
    <w:rsid w:val="001B1B00"/>
    <w:rsid w:val="001D5C4D"/>
    <w:rsid w:val="001E06AE"/>
    <w:rsid w:val="001E7B2D"/>
    <w:rsid w:val="001F1754"/>
    <w:rsid w:val="001F1E7A"/>
    <w:rsid w:val="001F27A0"/>
    <w:rsid w:val="00210343"/>
    <w:rsid w:val="0021569B"/>
    <w:rsid w:val="0024557F"/>
    <w:rsid w:val="002540BF"/>
    <w:rsid w:val="00256E35"/>
    <w:rsid w:val="002636C8"/>
    <w:rsid w:val="00265B3B"/>
    <w:rsid w:val="002A2E35"/>
    <w:rsid w:val="002A3A89"/>
    <w:rsid w:val="002B48E9"/>
    <w:rsid w:val="002D0B6F"/>
    <w:rsid w:val="002D3B59"/>
    <w:rsid w:val="002F0A74"/>
    <w:rsid w:val="002F1B4A"/>
    <w:rsid w:val="00300527"/>
    <w:rsid w:val="00303A7B"/>
    <w:rsid w:val="00307EA7"/>
    <w:rsid w:val="0031655B"/>
    <w:rsid w:val="00324B91"/>
    <w:rsid w:val="003453B1"/>
    <w:rsid w:val="00347B5B"/>
    <w:rsid w:val="00373B71"/>
    <w:rsid w:val="00380541"/>
    <w:rsid w:val="00381DC0"/>
    <w:rsid w:val="00383FA1"/>
    <w:rsid w:val="003B5706"/>
    <w:rsid w:val="003C29AA"/>
    <w:rsid w:val="003E724B"/>
    <w:rsid w:val="00405D60"/>
    <w:rsid w:val="00412ED4"/>
    <w:rsid w:val="004133EF"/>
    <w:rsid w:val="00422C10"/>
    <w:rsid w:val="004304B0"/>
    <w:rsid w:val="0045004C"/>
    <w:rsid w:val="00451EF3"/>
    <w:rsid w:val="0045232C"/>
    <w:rsid w:val="00454C2F"/>
    <w:rsid w:val="004706B6"/>
    <w:rsid w:val="004908A2"/>
    <w:rsid w:val="004965AB"/>
    <w:rsid w:val="004A775E"/>
    <w:rsid w:val="004C0164"/>
    <w:rsid w:val="004D3011"/>
    <w:rsid w:val="004F532E"/>
    <w:rsid w:val="0050505E"/>
    <w:rsid w:val="00521E6E"/>
    <w:rsid w:val="0053629B"/>
    <w:rsid w:val="00537021"/>
    <w:rsid w:val="00551BB9"/>
    <w:rsid w:val="00581231"/>
    <w:rsid w:val="00593F9F"/>
    <w:rsid w:val="00595B86"/>
    <w:rsid w:val="00597AE7"/>
    <w:rsid w:val="005B0D03"/>
    <w:rsid w:val="005D04B9"/>
    <w:rsid w:val="005E55CB"/>
    <w:rsid w:val="005F3213"/>
    <w:rsid w:val="005F6414"/>
    <w:rsid w:val="00605452"/>
    <w:rsid w:val="006148EC"/>
    <w:rsid w:val="00630970"/>
    <w:rsid w:val="00650767"/>
    <w:rsid w:val="00653949"/>
    <w:rsid w:val="006550AE"/>
    <w:rsid w:val="0065650C"/>
    <w:rsid w:val="00660562"/>
    <w:rsid w:val="00660590"/>
    <w:rsid w:val="00661F8B"/>
    <w:rsid w:val="0066622F"/>
    <w:rsid w:val="006774B6"/>
    <w:rsid w:val="00677513"/>
    <w:rsid w:val="00684C72"/>
    <w:rsid w:val="006B5195"/>
    <w:rsid w:val="006B5470"/>
    <w:rsid w:val="006C0132"/>
    <w:rsid w:val="006C2A60"/>
    <w:rsid w:val="006F1A18"/>
    <w:rsid w:val="006F769E"/>
    <w:rsid w:val="00720812"/>
    <w:rsid w:val="0075020D"/>
    <w:rsid w:val="0075111A"/>
    <w:rsid w:val="00757B9A"/>
    <w:rsid w:val="00757BCB"/>
    <w:rsid w:val="00774201"/>
    <w:rsid w:val="007955B5"/>
    <w:rsid w:val="007C2B95"/>
    <w:rsid w:val="007D0765"/>
    <w:rsid w:val="007E280B"/>
    <w:rsid w:val="007E3DB1"/>
    <w:rsid w:val="007E7E87"/>
    <w:rsid w:val="007F3B2E"/>
    <w:rsid w:val="008128A4"/>
    <w:rsid w:val="008179B8"/>
    <w:rsid w:val="00822014"/>
    <w:rsid w:val="00822084"/>
    <w:rsid w:val="0082730F"/>
    <w:rsid w:val="00840E83"/>
    <w:rsid w:val="0084502B"/>
    <w:rsid w:val="008452E6"/>
    <w:rsid w:val="0084610C"/>
    <w:rsid w:val="00854563"/>
    <w:rsid w:val="00875D30"/>
    <w:rsid w:val="008B1377"/>
    <w:rsid w:val="008B5C0C"/>
    <w:rsid w:val="008B7AA9"/>
    <w:rsid w:val="008D55CE"/>
    <w:rsid w:val="008D5F73"/>
    <w:rsid w:val="008D6FE3"/>
    <w:rsid w:val="008E04C9"/>
    <w:rsid w:val="008E77BC"/>
    <w:rsid w:val="008F54CC"/>
    <w:rsid w:val="00904877"/>
    <w:rsid w:val="00924F67"/>
    <w:rsid w:val="00941579"/>
    <w:rsid w:val="009653D9"/>
    <w:rsid w:val="009772DB"/>
    <w:rsid w:val="009848E9"/>
    <w:rsid w:val="009A1AD3"/>
    <w:rsid w:val="009A2F27"/>
    <w:rsid w:val="009B71BB"/>
    <w:rsid w:val="009D1AF8"/>
    <w:rsid w:val="009D7680"/>
    <w:rsid w:val="009E5D97"/>
    <w:rsid w:val="009F274C"/>
    <w:rsid w:val="009F5601"/>
    <w:rsid w:val="00A03E00"/>
    <w:rsid w:val="00A12BCE"/>
    <w:rsid w:val="00A16ED1"/>
    <w:rsid w:val="00A220F5"/>
    <w:rsid w:val="00A265F7"/>
    <w:rsid w:val="00A364F8"/>
    <w:rsid w:val="00A46225"/>
    <w:rsid w:val="00A51770"/>
    <w:rsid w:val="00A52454"/>
    <w:rsid w:val="00A57A2E"/>
    <w:rsid w:val="00A606C1"/>
    <w:rsid w:val="00A61CF8"/>
    <w:rsid w:val="00A62EC7"/>
    <w:rsid w:val="00A67B2E"/>
    <w:rsid w:val="00A80173"/>
    <w:rsid w:val="00A938D0"/>
    <w:rsid w:val="00AA4B90"/>
    <w:rsid w:val="00AB66B2"/>
    <w:rsid w:val="00AC1197"/>
    <w:rsid w:val="00AC7110"/>
    <w:rsid w:val="00AC7746"/>
    <w:rsid w:val="00AE3568"/>
    <w:rsid w:val="00AF09F3"/>
    <w:rsid w:val="00AF6774"/>
    <w:rsid w:val="00AF72EC"/>
    <w:rsid w:val="00B058BA"/>
    <w:rsid w:val="00B0681B"/>
    <w:rsid w:val="00B20AC4"/>
    <w:rsid w:val="00B51191"/>
    <w:rsid w:val="00B56C80"/>
    <w:rsid w:val="00B60A43"/>
    <w:rsid w:val="00B73B77"/>
    <w:rsid w:val="00B83FE9"/>
    <w:rsid w:val="00B957A6"/>
    <w:rsid w:val="00BA1E92"/>
    <w:rsid w:val="00BB7489"/>
    <w:rsid w:val="00BC5798"/>
    <w:rsid w:val="00BD249F"/>
    <w:rsid w:val="00BD4D1D"/>
    <w:rsid w:val="00BF6F14"/>
    <w:rsid w:val="00C05A15"/>
    <w:rsid w:val="00C30345"/>
    <w:rsid w:val="00C304B8"/>
    <w:rsid w:val="00C32DC6"/>
    <w:rsid w:val="00C33166"/>
    <w:rsid w:val="00C348D6"/>
    <w:rsid w:val="00C367F2"/>
    <w:rsid w:val="00C46584"/>
    <w:rsid w:val="00C614D3"/>
    <w:rsid w:val="00C6506E"/>
    <w:rsid w:val="00C849D6"/>
    <w:rsid w:val="00C85208"/>
    <w:rsid w:val="00CA450A"/>
    <w:rsid w:val="00CA6939"/>
    <w:rsid w:val="00CA758C"/>
    <w:rsid w:val="00CB5C1F"/>
    <w:rsid w:val="00CC6514"/>
    <w:rsid w:val="00CC6811"/>
    <w:rsid w:val="00CD2C9E"/>
    <w:rsid w:val="00CD4E13"/>
    <w:rsid w:val="00CE07ED"/>
    <w:rsid w:val="00CE36B2"/>
    <w:rsid w:val="00D0227F"/>
    <w:rsid w:val="00D03DE6"/>
    <w:rsid w:val="00D14B5F"/>
    <w:rsid w:val="00D60BCA"/>
    <w:rsid w:val="00D71712"/>
    <w:rsid w:val="00D8775F"/>
    <w:rsid w:val="00DB0F4B"/>
    <w:rsid w:val="00DB12B2"/>
    <w:rsid w:val="00DB4E43"/>
    <w:rsid w:val="00DC2581"/>
    <w:rsid w:val="00DC7DDD"/>
    <w:rsid w:val="00DF69A8"/>
    <w:rsid w:val="00DF6F65"/>
    <w:rsid w:val="00E01DA7"/>
    <w:rsid w:val="00E34208"/>
    <w:rsid w:val="00E45C96"/>
    <w:rsid w:val="00E570D4"/>
    <w:rsid w:val="00E742D6"/>
    <w:rsid w:val="00E8412F"/>
    <w:rsid w:val="00E91CB2"/>
    <w:rsid w:val="00EA2CF2"/>
    <w:rsid w:val="00EB6E61"/>
    <w:rsid w:val="00EC0817"/>
    <w:rsid w:val="00EC697F"/>
    <w:rsid w:val="00EF6CC0"/>
    <w:rsid w:val="00EF72D6"/>
    <w:rsid w:val="00F161A7"/>
    <w:rsid w:val="00F17ACD"/>
    <w:rsid w:val="00F31291"/>
    <w:rsid w:val="00F34EDC"/>
    <w:rsid w:val="00F40855"/>
    <w:rsid w:val="00F408D9"/>
    <w:rsid w:val="00F50119"/>
    <w:rsid w:val="00F663D0"/>
    <w:rsid w:val="00F87B88"/>
    <w:rsid w:val="00F93FDB"/>
    <w:rsid w:val="00F97850"/>
    <w:rsid w:val="00FA4123"/>
    <w:rsid w:val="00FA43B4"/>
    <w:rsid w:val="00FA49A2"/>
    <w:rsid w:val="00FB0977"/>
    <w:rsid w:val="00FB0ADB"/>
    <w:rsid w:val="00FB3C36"/>
    <w:rsid w:val="00FD427B"/>
    <w:rsid w:val="00FD6E1A"/>
    <w:rsid w:val="00FE2E1E"/>
    <w:rsid w:val="00FF664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foot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87B8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25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7B88"/>
    <w:rPr>
      <w:rFonts w:ascii="Lucida Grande" w:hAnsi="Lucida Grande" w:cs="Times New Roman"/>
      <w:sz w:val="18"/>
    </w:rPr>
  </w:style>
  <w:style w:type="character" w:styleId="CommentReference">
    <w:name w:val="annotation reference"/>
    <w:basedOn w:val="DefaultParagraphFont"/>
    <w:uiPriority w:val="99"/>
    <w:semiHidden/>
    <w:rsid w:val="00DC2581"/>
    <w:rPr>
      <w:rFonts w:cs="Times New Roman"/>
      <w:sz w:val="16"/>
    </w:rPr>
  </w:style>
  <w:style w:type="paragraph" w:styleId="CommentText">
    <w:name w:val="annotation text"/>
    <w:basedOn w:val="Normal"/>
    <w:link w:val="CommentTextChar"/>
    <w:uiPriority w:val="99"/>
    <w:semiHidden/>
    <w:rsid w:val="00DC2581"/>
  </w:style>
  <w:style w:type="character" w:customStyle="1" w:styleId="CommentTextChar">
    <w:name w:val="Comment Text Char"/>
    <w:basedOn w:val="DefaultParagraphFont"/>
    <w:link w:val="CommentText"/>
    <w:uiPriority w:val="99"/>
    <w:semiHidden/>
    <w:locked/>
    <w:rsid w:val="00F87B88"/>
    <w:rPr>
      <w:rFonts w:cs="Times New Roman"/>
      <w:sz w:val="24"/>
    </w:rPr>
  </w:style>
  <w:style w:type="paragraph" w:styleId="CommentSubject">
    <w:name w:val="annotation subject"/>
    <w:basedOn w:val="CommentText"/>
    <w:next w:val="CommentText"/>
    <w:link w:val="CommentSubjectChar"/>
    <w:uiPriority w:val="99"/>
    <w:semiHidden/>
    <w:rsid w:val="00DC2581"/>
    <w:rPr>
      <w:b/>
      <w:bCs/>
    </w:rPr>
  </w:style>
  <w:style w:type="character" w:customStyle="1" w:styleId="CommentSubjectChar">
    <w:name w:val="Comment Subject Char"/>
    <w:basedOn w:val="CommentTextChar"/>
    <w:link w:val="CommentSubject"/>
    <w:uiPriority w:val="99"/>
    <w:semiHidden/>
    <w:locked/>
    <w:rsid w:val="00F87B88"/>
    <w:rPr>
      <w:rFonts w:cs="Times New Roman"/>
      <w:b/>
      <w:bCs/>
      <w:sz w:val="24"/>
    </w:rPr>
  </w:style>
  <w:style w:type="character" w:styleId="Hyperlink">
    <w:name w:val="Hyperlink"/>
    <w:basedOn w:val="DefaultParagraphFont"/>
    <w:uiPriority w:val="99"/>
    <w:semiHidden/>
    <w:rsid w:val="000206D4"/>
    <w:rPr>
      <w:rFonts w:cs="Times New Roman"/>
      <w:color w:val="0000FF" w:themeColor="hyperlink"/>
      <w:u w:val="single"/>
    </w:rPr>
  </w:style>
  <w:style w:type="paragraph" w:styleId="Revision">
    <w:name w:val="Revision"/>
    <w:hidden/>
    <w:uiPriority w:val="99"/>
    <w:rsid w:val="008452E6"/>
  </w:style>
  <w:style w:type="paragraph" w:styleId="BodyText">
    <w:name w:val="Body Text"/>
    <w:basedOn w:val="Normal"/>
    <w:link w:val="BodyTextChar"/>
    <w:uiPriority w:val="99"/>
    <w:rsid w:val="00036113"/>
    <w:pPr>
      <w:widowControl/>
      <w:autoSpaceDE/>
      <w:autoSpaceDN/>
      <w:adjustRightInd/>
    </w:pPr>
    <w:rPr>
      <w:b/>
      <w:sz w:val="24"/>
      <w:szCs w:val="24"/>
    </w:rPr>
  </w:style>
  <w:style w:type="character" w:customStyle="1" w:styleId="BodyTextChar">
    <w:name w:val="Body Text Char"/>
    <w:basedOn w:val="DefaultParagraphFont"/>
    <w:link w:val="BodyText"/>
    <w:uiPriority w:val="99"/>
    <w:locked/>
    <w:rsid w:val="00036113"/>
    <w:rPr>
      <w:rFonts w:cs="Times New Roman"/>
      <w:b/>
      <w:sz w:val="24"/>
      <w:szCs w:val="24"/>
    </w:rPr>
  </w:style>
  <w:style w:type="paragraph" w:styleId="Header">
    <w:name w:val="header"/>
    <w:basedOn w:val="Normal"/>
    <w:link w:val="HeaderChar"/>
    <w:rsid w:val="00C6506E"/>
    <w:pPr>
      <w:tabs>
        <w:tab w:val="center" w:pos="4680"/>
        <w:tab w:val="right" w:pos="9360"/>
      </w:tabs>
    </w:pPr>
  </w:style>
  <w:style w:type="character" w:customStyle="1" w:styleId="HeaderChar">
    <w:name w:val="Header Char"/>
    <w:basedOn w:val="DefaultParagraphFont"/>
    <w:link w:val="Header"/>
    <w:rsid w:val="00C6506E"/>
  </w:style>
  <w:style w:type="paragraph" w:styleId="Footer">
    <w:name w:val="footer"/>
    <w:basedOn w:val="Normal"/>
    <w:link w:val="FooterChar"/>
    <w:uiPriority w:val="99"/>
    <w:rsid w:val="00C6506E"/>
    <w:pPr>
      <w:tabs>
        <w:tab w:val="center" w:pos="4680"/>
        <w:tab w:val="right" w:pos="9360"/>
      </w:tabs>
    </w:pPr>
  </w:style>
  <w:style w:type="character" w:customStyle="1" w:styleId="FooterChar">
    <w:name w:val="Footer Char"/>
    <w:basedOn w:val="DefaultParagraphFont"/>
    <w:link w:val="Footer"/>
    <w:uiPriority w:val="99"/>
    <w:rsid w:val="00C65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409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su.uidaho.edu"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D667-018B-4AB3-9CAE-A95D83D0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NPS Social Science Program</Company>
  <LinksUpToDate>false</LinksUpToDate>
  <CharactersWithSpaces>24454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Brian Forist</dc:creator>
  <cp:keywords/>
  <dc:description/>
  <cp:lastModifiedBy>pondsp</cp:lastModifiedBy>
  <cp:revision>6</cp:revision>
  <cp:lastPrinted>2010-09-14T17:03:00Z</cp:lastPrinted>
  <dcterms:created xsi:type="dcterms:W3CDTF">2011-04-15T15:50:00Z</dcterms:created>
  <dcterms:modified xsi:type="dcterms:W3CDTF">2011-04-19T20:34:00Z</dcterms:modified>
</cp:coreProperties>
</file>