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DB" w:rsidRDefault="00DC63DB" w:rsidP="00422B10">
      <w:pPr>
        <w:pStyle w:val="Heading3"/>
      </w:pPr>
      <w:r>
        <w:t>2010 Census Coverage Followup Telephone Operation</w:t>
      </w:r>
    </w:p>
    <w:p w:rsidR="000405AB" w:rsidRDefault="000405AB" w:rsidP="000405AB">
      <w:pPr>
        <w:pStyle w:val="Heading3"/>
      </w:pPr>
      <w:r>
        <w:t>Non-substantive Change Request</w:t>
      </w:r>
    </w:p>
    <w:p w:rsidR="000405AB" w:rsidRDefault="000405AB" w:rsidP="000405AB">
      <w:pPr>
        <w:pStyle w:val="Heading3"/>
      </w:pPr>
    </w:p>
    <w:p w:rsidR="000405AB" w:rsidRDefault="00DC63DB" w:rsidP="000405AB">
      <w:pPr>
        <w:pStyle w:val="Heading3"/>
      </w:pPr>
      <w:r>
        <w:t xml:space="preserve">Qualitative Research on Methods for Unduplicating People </w:t>
      </w:r>
      <w:r w:rsidR="00AB7B6B">
        <w:t xml:space="preserve">Suspected of </w:t>
      </w:r>
    </w:p>
    <w:p w:rsidR="00DC63DB" w:rsidRDefault="00AB7B6B" w:rsidP="000405AB">
      <w:pPr>
        <w:pStyle w:val="Heading3"/>
      </w:pPr>
      <w:r>
        <w:t xml:space="preserve">Being </w:t>
      </w:r>
      <w:r w:rsidR="00DC63DB">
        <w:t xml:space="preserve">Counted </w:t>
      </w:r>
      <w:r w:rsidR="00711B5F">
        <w:t>More Than Once</w:t>
      </w:r>
      <w:r w:rsidR="00DC63DB">
        <w:t xml:space="preserve"> During a Census</w:t>
      </w:r>
    </w:p>
    <w:p w:rsidR="000405AB" w:rsidRPr="000405AB" w:rsidRDefault="000405AB" w:rsidP="000405AB"/>
    <w:p w:rsidR="00DC63DB" w:rsidRPr="00302BDF" w:rsidRDefault="00DC63DB" w:rsidP="00302BDF">
      <w:pPr>
        <w:pStyle w:val="Heading3"/>
      </w:pPr>
      <w:r>
        <w:t>OMB Approval Number 0607-0946</w:t>
      </w:r>
    </w:p>
    <w:p w:rsidR="00DC63DB" w:rsidRDefault="0084723B" w:rsidP="009D5296">
      <w:pPr>
        <w:pStyle w:val="Heading3"/>
      </w:pPr>
      <w:r>
        <w:t xml:space="preserve">September </w:t>
      </w:r>
      <w:r w:rsidR="00C53CA8">
        <w:t>20</w:t>
      </w:r>
      <w:r w:rsidR="00DC63DB">
        <w:t>, 2010</w:t>
      </w:r>
    </w:p>
    <w:p w:rsidR="00DC63DB" w:rsidRDefault="00DC63DB" w:rsidP="009D5296"/>
    <w:p w:rsidR="00DC63DB" w:rsidRDefault="00DC63DB" w:rsidP="009D5296">
      <w:r>
        <w:t>The Census Bureau requests a non-substantive change to the 2010 Coverage Followup (CFU) Telephone Operation Information Collection (OMB approval number 0607-0946).  This request details a follow-on activit</w:t>
      </w:r>
      <w:r w:rsidR="004900D1">
        <w:t>y</w:t>
      </w:r>
      <w:r>
        <w:t xml:space="preserve"> to the </w:t>
      </w:r>
      <w:r w:rsidR="00943442">
        <w:t xml:space="preserve">2010 </w:t>
      </w:r>
      <w:r>
        <w:t>CFU</w:t>
      </w:r>
      <w:r w:rsidR="001A1518">
        <w:t>.</w:t>
      </w:r>
      <w:r>
        <w:t xml:space="preserve"> </w:t>
      </w:r>
    </w:p>
    <w:p w:rsidR="00DC63DB" w:rsidRDefault="00DC63DB" w:rsidP="00E07EFF">
      <w:pPr>
        <w:rPr>
          <w:color w:val="FF0000"/>
        </w:rPr>
      </w:pPr>
    </w:p>
    <w:p w:rsidR="00DC63DB" w:rsidRPr="00932E85" w:rsidRDefault="008A5672" w:rsidP="00932E85">
      <w:pPr>
        <w:rPr>
          <w:u w:val="single"/>
        </w:rPr>
      </w:pPr>
      <w:r w:rsidRPr="00932E85">
        <w:rPr>
          <w:u w:val="single"/>
          <w:lang w:val="en-CA"/>
        </w:rPr>
        <w:fldChar w:fldCharType="begin"/>
      </w:r>
      <w:r w:rsidR="00DC63DB" w:rsidRPr="00932E85">
        <w:rPr>
          <w:u w:val="single"/>
          <w:lang w:val="en-CA"/>
        </w:rPr>
        <w:instrText xml:space="preserve"> SEQ CHAPTER \h \r 1</w:instrText>
      </w:r>
      <w:r w:rsidRPr="00932E85">
        <w:rPr>
          <w:u w:val="single"/>
          <w:lang w:val="en-CA"/>
        </w:rPr>
        <w:fldChar w:fldCharType="end"/>
      </w:r>
      <w:r w:rsidR="00DC63DB">
        <w:rPr>
          <w:u w:val="single"/>
        </w:rPr>
        <w:t xml:space="preserve">Research </w:t>
      </w:r>
      <w:r w:rsidR="00AE0F6B">
        <w:rPr>
          <w:u w:val="single"/>
        </w:rPr>
        <w:t>on</w:t>
      </w:r>
      <w:r w:rsidR="004900D1">
        <w:rPr>
          <w:u w:val="single"/>
        </w:rPr>
        <w:t xml:space="preserve"> </w:t>
      </w:r>
      <w:r w:rsidR="00DC63DB">
        <w:rPr>
          <w:u w:val="single"/>
        </w:rPr>
        <w:t xml:space="preserve">Unduplicating People </w:t>
      </w:r>
      <w:r w:rsidR="004900D1">
        <w:rPr>
          <w:u w:val="single"/>
        </w:rPr>
        <w:t xml:space="preserve">Suspected of Being </w:t>
      </w:r>
      <w:r w:rsidR="00DC63DB">
        <w:rPr>
          <w:u w:val="single"/>
        </w:rPr>
        <w:t xml:space="preserve">Counted </w:t>
      </w:r>
      <w:r w:rsidR="00711B5F">
        <w:rPr>
          <w:u w:val="single"/>
        </w:rPr>
        <w:t>More Than Once</w:t>
      </w:r>
      <w:r w:rsidR="00DC63DB">
        <w:rPr>
          <w:u w:val="single"/>
        </w:rPr>
        <w:t xml:space="preserve"> During a Census</w:t>
      </w:r>
    </w:p>
    <w:p w:rsidR="00DC63DB" w:rsidRDefault="00DC63DB" w:rsidP="00E07EFF">
      <w:pPr>
        <w:rPr>
          <w:color w:val="FF0000"/>
        </w:rPr>
      </w:pPr>
    </w:p>
    <w:p w:rsidR="004F4736" w:rsidRDefault="004900D1"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As the Census Bureau</w:t>
      </w:r>
      <w:r w:rsidR="004F4736">
        <w:t xml:space="preserve"> conducts each decennial census, it endeavors to count every resident of the United States at his or her correct location, which is the place where the person lives or sleeps most of the time.  Because of complex living situations existing in the United States coupled with a Decennial Census Operational Plan aimed at producing comprehensive counts of population and housing, the Census Bureau </w:t>
      </w:r>
      <w:r w:rsidR="002A4243">
        <w:t xml:space="preserve">sometimes </w:t>
      </w:r>
      <w:r w:rsidR="004F4736">
        <w:t xml:space="preserve">counts people more than once. </w:t>
      </w:r>
    </w:p>
    <w:p w:rsidR="00047DB1" w:rsidRDefault="00047DB1"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73B4B" w:rsidRDefault="00D73B4B" w:rsidP="00D73B4B">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A key decision to capture the name and the date of birth data elements via Optical Character Recognition during </w:t>
      </w:r>
      <w:r w:rsidR="00017935">
        <w:t xml:space="preserve">the data capture of </w:t>
      </w:r>
      <w:r w:rsidR="005454DF">
        <w:t xml:space="preserve">Census 2000 </w:t>
      </w:r>
      <w:r w:rsidR="00017935">
        <w:t xml:space="preserve">responses </w:t>
      </w:r>
      <w:r>
        <w:t xml:space="preserve">gave the Census Bureau the means to examine its data for possible person duplicates at a much earlier point </w:t>
      </w:r>
      <w:r w:rsidR="006E58F0">
        <w:t xml:space="preserve">of the census process </w:t>
      </w:r>
      <w:r>
        <w:t xml:space="preserve">than it had ever been able to do so in the past.  </w:t>
      </w:r>
      <w:r w:rsidR="00B76D9C">
        <w:t>D</w:t>
      </w:r>
      <w:r>
        <w:t>etermining how best to resolve these potential duplicates</w:t>
      </w:r>
      <w:r w:rsidR="0037328C">
        <w:t xml:space="preserve"> continues to be a challenge for the Census Bureau.  </w:t>
      </w:r>
      <w:r>
        <w:t xml:space="preserve">    </w:t>
      </w:r>
    </w:p>
    <w:p w:rsidR="00D73B4B" w:rsidRDefault="00D73B4B"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454DF" w:rsidRDefault="001A1518"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The Census Bureau’s strategy for resolving potential</w:t>
      </w:r>
      <w:r w:rsidR="009D6995">
        <w:t>ly</w:t>
      </w:r>
      <w:r>
        <w:t xml:space="preserve"> duplicate</w:t>
      </w:r>
      <w:r w:rsidR="009D6995">
        <w:t xml:space="preserve"> person records</w:t>
      </w:r>
      <w:r>
        <w:t xml:space="preserve"> involves conducting a followup interview</w:t>
      </w:r>
      <w:r w:rsidR="009D6995">
        <w:t xml:space="preserve"> to determine the correct location at which to count the person in question.  </w:t>
      </w:r>
      <w:r w:rsidR="00D36F13">
        <w:t xml:space="preserve">The Census Bureau must conduct a followup interview </w:t>
      </w:r>
      <w:r w:rsidR="002723B5">
        <w:t xml:space="preserve">both to confirm that the person identified by computer matching is in fact the same person and to gather additional information to correctly apply the census residence rules and to determine where to count the person.  </w:t>
      </w:r>
    </w:p>
    <w:p w:rsidR="002A1D4D" w:rsidRDefault="002A1D4D"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183A44" w:rsidRDefault="00047DB1"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In preparing for the 2010 Censu</w:t>
      </w:r>
      <w:r w:rsidR="000D56D9">
        <w:t xml:space="preserve">s, </w:t>
      </w:r>
      <w:r w:rsidR="000E299E">
        <w:t xml:space="preserve">research </w:t>
      </w:r>
      <w:r w:rsidR="00076C40">
        <w:t xml:space="preserve">began to </w:t>
      </w:r>
      <w:r w:rsidR="00B76D9C">
        <w:t xml:space="preserve">reveal the need for </w:t>
      </w:r>
      <w:r w:rsidR="00441D59">
        <w:t xml:space="preserve">a </w:t>
      </w:r>
      <w:r w:rsidR="005454DF">
        <w:t xml:space="preserve">followup </w:t>
      </w:r>
      <w:r w:rsidR="00B76D9C">
        <w:t xml:space="preserve">interview that is tailored </w:t>
      </w:r>
      <w:r w:rsidR="00066279">
        <w:t xml:space="preserve">to (or targeted for) </w:t>
      </w:r>
      <w:r w:rsidR="00B76D9C">
        <w:t xml:space="preserve">the resolution of </w:t>
      </w:r>
      <w:r w:rsidR="00441D59">
        <w:t xml:space="preserve">suspected </w:t>
      </w:r>
      <w:r w:rsidR="00B76D9C">
        <w:t>person duplicat</w:t>
      </w:r>
      <w:r w:rsidR="00441D59">
        <w:t>es</w:t>
      </w:r>
      <w:r w:rsidR="00B76D9C">
        <w:t>.</w:t>
      </w:r>
      <w:r w:rsidR="005C5D20">
        <w:t xml:space="preserve">  </w:t>
      </w:r>
      <w:r w:rsidR="00AD09A3">
        <w:t>T</w:t>
      </w:r>
      <w:r w:rsidR="00E9069E">
        <w:t>he Census Bureau</w:t>
      </w:r>
      <w:r w:rsidR="00AD09A3">
        <w:t>’s</w:t>
      </w:r>
      <w:r w:rsidR="00E9069E">
        <w:t xml:space="preserve"> </w:t>
      </w:r>
      <w:r w:rsidR="00AD09A3">
        <w:t xml:space="preserve">focus </w:t>
      </w:r>
      <w:r w:rsidR="00FC1441">
        <w:t xml:space="preserve">during the years </w:t>
      </w:r>
      <w:r w:rsidR="00E9069E">
        <w:t xml:space="preserve">leading up to the </w:t>
      </w:r>
      <w:r w:rsidR="0045496C">
        <w:t>2010 C</w:t>
      </w:r>
      <w:r w:rsidR="00E9069E">
        <w:t xml:space="preserve">ensus was </w:t>
      </w:r>
      <w:r w:rsidR="0045496C">
        <w:t xml:space="preserve">on </w:t>
      </w:r>
      <w:r w:rsidR="00E9069E">
        <w:t>develop</w:t>
      </w:r>
      <w:r w:rsidR="0045496C">
        <w:t xml:space="preserve">ing </w:t>
      </w:r>
      <w:r w:rsidR="00E9069E">
        <w:t>a followup interview</w:t>
      </w:r>
      <w:r w:rsidR="0045496C">
        <w:t xml:space="preserve"> (that is, the </w:t>
      </w:r>
      <w:r w:rsidR="00C549CA">
        <w:t xml:space="preserve">Coverage Followup or </w:t>
      </w:r>
      <w:r w:rsidR="0045496C">
        <w:t>CFU)</w:t>
      </w:r>
      <w:r w:rsidR="00E9069E">
        <w:t xml:space="preserve"> that could </w:t>
      </w:r>
      <w:r w:rsidR="00593ACB">
        <w:t xml:space="preserve">comprehensively </w:t>
      </w:r>
      <w:r w:rsidR="00E9069E">
        <w:t xml:space="preserve">address a variety of </w:t>
      </w:r>
      <w:r w:rsidR="0045496C">
        <w:t xml:space="preserve">potential </w:t>
      </w:r>
      <w:r w:rsidR="00E9069E">
        <w:t>coverage problem</w:t>
      </w:r>
      <w:r w:rsidR="0045496C">
        <w:t>s</w:t>
      </w:r>
      <w:r w:rsidR="00E9069E">
        <w:t>.</w:t>
      </w:r>
      <w:r w:rsidR="0045496C">
        <w:t xml:space="preserve">  </w:t>
      </w:r>
      <w:r w:rsidR="00AD09A3">
        <w:t>While t</w:t>
      </w:r>
      <w:r w:rsidR="0045496C">
        <w:t xml:space="preserve">he </w:t>
      </w:r>
      <w:r w:rsidR="00E9069E">
        <w:t xml:space="preserve">CFU </w:t>
      </w:r>
      <w:r w:rsidR="00AD09A3">
        <w:t xml:space="preserve">could sufficiently </w:t>
      </w:r>
      <w:r w:rsidR="00E9069E">
        <w:t xml:space="preserve">resolve </w:t>
      </w:r>
      <w:r w:rsidR="00FC1441">
        <w:t xml:space="preserve">certain </w:t>
      </w:r>
      <w:r w:rsidR="00AD09A3">
        <w:t xml:space="preserve">types of </w:t>
      </w:r>
      <w:r w:rsidR="00C549CA">
        <w:t>pro</w:t>
      </w:r>
      <w:r w:rsidR="00E9069E">
        <w:t>blems</w:t>
      </w:r>
      <w:r w:rsidR="00AD09A3">
        <w:t xml:space="preserve"> (</w:t>
      </w:r>
      <w:r w:rsidR="00FC1441">
        <w:t xml:space="preserve">for example, </w:t>
      </w:r>
      <w:r w:rsidR="00AD09A3">
        <w:t xml:space="preserve">discrepancies between </w:t>
      </w:r>
      <w:r w:rsidR="00FC1441">
        <w:t xml:space="preserve">household </w:t>
      </w:r>
      <w:r w:rsidR="00AD09A3">
        <w:t xml:space="preserve">population count and number of people listed on the </w:t>
      </w:r>
      <w:r w:rsidR="00FC1441">
        <w:t>form</w:t>
      </w:r>
      <w:r w:rsidR="00AD09A3">
        <w:t xml:space="preserve">, </w:t>
      </w:r>
      <w:r w:rsidR="00FC1441">
        <w:t xml:space="preserve">additional people </w:t>
      </w:r>
      <w:r w:rsidR="00CC78FB">
        <w:t xml:space="preserve">for a household </w:t>
      </w:r>
      <w:r w:rsidR="00291384">
        <w:t xml:space="preserve">appearing on administrative records </w:t>
      </w:r>
      <w:r w:rsidR="00C549CA">
        <w:t xml:space="preserve">but </w:t>
      </w:r>
      <w:r w:rsidR="00291384">
        <w:t xml:space="preserve">not on </w:t>
      </w:r>
      <w:r w:rsidR="00CC78FB">
        <w:t>its</w:t>
      </w:r>
      <w:r w:rsidR="00291384">
        <w:t xml:space="preserve"> census form</w:t>
      </w:r>
      <w:r w:rsidR="00AD09A3">
        <w:t xml:space="preserve">, </w:t>
      </w:r>
      <w:r w:rsidR="00C549CA">
        <w:t>or affirmative answers to whether members of the household live or stay in college housing or a nursing home)</w:t>
      </w:r>
      <w:r w:rsidR="00AD09A3">
        <w:t>, m</w:t>
      </w:r>
      <w:r w:rsidR="00C40C2C">
        <w:t>id-decade testing results show</w:t>
      </w:r>
      <w:r w:rsidR="00880657">
        <w:t>ed</w:t>
      </w:r>
      <w:r w:rsidR="00C40C2C">
        <w:t xml:space="preserve"> that </w:t>
      </w:r>
      <w:r w:rsidR="00AD09A3">
        <w:t xml:space="preserve">it </w:t>
      </w:r>
      <w:r w:rsidR="00943442">
        <w:t>fail</w:t>
      </w:r>
      <w:r w:rsidR="00FC1441">
        <w:t>ed</w:t>
      </w:r>
      <w:r w:rsidR="00943442">
        <w:t xml:space="preserve"> </w:t>
      </w:r>
      <w:r w:rsidR="00AD09A3">
        <w:t xml:space="preserve">to </w:t>
      </w:r>
      <w:r w:rsidR="00C40C2C">
        <w:t>prompt</w:t>
      </w:r>
      <w:r w:rsidR="00943442">
        <w:t xml:space="preserve"> </w:t>
      </w:r>
      <w:r w:rsidR="00C40C2C">
        <w:t>respondents to acknowledge</w:t>
      </w:r>
      <w:r w:rsidR="00880657">
        <w:t xml:space="preserve"> or </w:t>
      </w:r>
      <w:r w:rsidR="004C77D5">
        <w:t xml:space="preserve">to </w:t>
      </w:r>
      <w:r w:rsidR="00880657">
        <w:t>recognize living situations that have led to the existence of duplicate person</w:t>
      </w:r>
      <w:r w:rsidR="0008272F">
        <w:t xml:space="preserve"> records</w:t>
      </w:r>
      <w:r w:rsidR="00880657">
        <w:t>.</w:t>
      </w:r>
      <w:r w:rsidR="004C77D5">
        <w:t xml:space="preserve">  </w:t>
      </w:r>
      <w:r w:rsidR="00A617B6">
        <w:t xml:space="preserve">When the Census Bureau </w:t>
      </w:r>
      <w:r w:rsidR="00FC1441">
        <w:t xml:space="preserve">ultimately </w:t>
      </w:r>
      <w:r w:rsidR="00A617B6">
        <w:t xml:space="preserve">had to limit the types of cases in the </w:t>
      </w:r>
      <w:r w:rsidR="00FC1441">
        <w:t xml:space="preserve">2010 </w:t>
      </w:r>
      <w:r w:rsidR="00A617B6">
        <w:t xml:space="preserve">CFU universe to </w:t>
      </w:r>
      <w:r w:rsidR="0084723B">
        <w:t xml:space="preserve">align with </w:t>
      </w:r>
      <w:r w:rsidR="00FC1441">
        <w:t xml:space="preserve">the </w:t>
      </w:r>
      <w:r w:rsidR="00A617B6">
        <w:t>budget</w:t>
      </w:r>
      <w:r w:rsidR="00FC1441">
        <w:t xml:space="preserve"> available for the program</w:t>
      </w:r>
      <w:r w:rsidR="00A617B6">
        <w:t xml:space="preserve">, </w:t>
      </w:r>
      <w:r w:rsidR="00FC1441">
        <w:t xml:space="preserve">followup on potential </w:t>
      </w:r>
      <w:r w:rsidR="00FC1441">
        <w:lastRenderedPageBreak/>
        <w:t>person duplicates was one type of case it decided to exclude</w:t>
      </w:r>
      <w:r w:rsidR="0008272F">
        <w:t xml:space="preserve"> given testing results show</w:t>
      </w:r>
      <w:r w:rsidR="0084723B">
        <w:t>ing</w:t>
      </w:r>
      <w:r w:rsidR="0008272F">
        <w:t xml:space="preserve"> that the CFU handled other types of potential coverage problems more efficiently</w:t>
      </w:r>
      <w:r w:rsidR="00FC1441">
        <w:t xml:space="preserve">.  </w:t>
      </w:r>
    </w:p>
    <w:p w:rsidR="00183A44" w:rsidRDefault="00183A44" w:rsidP="00AD0564">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880657" w:rsidRPr="00593ACB" w:rsidRDefault="00B33A0B" w:rsidP="00593ACB">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Pr>
          <w:bCs/>
        </w:rPr>
        <w:t xml:space="preserve">To </w:t>
      </w:r>
      <w:r w:rsidR="004A2AF5">
        <w:rPr>
          <w:bCs/>
        </w:rPr>
        <w:t xml:space="preserve">further </w:t>
      </w:r>
      <w:r w:rsidR="007E197C">
        <w:rPr>
          <w:bCs/>
        </w:rPr>
        <w:t xml:space="preserve">aid </w:t>
      </w:r>
      <w:r w:rsidR="00DE4519">
        <w:rPr>
          <w:bCs/>
        </w:rPr>
        <w:t xml:space="preserve">in </w:t>
      </w:r>
      <w:r w:rsidR="007E197C">
        <w:rPr>
          <w:bCs/>
        </w:rPr>
        <w:t xml:space="preserve">the development of </w:t>
      </w:r>
      <w:r w:rsidR="00CE5870">
        <w:rPr>
          <w:bCs/>
        </w:rPr>
        <w:t xml:space="preserve">optimum </w:t>
      </w:r>
      <w:r w:rsidR="007E197C">
        <w:rPr>
          <w:bCs/>
        </w:rPr>
        <w:t xml:space="preserve">methods for resolving suspected instances of person duplication, the Census Bureau requests permission to conduct </w:t>
      </w:r>
      <w:r w:rsidR="00DC63DB">
        <w:rPr>
          <w:bCs/>
        </w:rPr>
        <w:t xml:space="preserve">300 </w:t>
      </w:r>
      <w:r w:rsidR="004A2AF5">
        <w:rPr>
          <w:bCs/>
        </w:rPr>
        <w:t>interviews with individuals</w:t>
      </w:r>
      <w:r w:rsidR="00B76D9C">
        <w:rPr>
          <w:bCs/>
        </w:rPr>
        <w:t xml:space="preserve"> who the Census Bureau believes </w:t>
      </w:r>
      <w:r w:rsidR="0023283D">
        <w:rPr>
          <w:bCs/>
        </w:rPr>
        <w:t xml:space="preserve">have been </w:t>
      </w:r>
      <w:r w:rsidR="00B76D9C">
        <w:rPr>
          <w:bCs/>
        </w:rPr>
        <w:t>c</w:t>
      </w:r>
      <w:r w:rsidR="00441D59">
        <w:rPr>
          <w:bCs/>
        </w:rPr>
        <w:t xml:space="preserve">ounted </w:t>
      </w:r>
      <w:r w:rsidR="00811CA7">
        <w:rPr>
          <w:bCs/>
        </w:rPr>
        <w:t>more than once</w:t>
      </w:r>
      <w:r w:rsidR="00441D59">
        <w:rPr>
          <w:bCs/>
        </w:rPr>
        <w:t xml:space="preserve"> in the 2010 Census.  </w:t>
      </w:r>
      <w:r w:rsidR="00453D8C">
        <w:rPr>
          <w:bCs/>
        </w:rPr>
        <w:t xml:space="preserve">This data collection will consist of a mix of in-depth qualitative interviews and cognitive interviews.  </w:t>
      </w:r>
      <w:r w:rsidR="00183A44">
        <w:rPr>
          <w:bCs/>
        </w:rPr>
        <w:t>The motivation for this research is twofold.</w:t>
      </w:r>
      <w:r w:rsidR="00593ACB">
        <w:rPr>
          <w:bCs/>
        </w:rPr>
        <w:t xml:space="preserve">  </w:t>
      </w:r>
      <w:r w:rsidR="00183A44">
        <w:rPr>
          <w:bCs/>
        </w:rPr>
        <w:t xml:space="preserve">First, the Census Bureau </w:t>
      </w:r>
      <w:r w:rsidR="00593ACB">
        <w:rPr>
          <w:bCs/>
        </w:rPr>
        <w:t xml:space="preserve">would like </w:t>
      </w:r>
      <w:r w:rsidR="00183A44">
        <w:rPr>
          <w:bCs/>
        </w:rPr>
        <w:t>to conduct</w:t>
      </w:r>
      <w:r w:rsidR="00593ACB">
        <w:rPr>
          <w:bCs/>
        </w:rPr>
        <w:t xml:space="preserve"> this</w:t>
      </w:r>
      <w:r w:rsidR="00183A44">
        <w:rPr>
          <w:bCs/>
        </w:rPr>
        <w:t xml:space="preserve"> research to better understand why people are duplicated in a census</w:t>
      </w:r>
      <w:r w:rsidR="00593ACB">
        <w:rPr>
          <w:bCs/>
        </w:rPr>
        <w:t>, in addition to gaining more insight on why the CFU fails to be a successful means for resolving person duplication</w:t>
      </w:r>
      <w:r w:rsidR="00183A44">
        <w:rPr>
          <w:bCs/>
        </w:rPr>
        <w:t>.  Secondly, the Census Bureau</w:t>
      </w:r>
      <w:r w:rsidR="009C0617">
        <w:rPr>
          <w:bCs/>
        </w:rPr>
        <w:t xml:space="preserve"> wishes to test an instrument </w:t>
      </w:r>
      <w:r w:rsidR="00CC78FB">
        <w:rPr>
          <w:bCs/>
        </w:rPr>
        <w:t xml:space="preserve">developed </w:t>
      </w:r>
      <w:r w:rsidR="00593ACB">
        <w:rPr>
          <w:bCs/>
        </w:rPr>
        <w:t xml:space="preserve">for </w:t>
      </w:r>
      <w:r w:rsidR="009C0617">
        <w:rPr>
          <w:bCs/>
        </w:rPr>
        <w:t xml:space="preserve">interviewers </w:t>
      </w:r>
      <w:r w:rsidR="00593ACB">
        <w:rPr>
          <w:bCs/>
        </w:rPr>
        <w:t xml:space="preserve">attempting to </w:t>
      </w:r>
      <w:r w:rsidR="009C0617">
        <w:rPr>
          <w:bCs/>
        </w:rPr>
        <w:t>resolv</w:t>
      </w:r>
      <w:r w:rsidR="00593ACB">
        <w:rPr>
          <w:bCs/>
        </w:rPr>
        <w:t>e</w:t>
      </w:r>
      <w:r w:rsidR="009C0617">
        <w:rPr>
          <w:bCs/>
        </w:rPr>
        <w:t xml:space="preserve"> cases of potential person duplication</w:t>
      </w:r>
      <w:r w:rsidR="00593ACB">
        <w:rPr>
          <w:bCs/>
        </w:rPr>
        <w:t xml:space="preserve"> via a followup interview tailored </w:t>
      </w:r>
      <w:r w:rsidR="00947F1B">
        <w:rPr>
          <w:bCs/>
        </w:rPr>
        <w:t xml:space="preserve">specifically </w:t>
      </w:r>
      <w:r w:rsidR="00593ACB">
        <w:rPr>
          <w:bCs/>
        </w:rPr>
        <w:t>for this purpose: the Targeted Coverage Followup (TCFU)</w:t>
      </w:r>
      <w:r w:rsidR="004F238B">
        <w:rPr>
          <w:bCs/>
        </w:rPr>
        <w:t xml:space="preserve">.  </w:t>
      </w:r>
      <w:r w:rsidR="00880657">
        <w:rPr>
          <w:bCs/>
        </w:rPr>
        <w:t xml:space="preserve"> </w:t>
      </w:r>
      <w:r w:rsidR="00593ACB">
        <w:rPr>
          <w:bCs/>
        </w:rPr>
        <w:t xml:space="preserve">The </w:t>
      </w:r>
      <w:r w:rsidR="00947F1B">
        <w:rPr>
          <w:bCs/>
        </w:rPr>
        <w:t xml:space="preserve">knowledge </w:t>
      </w:r>
      <w:r w:rsidR="00593ACB">
        <w:rPr>
          <w:bCs/>
        </w:rPr>
        <w:t xml:space="preserve">gained from </w:t>
      </w:r>
      <w:r w:rsidR="00C564C5">
        <w:rPr>
          <w:bCs/>
        </w:rPr>
        <w:t xml:space="preserve">this research </w:t>
      </w:r>
      <w:r w:rsidR="00593ACB">
        <w:rPr>
          <w:bCs/>
        </w:rPr>
        <w:t xml:space="preserve">will </w:t>
      </w:r>
      <w:r w:rsidR="00947F1B">
        <w:rPr>
          <w:bCs/>
        </w:rPr>
        <w:t xml:space="preserve">help census planners to design </w:t>
      </w:r>
      <w:r w:rsidR="00333596">
        <w:rPr>
          <w:bCs/>
        </w:rPr>
        <w:t xml:space="preserve">better </w:t>
      </w:r>
      <w:r w:rsidR="00DE4519">
        <w:rPr>
          <w:bCs/>
        </w:rPr>
        <w:t xml:space="preserve">methods </w:t>
      </w:r>
      <w:r w:rsidR="00333596">
        <w:rPr>
          <w:bCs/>
        </w:rPr>
        <w:t xml:space="preserve">for </w:t>
      </w:r>
      <w:r w:rsidR="00C564C5">
        <w:rPr>
          <w:bCs/>
        </w:rPr>
        <w:t>resolv</w:t>
      </w:r>
      <w:r w:rsidR="00333596">
        <w:rPr>
          <w:bCs/>
        </w:rPr>
        <w:t>ing</w:t>
      </w:r>
      <w:r w:rsidR="00C564C5">
        <w:rPr>
          <w:bCs/>
        </w:rPr>
        <w:t xml:space="preserve"> potential duplicate person records.  </w:t>
      </w:r>
      <w:r w:rsidR="00593ACB">
        <w:rPr>
          <w:bCs/>
        </w:rPr>
        <w:t xml:space="preserve"> </w:t>
      </w:r>
    </w:p>
    <w:p w:rsidR="00CE5870" w:rsidRDefault="00CE5870" w:rsidP="00F371A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bCs/>
        </w:rPr>
      </w:pPr>
    </w:p>
    <w:p w:rsidR="009C0617" w:rsidRDefault="00DE4519" w:rsidP="009C0617">
      <w:r>
        <w:t xml:space="preserve">For the qualitative interviews, researchers will follow the protocol found in Attachment A and will attempt to collect the following types of information:  </w:t>
      </w:r>
    </w:p>
    <w:p w:rsidR="004F238B" w:rsidRDefault="004F238B" w:rsidP="009C0617"/>
    <w:p w:rsidR="009C0617" w:rsidRDefault="00BA1971" w:rsidP="009C0617">
      <w:pPr>
        <w:widowControl w:val="0"/>
        <w:numPr>
          <w:ilvl w:val="0"/>
          <w:numId w:val="5"/>
        </w:numPr>
        <w:suppressAutoHyphens/>
        <w:autoSpaceDE w:val="0"/>
      </w:pPr>
      <w:r>
        <w:t xml:space="preserve">Reasons why </w:t>
      </w:r>
      <w:r w:rsidR="00AE68E7">
        <w:t xml:space="preserve">the Census Bureau could count </w:t>
      </w:r>
      <w:r>
        <w:t>respondent</w:t>
      </w:r>
      <w:r w:rsidR="00AE68E7">
        <w:t>s</w:t>
      </w:r>
      <w:r>
        <w:t xml:space="preserve"> </w:t>
      </w:r>
      <w:r w:rsidR="00811CA7">
        <w:t>more than once</w:t>
      </w:r>
      <w:r>
        <w:t xml:space="preserve"> in the census;</w:t>
      </w:r>
      <w:r w:rsidR="009C0617">
        <w:t xml:space="preserve">   </w:t>
      </w:r>
    </w:p>
    <w:p w:rsidR="00BA1971" w:rsidRDefault="00BA1971" w:rsidP="00BA1971">
      <w:pPr>
        <w:widowControl w:val="0"/>
        <w:numPr>
          <w:ilvl w:val="0"/>
          <w:numId w:val="5"/>
        </w:numPr>
        <w:suppressAutoHyphens/>
        <w:autoSpaceDE w:val="0"/>
      </w:pPr>
      <w:r>
        <w:t xml:space="preserve">Description of respondent living situation (elicited through ethnographic-style probes); </w:t>
      </w:r>
    </w:p>
    <w:p w:rsidR="009C0617" w:rsidRDefault="00F02DBA" w:rsidP="009C0617">
      <w:pPr>
        <w:widowControl w:val="0"/>
        <w:numPr>
          <w:ilvl w:val="0"/>
          <w:numId w:val="5"/>
        </w:numPr>
        <w:suppressAutoHyphens/>
        <w:autoSpaceDE w:val="0"/>
      </w:pPr>
      <w:r>
        <w:t>R</w:t>
      </w:r>
      <w:r w:rsidR="00DE4519">
        <w:t xml:space="preserve">espondent </w:t>
      </w:r>
      <w:r>
        <w:t xml:space="preserve">willingness to </w:t>
      </w:r>
      <w:r w:rsidR="00DE4519">
        <w:t>provide information about other place or places stayed</w:t>
      </w:r>
      <w:r w:rsidR="00CC78FB">
        <w:t>,</w:t>
      </w:r>
      <w:r w:rsidR="00DE4519">
        <w:t xml:space="preserve"> if asked about living situation</w:t>
      </w:r>
      <w:r w:rsidR="00A40FB6">
        <w:t xml:space="preserve"> during an interview – in addition to example questions that would elicit this</w:t>
      </w:r>
      <w:r w:rsidR="009C0617">
        <w:t xml:space="preserve"> type of information</w:t>
      </w:r>
      <w:r w:rsidR="00A40FB6">
        <w:t>;</w:t>
      </w:r>
      <w:r w:rsidR="009C0617">
        <w:t xml:space="preserve"> </w:t>
      </w:r>
    </w:p>
    <w:p w:rsidR="00A40FB6" w:rsidRDefault="00A40FB6" w:rsidP="00A40FB6">
      <w:pPr>
        <w:widowControl w:val="0"/>
        <w:numPr>
          <w:ilvl w:val="0"/>
          <w:numId w:val="5"/>
        </w:numPr>
        <w:suppressAutoHyphens/>
        <w:autoSpaceDE w:val="0"/>
      </w:pPr>
      <w:r>
        <w:t xml:space="preserve">Distance </w:t>
      </w:r>
      <w:r w:rsidR="00202B46">
        <w:t xml:space="preserve">respondents </w:t>
      </w:r>
      <w:r>
        <w:t>travel between places that they stay;</w:t>
      </w:r>
    </w:p>
    <w:p w:rsidR="009C0617" w:rsidRDefault="00F02DBA" w:rsidP="009C0617">
      <w:pPr>
        <w:widowControl w:val="0"/>
        <w:numPr>
          <w:ilvl w:val="0"/>
          <w:numId w:val="5"/>
        </w:numPr>
        <w:suppressAutoHyphens/>
        <w:autoSpaceDE w:val="0"/>
      </w:pPr>
      <w:r>
        <w:t xml:space="preserve">Respondent perception of whether this type of information is </w:t>
      </w:r>
      <w:r w:rsidR="009C0617">
        <w:t>“none of the Census Bureau’s business”</w:t>
      </w:r>
      <w:r>
        <w:t xml:space="preserve">; and </w:t>
      </w:r>
    </w:p>
    <w:p w:rsidR="009C0617" w:rsidRPr="00202B46" w:rsidRDefault="00202B46" w:rsidP="00861D8B">
      <w:pPr>
        <w:widowControl w:val="0"/>
        <w:numPr>
          <w:ilvl w:val="0"/>
          <w:numId w:val="5"/>
        </w:numPr>
        <w:suppressAutoHyphens/>
        <w:autoSpaceDE w:val="0"/>
        <w:rPr>
          <w:bCs/>
        </w:rPr>
      </w:pPr>
      <w:r>
        <w:t>Variation in responses</w:t>
      </w:r>
      <w:r w:rsidR="00BA1971">
        <w:t>,</w:t>
      </w:r>
      <w:r>
        <w:t xml:space="preserve"> if </w:t>
      </w:r>
      <w:r w:rsidR="00604869">
        <w:t xml:space="preserve">posing the same questions to </w:t>
      </w:r>
      <w:r>
        <w:t>o</w:t>
      </w:r>
      <w:r w:rsidR="009C0617">
        <w:t>ther</w:t>
      </w:r>
      <w:r>
        <w:t>s</w:t>
      </w:r>
      <w:r w:rsidR="009C0617">
        <w:t xml:space="preserve"> </w:t>
      </w:r>
      <w:r w:rsidR="00604869">
        <w:t xml:space="preserve">in the </w:t>
      </w:r>
      <w:r w:rsidR="009C0617">
        <w:t>household</w:t>
      </w:r>
      <w:r>
        <w:t xml:space="preserve">.  </w:t>
      </w:r>
    </w:p>
    <w:p w:rsidR="00202B46" w:rsidRPr="00202B46" w:rsidRDefault="00202B46" w:rsidP="00202B46">
      <w:pPr>
        <w:widowControl w:val="0"/>
        <w:suppressAutoHyphens/>
        <w:autoSpaceDE w:val="0"/>
        <w:ind w:left="720"/>
        <w:rPr>
          <w:bCs/>
        </w:rPr>
      </w:pPr>
    </w:p>
    <w:p w:rsidR="009C0617" w:rsidRDefault="004F6999" w:rsidP="00861D8B">
      <w:pPr>
        <w:rPr>
          <w:bCs/>
        </w:rPr>
      </w:pPr>
      <w:r>
        <w:rPr>
          <w:bCs/>
        </w:rPr>
        <w:t xml:space="preserve">For the cognitive interviews, researchers will </w:t>
      </w:r>
      <w:r w:rsidR="004F238B">
        <w:rPr>
          <w:bCs/>
        </w:rPr>
        <w:t>u</w:t>
      </w:r>
      <w:r>
        <w:rPr>
          <w:bCs/>
        </w:rPr>
        <w:t>se</w:t>
      </w:r>
      <w:r w:rsidR="004F238B">
        <w:rPr>
          <w:bCs/>
        </w:rPr>
        <w:t xml:space="preserve"> </w:t>
      </w:r>
      <w:r w:rsidR="00866897">
        <w:rPr>
          <w:bCs/>
        </w:rPr>
        <w:t xml:space="preserve">the TCFU questionnaire </w:t>
      </w:r>
      <w:r>
        <w:rPr>
          <w:bCs/>
        </w:rPr>
        <w:t>found in Attachment B</w:t>
      </w:r>
      <w:r w:rsidR="00F35EBA">
        <w:rPr>
          <w:bCs/>
        </w:rPr>
        <w:t xml:space="preserve"> and </w:t>
      </w:r>
      <w:r>
        <w:rPr>
          <w:bCs/>
        </w:rPr>
        <w:t xml:space="preserve">the </w:t>
      </w:r>
      <w:r w:rsidR="004F238B">
        <w:rPr>
          <w:bCs/>
        </w:rPr>
        <w:t>protocol</w:t>
      </w:r>
      <w:r w:rsidR="00866897">
        <w:rPr>
          <w:bCs/>
        </w:rPr>
        <w:t xml:space="preserve"> </w:t>
      </w:r>
      <w:r>
        <w:rPr>
          <w:bCs/>
        </w:rPr>
        <w:t xml:space="preserve">found in Attachment C </w:t>
      </w:r>
      <w:r w:rsidR="00F35EBA">
        <w:rPr>
          <w:bCs/>
        </w:rPr>
        <w:t xml:space="preserve">to capture the respondent’s living situation during </w:t>
      </w:r>
      <w:r w:rsidR="00E8267A">
        <w:rPr>
          <w:bCs/>
        </w:rPr>
        <w:t xml:space="preserve">the year </w:t>
      </w:r>
      <w:r w:rsidR="00F35EBA">
        <w:rPr>
          <w:bCs/>
        </w:rPr>
        <w:t xml:space="preserve">2010 (including all of the places that the respondent may have stayed) and to </w:t>
      </w:r>
      <w:r w:rsidR="00CC78FB">
        <w:rPr>
          <w:bCs/>
        </w:rPr>
        <w:t xml:space="preserve">answer </w:t>
      </w:r>
      <w:r w:rsidR="00866897">
        <w:rPr>
          <w:bCs/>
        </w:rPr>
        <w:t xml:space="preserve">the </w:t>
      </w:r>
      <w:r w:rsidR="00CC78FB">
        <w:rPr>
          <w:bCs/>
        </w:rPr>
        <w:t>questions</w:t>
      </w:r>
      <w:r w:rsidR="00F35EBA">
        <w:rPr>
          <w:bCs/>
        </w:rPr>
        <w:t xml:space="preserve"> listed below.  Interviewers will use situational or expansive retrospective probing and other probing as specified in the protocol.  </w:t>
      </w:r>
      <w:r w:rsidR="004F238B">
        <w:rPr>
          <w:bCs/>
        </w:rPr>
        <w:t xml:space="preserve"> </w:t>
      </w:r>
    </w:p>
    <w:p w:rsidR="00E32125" w:rsidRPr="004F238B" w:rsidRDefault="00E32125" w:rsidP="00861D8B">
      <w:pPr>
        <w:rPr>
          <w:bCs/>
        </w:rPr>
      </w:pPr>
    </w:p>
    <w:p w:rsidR="004F6999" w:rsidRPr="00F81AF1" w:rsidRDefault="004F6999" w:rsidP="004F6999">
      <w:pPr>
        <w:pStyle w:val="ListParagraph"/>
        <w:numPr>
          <w:ilvl w:val="0"/>
          <w:numId w:val="6"/>
        </w:numPr>
        <w:ind w:left="720"/>
      </w:pPr>
      <w:r w:rsidRPr="00F81AF1">
        <w:t>Does the respondent show confusion or lack of understanding of specific questions or concepts? Which terms or phrases, if any, do respondents feel are confusing or difficult to understand?</w:t>
      </w:r>
    </w:p>
    <w:p w:rsidR="004F6999" w:rsidRPr="00F81AF1" w:rsidRDefault="004F6999" w:rsidP="004F6999">
      <w:pPr>
        <w:pStyle w:val="ListParagraph"/>
        <w:numPr>
          <w:ilvl w:val="0"/>
          <w:numId w:val="6"/>
        </w:numPr>
        <w:ind w:left="720"/>
      </w:pPr>
      <w:r w:rsidRPr="00F81AF1">
        <w:t xml:space="preserve">Does the respondent refuse to respond or is he or she unable to respond to any of the TCFU questions? </w:t>
      </w:r>
    </w:p>
    <w:p w:rsidR="004F6999" w:rsidRDefault="004F6999" w:rsidP="004F6999">
      <w:pPr>
        <w:pStyle w:val="ListParagraph"/>
        <w:numPr>
          <w:ilvl w:val="0"/>
          <w:numId w:val="6"/>
        </w:numPr>
        <w:ind w:left="720"/>
      </w:pPr>
      <w:r>
        <w:t xml:space="preserve">Does the respondent have a negative or </w:t>
      </w:r>
      <w:r w:rsidR="00AE68E7">
        <w:t xml:space="preserve">a </w:t>
      </w:r>
      <w:r>
        <w:t xml:space="preserve">positive reaction to the questions? </w:t>
      </w:r>
    </w:p>
    <w:p w:rsidR="004F6999" w:rsidRDefault="004F6999" w:rsidP="004F6999">
      <w:pPr>
        <w:pStyle w:val="ListParagraph"/>
        <w:numPr>
          <w:ilvl w:val="0"/>
          <w:numId w:val="6"/>
        </w:numPr>
        <w:ind w:left="720"/>
      </w:pPr>
      <w:r>
        <w:t>Are there any terms or topics that are offensive or inappropriate? Which terms or topics, if any, do respondents believe are offensive or inappropriate?</w:t>
      </w:r>
    </w:p>
    <w:p w:rsidR="00DC63DB" w:rsidRDefault="00DC63DB" w:rsidP="00861D8B">
      <w:pPr>
        <w:pStyle w:val="ListParagraph"/>
        <w:numPr>
          <w:ilvl w:val="0"/>
          <w:numId w:val="6"/>
        </w:numPr>
        <w:ind w:left="720"/>
      </w:pPr>
      <w:r>
        <w:t>Does the questionnaire elicit privacy concerns</w:t>
      </w:r>
      <w:r w:rsidR="007A506C">
        <w:t xml:space="preserve">?  </w:t>
      </w:r>
      <w:r>
        <w:t>Are there questions that are perceived as too sensitive?</w:t>
      </w:r>
    </w:p>
    <w:p w:rsidR="00DC63DB" w:rsidRDefault="00DC63DB" w:rsidP="00861D8B">
      <w:pPr>
        <w:pStyle w:val="ListParagraph"/>
        <w:numPr>
          <w:ilvl w:val="0"/>
          <w:numId w:val="6"/>
        </w:numPr>
        <w:ind w:left="720"/>
      </w:pPr>
      <w:r>
        <w:lastRenderedPageBreak/>
        <w:t>Does the questionnaire elicit confidentiality concerns</w:t>
      </w:r>
      <w:r w:rsidR="007A506C">
        <w:t xml:space="preserve">?  </w:t>
      </w:r>
      <w:r>
        <w:t>Does the respondent figure out that someone else repo</w:t>
      </w:r>
      <w:r w:rsidR="007A506C">
        <w:t xml:space="preserve">rted them on their census form?  </w:t>
      </w:r>
      <w:r>
        <w:t>If so, does this upset them?</w:t>
      </w:r>
    </w:p>
    <w:p w:rsidR="00DC63DB" w:rsidRDefault="00DC63DB" w:rsidP="00861D8B">
      <w:pPr>
        <w:pStyle w:val="ListParagraph"/>
        <w:numPr>
          <w:ilvl w:val="0"/>
          <w:numId w:val="6"/>
        </w:numPr>
        <w:ind w:left="720"/>
      </w:pPr>
      <w:r>
        <w:t xml:space="preserve">Does the TCFU interview capture the entire living situation of the respondent, or are there pieces of the respondent’s story that are </w:t>
      </w:r>
      <w:r w:rsidR="007A506C">
        <w:t>missing?  D</w:t>
      </w:r>
      <w:r>
        <w:t>oes it uncover all addresses and all dates that the respondent stayed at another place during 2010?</w:t>
      </w:r>
    </w:p>
    <w:p w:rsidR="00DC63DB" w:rsidRDefault="00DC63DB" w:rsidP="00861D8B">
      <w:pPr>
        <w:pStyle w:val="ListParagraph"/>
        <w:numPr>
          <w:ilvl w:val="0"/>
          <w:numId w:val="6"/>
        </w:numPr>
        <w:ind w:left="720"/>
      </w:pPr>
      <w:r>
        <w:t>Are there any comprehension problems within the TCFU questionnaire?</w:t>
      </w:r>
    </w:p>
    <w:p w:rsidR="00DC63DB" w:rsidRDefault="00DC63DB" w:rsidP="00861D8B"/>
    <w:p w:rsidR="00DC63DB" w:rsidRDefault="009C0617" w:rsidP="001542BD">
      <w:r>
        <w:t>The Census Bureau believes that t</w:t>
      </w:r>
      <w:r w:rsidR="00DC63DB">
        <w:t>h</w:t>
      </w:r>
      <w:r w:rsidR="00F371A6">
        <w:t xml:space="preserve">e implementation of this </w:t>
      </w:r>
      <w:r>
        <w:t xml:space="preserve">follow-on data collection </w:t>
      </w:r>
      <w:r w:rsidR="00F371A6">
        <w:t xml:space="preserve">is a </w:t>
      </w:r>
      <w:r w:rsidR="00DC63DB">
        <w:t xml:space="preserve">nonsubstantive change to the </w:t>
      </w:r>
      <w:r w:rsidR="00F371A6">
        <w:t xml:space="preserve">currently </w:t>
      </w:r>
      <w:r w:rsidR="00DC63DB">
        <w:t xml:space="preserve">approved 2010 Census CFU Telephone Operation </w:t>
      </w:r>
      <w:r w:rsidR="002172BD">
        <w:t xml:space="preserve">Information Collection </w:t>
      </w:r>
      <w:r w:rsidR="00DC63DB">
        <w:t xml:space="preserve">because </w:t>
      </w:r>
      <w:r w:rsidR="000C6222">
        <w:t>both data collections s</w:t>
      </w:r>
      <w:r w:rsidR="00DC63DB">
        <w:t>hare the same overall objective</w:t>
      </w:r>
      <w:r w:rsidR="00C27A43">
        <w:t xml:space="preserve">.  </w:t>
      </w:r>
      <w:r w:rsidR="0008272F">
        <w:t xml:space="preserve">By clarifying initial responses for </w:t>
      </w:r>
      <w:r w:rsidR="0084723B">
        <w:t>2010 C</w:t>
      </w:r>
      <w:r w:rsidR="0008272F">
        <w:t xml:space="preserve">ensus returns indicative of potential population coverage errors, </w:t>
      </w:r>
      <w:r w:rsidR="00F371A6">
        <w:t xml:space="preserve">both data collections </w:t>
      </w:r>
      <w:r w:rsidR="0008272F">
        <w:t xml:space="preserve">aim to </w:t>
      </w:r>
      <w:r w:rsidR="00DC63DB">
        <w:t>improve the accuracy of within household population counts</w:t>
      </w:r>
      <w:r w:rsidR="0008272F">
        <w:t xml:space="preserve">.  </w:t>
      </w:r>
      <w:r w:rsidR="00F371A6">
        <w:t>Furthermore, t</w:t>
      </w:r>
      <w:r w:rsidR="00DC63DB">
        <w:t xml:space="preserve">he sample for this </w:t>
      </w:r>
      <w:r w:rsidR="00154ACC">
        <w:t xml:space="preserve">follow-on data collection </w:t>
      </w:r>
      <w:r w:rsidR="00DC63DB">
        <w:t xml:space="preserve">is </w:t>
      </w:r>
      <w:r w:rsidR="0008272F">
        <w:t xml:space="preserve">a subsample of cases </w:t>
      </w:r>
      <w:r w:rsidR="00DC63DB">
        <w:t xml:space="preserve">originally </w:t>
      </w:r>
      <w:r w:rsidR="007037FD">
        <w:t xml:space="preserve">approved by the Office and Management and Budget </w:t>
      </w:r>
      <w:r w:rsidR="00DF0201">
        <w:t xml:space="preserve">as part of the 2010 CFU Telephone Operation Information Collection </w:t>
      </w:r>
      <w:r w:rsidR="00DC63DB">
        <w:t>universe</w:t>
      </w:r>
      <w:r w:rsidR="0008272F">
        <w:t xml:space="preserve"> (that is,</w:t>
      </w:r>
      <w:r w:rsidR="00885F46">
        <w:t xml:space="preserve"> initial census returns for which computer matching determined possible duplicate person links), </w:t>
      </w:r>
      <w:r w:rsidR="0008272F">
        <w:t xml:space="preserve">but </w:t>
      </w:r>
      <w:r w:rsidR="00C27A43">
        <w:t xml:space="preserve">that </w:t>
      </w:r>
      <w:r w:rsidR="00C70CED">
        <w:t xml:space="preserve">were </w:t>
      </w:r>
      <w:r w:rsidR="00671AF7">
        <w:t xml:space="preserve">eventually </w:t>
      </w:r>
      <w:r w:rsidR="007037FD">
        <w:t xml:space="preserve">excluded from </w:t>
      </w:r>
      <w:r w:rsidR="000C6222">
        <w:t xml:space="preserve">it </w:t>
      </w:r>
      <w:r w:rsidR="007037FD">
        <w:t xml:space="preserve">to make the operation feasible </w:t>
      </w:r>
      <w:r w:rsidR="00671AF7">
        <w:t xml:space="preserve">given </w:t>
      </w:r>
      <w:r w:rsidR="007037FD">
        <w:t xml:space="preserve">the funding available </w:t>
      </w:r>
      <w:r w:rsidR="00671AF7">
        <w:t>to</w:t>
      </w:r>
      <w:r w:rsidR="007037FD">
        <w:t xml:space="preserve"> the program.  </w:t>
      </w:r>
      <w:r w:rsidR="00DC63DB">
        <w:t xml:space="preserve">  </w:t>
      </w:r>
    </w:p>
    <w:p w:rsidR="00DC63DB" w:rsidRDefault="00DC63DB" w:rsidP="00E07EFF"/>
    <w:p w:rsidR="00DC63DB" w:rsidRDefault="00DC63DB" w:rsidP="009D5296">
      <w:pPr>
        <w:rPr>
          <w:b/>
          <w:bCs/>
          <w:color w:val="000000"/>
        </w:rPr>
      </w:pPr>
      <w:r w:rsidRPr="00E07EFF">
        <w:rPr>
          <w:b/>
          <w:bCs/>
          <w:color w:val="000000"/>
        </w:rPr>
        <w:t>Procedures for Data Collection</w:t>
      </w:r>
    </w:p>
    <w:p w:rsidR="00DC63DB" w:rsidRDefault="00DC63DB" w:rsidP="009D5296"/>
    <w:p w:rsidR="00AD19DB" w:rsidRDefault="000D3CC2"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A contractor will collect t</w:t>
      </w:r>
      <w:r w:rsidR="00DC63DB">
        <w:t>he data for th</w:t>
      </w:r>
      <w:r w:rsidR="006079AF">
        <w:t>is</w:t>
      </w:r>
      <w:r w:rsidR="00DC63DB">
        <w:t xml:space="preserve"> activit</w:t>
      </w:r>
      <w:r w:rsidR="006079AF">
        <w:t>y</w:t>
      </w:r>
      <w:r w:rsidR="00DC63DB">
        <w:t xml:space="preserve"> using interview questions developed by the Census Bureau</w:t>
      </w:r>
      <w:r w:rsidR="00AD19DB">
        <w:t>.  The contractor will have the opportunity to comment on interview protocols</w:t>
      </w:r>
      <w:r>
        <w:t>, however, t</w:t>
      </w:r>
      <w:r w:rsidR="00DC63DB">
        <w:t>he Census Bureau will make the final determination on any input provided by the contractor.</w:t>
      </w:r>
      <w:r w:rsidR="00B33A0B">
        <w:t xml:space="preserve">  </w:t>
      </w:r>
    </w:p>
    <w:p w:rsidR="00AD19DB" w:rsidRDefault="00AD19DB"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C78FB" w:rsidRDefault="006C2865" w:rsidP="00CC78FB">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Pr>
          <w:bCs/>
        </w:rPr>
        <w:t xml:space="preserve">Using a list </w:t>
      </w:r>
      <w:r w:rsidR="00872D4B">
        <w:rPr>
          <w:bCs/>
        </w:rPr>
        <w:t xml:space="preserve">of potential participants </w:t>
      </w:r>
      <w:r>
        <w:rPr>
          <w:bCs/>
        </w:rPr>
        <w:t>provided by the Census Bureau</w:t>
      </w:r>
      <w:r w:rsidR="00AE0F6B">
        <w:rPr>
          <w:bCs/>
        </w:rPr>
        <w:t xml:space="preserve"> </w:t>
      </w:r>
      <w:r w:rsidR="00AE0F6B">
        <w:t>(that is, initial census returns for which computer matching determined possible duplicate person links)</w:t>
      </w:r>
      <w:r>
        <w:rPr>
          <w:bCs/>
        </w:rPr>
        <w:t xml:space="preserve">, </w:t>
      </w:r>
      <w:r w:rsidR="00F85579">
        <w:rPr>
          <w:bCs/>
        </w:rPr>
        <w:t xml:space="preserve">the contractor will </w:t>
      </w:r>
      <w:r w:rsidR="00872D4B">
        <w:rPr>
          <w:bCs/>
        </w:rPr>
        <w:t xml:space="preserve">develop a detailed plan to recruit </w:t>
      </w:r>
      <w:r w:rsidR="00F85579">
        <w:rPr>
          <w:bCs/>
        </w:rPr>
        <w:t>participants for the q</w:t>
      </w:r>
      <w:r>
        <w:rPr>
          <w:bCs/>
        </w:rPr>
        <w:t xml:space="preserve">ualitative </w:t>
      </w:r>
      <w:r w:rsidR="00F85579">
        <w:rPr>
          <w:bCs/>
        </w:rPr>
        <w:t xml:space="preserve">interviews </w:t>
      </w:r>
      <w:r>
        <w:rPr>
          <w:bCs/>
        </w:rPr>
        <w:t xml:space="preserve">and </w:t>
      </w:r>
      <w:r w:rsidR="00F85579">
        <w:rPr>
          <w:bCs/>
        </w:rPr>
        <w:t xml:space="preserve">the </w:t>
      </w:r>
      <w:r>
        <w:rPr>
          <w:bCs/>
        </w:rPr>
        <w:t xml:space="preserve">cognitive </w:t>
      </w:r>
      <w:r>
        <w:t>interviews</w:t>
      </w:r>
      <w:r w:rsidR="00F85579">
        <w:t>.</w:t>
      </w:r>
      <w:r w:rsidR="00CC78FB">
        <w:t xml:space="preserve">  </w:t>
      </w:r>
      <w:r w:rsidR="00CC78FB">
        <w:rPr>
          <w:bCs/>
        </w:rPr>
        <w:t>The contractor will recruit participants who represent a range of characteristics as outlined by the Census Bureau.  For instance, the Census Bureau will require the contractor to contact some households with children who are duplicated and others w</w:t>
      </w:r>
      <w:r w:rsidR="003C60C2">
        <w:rPr>
          <w:bCs/>
        </w:rPr>
        <w:t xml:space="preserve">ith </w:t>
      </w:r>
      <w:r w:rsidR="00CC78FB">
        <w:rPr>
          <w:bCs/>
        </w:rPr>
        <w:t xml:space="preserve">adults </w:t>
      </w:r>
      <w:r w:rsidR="003C60C2">
        <w:rPr>
          <w:bCs/>
        </w:rPr>
        <w:t>who are</w:t>
      </w:r>
      <w:r w:rsidR="00CC78FB">
        <w:rPr>
          <w:bCs/>
        </w:rPr>
        <w:t xml:space="preserve"> duplicated.   </w:t>
      </w:r>
    </w:p>
    <w:p w:rsidR="00CC78FB" w:rsidRDefault="00CC78FB"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C1D4A" w:rsidRDefault="00872D4B"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t>In general, t</w:t>
      </w:r>
      <w:r w:rsidR="006C2865">
        <w:rPr>
          <w:bCs/>
        </w:rPr>
        <w:t xml:space="preserve">he recruitment plan </w:t>
      </w:r>
      <w:r w:rsidR="00F85579">
        <w:rPr>
          <w:bCs/>
        </w:rPr>
        <w:t xml:space="preserve">has two phases.  </w:t>
      </w:r>
      <w:r w:rsidR="003C60C2">
        <w:rPr>
          <w:bCs/>
        </w:rPr>
        <w:t>During</w:t>
      </w:r>
      <w:r w:rsidR="00F85579">
        <w:rPr>
          <w:bCs/>
        </w:rPr>
        <w:t xml:space="preserve"> the first phase, the contractor will send </w:t>
      </w:r>
      <w:r w:rsidR="00957046">
        <w:rPr>
          <w:bCs/>
        </w:rPr>
        <w:t xml:space="preserve">potential participants </w:t>
      </w:r>
      <w:r w:rsidR="00F85579">
        <w:rPr>
          <w:bCs/>
        </w:rPr>
        <w:t>a l</w:t>
      </w:r>
      <w:r w:rsidR="00957046">
        <w:rPr>
          <w:bCs/>
        </w:rPr>
        <w:t xml:space="preserve">etter </w:t>
      </w:r>
      <w:r w:rsidR="006C2865">
        <w:rPr>
          <w:bCs/>
        </w:rPr>
        <w:t>that provides</w:t>
      </w:r>
      <w:r w:rsidR="00F85579">
        <w:rPr>
          <w:bCs/>
        </w:rPr>
        <w:t xml:space="preserve"> </w:t>
      </w:r>
      <w:r w:rsidR="001C34D7">
        <w:rPr>
          <w:bCs/>
        </w:rPr>
        <w:t xml:space="preserve">to them </w:t>
      </w:r>
      <w:r w:rsidR="00F85579">
        <w:rPr>
          <w:bCs/>
        </w:rPr>
        <w:t>an</w:t>
      </w:r>
      <w:r w:rsidR="006C2865">
        <w:rPr>
          <w:bCs/>
        </w:rPr>
        <w:t xml:space="preserve"> overview of the data collection</w:t>
      </w:r>
      <w:r w:rsidR="001C34D7">
        <w:rPr>
          <w:bCs/>
        </w:rPr>
        <w:t xml:space="preserve"> </w:t>
      </w:r>
      <w:r w:rsidR="00AE0F6B">
        <w:rPr>
          <w:bCs/>
        </w:rPr>
        <w:t xml:space="preserve">activity </w:t>
      </w:r>
      <w:r w:rsidR="001C34D7">
        <w:rPr>
          <w:bCs/>
        </w:rPr>
        <w:t xml:space="preserve">and </w:t>
      </w:r>
      <w:r w:rsidR="00AE0F6B">
        <w:rPr>
          <w:bCs/>
        </w:rPr>
        <w:t xml:space="preserve">that </w:t>
      </w:r>
      <w:r w:rsidR="001C34D7">
        <w:rPr>
          <w:bCs/>
        </w:rPr>
        <w:t xml:space="preserve">lets them know to expect a telephone call regarding a request for an interview.  </w:t>
      </w:r>
      <w:r>
        <w:rPr>
          <w:bCs/>
        </w:rPr>
        <w:t xml:space="preserve">Researchers believe that giving potential participants advance notice of </w:t>
      </w:r>
      <w:r w:rsidR="001C34D7">
        <w:rPr>
          <w:bCs/>
        </w:rPr>
        <w:t>an</w:t>
      </w:r>
      <w:r>
        <w:rPr>
          <w:bCs/>
        </w:rPr>
        <w:t xml:space="preserve"> </w:t>
      </w:r>
      <w:r w:rsidR="001C34D7">
        <w:rPr>
          <w:bCs/>
        </w:rPr>
        <w:t>interview request</w:t>
      </w:r>
      <w:r>
        <w:rPr>
          <w:bCs/>
        </w:rPr>
        <w:t xml:space="preserve"> </w:t>
      </w:r>
      <w:r w:rsidR="001C34D7">
        <w:rPr>
          <w:bCs/>
        </w:rPr>
        <w:t>has</w:t>
      </w:r>
      <w:r>
        <w:rPr>
          <w:bCs/>
        </w:rPr>
        <w:t xml:space="preserve"> a positive effect on participation rates.  </w:t>
      </w:r>
      <w:r w:rsidR="000D3CC2">
        <w:rPr>
          <w:bCs/>
        </w:rPr>
        <w:t xml:space="preserve">In the second phase, the contractor will contact the same potential participants via telephone to </w:t>
      </w:r>
      <w:r w:rsidR="006079AF">
        <w:rPr>
          <w:bCs/>
        </w:rPr>
        <w:t xml:space="preserve">request their </w:t>
      </w:r>
      <w:r w:rsidR="000D3CC2">
        <w:rPr>
          <w:bCs/>
        </w:rPr>
        <w:t>participati</w:t>
      </w:r>
      <w:r w:rsidR="006079AF">
        <w:rPr>
          <w:bCs/>
        </w:rPr>
        <w:t>on</w:t>
      </w:r>
      <w:r w:rsidR="000D3CC2">
        <w:rPr>
          <w:bCs/>
        </w:rPr>
        <w:t xml:space="preserve"> in this </w:t>
      </w:r>
      <w:r w:rsidR="00481FC4">
        <w:rPr>
          <w:bCs/>
        </w:rPr>
        <w:t>data collection</w:t>
      </w:r>
      <w:r w:rsidR="000D3CC2">
        <w:rPr>
          <w:bCs/>
        </w:rPr>
        <w:t xml:space="preserve">.  </w:t>
      </w:r>
      <w:r w:rsidR="00EC1D4A">
        <w:rPr>
          <w:bCs/>
        </w:rPr>
        <w:t>If interested, t</w:t>
      </w:r>
      <w:r w:rsidR="000D3CC2">
        <w:rPr>
          <w:bCs/>
        </w:rPr>
        <w:t xml:space="preserve">he contractor will schedule </w:t>
      </w:r>
      <w:r w:rsidR="00EC1D4A">
        <w:rPr>
          <w:bCs/>
        </w:rPr>
        <w:t xml:space="preserve">an </w:t>
      </w:r>
      <w:r w:rsidR="00CC78FB">
        <w:rPr>
          <w:bCs/>
        </w:rPr>
        <w:t xml:space="preserve">in-person </w:t>
      </w:r>
      <w:r w:rsidR="00EC1D4A">
        <w:rPr>
          <w:bCs/>
        </w:rPr>
        <w:t xml:space="preserve">interview </w:t>
      </w:r>
      <w:r w:rsidR="006079AF">
        <w:rPr>
          <w:bCs/>
        </w:rPr>
        <w:t>with the participant</w:t>
      </w:r>
      <w:r w:rsidR="00EC1D4A">
        <w:rPr>
          <w:bCs/>
        </w:rPr>
        <w:t>.</w:t>
      </w:r>
      <w:r w:rsidR="00CC78FB">
        <w:rPr>
          <w:bCs/>
        </w:rPr>
        <w:t xml:space="preserve">  </w:t>
      </w:r>
      <w:r w:rsidR="00EC1D4A">
        <w:rPr>
          <w:bCs/>
        </w:rPr>
        <w:t xml:space="preserve">The </w:t>
      </w:r>
      <w:r w:rsidR="00CC78FB">
        <w:rPr>
          <w:bCs/>
        </w:rPr>
        <w:t xml:space="preserve">contractor will conduct the </w:t>
      </w:r>
      <w:r w:rsidR="00EC1D4A">
        <w:rPr>
          <w:bCs/>
        </w:rPr>
        <w:t xml:space="preserve">interviews in three to four diverse </w:t>
      </w:r>
      <w:r w:rsidR="006079AF">
        <w:rPr>
          <w:bCs/>
        </w:rPr>
        <w:t xml:space="preserve">geographic </w:t>
      </w:r>
      <w:r w:rsidR="00EC1D4A">
        <w:rPr>
          <w:bCs/>
        </w:rPr>
        <w:t xml:space="preserve">areas.  One of the data collection locations will be </w:t>
      </w:r>
      <w:r w:rsidR="00481FC4">
        <w:rPr>
          <w:bCs/>
        </w:rPr>
        <w:t>in or around</w:t>
      </w:r>
      <w:r w:rsidR="00EC1D4A">
        <w:rPr>
          <w:bCs/>
        </w:rPr>
        <w:t xml:space="preserve"> Washington, D.C.</w:t>
      </w:r>
      <w:r w:rsidR="00AE68E7">
        <w:rPr>
          <w:bCs/>
        </w:rPr>
        <w:t xml:space="preserve">  </w:t>
      </w:r>
      <w:r w:rsidR="009801E7">
        <w:rPr>
          <w:bCs/>
        </w:rPr>
        <w:t>The contractor will pay r</w:t>
      </w:r>
      <w:r w:rsidR="00AE68E7">
        <w:rPr>
          <w:bCs/>
        </w:rPr>
        <w:t xml:space="preserve">espondents </w:t>
      </w:r>
      <w:r w:rsidR="009801E7">
        <w:rPr>
          <w:bCs/>
        </w:rPr>
        <w:t xml:space="preserve">a maximum of $40 for participating in the study.  </w:t>
      </w:r>
      <w:r w:rsidR="00CC78FB">
        <w:rPr>
          <w:bCs/>
        </w:rPr>
        <w:t xml:space="preserve"> </w:t>
      </w:r>
      <w:r w:rsidR="00EC1D4A">
        <w:rPr>
          <w:bCs/>
        </w:rPr>
        <w:t xml:space="preserve">      </w:t>
      </w:r>
    </w:p>
    <w:p w:rsidR="00F85579" w:rsidRDefault="00F85579"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94801" w:rsidRPr="001542BD" w:rsidRDefault="004D2E70" w:rsidP="00C94801">
      <w:pPr>
        <w:rPr>
          <w:i/>
        </w:rPr>
      </w:pPr>
      <w:r>
        <w:t xml:space="preserve">The contractor will conduct a total of 300 </w:t>
      </w:r>
      <w:r w:rsidR="00E8267A">
        <w:t xml:space="preserve">in-person </w:t>
      </w:r>
      <w:r>
        <w:t>interviews</w:t>
      </w:r>
      <w:r w:rsidR="00E8267A">
        <w:t xml:space="preserve"> </w:t>
      </w:r>
      <w:r w:rsidR="00C80E85">
        <w:t xml:space="preserve">comprised of the </w:t>
      </w:r>
      <w:r w:rsidR="00E8267A">
        <w:t>respondent and one interviewer</w:t>
      </w:r>
      <w:r>
        <w:t xml:space="preserve">.  There are to be 50 </w:t>
      </w:r>
      <w:r w:rsidR="00CE7599">
        <w:t xml:space="preserve">semi-structured </w:t>
      </w:r>
      <w:r>
        <w:t xml:space="preserve">qualitative interviews and 250 </w:t>
      </w:r>
      <w:r w:rsidR="00BA1971">
        <w:t xml:space="preserve">structured </w:t>
      </w:r>
      <w:r>
        <w:lastRenderedPageBreak/>
        <w:t>cognitive interviews.</w:t>
      </w:r>
      <w:r w:rsidR="00C94801">
        <w:t xml:space="preserve">  </w:t>
      </w:r>
      <w:r w:rsidR="00C84DA8">
        <w:t>For the 50 qualitative interviews, the interviewer will have a typed debriefing protocol to assist in directing the conversation.  For the 250 cognitive interviews, the interviewer will use a paper questionnaire followed by a type</w:t>
      </w:r>
      <w:r w:rsidR="009801E7">
        <w:t>d</w:t>
      </w:r>
      <w:r w:rsidR="00C84DA8">
        <w:t xml:space="preserve"> debriefing protocol to assist in directing the conversation.  </w:t>
      </w:r>
      <w:r w:rsidR="00E8267A">
        <w:t xml:space="preserve">For all </w:t>
      </w:r>
      <w:r w:rsidR="00C94801">
        <w:t xml:space="preserve">interviews, the interviewer </w:t>
      </w:r>
      <w:r w:rsidR="003C60C2">
        <w:t xml:space="preserve">is to </w:t>
      </w:r>
      <w:r w:rsidR="00C94801">
        <w:t xml:space="preserve">find out who completed the census form for the address (or addresses) that </w:t>
      </w:r>
      <w:r w:rsidR="00C80E85">
        <w:t xml:space="preserve">interviewers ask about during the interview.  </w:t>
      </w:r>
      <w:r w:rsidR="00642D2C">
        <w:t xml:space="preserve">Respondents are to remain unaware that they </w:t>
      </w:r>
      <w:r w:rsidR="00811CA7">
        <w:t xml:space="preserve">may </w:t>
      </w:r>
      <w:r w:rsidR="00642D2C">
        <w:t xml:space="preserve">have been counted </w:t>
      </w:r>
      <w:r w:rsidR="00811CA7">
        <w:t xml:space="preserve">more than once </w:t>
      </w:r>
      <w:r w:rsidR="00642D2C">
        <w:t xml:space="preserve">in the census.  </w:t>
      </w:r>
    </w:p>
    <w:p w:rsidR="001542BD" w:rsidRDefault="001542BD"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80E85" w:rsidRDefault="00C80E85"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contractor will conduct interviews in two phases.  The first phase will occur from </w:t>
      </w:r>
      <w:r w:rsidR="002723B5">
        <w:t xml:space="preserve">October 06, 2010 through December 30, 2010 </w:t>
      </w:r>
      <w:r>
        <w:t xml:space="preserve">and will consist of 25 qualitative interviews and 50 cognitive interviews.  The second phase of interviewing will occur from </w:t>
      </w:r>
      <w:r w:rsidR="002723B5">
        <w:t>February 15, 2011 through June 30, 2011</w:t>
      </w:r>
      <w:r w:rsidR="00183069">
        <w:t xml:space="preserve">and will consist of 25 qualitative interviews and 200 cognitive interviews.  </w:t>
      </w:r>
      <w:r>
        <w:t xml:space="preserve">  </w:t>
      </w:r>
    </w:p>
    <w:p w:rsidR="00C80E85" w:rsidRDefault="00C80E85"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76D9C" w:rsidRDefault="00183069" w:rsidP="00B76D9C">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t xml:space="preserve">The contractor </w:t>
      </w:r>
      <w:r w:rsidR="00AE68E7">
        <w:t xml:space="preserve">plans </w:t>
      </w:r>
      <w:r>
        <w:t xml:space="preserve">to audio </w:t>
      </w:r>
      <w:r w:rsidR="00AE68E7">
        <w:t>record</w:t>
      </w:r>
      <w:r>
        <w:t xml:space="preserve"> all interviews</w:t>
      </w:r>
      <w:r w:rsidR="007577A8">
        <w:t xml:space="preserve"> </w:t>
      </w:r>
      <w:r w:rsidR="00AE68E7">
        <w:t xml:space="preserve">upon receiving </w:t>
      </w:r>
      <w:r w:rsidR="007577A8">
        <w:t xml:space="preserve">consent </w:t>
      </w:r>
      <w:r w:rsidR="00AE68E7">
        <w:t xml:space="preserve">from the </w:t>
      </w:r>
      <w:r w:rsidR="007577A8">
        <w:t>respondent</w:t>
      </w:r>
      <w:r w:rsidR="00AE68E7">
        <w:t xml:space="preserve"> to do so</w:t>
      </w:r>
      <w:r>
        <w:t xml:space="preserve">.  The contractor will obtain approval from the respondent to audio </w:t>
      </w:r>
      <w:r w:rsidR="00AE68E7">
        <w:t>record</w:t>
      </w:r>
      <w:r>
        <w:t xml:space="preserve"> the interview using the form</w:t>
      </w:r>
      <w:r w:rsidR="0000480E">
        <w:t>at</w:t>
      </w:r>
      <w:r>
        <w:t xml:space="preserve"> found in Attachment</w:t>
      </w:r>
      <w:r w:rsidR="007577A8">
        <w:t xml:space="preserve"> D</w:t>
      </w:r>
      <w:r>
        <w:t>.</w:t>
      </w:r>
      <w:r w:rsidR="007577A8">
        <w:t xml:space="preserve">  </w:t>
      </w:r>
      <w:r w:rsidR="00AE68E7">
        <w:t>In addition, t</w:t>
      </w:r>
      <w:r w:rsidR="007577A8">
        <w:t xml:space="preserve">he contractor will prepare </w:t>
      </w:r>
      <w:r w:rsidR="00DC63DB">
        <w:t xml:space="preserve">detailed written summaries </w:t>
      </w:r>
      <w:r w:rsidR="007577A8">
        <w:t>for each interview</w:t>
      </w:r>
      <w:r w:rsidR="00AE68E7">
        <w:t xml:space="preserve"> and </w:t>
      </w:r>
      <w:r w:rsidR="007577A8">
        <w:t xml:space="preserve">a final report </w:t>
      </w:r>
      <w:r w:rsidR="00EB5486">
        <w:t xml:space="preserve">for the Census Bureau </w:t>
      </w:r>
      <w:r w:rsidR="00AE68E7">
        <w:t xml:space="preserve">that </w:t>
      </w:r>
      <w:r w:rsidR="007577A8">
        <w:t>summariz</w:t>
      </w:r>
      <w:r w:rsidR="00AE68E7">
        <w:t>es</w:t>
      </w:r>
      <w:r w:rsidR="007577A8">
        <w:t xml:space="preserve"> the data collection.  </w:t>
      </w:r>
      <w:r w:rsidR="00B76D9C" w:rsidRPr="008B0ED2">
        <w:rPr>
          <w:bCs/>
        </w:rPr>
        <w:t xml:space="preserve">The Census Bureau will report the findings from this data collection in the 2010 Census </w:t>
      </w:r>
      <w:r w:rsidR="007577A8">
        <w:rPr>
          <w:bCs/>
        </w:rPr>
        <w:t xml:space="preserve">Program </w:t>
      </w:r>
      <w:r w:rsidR="00EB5486">
        <w:rPr>
          <w:bCs/>
        </w:rPr>
        <w:t xml:space="preserve">for Evaluations and Experiments report </w:t>
      </w:r>
      <w:r w:rsidR="00B76D9C" w:rsidRPr="008B0ED2">
        <w:rPr>
          <w:bCs/>
        </w:rPr>
        <w:t>titled, Effectiveness of Unduplication.  </w:t>
      </w:r>
    </w:p>
    <w:p w:rsidR="00183069" w:rsidRDefault="00183069" w:rsidP="00DF2B66">
      <w:pPr>
        <w:rPr>
          <w:b/>
          <w:bCs/>
          <w:color w:val="000000"/>
        </w:rPr>
      </w:pPr>
    </w:p>
    <w:p w:rsidR="00DC63DB" w:rsidRDefault="00DC63DB" w:rsidP="00DF2B66">
      <w:pPr>
        <w:rPr>
          <w:b/>
          <w:bCs/>
          <w:color w:val="000000"/>
        </w:rPr>
      </w:pPr>
      <w:r>
        <w:rPr>
          <w:b/>
          <w:bCs/>
          <w:color w:val="000000"/>
        </w:rPr>
        <w:t>Estimate of Burden Hours</w:t>
      </w:r>
    </w:p>
    <w:p w:rsidR="00DC63DB" w:rsidRDefault="00DC63DB" w:rsidP="00DF2B66">
      <w:pPr>
        <w:rPr>
          <w:b/>
          <w:bCs/>
          <w:color w:val="000000"/>
        </w:rPr>
      </w:pPr>
    </w:p>
    <w:p w:rsidR="007A506C" w:rsidRDefault="00906564" w:rsidP="007A506C">
      <w:r>
        <w:t xml:space="preserve">OMB originally approved 1,335,000 burden hours for the 2010 Census CFU Telephone Operation based upon a ten minute interview for an estimated 8,010,000 housing units.  The actual number of CFU cases completed was roughly 4.9 million.  Therefore, the Census Bureau has a sufficient number of existing burden hours from the original OMB approval to cover this follow-on data collection.  </w:t>
      </w:r>
      <w:r w:rsidR="0023283D">
        <w:t>T</w:t>
      </w:r>
      <w:r w:rsidR="007A506C">
        <w:t xml:space="preserve">he number of burden hours required for </w:t>
      </w:r>
      <w:r>
        <w:t xml:space="preserve">it </w:t>
      </w:r>
      <w:r w:rsidR="007A506C">
        <w:t>is 450</w:t>
      </w:r>
      <w:r w:rsidR="0023283D">
        <w:t>,</w:t>
      </w:r>
      <w:r w:rsidR="007A506C">
        <w:t xml:space="preserve"> as indicated in the table below</w:t>
      </w:r>
      <w:r w:rsidR="0023283D">
        <w:t xml:space="preserve">.  </w:t>
      </w:r>
      <w:r w:rsidR="007A506C">
        <w:t xml:space="preserve"> </w:t>
      </w:r>
    </w:p>
    <w:p w:rsidR="00621092" w:rsidRDefault="009F6BD4" w:rsidP="00DF2B66">
      <w: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0"/>
        <w:gridCol w:w="1800"/>
        <w:gridCol w:w="2340"/>
      </w:tblGrid>
      <w:tr w:rsidR="00DC63DB" w:rsidTr="00154ACC">
        <w:trPr>
          <w:cantSplit/>
          <w:tblHeader/>
          <w:jc w:val="center"/>
        </w:trPr>
        <w:tc>
          <w:tcPr>
            <w:tcW w:w="2520" w:type="dxa"/>
            <w:tcBorders>
              <w:top w:val="single" w:sz="12" w:space="0" w:color="auto"/>
              <w:left w:val="nil"/>
              <w:bottom w:val="single" w:sz="12" w:space="0" w:color="auto"/>
              <w:right w:val="nil"/>
            </w:tcBorders>
            <w:shd w:val="clear" w:color="auto" w:fill="D9D9D9"/>
            <w:vAlign w:val="bottom"/>
          </w:tcPr>
          <w:p w:rsidR="00DC63DB" w:rsidRPr="009F6692" w:rsidRDefault="00DC63DB" w:rsidP="00DF2B66">
            <w:pPr>
              <w:pStyle w:val="BodyText"/>
              <w:rPr>
                <w:rFonts w:ascii="Arial" w:hAnsi="Arial" w:cs="Arial"/>
                <w:b/>
                <w:bCs/>
                <w:sz w:val="20"/>
              </w:rPr>
            </w:pPr>
            <w:r w:rsidRPr="009F6692">
              <w:rPr>
                <w:rFonts w:ascii="Arial" w:hAnsi="Arial" w:cs="Arial"/>
                <w:b/>
                <w:bCs/>
                <w:sz w:val="20"/>
              </w:rPr>
              <w:t>Experiment/Evaluation</w:t>
            </w:r>
          </w:p>
        </w:tc>
        <w:tc>
          <w:tcPr>
            <w:tcW w:w="1620" w:type="dxa"/>
            <w:tcBorders>
              <w:top w:val="single" w:sz="12" w:space="0" w:color="auto"/>
              <w:left w:val="nil"/>
              <w:bottom w:val="single" w:sz="12" w:space="0" w:color="auto"/>
              <w:right w:val="nil"/>
            </w:tcBorders>
            <w:shd w:val="clear" w:color="auto" w:fill="D9D9D9"/>
            <w:vAlign w:val="bottom"/>
          </w:tcPr>
          <w:p w:rsidR="00DC63DB" w:rsidRPr="009F6692" w:rsidRDefault="00DC63DB" w:rsidP="00DF2B66">
            <w:pPr>
              <w:pStyle w:val="BodyText"/>
              <w:spacing w:before="60"/>
              <w:rPr>
                <w:rFonts w:ascii="Arial" w:hAnsi="Arial" w:cs="Arial"/>
                <w:b/>
                <w:bCs/>
                <w:sz w:val="20"/>
              </w:rPr>
            </w:pPr>
            <w:r w:rsidRPr="009F6692">
              <w:rPr>
                <w:rFonts w:ascii="Arial" w:hAnsi="Arial" w:cs="Arial"/>
                <w:b/>
                <w:bCs/>
                <w:sz w:val="20"/>
              </w:rPr>
              <w:t>Total # of Respondents</w:t>
            </w:r>
          </w:p>
        </w:tc>
        <w:tc>
          <w:tcPr>
            <w:tcW w:w="1800" w:type="dxa"/>
            <w:tcBorders>
              <w:top w:val="single" w:sz="12" w:space="0" w:color="auto"/>
              <w:left w:val="nil"/>
              <w:bottom w:val="single" w:sz="12" w:space="0" w:color="auto"/>
              <w:right w:val="nil"/>
            </w:tcBorders>
            <w:shd w:val="clear" w:color="auto" w:fill="D9D9D9"/>
            <w:vAlign w:val="bottom"/>
          </w:tcPr>
          <w:p w:rsidR="00DC63DB" w:rsidRPr="009F6692" w:rsidRDefault="00DC63DB" w:rsidP="00DF2B66">
            <w:pPr>
              <w:pStyle w:val="BodyText"/>
              <w:spacing w:before="60"/>
              <w:rPr>
                <w:rFonts w:ascii="Arial" w:hAnsi="Arial" w:cs="Arial"/>
                <w:b/>
                <w:bCs/>
                <w:sz w:val="20"/>
              </w:rPr>
            </w:pPr>
            <w:r w:rsidRPr="009F6692">
              <w:rPr>
                <w:rFonts w:ascii="Arial" w:hAnsi="Arial" w:cs="Arial"/>
                <w:b/>
                <w:bCs/>
                <w:sz w:val="20"/>
              </w:rPr>
              <w:t>Estimated Response Time</w:t>
            </w:r>
          </w:p>
        </w:tc>
        <w:tc>
          <w:tcPr>
            <w:tcW w:w="2340" w:type="dxa"/>
            <w:tcBorders>
              <w:top w:val="single" w:sz="12" w:space="0" w:color="auto"/>
              <w:left w:val="nil"/>
              <w:bottom w:val="single" w:sz="12" w:space="0" w:color="auto"/>
              <w:right w:val="nil"/>
            </w:tcBorders>
            <w:shd w:val="clear" w:color="auto" w:fill="D9D9D9"/>
            <w:vAlign w:val="bottom"/>
          </w:tcPr>
          <w:p w:rsidR="00DC63DB" w:rsidRPr="009F6692" w:rsidRDefault="00DC63DB" w:rsidP="00DF2B66">
            <w:pPr>
              <w:pStyle w:val="BodyText"/>
              <w:spacing w:before="60"/>
              <w:rPr>
                <w:rFonts w:ascii="Arial" w:hAnsi="Arial" w:cs="Arial"/>
                <w:b/>
                <w:bCs/>
                <w:sz w:val="20"/>
              </w:rPr>
            </w:pPr>
            <w:r w:rsidRPr="009F6692">
              <w:rPr>
                <w:rFonts w:ascii="Arial" w:hAnsi="Arial" w:cs="Arial"/>
                <w:b/>
                <w:bCs/>
                <w:sz w:val="20"/>
              </w:rPr>
              <w:t>Estimated Burden Hours</w:t>
            </w:r>
          </w:p>
        </w:tc>
      </w:tr>
      <w:tr w:rsidR="00DC63DB" w:rsidTr="00154ACC">
        <w:trPr>
          <w:cantSplit/>
          <w:jc w:val="center"/>
        </w:trPr>
        <w:tc>
          <w:tcPr>
            <w:tcW w:w="2520" w:type="dxa"/>
            <w:tcBorders>
              <w:left w:val="nil"/>
              <w:right w:val="nil"/>
            </w:tcBorders>
          </w:tcPr>
          <w:p w:rsidR="00DC63DB" w:rsidRDefault="00DC63DB" w:rsidP="006C0075">
            <w:pPr>
              <w:pStyle w:val="BodyText"/>
              <w:spacing w:before="60" w:after="60"/>
              <w:rPr>
                <w:rFonts w:ascii="Arial" w:hAnsi="Arial" w:cs="Arial"/>
                <w:sz w:val="20"/>
              </w:rPr>
            </w:pPr>
            <w:r>
              <w:rPr>
                <w:rFonts w:ascii="Arial" w:hAnsi="Arial" w:cs="Arial"/>
                <w:sz w:val="20"/>
              </w:rPr>
              <w:t>Effectiveness of Unduplication –Qualitative Interviews</w:t>
            </w:r>
            <w:r w:rsidR="006C0075">
              <w:rPr>
                <w:rFonts w:ascii="Arial" w:hAnsi="Arial" w:cs="Arial"/>
                <w:sz w:val="20"/>
              </w:rPr>
              <w:t>/ Cognitive Interviews</w:t>
            </w:r>
          </w:p>
        </w:tc>
        <w:tc>
          <w:tcPr>
            <w:tcW w:w="1620" w:type="dxa"/>
            <w:tcBorders>
              <w:left w:val="nil"/>
              <w:right w:val="nil"/>
            </w:tcBorders>
          </w:tcPr>
          <w:p w:rsidR="00DC63DB" w:rsidRDefault="00DC63DB" w:rsidP="00DF2B66">
            <w:pPr>
              <w:pStyle w:val="BodyText"/>
              <w:spacing w:before="60" w:after="60"/>
              <w:rPr>
                <w:rFonts w:ascii="Arial" w:hAnsi="Arial" w:cs="Arial"/>
                <w:sz w:val="20"/>
              </w:rPr>
            </w:pPr>
            <w:r>
              <w:rPr>
                <w:rFonts w:ascii="Arial" w:hAnsi="Arial" w:cs="Arial"/>
                <w:sz w:val="20"/>
              </w:rPr>
              <w:t>300</w:t>
            </w:r>
          </w:p>
        </w:tc>
        <w:tc>
          <w:tcPr>
            <w:tcW w:w="1800" w:type="dxa"/>
            <w:tcBorders>
              <w:left w:val="nil"/>
              <w:right w:val="nil"/>
            </w:tcBorders>
          </w:tcPr>
          <w:p w:rsidR="00DC63DB" w:rsidRDefault="00DC63DB" w:rsidP="00DF2B66">
            <w:pPr>
              <w:pStyle w:val="BodyText"/>
              <w:spacing w:before="60" w:after="60"/>
              <w:rPr>
                <w:rFonts w:ascii="Arial" w:hAnsi="Arial" w:cs="Arial"/>
                <w:sz w:val="20"/>
              </w:rPr>
            </w:pPr>
            <w:r>
              <w:rPr>
                <w:rFonts w:ascii="Arial" w:hAnsi="Arial" w:cs="Arial"/>
                <w:sz w:val="20"/>
              </w:rPr>
              <w:t>1 hour and</w:t>
            </w:r>
          </w:p>
          <w:p w:rsidR="00DC63DB" w:rsidRDefault="00DC63DB" w:rsidP="00DF2B66">
            <w:pPr>
              <w:pStyle w:val="BodyText"/>
              <w:spacing w:before="60" w:after="60"/>
              <w:rPr>
                <w:rFonts w:ascii="Arial" w:hAnsi="Arial" w:cs="Arial"/>
                <w:sz w:val="20"/>
              </w:rPr>
            </w:pPr>
            <w:r>
              <w:rPr>
                <w:rFonts w:ascii="Arial" w:hAnsi="Arial" w:cs="Arial"/>
                <w:sz w:val="20"/>
              </w:rPr>
              <w:t>30 minutes</w:t>
            </w:r>
          </w:p>
        </w:tc>
        <w:tc>
          <w:tcPr>
            <w:tcW w:w="2340" w:type="dxa"/>
            <w:tcBorders>
              <w:left w:val="nil"/>
              <w:right w:val="nil"/>
            </w:tcBorders>
          </w:tcPr>
          <w:p w:rsidR="00DC63DB" w:rsidRDefault="00DC63DB" w:rsidP="00DF2B66">
            <w:pPr>
              <w:pStyle w:val="BodyText"/>
              <w:spacing w:before="60" w:after="60"/>
              <w:rPr>
                <w:rFonts w:ascii="Arial" w:hAnsi="Arial" w:cs="Arial"/>
                <w:sz w:val="20"/>
              </w:rPr>
            </w:pPr>
            <w:r>
              <w:rPr>
                <w:rFonts w:ascii="Arial" w:hAnsi="Arial" w:cs="Arial"/>
                <w:sz w:val="20"/>
              </w:rPr>
              <w:t>450</w:t>
            </w:r>
          </w:p>
        </w:tc>
      </w:tr>
    </w:tbl>
    <w:p w:rsidR="00DC63DB" w:rsidRDefault="00DC63DB" w:rsidP="009D5296"/>
    <w:p w:rsidR="00DC63DB" w:rsidRDefault="00DC63DB" w:rsidP="009D5296"/>
    <w:p w:rsidR="00DC63DB" w:rsidRDefault="00DC63DB" w:rsidP="009D5296">
      <w:r>
        <w:t xml:space="preserve">If you need additional information, please contact </w:t>
      </w:r>
      <w:r w:rsidR="001326C9">
        <w:t>Jason Machowski, 2020 Research and Coordination Branch, Decennial Management Division at (301) 763-4173</w:t>
      </w:r>
      <w:r w:rsidR="004F6999">
        <w:t xml:space="preserve">, </w:t>
      </w:r>
      <w:r>
        <w:t>Sarah Heimel, Enumeration Methods and Requirements Branch, Decennial Statistical Studies Division at (301) 763-9297</w:t>
      </w:r>
      <w:r w:rsidR="004F6999">
        <w:t>, or Ryan King, Enumeration Methods and Requirements Branch, Decennial Statistical Studies Division at (301) 763- 4774</w:t>
      </w:r>
      <w:r>
        <w:t xml:space="preserve">. </w:t>
      </w:r>
    </w:p>
    <w:p w:rsidR="00E105B1" w:rsidRDefault="00E105B1" w:rsidP="009D5296">
      <w:pPr>
        <w:rPr>
          <w:b/>
        </w:rPr>
      </w:pPr>
    </w:p>
    <w:p w:rsidR="00CF56D6" w:rsidRDefault="00CF56D6" w:rsidP="009D5296">
      <w:pPr>
        <w:rPr>
          <w:b/>
        </w:rPr>
      </w:pPr>
    </w:p>
    <w:p w:rsidR="00CF56D6" w:rsidRDefault="00CF56D6" w:rsidP="009D5296">
      <w:pPr>
        <w:rPr>
          <w:b/>
        </w:rPr>
      </w:pPr>
    </w:p>
    <w:p w:rsidR="00CF56D6" w:rsidRDefault="00CF56D6" w:rsidP="009D5296">
      <w:pPr>
        <w:rPr>
          <w:b/>
        </w:rPr>
      </w:pPr>
    </w:p>
    <w:p w:rsidR="00CF56D6" w:rsidRDefault="00CF56D6" w:rsidP="009D5296">
      <w:pPr>
        <w:rPr>
          <w:b/>
        </w:rPr>
      </w:pPr>
    </w:p>
    <w:p w:rsidR="00DC63DB" w:rsidRPr="006B3564" w:rsidRDefault="00DC63DB" w:rsidP="009D5296">
      <w:pPr>
        <w:rPr>
          <w:b/>
        </w:rPr>
      </w:pPr>
      <w:r w:rsidRPr="006B3564">
        <w:rPr>
          <w:b/>
        </w:rPr>
        <w:lastRenderedPageBreak/>
        <w:t>Attachments</w:t>
      </w:r>
    </w:p>
    <w:p w:rsidR="006B3564" w:rsidRDefault="006B3564" w:rsidP="009D5296"/>
    <w:p w:rsidR="006B3564" w:rsidRDefault="00DF0201" w:rsidP="009D5296">
      <w:r>
        <w:t>Attachment A</w:t>
      </w:r>
      <w:r w:rsidR="000351A8">
        <w:t>:</w:t>
      </w:r>
      <w:r w:rsidR="000351A8">
        <w:tab/>
      </w:r>
      <w:r w:rsidR="0000480E">
        <w:t xml:space="preserve">Targeted Coverage Followup (TCFU) </w:t>
      </w:r>
      <w:r w:rsidR="006B3564">
        <w:t xml:space="preserve">Qualitative </w:t>
      </w:r>
      <w:r w:rsidR="000351A8">
        <w:t xml:space="preserve">Interview Protocol </w:t>
      </w:r>
    </w:p>
    <w:p w:rsidR="000351A8" w:rsidRDefault="000351A8" w:rsidP="009D5296"/>
    <w:p w:rsidR="000351A8" w:rsidRDefault="000351A8" w:rsidP="009D5296">
      <w:r>
        <w:t>Attachment B:</w:t>
      </w:r>
      <w:r>
        <w:tab/>
        <w:t>Targeted Coverage Followup (TCFU) Questionnaire</w:t>
      </w:r>
    </w:p>
    <w:p w:rsidR="000351A8" w:rsidRDefault="000351A8" w:rsidP="009D5296"/>
    <w:p w:rsidR="000351A8" w:rsidRDefault="000351A8" w:rsidP="009D5296">
      <w:r>
        <w:t>Attachment C:</w:t>
      </w:r>
      <w:r>
        <w:tab/>
        <w:t>Targeted Coverage Followup (TCFU) Cognitive Interview Protocol</w:t>
      </w:r>
      <w:r>
        <w:tab/>
      </w:r>
      <w:r>
        <w:tab/>
      </w:r>
    </w:p>
    <w:p w:rsidR="000351A8" w:rsidRDefault="000351A8" w:rsidP="009D5296"/>
    <w:p w:rsidR="00957046" w:rsidRDefault="000351A8" w:rsidP="009D5296">
      <w:r>
        <w:t xml:space="preserve">Attachment D: </w:t>
      </w:r>
      <w:r w:rsidR="00E700FD">
        <w:t xml:space="preserve">Consent Form </w:t>
      </w:r>
      <w:proofErr w:type="gramStart"/>
      <w:r w:rsidR="00E700FD">
        <w:t>For</w:t>
      </w:r>
      <w:proofErr w:type="gramEnd"/>
      <w:r w:rsidR="00E700FD">
        <w:t xml:space="preserve"> Decennial Census Research</w:t>
      </w:r>
    </w:p>
    <w:sectPr w:rsidR="00957046" w:rsidSect="00EA0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F0128548"/>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left"/>
      <w:pPr>
        <w:tabs>
          <w:tab w:val="num" w:pos="0"/>
        </w:tabs>
        <w:ind w:left="3600" w:hanging="360"/>
      </w:pPr>
      <w:rPr>
        <w:rFonts w:cs="Times New Roman"/>
      </w:rPr>
    </w:lvl>
  </w:abstractNum>
  <w:abstractNum w:abstractNumId="1">
    <w:nsid w:val="02174A87"/>
    <w:multiLevelType w:val="hybridMultilevel"/>
    <w:tmpl w:val="DDD6E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1D0093"/>
    <w:multiLevelType w:val="hybridMultilevel"/>
    <w:tmpl w:val="4DDC58B0"/>
    <w:lvl w:ilvl="0" w:tplc="0000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181533"/>
    <w:multiLevelType w:val="hybridMultilevel"/>
    <w:tmpl w:val="0A5C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E4C20"/>
    <w:multiLevelType w:val="hybridMultilevel"/>
    <w:tmpl w:val="E22EAA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A0C729D"/>
    <w:multiLevelType w:val="hybridMultilevel"/>
    <w:tmpl w:val="A21A2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8414B7"/>
    <w:multiLevelType w:val="multilevel"/>
    <w:tmpl w:val="F0128548"/>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left"/>
      <w:pPr>
        <w:tabs>
          <w:tab w:val="num" w:pos="0"/>
        </w:tabs>
        <w:ind w:left="3600" w:hanging="360"/>
      </w:pPr>
      <w:rPr>
        <w:rFonts w:cs="Times New Roman"/>
      </w:rPr>
    </w:lvl>
  </w:abstractNum>
  <w:abstractNum w:abstractNumId="7">
    <w:nsid w:val="672C4144"/>
    <w:multiLevelType w:val="hybridMultilevel"/>
    <w:tmpl w:val="CB6A4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E808D3"/>
    <w:multiLevelType w:val="hybridMultilevel"/>
    <w:tmpl w:val="8FE4C0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B724906"/>
    <w:multiLevelType w:val="hybridMultilevel"/>
    <w:tmpl w:val="3F6C85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0">
    <w:nsid w:val="716042D5"/>
    <w:multiLevelType w:val="hybridMultilevel"/>
    <w:tmpl w:val="A61621F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10"/>
  </w:num>
  <w:num w:numId="5">
    <w:abstractNumId w:val="0"/>
  </w:num>
  <w:num w:numId="6">
    <w:abstractNumId w:val="4"/>
  </w:num>
  <w:num w:numId="7">
    <w:abstractNumId w:val="6"/>
  </w:num>
  <w:num w:numId="8">
    <w:abstractNumId w:val="9"/>
  </w:num>
  <w:num w:numId="9">
    <w:abstractNumId w:val="2"/>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_AMO_XmlVersion" w:val="Empty"/>
  </w:docVars>
  <w:rsids>
    <w:rsidRoot w:val="009D5296"/>
    <w:rsid w:val="000000A5"/>
    <w:rsid w:val="00001125"/>
    <w:rsid w:val="0000480E"/>
    <w:rsid w:val="000102E7"/>
    <w:rsid w:val="000105FE"/>
    <w:rsid w:val="00010740"/>
    <w:rsid w:val="00017935"/>
    <w:rsid w:val="0002162B"/>
    <w:rsid w:val="000325B5"/>
    <w:rsid w:val="000343D1"/>
    <w:rsid w:val="00034CC4"/>
    <w:rsid w:val="000351A8"/>
    <w:rsid w:val="00036A89"/>
    <w:rsid w:val="000405AB"/>
    <w:rsid w:val="00043302"/>
    <w:rsid w:val="00047DB1"/>
    <w:rsid w:val="000603BE"/>
    <w:rsid w:val="0006583D"/>
    <w:rsid w:val="00066279"/>
    <w:rsid w:val="00076C40"/>
    <w:rsid w:val="00076F98"/>
    <w:rsid w:val="00077AB7"/>
    <w:rsid w:val="0008272F"/>
    <w:rsid w:val="00087732"/>
    <w:rsid w:val="00090855"/>
    <w:rsid w:val="00090A00"/>
    <w:rsid w:val="000A2723"/>
    <w:rsid w:val="000A7ED6"/>
    <w:rsid w:val="000B2918"/>
    <w:rsid w:val="000C012C"/>
    <w:rsid w:val="000C6222"/>
    <w:rsid w:val="000D3CC2"/>
    <w:rsid w:val="000D3E40"/>
    <w:rsid w:val="000D56D9"/>
    <w:rsid w:val="000E299E"/>
    <w:rsid w:val="000E57A7"/>
    <w:rsid w:val="000F10A7"/>
    <w:rsid w:val="000F4FB7"/>
    <w:rsid w:val="000F50F0"/>
    <w:rsid w:val="000F66D7"/>
    <w:rsid w:val="00120F60"/>
    <w:rsid w:val="00125EA0"/>
    <w:rsid w:val="00130A26"/>
    <w:rsid w:val="001326C9"/>
    <w:rsid w:val="00140237"/>
    <w:rsid w:val="00146BD2"/>
    <w:rsid w:val="00147F77"/>
    <w:rsid w:val="001542BD"/>
    <w:rsid w:val="00154ACC"/>
    <w:rsid w:val="00155D48"/>
    <w:rsid w:val="00155ECC"/>
    <w:rsid w:val="0015609B"/>
    <w:rsid w:val="00157E3C"/>
    <w:rsid w:val="001624AE"/>
    <w:rsid w:val="00183069"/>
    <w:rsid w:val="00183A44"/>
    <w:rsid w:val="00192330"/>
    <w:rsid w:val="001A1518"/>
    <w:rsid w:val="001B196B"/>
    <w:rsid w:val="001C34D7"/>
    <w:rsid w:val="001D1BF6"/>
    <w:rsid w:val="001D3E5E"/>
    <w:rsid w:val="001D6D36"/>
    <w:rsid w:val="00202B46"/>
    <w:rsid w:val="00203B3C"/>
    <w:rsid w:val="00214620"/>
    <w:rsid w:val="002172BD"/>
    <w:rsid w:val="0023283D"/>
    <w:rsid w:val="002351A8"/>
    <w:rsid w:val="00237C29"/>
    <w:rsid w:val="0025608E"/>
    <w:rsid w:val="002707F2"/>
    <w:rsid w:val="002718B1"/>
    <w:rsid w:val="002723B5"/>
    <w:rsid w:val="0027799D"/>
    <w:rsid w:val="00277F94"/>
    <w:rsid w:val="00286BD4"/>
    <w:rsid w:val="00291384"/>
    <w:rsid w:val="002A095A"/>
    <w:rsid w:val="002A1D4D"/>
    <w:rsid w:val="002A4243"/>
    <w:rsid w:val="002B4C82"/>
    <w:rsid w:val="002B6D29"/>
    <w:rsid w:val="002C0741"/>
    <w:rsid w:val="002C30A5"/>
    <w:rsid w:val="002C3489"/>
    <w:rsid w:val="002C6AE0"/>
    <w:rsid w:val="002D494B"/>
    <w:rsid w:val="002E4423"/>
    <w:rsid w:val="002F5C81"/>
    <w:rsid w:val="002F6336"/>
    <w:rsid w:val="00302BDF"/>
    <w:rsid w:val="003131B3"/>
    <w:rsid w:val="00317635"/>
    <w:rsid w:val="00320076"/>
    <w:rsid w:val="00322253"/>
    <w:rsid w:val="0032672F"/>
    <w:rsid w:val="003306B7"/>
    <w:rsid w:val="00333596"/>
    <w:rsid w:val="00337EEE"/>
    <w:rsid w:val="0036349F"/>
    <w:rsid w:val="00370769"/>
    <w:rsid w:val="0037328C"/>
    <w:rsid w:val="00384720"/>
    <w:rsid w:val="003914CD"/>
    <w:rsid w:val="003950FD"/>
    <w:rsid w:val="003C60C2"/>
    <w:rsid w:val="003C6CB4"/>
    <w:rsid w:val="003D19BC"/>
    <w:rsid w:val="003F1959"/>
    <w:rsid w:val="00413324"/>
    <w:rsid w:val="0041590A"/>
    <w:rsid w:val="00416936"/>
    <w:rsid w:val="00422B10"/>
    <w:rsid w:val="00427DAB"/>
    <w:rsid w:val="004302D0"/>
    <w:rsid w:val="00441D59"/>
    <w:rsid w:val="00453D8C"/>
    <w:rsid w:val="0045496C"/>
    <w:rsid w:val="00457024"/>
    <w:rsid w:val="00461263"/>
    <w:rsid w:val="004624A6"/>
    <w:rsid w:val="004736FB"/>
    <w:rsid w:val="00476CF3"/>
    <w:rsid w:val="00481FC4"/>
    <w:rsid w:val="004900D1"/>
    <w:rsid w:val="00492E5A"/>
    <w:rsid w:val="00496602"/>
    <w:rsid w:val="004A2AF5"/>
    <w:rsid w:val="004A42C1"/>
    <w:rsid w:val="004A4CFB"/>
    <w:rsid w:val="004C77D5"/>
    <w:rsid w:val="004D12E3"/>
    <w:rsid w:val="004D2E70"/>
    <w:rsid w:val="004F238B"/>
    <w:rsid w:val="004F4736"/>
    <w:rsid w:val="004F6999"/>
    <w:rsid w:val="00502521"/>
    <w:rsid w:val="00522638"/>
    <w:rsid w:val="00523F9E"/>
    <w:rsid w:val="00541E50"/>
    <w:rsid w:val="005454DF"/>
    <w:rsid w:val="00546324"/>
    <w:rsid w:val="005466B1"/>
    <w:rsid w:val="00547AC1"/>
    <w:rsid w:val="00552A3E"/>
    <w:rsid w:val="00554FBE"/>
    <w:rsid w:val="00557BEF"/>
    <w:rsid w:val="00563655"/>
    <w:rsid w:val="005702F4"/>
    <w:rsid w:val="00574DBC"/>
    <w:rsid w:val="00590C6D"/>
    <w:rsid w:val="00592D64"/>
    <w:rsid w:val="00593ACB"/>
    <w:rsid w:val="005C5D20"/>
    <w:rsid w:val="005D366E"/>
    <w:rsid w:val="005E7DDA"/>
    <w:rsid w:val="006034CD"/>
    <w:rsid w:val="00604869"/>
    <w:rsid w:val="0060536D"/>
    <w:rsid w:val="006079AF"/>
    <w:rsid w:val="00621092"/>
    <w:rsid w:val="00624066"/>
    <w:rsid w:val="00625F1E"/>
    <w:rsid w:val="006412E4"/>
    <w:rsid w:val="00642D2C"/>
    <w:rsid w:val="0066153E"/>
    <w:rsid w:val="00671AF7"/>
    <w:rsid w:val="00671B5E"/>
    <w:rsid w:val="00684E55"/>
    <w:rsid w:val="00687BFE"/>
    <w:rsid w:val="006A07BA"/>
    <w:rsid w:val="006A2379"/>
    <w:rsid w:val="006A6173"/>
    <w:rsid w:val="006B2CDB"/>
    <w:rsid w:val="006B3564"/>
    <w:rsid w:val="006B64F2"/>
    <w:rsid w:val="006B7795"/>
    <w:rsid w:val="006C0075"/>
    <w:rsid w:val="006C2865"/>
    <w:rsid w:val="006D04C9"/>
    <w:rsid w:val="006E4B32"/>
    <w:rsid w:val="006E58F0"/>
    <w:rsid w:val="006E7B72"/>
    <w:rsid w:val="006E7BB0"/>
    <w:rsid w:val="006F16F5"/>
    <w:rsid w:val="007037FD"/>
    <w:rsid w:val="0071176B"/>
    <w:rsid w:val="00711B5F"/>
    <w:rsid w:val="00714ADE"/>
    <w:rsid w:val="007276DE"/>
    <w:rsid w:val="00743B1E"/>
    <w:rsid w:val="00746D53"/>
    <w:rsid w:val="007572E2"/>
    <w:rsid w:val="007577A8"/>
    <w:rsid w:val="0078674F"/>
    <w:rsid w:val="007869F8"/>
    <w:rsid w:val="007A4977"/>
    <w:rsid w:val="007A506C"/>
    <w:rsid w:val="007B7C19"/>
    <w:rsid w:val="007C246B"/>
    <w:rsid w:val="007C4BB9"/>
    <w:rsid w:val="007D2F5C"/>
    <w:rsid w:val="007E197C"/>
    <w:rsid w:val="007E2A49"/>
    <w:rsid w:val="007F0A5B"/>
    <w:rsid w:val="007F52E0"/>
    <w:rsid w:val="007F6FB6"/>
    <w:rsid w:val="00801A35"/>
    <w:rsid w:val="008103AA"/>
    <w:rsid w:val="00810FC7"/>
    <w:rsid w:val="00811CA7"/>
    <w:rsid w:val="00821172"/>
    <w:rsid w:val="00823216"/>
    <w:rsid w:val="00825C37"/>
    <w:rsid w:val="00831454"/>
    <w:rsid w:val="00843A60"/>
    <w:rsid w:val="0084723B"/>
    <w:rsid w:val="00861D8B"/>
    <w:rsid w:val="00866897"/>
    <w:rsid w:val="00867B99"/>
    <w:rsid w:val="00872D4B"/>
    <w:rsid w:val="00876A12"/>
    <w:rsid w:val="00880657"/>
    <w:rsid w:val="00885F46"/>
    <w:rsid w:val="008A1245"/>
    <w:rsid w:val="008A5672"/>
    <w:rsid w:val="008B0A91"/>
    <w:rsid w:val="008B0ED2"/>
    <w:rsid w:val="008B7710"/>
    <w:rsid w:val="008C097D"/>
    <w:rsid w:val="008C19DE"/>
    <w:rsid w:val="008D3FAC"/>
    <w:rsid w:val="009047FD"/>
    <w:rsid w:val="00906564"/>
    <w:rsid w:val="0091222F"/>
    <w:rsid w:val="00914D5D"/>
    <w:rsid w:val="00922ED7"/>
    <w:rsid w:val="009319A5"/>
    <w:rsid w:val="00931EC3"/>
    <w:rsid w:val="00932E85"/>
    <w:rsid w:val="00933840"/>
    <w:rsid w:val="00941C28"/>
    <w:rsid w:val="00943442"/>
    <w:rsid w:val="00945A70"/>
    <w:rsid w:val="00947F1B"/>
    <w:rsid w:val="00952BB7"/>
    <w:rsid w:val="0095379D"/>
    <w:rsid w:val="00953C08"/>
    <w:rsid w:val="00957046"/>
    <w:rsid w:val="00972828"/>
    <w:rsid w:val="00974A72"/>
    <w:rsid w:val="00974E0B"/>
    <w:rsid w:val="009759C2"/>
    <w:rsid w:val="009770BA"/>
    <w:rsid w:val="009801E7"/>
    <w:rsid w:val="00986DF1"/>
    <w:rsid w:val="00994D64"/>
    <w:rsid w:val="009A4AA3"/>
    <w:rsid w:val="009C0617"/>
    <w:rsid w:val="009C205C"/>
    <w:rsid w:val="009C41F8"/>
    <w:rsid w:val="009C465C"/>
    <w:rsid w:val="009D5296"/>
    <w:rsid w:val="009D6995"/>
    <w:rsid w:val="009F6692"/>
    <w:rsid w:val="009F6BD4"/>
    <w:rsid w:val="00A003F9"/>
    <w:rsid w:val="00A030ED"/>
    <w:rsid w:val="00A107B8"/>
    <w:rsid w:val="00A12A88"/>
    <w:rsid w:val="00A152E1"/>
    <w:rsid w:val="00A22FBA"/>
    <w:rsid w:val="00A40FB6"/>
    <w:rsid w:val="00A47F05"/>
    <w:rsid w:val="00A52BF3"/>
    <w:rsid w:val="00A617B6"/>
    <w:rsid w:val="00A64168"/>
    <w:rsid w:val="00AA5A39"/>
    <w:rsid w:val="00AB31AA"/>
    <w:rsid w:val="00AB7B6B"/>
    <w:rsid w:val="00AD0564"/>
    <w:rsid w:val="00AD09A3"/>
    <w:rsid w:val="00AD0C6A"/>
    <w:rsid w:val="00AD19DB"/>
    <w:rsid w:val="00AE0F6B"/>
    <w:rsid w:val="00AE5232"/>
    <w:rsid w:val="00AE68E7"/>
    <w:rsid w:val="00AE7C20"/>
    <w:rsid w:val="00B01863"/>
    <w:rsid w:val="00B04056"/>
    <w:rsid w:val="00B105D8"/>
    <w:rsid w:val="00B113F6"/>
    <w:rsid w:val="00B276F7"/>
    <w:rsid w:val="00B33A0B"/>
    <w:rsid w:val="00B41ECC"/>
    <w:rsid w:val="00B50382"/>
    <w:rsid w:val="00B63D8E"/>
    <w:rsid w:val="00B701F5"/>
    <w:rsid w:val="00B76D9C"/>
    <w:rsid w:val="00B81C7F"/>
    <w:rsid w:val="00B82B9E"/>
    <w:rsid w:val="00B950AE"/>
    <w:rsid w:val="00BA1971"/>
    <w:rsid w:val="00BD038F"/>
    <w:rsid w:val="00BD088E"/>
    <w:rsid w:val="00BD20BA"/>
    <w:rsid w:val="00BD44A2"/>
    <w:rsid w:val="00BE29C0"/>
    <w:rsid w:val="00BF0C4C"/>
    <w:rsid w:val="00C06D7B"/>
    <w:rsid w:val="00C13DC7"/>
    <w:rsid w:val="00C164E1"/>
    <w:rsid w:val="00C17297"/>
    <w:rsid w:val="00C27A43"/>
    <w:rsid w:val="00C3622B"/>
    <w:rsid w:val="00C40C2C"/>
    <w:rsid w:val="00C4128F"/>
    <w:rsid w:val="00C47DF4"/>
    <w:rsid w:val="00C53CA8"/>
    <w:rsid w:val="00C549CA"/>
    <w:rsid w:val="00C564C5"/>
    <w:rsid w:val="00C705A4"/>
    <w:rsid w:val="00C70CED"/>
    <w:rsid w:val="00C72CBE"/>
    <w:rsid w:val="00C80E85"/>
    <w:rsid w:val="00C840A2"/>
    <w:rsid w:val="00C84DA8"/>
    <w:rsid w:val="00C93A3B"/>
    <w:rsid w:val="00C94801"/>
    <w:rsid w:val="00CB2317"/>
    <w:rsid w:val="00CC78FB"/>
    <w:rsid w:val="00CD66A2"/>
    <w:rsid w:val="00CE5870"/>
    <w:rsid w:val="00CE7599"/>
    <w:rsid w:val="00CF56D6"/>
    <w:rsid w:val="00D1141C"/>
    <w:rsid w:val="00D2097A"/>
    <w:rsid w:val="00D22D87"/>
    <w:rsid w:val="00D337FB"/>
    <w:rsid w:val="00D33E76"/>
    <w:rsid w:val="00D36F13"/>
    <w:rsid w:val="00D51D55"/>
    <w:rsid w:val="00D6619D"/>
    <w:rsid w:val="00D73B4B"/>
    <w:rsid w:val="00D84439"/>
    <w:rsid w:val="00D917F0"/>
    <w:rsid w:val="00DA02AB"/>
    <w:rsid w:val="00DA0CA8"/>
    <w:rsid w:val="00DA2AF6"/>
    <w:rsid w:val="00DA5CF4"/>
    <w:rsid w:val="00DB4743"/>
    <w:rsid w:val="00DC0456"/>
    <w:rsid w:val="00DC63DB"/>
    <w:rsid w:val="00DD0CE5"/>
    <w:rsid w:val="00DD37C5"/>
    <w:rsid w:val="00DE4519"/>
    <w:rsid w:val="00DF0201"/>
    <w:rsid w:val="00DF2B66"/>
    <w:rsid w:val="00E065A0"/>
    <w:rsid w:val="00E07EFF"/>
    <w:rsid w:val="00E105B1"/>
    <w:rsid w:val="00E1742A"/>
    <w:rsid w:val="00E32125"/>
    <w:rsid w:val="00E321C5"/>
    <w:rsid w:val="00E322FC"/>
    <w:rsid w:val="00E325CC"/>
    <w:rsid w:val="00E3530C"/>
    <w:rsid w:val="00E4418D"/>
    <w:rsid w:val="00E446E4"/>
    <w:rsid w:val="00E465FC"/>
    <w:rsid w:val="00E50D25"/>
    <w:rsid w:val="00E536E9"/>
    <w:rsid w:val="00E700FD"/>
    <w:rsid w:val="00E72E6E"/>
    <w:rsid w:val="00E805ED"/>
    <w:rsid w:val="00E82574"/>
    <w:rsid w:val="00E8267A"/>
    <w:rsid w:val="00E9069E"/>
    <w:rsid w:val="00E978F8"/>
    <w:rsid w:val="00EA0205"/>
    <w:rsid w:val="00EA11C2"/>
    <w:rsid w:val="00EB5486"/>
    <w:rsid w:val="00EC0626"/>
    <w:rsid w:val="00EC1D4A"/>
    <w:rsid w:val="00EC204B"/>
    <w:rsid w:val="00EC7D75"/>
    <w:rsid w:val="00ED7963"/>
    <w:rsid w:val="00ED7AB3"/>
    <w:rsid w:val="00EF2CEA"/>
    <w:rsid w:val="00F02DBA"/>
    <w:rsid w:val="00F14822"/>
    <w:rsid w:val="00F31638"/>
    <w:rsid w:val="00F35EBA"/>
    <w:rsid w:val="00F371A6"/>
    <w:rsid w:val="00F51BA6"/>
    <w:rsid w:val="00F6017A"/>
    <w:rsid w:val="00F641CE"/>
    <w:rsid w:val="00F67B13"/>
    <w:rsid w:val="00F71EE0"/>
    <w:rsid w:val="00F74601"/>
    <w:rsid w:val="00F81AF1"/>
    <w:rsid w:val="00F8305A"/>
    <w:rsid w:val="00F85579"/>
    <w:rsid w:val="00F976C8"/>
    <w:rsid w:val="00FA1291"/>
    <w:rsid w:val="00FA21E0"/>
    <w:rsid w:val="00FA577C"/>
    <w:rsid w:val="00FB6AB1"/>
    <w:rsid w:val="00FC070A"/>
    <w:rsid w:val="00FC1441"/>
    <w:rsid w:val="00FC7C65"/>
    <w:rsid w:val="00FD59DE"/>
    <w:rsid w:val="00FE2C10"/>
    <w:rsid w:val="00FF221B"/>
    <w:rsid w:val="00FF689A"/>
    <w:rsid w:val="00FF7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6"/>
    <w:rPr>
      <w:rFonts w:eastAsia="Times New Roman"/>
      <w:sz w:val="24"/>
      <w:szCs w:val="24"/>
    </w:rPr>
  </w:style>
  <w:style w:type="paragraph" w:styleId="Heading3">
    <w:name w:val="heading 3"/>
    <w:basedOn w:val="Normal"/>
    <w:next w:val="Normal"/>
    <w:link w:val="Heading3Char"/>
    <w:uiPriority w:val="99"/>
    <w:qFormat/>
    <w:rsid w:val="009D5296"/>
    <w:pPr>
      <w:keepNext/>
      <w:autoSpaceDE w:val="0"/>
      <w:autoSpaceDN w:val="0"/>
      <w:adjustRightInd w:val="0"/>
      <w:spacing w:line="240" w:lineRule="atLeast"/>
      <w:jc w:val="center"/>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5296"/>
    <w:rPr>
      <w:rFonts w:eastAsia="Times New Roman" w:cs="Times New Roman"/>
      <w:b/>
      <w:bCs/>
      <w:color w:val="000000"/>
    </w:rPr>
  </w:style>
  <w:style w:type="paragraph" w:styleId="NoSpacing">
    <w:name w:val="No Spacing"/>
    <w:uiPriority w:val="99"/>
    <w:qFormat/>
    <w:rsid w:val="009D5296"/>
    <w:rPr>
      <w:rFonts w:eastAsia="Times New Roman"/>
      <w:sz w:val="24"/>
      <w:szCs w:val="24"/>
    </w:rPr>
  </w:style>
  <w:style w:type="paragraph" w:styleId="BodyText">
    <w:name w:val="Body Text"/>
    <w:basedOn w:val="Normal"/>
    <w:link w:val="BodyTextChar"/>
    <w:uiPriority w:val="99"/>
    <w:semiHidden/>
    <w:rsid w:val="00DF2B66"/>
    <w:rPr>
      <w:color w:val="000000"/>
      <w:szCs w:val="20"/>
    </w:rPr>
  </w:style>
  <w:style w:type="character" w:customStyle="1" w:styleId="BodyTextChar">
    <w:name w:val="Body Text Char"/>
    <w:basedOn w:val="DefaultParagraphFont"/>
    <w:link w:val="BodyText"/>
    <w:uiPriority w:val="99"/>
    <w:semiHidden/>
    <w:locked/>
    <w:rsid w:val="00DF2B66"/>
    <w:rPr>
      <w:rFonts w:eastAsia="Times New Roman" w:cs="Times New Roman"/>
      <w:color w:val="000000"/>
      <w:sz w:val="24"/>
    </w:rPr>
  </w:style>
  <w:style w:type="paragraph" w:customStyle="1" w:styleId="Level1">
    <w:name w:val="Level 1"/>
    <w:basedOn w:val="Normal"/>
    <w:uiPriority w:val="99"/>
    <w:rsid w:val="00861D8B"/>
    <w:pPr>
      <w:widowControl w:val="0"/>
      <w:tabs>
        <w:tab w:val="num" w:pos="0"/>
      </w:tabs>
      <w:suppressAutoHyphens/>
      <w:autoSpaceDE w:val="0"/>
      <w:ind w:left="720" w:hanging="720"/>
    </w:pPr>
    <w:rPr>
      <w:lang w:eastAsia="ar-SA"/>
    </w:rPr>
  </w:style>
  <w:style w:type="paragraph" w:styleId="ListParagraph">
    <w:name w:val="List Paragraph"/>
    <w:basedOn w:val="Normal"/>
    <w:next w:val="Normal"/>
    <w:uiPriority w:val="99"/>
    <w:qFormat/>
    <w:rsid w:val="00861D8B"/>
    <w:pPr>
      <w:suppressAutoHyphens/>
      <w:autoSpaceDE w:val="0"/>
    </w:pPr>
    <w:rPr>
      <w:rFonts w:eastAsia="Calibri"/>
      <w:lang w:eastAsia="ar-SA"/>
    </w:rPr>
  </w:style>
  <w:style w:type="character" w:styleId="CommentReference">
    <w:name w:val="annotation reference"/>
    <w:basedOn w:val="DefaultParagraphFont"/>
    <w:uiPriority w:val="99"/>
    <w:semiHidden/>
    <w:rsid w:val="006B7795"/>
    <w:rPr>
      <w:rFonts w:cs="Times New Roman"/>
      <w:sz w:val="16"/>
      <w:szCs w:val="16"/>
    </w:rPr>
  </w:style>
  <w:style w:type="paragraph" w:styleId="CommentText">
    <w:name w:val="annotation text"/>
    <w:basedOn w:val="Normal"/>
    <w:link w:val="CommentTextChar"/>
    <w:uiPriority w:val="99"/>
    <w:semiHidden/>
    <w:rsid w:val="006B7795"/>
    <w:rPr>
      <w:sz w:val="20"/>
      <w:szCs w:val="20"/>
    </w:rPr>
  </w:style>
  <w:style w:type="character" w:customStyle="1" w:styleId="CommentTextChar">
    <w:name w:val="Comment Text Char"/>
    <w:basedOn w:val="DefaultParagraphFont"/>
    <w:link w:val="CommentText"/>
    <w:uiPriority w:val="99"/>
    <w:semiHidden/>
    <w:locked/>
    <w:rsid w:val="0002162B"/>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6B7795"/>
    <w:rPr>
      <w:b/>
      <w:bCs/>
    </w:rPr>
  </w:style>
  <w:style w:type="character" w:customStyle="1" w:styleId="CommentSubjectChar">
    <w:name w:val="Comment Subject Char"/>
    <w:basedOn w:val="CommentTextChar"/>
    <w:link w:val="CommentSubject"/>
    <w:uiPriority w:val="99"/>
    <w:semiHidden/>
    <w:locked/>
    <w:rsid w:val="0002162B"/>
    <w:rPr>
      <w:b/>
      <w:bCs/>
    </w:rPr>
  </w:style>
  <w:style w:type="paragraph" w:styleId="BalloonText">
    <w:name w:val="Balloon Text"/>
    <w:basedOn w:val="Normal"/>
    <w:link w:val="BalloonTextChar"/>
    <w:uiPriority w:val="99"/>
    <w:semiHidden/>
    <w:rsid w:val="006B7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62B"/>
    <w:rPr>
      <w:rFonts w:eastAsia="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6BB6-DA0B-4A78-8ED9-B35418A0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1885</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2010 Census Program for Evaluations and Experiments Focus Groups </vt:lpstr>
    </vt:vector>
  </TitlesOfParts>
  <Company>U.S. Department of Commerce</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Census Program for Evaluations and Experiments Focus Groups </dc:title>
  <dc:subject/>
  <dc:creator>love0313</dc:creator>
  <cp:keywords/>
  <dc:description/>
  <cp:lastModifiedBy>Jason Machowski (macho001)</cp:lastModifiedBy>
  <cp:revision>7</cp:revision>
  <cp:lastPrinted>2010-09-20T19:13:00Z</cp:lastPrinted>
  <dcterms:created xsi:type="dcterms:W3CDTF">2010-09-20T14:10:00Z</dcterms:created>
  <dcterms:modified xsi:type="dcterms:W3CDTF">2010-09-20T19:13:00Z</dcterms:modified>
</cp:coreProperties>
</file>