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DB" w:rsidRDefault="00DA53DB">
      <w:pPr>
        <w:pStyle w:val="Title"/>
        <w:tabs>
          <w:tab w:val="center" w:pos="5148"/>
        </w:tabs>
        <w:rPr>
          <w:rFonts w:ascii="Times New Roman" w:hAnsi="Times New Roman"/>
        </w:rPr>
      </w:pPr>
      <w:r>
        <w:rPr>
          <w:rFonts w:ascii="Times New Roman" w:hAnsi="Times New Roman"/>
        </w:rPr>
        <w:t>Supporting Statement for Paperwork Reduction Act Submissions</w:t>
      </w:r>
    </w:p>
    <w:p w:rsidR="00DA53DB" w:rsidRDefault="00DA53DB">
      <w:pPr>
        <w:tabs>
          <w:tab w:val="center" w:pos="5148"/>
        </w:tabs>
        <w:suppressAutoHyphens/>
        <w:jc w:val="center"/>
        <w:rPr>
          <w:b/>
        </w:rPr>
      </w:pPr>
      <w:r>
        <w:rPr>
          <w:b/>
        </w:rPr>
        <w:t>Information Collection:</w:t>
      </w:r>
      <w:r w:rsidR="0094678E">
        <w:rPr>
          <w:b/>
        </w:rPr>
        <w:fldChar w:fldCharType="begin"/>
      </w:r>
      <w:r>
        <w:rPr>
          <w:b/>
        </w:rPr>
        <w:instrText xml:space="preserve"> </w:instrText>
      </w:r>
      <w:r w:rsidR="0094678E">
        <w:rPr>
          <w:b/>
        </w:rPr>
        <w:fldChar w:fldCharType="end"/>
      </w:r>
    </w:p>
    <w:p w:rsidR="00DA53DB" w:rsidRDefault="00F20783">
      <w:pPr>
        <w:tabs>
          <w:tab w:val="center" w:pos="5148"/>
        </w:tabs>
        <w:suppressAutoHyphens/>
        <w:jc w:val="center"/>
        <w:rPr>
          <w:b/>
        </w:rPr>
      </w:pPr>
      <w:r>
        <w:rPr>
          <w:b/>
        </w:rPr>
        <w:t>Choice Neighborhoods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0447EA" w:rsidRPr="00651E65" w:rsidRDefault="00DA53DB" w:rsidP="00651E65">
      <w:pPr>
        <w:pStyle w:val="BodyTextIndent2"/>
        <w:tabs>
          <w:tab w:val="clear" w:pos="0"/>
          <w:tab w:val="left" w:pos="360"/>
        </w:tabs>
        <w:spacing w:after="120" w:line="240" w:lineRule="auto"/>
        <w:ind w:hanging="360"/>
      </w:pPr>
      <w:r>
        <w:t>1.</w:t>
      </w:r>
      <w:r>
        <w:tab/>
        <w:t xml:space="preserve"> </w:t>
      </w:r>
      <w:r w:rsidR="00804137" w:rsidRPr="000E41DF">
        <w:rPr>
          <w:szCs w:val="24"/>
        </w:rPr>
        <w:t>The Department of Housing and Urban Development Appropriations Act, 2010 (</w:t>
      </w:r>
      <w:r w:rsidR="00804137">
        <w:rPr>
          <w:szCs w:val="24"/>
        </w:rPr>
        <w:t xml:space="preserve">part of the </w:t>
      </w:r>
      <w:r w:rsidR="00804137" w:rsidRPr="00F965C6">
        <w:rPr>
          <w:szCs w:val="24"/>
        </w:rPr>
        <w:t xml:space="preserve">Consolidated Appropriations Act, Public Law 111-117, enacted on December 16, 2009) permits the HUD Secretary to use up to $65,000,000 of the HOPE VI appropriations for a Choice Neighborhoods Initiative demonstration.  </w:t>
      </w:r>
      <w:r w:rsidR="008650BE" w:rsidRPr="00F965C6">
        <w:rPr>
          <w:szCs w:val="24"/>
        </w:rPr>
        <w:t>With FY 2010 funding, the Choice Neighborhoods Initiative is a demonstration program under section 24 of the U.S. Housing Act of 1937, as amended (42 U.S.C. 1437v).  Thus, except as otherwise specified in the appropriations act, the HOPE VI program requirements and selection criteria will apply to Choice Neighborhoods grants for FY 2010, including the authorization to collect information in order for HUD to award and manage grants.  Accordingly, the information collection will collect similar information to that collected in the past for HOPE VI.  Many of the existing HOPE VI forms will be revised slightly to be useable for Choice Neighborhoods (e.g., changing titling</w:t>
      </w:r>
      <w:r w:rsidR="000447EA">
        <w:rPr>
          <w:szCs w:val="24"/>
        </w:rPr>
        <w:t>, etc.</w:t>
      </w:r>
      <w:r w:rsidR="008650BE" w:rsidRPr="00F965C6">
        <w:rPr>
          <w:szCs w:val="24"/>
        </w:rPr>
        <w:t>).</w:t>
      </w:r>
    </w:p>
    <w:p w:rsidR="000447EA" w:rsidRDefault="000447EA" w:rsidP="000447EA">
      <w:pPr>
        <w:pStyle w:val="NoSpacing"/>
        <w:ind w:left="360"/>
        <w:rPr>
          <w:rFonts w:ascii="Times New Roman" w:hAnsi="Times New Roman" w:cs="Times New Roman"/>
          <w:sz w:val="24"/>
          <w:szCs w:val="24"/>
        </w:rPr>
      </w:pPr>
    </w:p>
    <w:p w:rsidR="000447EA" w:rsidRDefault="000447EA" w:rsidP="008650BE">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0E41DF">
        <w:rPr>
          <w:rFonts w:ascii="Times New Roman" w:hAnsi="Times New Roman" w:cs="Times New Roman"/>
          <w:sz w:val="24"/>
          <w:szCs w:val="24"/>
        </w:rPr>
        <w:t>uilding upon the success</w:t>
      </w:r>
      <w:r>
        <w:rPr>
          <w:rFonts w:ascii="Times New Roman" w:hAnsi="Times New Roman" w:cs="Times New Roman"/>
          <w:sz w:val="24"/>
          <w:szCs w:val="24"/>
        </w:rPr>
        <w:t xml:space="preserve">es achieved and the lessons learned from </w:t>
      </w:r>
      <w:r w:rsidRPr="000E41DF">
        <w:rPr>
          <w:rFonts w:ascii="Times New Roman" w:hAnsi="Times New Roman" w:cs="Times New Roman"/>
          <w:sz w:val="24"/>
          <w:szCs w:val="24"/>
        </w:rPr>
        <w:t xml:space="preserve">the </w:t>
      </w:r>
      <w:r>
        <w:rPr>
          <w:rFonts w:ascii="Times New Roman" w:hAnsi="Times New Roman" w:cs="Times New Roman"/>
          <w:sz w:val="24"/>
          <w:szCs w:val="24"/>
        </w:rPr>
        <w:t xml:space="preserve">HOPE VI </w:t>
      </w:r>
      <w:r w:rsidRPr="000E41DF">
        <w:rPr>
          <w:rFonts w:ascii="Times New Roman" w:hAnsi="Times New Roman" w:cs="Times New Roman"/>
          <w:sz w:val="24"/>
          <w:szCs w:val="24"/>
        </w:rPr>
        <w:t xml:space="preserve">program, Choice Neighborhoods </w:t>
      </w:r>
      <w:r>
        <w:rPr>
          <w:rFonts w:ascii="Times New Roman" w:hAnsi="Times New Roman" w:cs="Times New Roman"/>
          <w:sz w:val="24"/>
          <w:szCs w:val="24"/>
        </w:rPr>
        <w:t xml:space="preserve">is a demonstration program that will employ a </w:t>
      </w:r>
      <w:r w:rsidRPr="000E41DF">
        <w:rPr>
          <w:rFonts w:ascii="Times New Roman" w:hAnsi="Times New Roman" w:cs="Times New Roman"/>
          <w:sz w:val="24"/>
          <w:szCs w:val="24"/>
        </w:rPr>
        <w:t xml:space="preserve">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000447EA" w:rsidRDefault="000447EA" w:rsidP="008650BE">
      <w:pPr>
        <w:pStyle w:val="NoSpacing"/>
        <w:ind w:left="360"/>
        <w:rPr>
          <w:rFonts w:ascii="Times New Roman" w:hAnsi="Times New Roman" w:cs="Times New Roman"/>
          <w:sz w:val="24"/>
          <w:szCs w:val="24"/>
        </w:rPr>
      </w:pPr>
    </w:p>
    <w:p w:rsidR="008650BE" w:rsidRPr="00F965C6" w:rsidRDefault="000447EA" w:rsidP="008650BE">
      <w:pPr>
        <w:pStyle w:val="NoSpacing"/>
        <w:ind w:left="360"/>
        <w:rPr>
          <w:rFonts w:ascii="Times New Roman" w:hAnsi="Times New Roman" w:cs="Times New Roman"/>
          <w:sz w:val="24"/>
          <w:szCs w:val="24"/>
        </w:rPr>
      </w:pPr>
      <w:r w:rsidRPr="00E25B40">
        <w:rPr>
          <w:rFonts w:ascii="Times New Roman" w:hAnsi="Times New Roman" w:cs="Times New Roman"/>
          <w:sz w:val="24"/>
          <w:szCs w:val="24"/>
        </w:rPr>
        <w:t xml:space="preserve">Choice Neighborhoods grants will primarily fund the transformation of public and/or HUD-assisted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w:t>
      </w:r>
      <w:r w:rsidR="008650BE" w:rsidRPr="00F965C6">
        <w:rPr>
          <w:rFonts w:ascii="Times New Roman" w:hAnsi="Times New Roman" w:cs="Times New Roman"/>
          <w:sz w:val="24"/>
          <w:szCs w:val="24"/>
        </w:rPr>
        <w:t xml:space="preserve"> </w:t>
      </w:r>
    </w:p>
    <w:p w:rsidR="00804137" w:rsidRPr="00F965C6" w:rsidRDefault="00804137" w:rsidP="00804137">
      <w:pPr>
        <w:pStyle w:val="NoSpacing"/>
        <w:ind w:left="360"/>
        <w:rPr>
          <w:rFonts w:ascii="Times New Roman" w:hAnsi="Times New Roman" w:cs="Times New Roman"/>
          <w:sz w:val="24"/>
          <w:szCs w:val="24"/>
        </w:rPr>
      </w:pPr>
    </w:p>
    <w:p w:rsidR="00DA7D08" w:rsidRDefault="00804137" w:rsidP="00DA7D08">
      <w:pPr>
        <w:pStyle w:val="BodyTextIndent2"/>
        <w:tabs>
          <w:tab w:val="clear" w:pos="0"/>
          <w:tab w:val="left" w:pos="360"/>
        </w:tabs>
        <w:spacing w:after="120" w:line="240" w:lineRule="auto"/>
        <w:ind w:hanging="360"/>
      </w:pPr>
      <w:r w:rsidRPr="00F965C6">
        <w:rPr>
          <w:szCs w:val="24"/>
        </w:rPr>
        <w:tab/>
      </w:r>
      <w:r w:rsidR="00DA7D08">
        <w:rPr>
          <w:szCs w:val="24"/>
        </w:rPr>
        <w:t xml:space="preserve">In </w:t>
      </w:r>
      <w:r w:rsidR="008650BE">
        <w:rPr>
          <w:szCs w:val="24"/>
        </w:rPr>
        <w:t>contrast to the HOPE VI program</w:t>
      </w:r>
      <w:r w:rsidR="00DA7D08">
        <w:rPr>
          <w:szCs w:val="24"/>
        </w:rPr>
        <w:t xml:space="preserve">, the eligible applicants are </w:t>
      </w:r>
      <w:r w:rsidR="00DA7D08" w:rsidRPr="000E41DF">
        <w:rPr>
          <w:szCs w:val="24"/>
        </w:rPr>
        <w:t>local governments, public housing authorities, nonprofits, and for-profit developers that apply jointly with a public entity</w:t>
      </w:r>
      <w:r w:rsidR="00DA7D08">
        <w:rPr>
          <w:szCs w:val="24"/>
        </w:rPr>
        <w:t>.</w:t>
      </w:r>
    </w:p>
    <w:p w:rsidR="00DA53DB" w:rsidRDefault="00DA53DB">
      <w:pPr>
        <w:pStyle w:val="BodyTextIndent2"/>
        <w:tabs>
          <w:tab w:val="clear" w:pos="0"/>
          <w:tab w:val="left" w:pos="360"/>
        </w:tabs>
        <w:spacing w:after="120" w:line="240" w:lineRule="auto"/>
      </w:pPr>
      <w:r>
        <w:t xml:space="preserve">The </w:t>
      </w:r>
      <w:r w:rsidR="00966D5B">
        <w:t>FY 2010 Choice Neighborhoods</w:t>
      </w:r>
      <w:r>
        <w:t xml:space="preserve"> grants </w:t>
      </w:r>
      <w:r w:rsidR="00966D5B">
        <w:t xml:space="preserve">will be </w:t>
      </w:r>
      <w:r>
        <w:t xml:space="preserve">governed by </w:t>
      </w:r>
      <w:r w:rsidR="00966D5B">
        <w:t>the FY 2010 Notice of Funding Availability (NOFA)</w:t>
      </w:r>
      <w:r>
        <w:t xml:space="preserve"> and the Grant Agreements executed between each grant recipient and HUD.</w:t>
      </w:r>
      <w:r>
        <w:tab/>
      </w:r>
    </w:p>
    <w:p w:rsidR="00DA53DB" w:rsidRDefault="00DA53DB">
      <w:pPr>
        <w:pStyle w:val="BodyTextIndent2"/>
        <w:tabs>
          <w:tab w:val="clear" w:pos="0"/>
          <w:tab w:val="left" w:pos="360"/>
        </w:tabs>
        <w:spacing w:after="120" w:line="240" w:lineRule="auto"/>
        <w:ind w:hanging="360"/>
      </w:pPr>
      <w:r>
        <w:rPr>
          <w:b/>
          <w:bCs/>
        </w:rPr>
        <w:t>2.</w:t>
      </w:r>
      <w:r>
        <w:rPr>
          <w:b/>
          <w:bCs/>
        </w:rPr>
        <w:tab/>
      </w:r>
      <w:r>
        <w:t xml:space="preserve">Eligible </w:t>
      </w:r>
      <w:r w:rsidR="00D55D20">
        <w:t xml:space="preserve">applicants </w:t>
      </w:r>
      <w:r>
        <w:t xml:space="preserve">interested in obtaining </w:t>
      </w:r>
      <w:r w:rsidR="00966D5B">
        <w:t xml:space="preserve">Choice Neighborhoods </w:t>
      </w:r>
      <w:r>
        <w:t xml:space="preserve">grant funds </w:t>
      </w:r>
      <w:r w:rsidR="00966D5B">
        <w:t xml:space="preserve">will be </w:t>
      </w:r>
      <w:r>
        <w:t>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w:t>
      </w:r>
      <w:r w:rsidR="00696A24">
        <w:t xml:space="preserve">  </w:t>
      </w:r>
      <w:r w:rsidR="009A54C4">
        <w:t>The application will include such information as n</w:t>
      </w:r>
      <w:r w:rsidR="00696A24">
        <w:t>ar</w:t>
      </w:r>
      <w:r w:rsidR="009A54C4">
        <w:t>rative exhibits, certifications, data forms, supporting documentation</w:t>
      </w:r>
      <w:r w:rsidR="00704865">
        <w:t xml:space="preserve">, maps, and drawings.  </w:t>
      </w:r>
      <w:r>
        <w:t xml:space="preserve">The information will be used by HUD staff to evaluate threshold requirements and rate and rank grant applications.  </w:t>
      </w:r>
    </w:p>
    <w:p w:rsidR="00DA53DB" w:rsidRDefault="00DA53DB">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This information collection </w:t>
      </w:r>
      <w:r w:rsidR="00212491">
        <w:t>is automated</w:t>
      </w:r>
      <w:r>
        <w:t xml:space="preserve"> in order to improve data quality and to reduce the public reporting burden.  Since FY 2005, the Department </w:t>
      </w:r>
      <w:r>
        <w:lastRenderedPageBreak/>
        <w:t xml:space="preserve">has required </w:t>
      </w:r>
      <w:r w:rsidR="00966D5B">
        <w:t xml:space="preserve">applications prepared in response to </w:t>
      </w:r>
      <w:r>
        <w:t xml:space="preserve">NOFAs to be submitted electronically via Grants.gov.  </w:t>
      </w:r>
    </w:p>
    <w:p w:rsidR="00DA53DB" w:rsidRDefault="00DA53DB">
      <w:pPr>
        <w:pStyle w:val="BodyTextIndent2"/>
        <w:tabs>
          <w:tab w:val="clear" w:pos="0"/>
          <w:tab w:val="left" w:pos="360"/>
        </w:tabs>
        <w:spacing w:after="120" w:line="240" w:lineRule="auto"/>
        <w:ind w:hanging="360"/>
        <w:rPr>
          <w:b/>
        </w:rPr>
      </w:pPr>
      <w:r>
        <w:rPr>
          <w:b/>
        </w:rPr>
        <w:t>4.</w:t>
      </w:r>
      <w:r>
        <w:rPr>
          <w:b/>
        </w:rPr>
        <w:tab/>
        <w:t xml:space="preserve">Duplication of Effort: </w:t>
      </w:r>
    </w:p>
    <w:p w:rsidR="00DA53DB" w:rsidRDefault="00DA53DB">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DA53DB" w:rsidRDefault="00DA53DB">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DA53DB" w:rsidRDefault="00DA53DB">
      <w:pPr>
        <w:pStyle w:val="BodyTextIndent2"/>
        <w:tabs>
          <w:tab w:val="clear" w:pos="0"/>
          <w:tab w:val="left" w:pos="360"/>
        </w:tabs>
        <w:spacing w:after="120" w:line="240" w:lineRule="auto"/>
        <w:ind w:hanging="360"/>
      </w:pPr>
      <w:r>
        <w:tab/>
        <w:t>These information collections have no impact on small businesses or other entities.</w:t>
      </w:r>
    </w:p>
    <w:p w:rsidR="00DA53DB" w:rsidRDefault="00DA53DB">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DA53DB" w:rsidRDefault="00DA53DB">
      <w:pPr>
        <w:pStyle w:val="BodyTextIndent2"/>
        <w:tabs>
          <w:tab w:val="clear" w:pos="0"/>
          <w:tab w:val="left" w:pos="360"/>
        </w:tabs>
        <w:spacing w:after="120" w:line="240" w:lineRule="auto"/>
        <w:ind w:hanging="360"/>
      </w:pPr>
      <w:r>
        <w:tab/>
        <w:t>The Federal statutory mandate would not be met if the collection is not conducted.  The informa</w:t>
      </w:r>
      <w:r w:rsidR="009A54C4">
        <w:t xml:space="preserve">tion collection is necessary so that </w:t>
      </w:r>
      <w:r>
        <w:t>the available funds</w:t>
      </w:r>
      <w:r w:rsidR="009A54C4">
        <w:t>, per the appropriations act,</w:t>
      </w:r>
      <w:r>
        <w:t xml:space="preserve"> may be awarded to successful applicants for </w:t>
      </w:r>
      <w:r w:rsidR="00966D5B">
        <w:t>Choice Neighborhoods</w:t>
      </w:r>
      <w:r>
        <w:t xml:space="preserve"> grants.  </w:t>
      </w:r>
    </w:p>
    <w:p w:rsidR="00DA53DB" w:rsidRDefault="00DA53DB">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DA53DB" w:rsidRDefault="00DA53DB">
      <w:pPr>
        <w:pStyle w:val="BodyTextIndent2"/>
        <w:tabs>
          <w:tab w:val="clear" w:pos="0"/>
          <w:tab w:val="left" w:pos="360"/>
        </w:tabs>
        <w:spacing w:after="120" w:line="240" w:lineRule="auto"/>
        <w:ind w:hanging="360"/>
      </w:pPr>
      <w:r>
        <w:tab/>
        <w:t>There are no special circumstances that would cause these information collections to be conducted inappropriately.</w:t>
      </w:r>
      <w:r w:rsidR="001D333E">
        <w:t xml:space="preserve"> </w:t>
      </w:r>
    </w:p>
    <w:p w:rsidR="00DA53DB" w:rsidRDefault="00DA53DB">
      <w:pPr>
        <w:pStyle w:val="BodyTextIndent2"/>
        <w:tabs>
          <w:tab w:val="clear" w:pos="0"/>
          <w:tab w:val="left" w:pos="360"/>
        </w:tabs>
        <w:spacing w:after="120" w:line="240" w:lineRule="auto"/>
        <w:ind w:hanging="360"/>
        <w:rPr>
          <w:b/>
        </w:rPr>
      </w:pPr>
      <w:r>
        <w:rPr>
          <w:b/>
        </w:rPr>
        <w:t xml:space="preserve"> 8.</w:t>
      </w:r>
      <w:r>
        <w:rPr>
          <w:b/>
        </w:rPr>
        <w:tab/>
        <w:t xml:space="preserve">Federal Register Notice and Public Comments: </w:t>
      </w:r>
    </w:p>
    <w:p w:rsidR="00DA53DB" w:rsidRDefault="00DA53DB">
      <w:pPr>
        <w:pStyle w:val="BodyTextIndent2"/>
        <w:tabs>
          <w:tab w:val="clear" w:pos="0"/>
          <w:tab w:val="left" w:pos="360"/>
        </w:tabs>
        <w:spacing w:after="120" w:line="240" w:lineRule="auto"/>
        <w:ind w:hanging="360"/>
      </w:pPr>
      <w:r>
        <w:tab/>
      </w:r>
      <w:r w:rsidR="009A54C4" w:rsidRPr="001D333E">
        <w:t>A</w:t>
      </w:r>
      <w:r w:rsidR="001D333E" w:rsidRPr="001D333E">
        <w:t>n Emergency</w:t>
      </w:r>
      <w:r w:rsidR="009F4B77" w:rsidRPr="001D333E">
        <w:t xml:space="preserve"> Notice was pu</w:t>
      </w:r>
      <w:r w:rsidR="001D333E" w:rsidRPr="001D333E">
        <w:t xml:space="preserve">blished in the Federal Register </w:t>
      </w:r>
      <w:r w:rsidR="009F4B77" w:rsidRPr="001D333E">
        <w:t xml:space="preserve">to solicit comments on the </w:t>
      </w:r>
      <w:r w:rsidR="00966D5B" w:rsidRPr="001D333E">
        <w:t xml:space="preserve">Choice Neighborhoods </w:t>
      </w:r>
      <w:r w:rsidR="009F4B77" w:rsidRPr="001D333E">
        <w:t>information collection</w:t>
      </w:r>
      <w:r w:rsidR="00966D5B" w:rsidRPr="001D333E">
        <w:t>.</w:t>
      </w:r>
      <w:r w:rsidR="009F4B77" w:rsidRPr="001D333E">
        <w:t xml:space="preserve">  </w:t>
      </w:r>
      <w:r w:rsidR="001D333E" w:rsidRPr="001D333E">
        <w:t>The period for comments was seven days</w:t>
      </w:r>
      <w:r w:rsidR="009F4B77" w:rsidRPr="001D333E">
        <w:t>.</w:t>
      </w:r>
    </w:p>
    <w:p w:rsidR="00DA53DB" w:rsidRDefault="00DA53DB">
      <w:pPr>
        <w:pStyle w:val="BodyTextIndent2"/>
        <w:tabs>
          <w:tab w:val="clear" w:pos="0"/>
          <w:tab w:val="left" w:pos="360"/>
        </w:tabs>
        <w:spacing w:after="120" w:line="240" w:lineRule="auto"/>
        <w:ind w:hanging="360"/>
        <w:rPr>
          <w:b/>
        </w:rPr>
      </w:pPr>
      <w:r>
        <w:rPr>
          <w:b/>
        </w:rPr>
        <w:t>9.</w:t>
      </w:r>
      <w:r>
        <w:rPr>
          <w:b/>
        </w:rPr>
        <w:tab/>
        <w:t xml:space="preserve">Payment/Gifts to Respondents:  </w:t>
      </w:r>
    </w:p>
    <w:p w:rsidR="00DA53DB" w:rsidRDefault="00DA53DB">
      <w:pPr>
        <w:pStyle w:val="BodyTextIndent2"/>
        <w:tabs>
          <w:tab w:val="clear" w:pos="0"/>
          <w:tab w:val="left" w:pos="360"/>
        </w:tabs>
        <w:spacing w:after="120" w:line="240" w:lineRule="auto"/>
        <w:ind w:hanging="360"/>
      </w:pPr>
      <w:r>
        <w:tab/>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DA53DB" w:rsidRDefault="00DA53DB">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DA53DB" w:rsidRDefault="00DA53DB">
      <w:pPr>
        <w:pStyle w:val="BodyTextIndent2"/>
        <w:tabs>
          <w:tab w:val="clear" w:pos="0"/>
          <w:tab w:val="left" w:pos="360"/>
        </w:tabs>
        <w:spacing w:after="120" w:line="240" w:lineRule="auto"/>
        <w:ind w:hanging="360"/>
      </w:pPr>
      <w:r>
        <w:tab/>
        <w:t>No sensitive questions are being asked for any of these information collections.</w:t>
      </w:r>
    </w:p>
    <w:p w:rsidR="00DA53DB" w:rsidRDefault="00DA53DB">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 xml:space="preserve">The chart below outlines the burden associated with the various aspects of the </w:t>
      </w:r>
      <w:r w:rsidR="00966D5B">
        <w:rPr>
          <w:bCs/>
        </w:rPr>
        <w:t>Choice Neighborhoods</w:t>
      </w:r>
      <w:r>
        <w:rPr>
          <w:bCs/>
        </w:rPr>
        <w:t xml:space="preserve"> grants program</w:t>
      </w:r>
      <w:r w:rsidR="009A54C4">
        <w:rPr>
          <w:bCs/>
        </w:rPr>
        <w:t>, Round 1,</w:t>
      </w:r>
      <w:r>
        <w:rPr>
          <w:bCs/>
        </w:rPr>
        <w:t xml:space="preserve"> and a breakout of the forms associated with each portion of that burden.</w:t>
      </w:r>
    </w:p>
    <w:p w:rsidR="00DA53DB" w:rsidRDefault="00DA53DB">
      <w:pPr>
        <w:pStyle w:val="BodyTextIndent2"/>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w:t>
      </w:r>
    </w:p>
    <w:p w:rsidR="00CB3CD5" w:rsidRDefault="0020186E" w:rsidP="00CB3CD5">
      <w:pPr>
        <w:pStyle w:val="BodyTextIndent2"/>
        <w:tabs>
          <w:tab w:val="left" w:pos="360"/>
        </w:tabs>
        <w:spacing w:after="120" w:line="240" w:lineRule="auto"/>
        <w:ind w:hanging="336"/>
      </w:pPr>
      <w:r>
        <w:tab/>
        <w:t xml:space="preserve">For </w:t>
      </w:r>
      <w:r w:rsidR="00966D5B">
        <w:t>Choice</w:t>
      </w:r>
      <w:r w:rsidR="009A54C4">
        <w:t xml:space="preserve"> Neighborhoods Round 1 </w:t>
      </w:r>
      <w:r w:rsidR="00CB3CD5">
        <w:t>burden hours</w:t>
      </w:r>
      <w:r w:rsidR="00966D5B">
        <w:t xml:space="preserve"> per response</w:t>
      </w:r>
      <w:r w:rsidR="00CB3CD5">
        <w:t xml:space="preserve"> total</w:t>
      </w:r>
      <w:r>
        <w:t xml:space="preserve"> to</w:t>
      </w:r>
      <w:r w:rsidR="009A54C4">
        <w:t xml:space="preserve"> 58.09 for Implementation Grant applications and 35.59 for Planning Grant applications</w:t>
      </w:r>
      <w:r>
        <w:t xml:space="preserve">.  </w:t>
      </w:r>
      <w:r w:rsidR="009A54C4">
        <w:t xml:space="preserve">For FY 2010, applicants may only submit an Implementation Grant application or a Planning Grant application, not both.  </w:t>
      </w:r>
      <w:r>
        <w:t>The total burden</w:t>
      </w:r>
      <w:r w:rsidR="00AA66FB">
        <w:t xml:space="preserve"> hours, estimating 100 respondents</w:t>
      </w:r>
      <w:r w:rsidR="009A54C4">
        <w:t xml:space="preserve"> for each grant application type, is 5,809 for Implementation Grants and 3,559 for Planning Grants. </w:t>
      </w:r>
      <w:r>
        <w:t xml:space="preserve"> </w:t>
      </w:r>
      <w:r w:rsidR="00CB3CD5">
        <w:t xml:space="preserve">Forms such as </w:t>
      </w:r>
      <w:r w:rsidR="00AA66FB">
        <w:t xml:space="preserve">the SF 424 </w:t>
      </w:r>
      <w:r w:rsidR="00CB3CD5">
        <w:t xml:space="preserve">are not duplicative information.  These forms, while authorized under different OMB Control Numbers, are submitted as part of the </w:t>
      </w:r>
      <w:r w:rsidR="00AA66FB">
        <w:t>Choice Neighborhoods</w:t>
      </w:r>
      <w:r w:rsidR="00CB3CD5">
        <w:t xml:space="preserve"> applications and used specific to the applications’ content. </w:t>
      </w:r>
    </w:p>
    <w:tbl>
      <w:tblPr>
        <w:tblW w:w="10400" w:type="dxa"/>
        <w:tblInd w:w="93" w:type="dxa"/>
        <w:tblLook w:val="04A0"/>
      </w:tblPr>
      <w:tblGrid>
        <w:gridCol w:w="3332"/>
        <w:gridCol w:w="1239"/>
        <w:gridCol w:w="994"/>
        <w:gridCol w:w="1053"/>
        <w:gridCol w:w="983"/>
        <w:gridCol w:w="954"/>
        <w:gridCol w:w="773"/>
        <w:gridCol w:w="1072"/>
      </w:tblGrid>
      <w:tr w:rsidR="004D0425" w:rsidRPr="004D0425" w:rsidTr="004D0425">
        <w:trPr>
          <w:trHeight w:val="765"/>
        </w:trPr>
        <w:tc>
          <w:tcPr>
            <w:tcW w:w="33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 </w:t>
            </w:r>
          </w:p>
        </w:tc>
        <w:tc>
          <w:tcPr>
            <w:tcW w:w="1239"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Respondents</w:t>
            </w:r>
          </w:p>
        </w:tc>
        <w:tc>
          <w:tcPr>
            <w:tcW w:w="99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Annual responses</w:t>
            </w:r>
          </w:p>
        </w:tc>
        <w:tc>
          <w:tcPr>
            <w:tcW w:w="105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responses</w:t>
            </w:r>
          </w:p>
        </w:tc>
        <w:tc>
          <w:tcPr>
            <w:tcW w:w="98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Burden per Response</w:t>
            </w:r>
          </w:p>
        </w:tc>
        <w:tc>
          <w:tcPr>
            <w:tcW w:w="95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hours</w:t>
            </w:r>
          </w:p>
        </w:tc>
        <w:tc>
          <w:tcPr>
            <w:tcW w:w="77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Salary</w:t>
            </w:r>
          </w:p>
        </w:tc>
        <w:tc>
          <w:tcPr>
            <w:tcW w:w="1072"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Cost</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lastRenderedPageBreak/>
              <w:t>Choice Neighborhoods Application -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$1,000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Narrative Exhibits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$80,000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Cover Sheet -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Existing Units, Occupancy, Vacancy</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Planned Units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Sources and Uses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Grant Sizing Worksheet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0.75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75.00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$3,000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Extraordinary Site Costs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$2,000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Site Control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$20,000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$8,000 </w:t>
            </w:r>
          </w:p>
        </w:tc>
      </w:tr>
      <w:tr w:rsidR="004D0425" w:rsidRPr="004D0425" w:rsidTr="004D0425">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Partnership MOU - MOU for Lead Applicant, Co-Applicant(s), and Principal Team Members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$8,000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One-for-One Replacement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$2,000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Resident and Community Involvement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$2,000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Lead Applicant Implementation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 xml:space="preserve">Capacity - Housing Implementation Documentation </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People Implementation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Education Implementation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Neighborhood Implementation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Overall Community Involvement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Capacity - References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 Structural Deficiencies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 Design Deficiencies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 School Form and Supporting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lastRenderedPageBreak/>
              <w:t xml:space="preserve">Vision - Achievability - </w:t>
            </w:r>
            <w:proofErr w:type="spellStart"/>
            <w:r w:rsidRPr="004D0425">
              <w:rPr>
                <w:color w:val="000000"/>
              </w:rPr>
              <w:t>Walkscore</w:t>
            </w:r>
            <w:proofErr w:type="spellEnd"/>
            <w:r w:rsidRPr="004D0425">
              <w:rPr>
                <w:color w:val="000000"/>
              </w:rPr>
              <w:t xml:space="preserve">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Vision - Achievability - Preliminary Budget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$5,000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Vision – Achievability - Development Schedule</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Documentation to Support Consistency with Other Planning Documents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$1,000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$8,000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Conceptual Site Plan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$4,000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Choice Neighborhoods Application Certification -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$1,000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$1,000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17.00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$680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$1,000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17.00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xml:space="preserve">$680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100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58.09</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5,809.00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xml:space="preserve">$232,360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Choice Neighborhoods Application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Narrative Exhibits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$44,000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Cover Sheet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Existing Units, Occupancy, Vacancy</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Budget</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125</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$8,000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Binding Contract with Planning Coordinator for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$8,000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Resident Involvement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$8,000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Structural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Design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lastRenderedPageBreak/>
              <w:t>Need- School Form and Supporting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Leverage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550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$22,000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$4,000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Choice Neighborhoods Application Certifications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$680</w:t>
            </w:r>
          </w:p>
        </w:tc>
      </w:tr>
      <w:tr w:rsidR="004D0425" w:rsidRPr="004D0425" w:rsidTr="004D0425">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$680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35.59</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3559</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$142,360</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 </w:t>
            </w:r>
          </w:p>
        </w:tc>
      </w:tr>
      <w:tr w:rsidR="004D0425" w:rsidRPr="004D0425" w:rsidTr="004D0425">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Overall Total</w:t>
            </w:r>
          </w:p>
        </w:tc>
        <w:tc>
          <w:tcPr>
            <w:tcW w:w="1239"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200</w:t>
            </w:r>
          </w:p>
        </w:tc>
        <w:tc>
          <w:tcPr>
            <w:tcW w:w="99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200</w:t>
            </w:r>
          </w:p>
        </w:tc>
        <w:tc>
          <w:tcPr>
            <w:tcW w:w="98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93.68</w:t>
            </w:r>
          </w:p>
        </w:tc>
        <w:tc>
          <w:tcPr>
            <w:tcW w:w="954"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9368</w:t>
            </w:r>
          </w:p>
        </w:tc>
        <w:tc>
          <w:tcPr>
            <w:tcW w:w="773"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4D0425">
            <w:pPr>
              <w:overflowPunct/>
              <w:autoSpaceDE/>
              <w:autoSpaceDN/>
              <w:adjustRightInd/>
              <w:jc w:val="center"/>
              <w:textAlignment w:val="auto"/>
              <w:rPr>
                <w:b/>
                <w:bCs/>
                <w:color w:val="000000"/>
              </w:rPr>
            </w:pPr>
            <w:r w:rsidRPr="004D0425">
              <w:rPr>
                <w:b/>
                <w:bCs/>
                <w:color w:val="000000"/>
              </w:rPr>
              <w:t>$374,720</w:t>
            </w:r>
          </w:p>
        </w:tc>
      </w:tr>
    </w:tbl>
    <w:p w:rsidR="004D0425" w:rsidRDefault="004D0425">
      <w:pPr>
        <w:pStyle w:val="BodyTextIndent2"/>
        <w:tabs>
          <w:tab w:val="left" w:pos="360"/>
        </w:tabs>
        <w:spacing w:after="120" w:line="240" w:lineRule="auto"/>
        <w:ind w:hanging="336"/>
        <w:rPr>
          <w:b/>
        </w:rPr>
      </w:pPr>
    </w:p>
    <w:p w:rsidR="00DA53DB" w:rsidRDefault="00DA53DB">
      <w:pPr>
        <w:pStyle w:val="BodyTextIndent2"/>
        <w:tabs>
          <w:tab w:val="left" w:pos="360"/>
        </w:tabs>
        <w:spacing w:after="120" w:line="240" w:lineRule="auto"/>
        <w:ind w:hanging="336"/>
        <w:rPr>
          <w:b/>
        </w:rPr>
      </w:pPr>
      <w:r>
        <w:rPr>
          <w:b/>
        </w:rPr>
        <w:t>13.</w:t>
      </w:r>
      <w:r>
        <w:rPr>
          <w:b/>
        </w:rPr>
        <w:tab/>
        <w:t xml:space="preserve">Cost Burden of Information Collection: </w:t>
      </w:r>
    </w:p>
    <w:p w:rsidR="008C0244" w:rsidRDefault="00DA53DB">
      <w:pPr>
        <w:pStyle w:val="BodyTextIndent2"/>
        <w:tabs>
          <w:tab w:val="left" w:pos="360"/>
        </w:tabs>
        <w:spacing w:after="120" w:line="240" w:lineRule="auto"/>
        <w:ind w:hanging="336"/>
      </w:pPr>
      <w:r>
        <w:tab/>
      </w:r>
      <w:r w:rsidR="00062211">
        <w:t>There is</w:t>
      </w:r>
      <w:r w:rsidR="009F4B77" w:rsidRPr="0035477E">
        <w:t xml:space="preserv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Default="00DA53DB" w:rsidP="008C0244">
      <w:pPr>
        <w:pStyle w:val="BodyTextIndent2"/>
        <w:tabs>
          <w:tab w:val="left" w:pos="360"/>
        </w:tabs>
        <w:spacing w:after="120" w:line="240" w:lineRule="auto"/>
        <w:ind w:left="0"/>
        <w:rPr>
          <w:b/>
        </w:rPr>
      </w:pPr>
      <w:r>
        <w:rPr>
          <w:b/>
        </w:rPr>
        <w:t>14.</w:t>
      </w:r>
      <w:r>
        <w:rPr>
          <w:b/>
        </w:rPr>
        <w:tab/>
        <w:t xml:space="preserve">Annualized Cost to Federal Government:  </w:t>
      </w:r>
    </w:p>
    <w:p w:rsidR="00DA53DB" w:rsidRDefault="00062211" w:rsidP="00687C5E">
      <w:pPr>
        <w:pStyle w:val="BodyTextIndent2"/>
        <w:tabs>
          <w:tab w:val="left" w:pos="360"/>
        </w:tabs>
        <w:spacing w:after="120" w:line="240" w:lineRule="auto"/>
        <w:ind w:left="0"/>
      </w:pPr>
      <w:r>
        <w:tab/>
      </w:r>
      <w:r w:rsidR="00687C5E">
        <w:t>T</w:t>
      </w:r>
      <w:r w:rsidR="00DA53DB">
        <w:t xml:space="preserve">here will </w:t>
      </w:r>
      <w:r w:rsidR="00687C5E">
        <w:t xml:space="preserve">not </w:t>
      </w:r>
      <w:r w:rsidR="00DA53DB">
        <w:t xml:space="preserve">be any additional costs to the Federal government.  </w:t>
      </w:r>
    </w:p>
    <w:p w:rsidR="00062211" w:rsidRDefault="00062211">
      <w:pPr>
        <w:pStyle w:val="BodyTextIndent2"/>
        <w:tabs>
          <w:tab w:val="left" w:pos="360"/>
        </w:tabs>
        <w:spacing w:after="120" w:line="240" w:lineRule="auto"/>
        <w:ind w:hanging="336"/>
        <w:rPr>
          <w:b/>
        </w:rPr>
      </w:pPr>
    </w:p>
    <w:p w:rsidR="00DA53DB" w:rsidRPr="00687C5E" w:rsidRDefault="00DA53DB">
      <w:pPr>
        <w:pStyle w:val="BodyTextIndent2"/>
        <w:tabs>
          <w:tab w:val="left" w:pos="360"/>
        </w:tabs>
        <w:spacing w:after="120" w:line="240" w:lineRule="auto"/>
        <w:ind w:hanging="336"/>
      </w:pPr>
      <w:r>
        <w:rPr>
          <w:b/>
        </w:rPr>
        <w:t>15.</w:t>
      </w:r>
      <w:r>
        <w:rPr>
          <w:b/>
        </w:rPr>
        <w:tab/>
        <w:t>Changes or Adjustments</w:t>
      </w:r>
      <w:r w:rsidR="00687C5E">
        <w:rPr>
          <w:b/>
        </w:rPr>
        <w:t xml:space="preserve">.  </w:t>
      </w:r>
      <w:r w:rsidR="00687C5E">
        <w:t>This is a new information collection.</w:t>
      </w:r>
    </w:p>
    <w:p w:rsidR="00DA53DB" w:rsidRDefault="00DA53DB" w:rsidP="000447EA">
      <w:pPr>
        <w:pStyle w:val="BodyTextIndent2"/>
        <w:tabs>
          <w:tab w:val="left" w:pos="360"/>
        </w:tabs>
        <w:spacing w:after="120" w:line="240" w:lineRule="auto"/>
        <w:ind w:hanging="336"/>
      </w:pPr>
      <w:r>
        <w:tab/>
        <w:t xml:space="preserve">  </w:t>
      </w:r>
    </w:p>
    <w:p w:rsidR="00DA53DB" w:rsidRDefault="00DA53DB">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DA53DB" w:rsidRDefault="00DA53DB">
      <w:pPr>
        <w:pStyle w:val="BodyTextIndent2"/>
        <w:tabs>
          <w:tab w:val="clear" w:pos="0"/>
          <w:tab w:val="left" w:pos="360"/>
        </w:tabs>
        <w:spacing w:after="120" w:line="240" w:lineRule="auto"/>
        <w:ind w:hanging="360"/>
      </w:pPr>
      <w:r>
        <w:tab/>
        <w:t xml:space="preserve">Information collection results will not be published. </w:t>
      </w:r>
    </w:p>
    <w:p w:rsidR="00DA53DB" w:rsidRDefault="00DA53DB">
      <w:pPr>
        <w:pStyle w:val="BodyTextIndent2"/>
        <w:tabs>
          <w:tab w:val="clear" w:pos="0"/>
          <w:tab w:val="left" w:pos="360"/>
        </w:tabs>
        <w:spacing w:after="120" w:line="240" w:lineRule="auto"/>
        <w:ind w:hanging="360"/>
        <w:rPr>
          <w:b/>
        </w:rPr>
      </w:pPr>
      <w:r>
        <w:rPr>
          <w:b/>
        </w:rPr>
        <w:t>17.</w:t>
      </w:r>
      <w:r>
        <w:rPr>
          <w:b/>
        </w:rPr>
        <w:tab/>
        <w:t xml:space="preserve">Expiration Date:  </w:t>
      </w:r>
    </w:p>
    <w:p w:rsidR="00DA53DB" w:rsidRDefault="00DA53DB">
      <w:pPr>
        <w:pStyle w:val="BodyTextIndent2"/>
        <w:tabs>
          <w:tab w:val="clear" w:pos="0"/>
          <w:tab w:val="left" w:pos="360"/>
        </w:tabs>
        <w:spacing w:after="120" w:line="240" w:lineRule="auto"/>
        <w:ind w:hanging="360"/>
      </w:pPr>
      <w:r>
        <w:tab/>
        <w:t>The OMB approval number and date will appear on the HUD-prescribed forms.</w:t>
      </w:r>
    </w:p>
    <w:p w:rsidR="00DA53DB" w:rsidRDefault="00DA53DB">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DA53DB" w:rsidRDefault="00DA53DB" w:rsidP="007A6401">
      <w:pPr>
        <w:pStyle w:val="BodyTextIndent2"/>
        <w:tabs>
          <w:tab w:val="clear" w:pos="0"/>
          <w:tab w:val="left" w:pos="360"/>
        </w:tabs>
        <w:spacing w:after="120" w:line="240" w:lineRule="auto"/>
        <w:ind w:hanging="360"/>
      </w:pPr>
      <w:r>
        <w:tab/>
        <w:t>There are no exceptions to the certification statement identified in item 19.</w:t>
      </w:r>
    </w:p>
    <w:p w:rsidR="00DA53DB" w:rsidRDefault="00DA53DB">
      <w:pPr>
        <w:tabs>
          <w:tab w:val="left" w:pos="360"/>
          <w:tab w:val="left" w:pos="720"/>
        </w:tabs>
        <w:ind w:left="360" w:hanging="360"/>
      </w:pPr>
    </w:p>
    <w:p w:rsidR="00DA53DB" w:rsidRDefault="00DA53DB">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DA53DB" w:rsidRPr="007A6401" w:rsidRDefault="00DA53DB" w:rsidP="007A6401">
      <w:pPr>
        <w:pStyle w:val="BodyTextIndent2"/>
        <w:tabs>
          <w:tab w:val="clear" w:pos="0"/>
          <w:tab w:val="left" w:pos="360"/>
        </w:tabs>
        <w:spacing w:after="120" w:line="240" w:lineRule="auto"/>
        <w:ind w:hanging="360"/>
      </w:pPr>
      <w:r>
        <w:tab/>
        <w:t>There are no collections of information that employ statistical methods</w:t>
      </w:r>
      <w:r w:rsidR="007A6401">
        <w:t>.</w:t>
      </w:r>
    </w:p>
    <w:sectPr w:rsidR="00DA53DB" w:rsidRPr="007A6401" w:rsidSect="00500DA0">
      <w:headerReference w:type="default" r:id="rId7"/>
      <w:footerReference w:type="default" r:id="rId8"/>
      <w:pgSz w:w="12240" w:h="15840"/>
      <w:pgMar w:top="960" w:right="1440" w:bottom="960" w:left="96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6A" w:rsidRDefault="00B0106A">
      <w:r>
        <w:separator/>
      </w:r>
    </w:p>
  </w:endnote>
  <w:endnote w:type="continuationSeparator" w:id="0">
    <w:p w:rsidR="00B0106A" w:rsidRDefault="00B01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6A" w:rsidRDefault="00B0106A">
    <w:pPr>
      <w:pStyle w:val="Footer"/>
      <w:tabs>
        <w:tab w:val="clear" w:pos="4320"/>
        <w:tab w:val="clear" w:pos="8640"/>
        <w:tab w:val="right" w:pos="10920"/>
      </w:tabs>
      <w:spacing w:line="120" w:lineRule="exact"/>
      <w:ind w:left="-120" w:right="-120"/>
      <w:rPr>
        <w:rFonts w:ascii="Helvetica" w:hAnsi="Helvetica"/>
        <w:b/>
        <w:sz w:val="18"/>
      </w:rPr>
    </w:pPr>
  </w:p>
  <w:p w:rsidR="00B0106A" w:rsidRDefault="00B0106A">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6A" w:rsidRDefault="00B0106A">
      <w:r>
        <w:separator/>
      </w:r>
    </w:p>
  </w:footnote>
  <w:footnote w:type="continuationSeparator" w:id="0">
    <w:p w:rsidR="00B0106A" w:rsidRDefault="00B01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6A" w:rsidRDefault="0094678E">
    <w:pPr>
      <w:suppressAutoHyphens/>
    </w:pPr>
    <w:r>
      <w:rPr>
        <w:noProof/>
      </w:rPr>
      <w:pict>
        <v:rect id="_x0000_s1025" style="position:absolute;margin-left:43.2pt;margin-top:0;width:514.8pt;height:12pt;z-index:251657728;mso-position-horizontal-relative:page" o:allowincell="f" filled="f" stroked="f" strokeweight="0">
          <v:textbox inset="0,0,0,0">
            <w:txbxContent>
              <w:p w:rsidR="00B0106A" w:rsidRDefault="00B0106A">
                <w:pPr>
                  <w:tabs>
                    <w:tab w:val="center" w:pos="5148"/>
                    <w:tab w:val="right" w:pos="10296"/>
                  </w:tabs>
                </w:pPr>
                <w:r>
                  <w:tab/>
                </w:r>
                <w:r>
                  <w:tab/>
                </w:r>
                <w:fldSimple w:instr="page \* arabic">
                  <w:r w:rsidR="00062211">
                    <w:rPr>
                      <w:noProof/>
                    </w:rPr>
                    <w:t>5</w:t>
                  </w:r>
                </w:fldSimple>
              </w:p>
            </w:txbxContent>
          </v:textbox>
          <w10:wrap anchorx="page"/>
        </v:rect>
      </w:pict>
    </w:r>
  </w:p>
  <w:p w:rsidR="00B0106A" w:rsidRDefault="00B0106A">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9">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8"/>
  </w:num>
  <w:num w:numId="2">
    <w:abstractNumId w:val="3"/>
  </w:num>
  <w:num w:numId="3">
    <w:abstractNumId w:val="7"/>
  </w:num>
  <w:num w:numId="4">
    <w:abstractNumId w:val="2"/>
  </w:num>
  <w:num w:numId="5">
    <w:abstractNumId w:val="10"/>
  </w:num>
  <w:num w:numId="6">
    <w:abstractNumId w:val="10"/>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9"/>
  </w:num>
  <w:num w:numId="9">
    <w:abstractNumId w:val="4"/>
  </w:num>
  <w:num w:numId="10">
    <w:abstractNumId w:val="5"/>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20186E"/>
    <w:rsid w:val="00020C7B"/>
    <w:rsid w:val="00026A1E"/>
    <w:rsid w:val="00032777"/>
    <w:rsid w:val="000447EA"/>
    <w:rsid w:val="00062211"/>
    <w:rsid w:val="000708A8"/>
    <w:rsid w:val="00086629"/>
    <w:rsid w:val="00093797"/>
    <w:rsid w:val="00133830"/>
    <w:rsid w:val="00175A34"/>
    <w:rsid w:val="00184687"/>
    <w:rsid w:val="001859E2"/>
    <w:rsid w:val="001B4602"/>
    <w:rsid w:val="001D333E"/>
    <w:rsid w:val="001E4851"/>
    <w:rsid w:val="001F6B37"/>
    <w:rsid w:val="0020186E"/>
    <w:rsid w:val="002020D0"/>
    <w:rsid w:val="00212491"/>
    <w:rsid w:val="002E6FAA"/>
    <w:rsid w:val="0032148B"/>
    <w:rsid w:val="003443F9"/>
    <w:rsid w:val="0035477E"/>
    <w:rsid w:val="003C6855"/>
    <w:rsid w:val="00405F95"/>
    <w:rsid w:val="00416E09"/>
    <w:rsid w:val="0047315A"/>
    <w:rsid w:val="004A78C4"/>
    <w:rsid w:val="004D0425"/>
    <w:rsid w:val="004E45CB"/>
    <w:rsid w:val="004F4C54"/>
    <w:rsid w:val="00500DA0"/>
    <w:rsid w:val="005100B3"/>
    <w:rsid w:val="00546207"/>
    <w:rsid w:val="00580014"/>
    <w:rsid w:val="00583B7D"/>
    <w:rsid w:val="005B4B78"/>
    <w:rsid w:val="00634534"/>
    <w:rsid w:val="00651E65"/>
    <w:rsid w:val="00672D35"/>
    <w:rsid w:val="00687C5E"/>
    <w:rsid w:val="00696A24"/>
    <w:rsid w:val="006F04DB"/>
    <w:rsid w:val="00704865"/>
    <w:rsid w:val="00716186"/>
    <w:rsid w:val="007A6401"/>
    <w:rsid w:val="00804137"/>
    <w:rsid w:val="00855A04"/>
    <w:rsid w:val="008650BE"/>
    <w:rsid w:val="00886DEC"/>
    <w:rsid w:val="008C0244"/>
    <w:rsid w:val="008F7BC7"/>
    <w:rsid w:val="00906CA4"/>
    <w:rsid w:val="009352EE"/>
    <w:rsid w:val="0094678E"/>
    <w:rsid w:val="00966D5B"/>
    <w:rsid w:val="009A54C4"/>
    <w:rsid w:val="009F4B77"/>
    <w:rsid w:val="00A1598E"/>
    <w:rsid w:val="00A20636"/>
    <w:rsid w:val="00A26AE2"/>
    <w:rsid w:val="00A45CDA"/>
    <w:rsid w:val="00A71F56"/>
    <w:rsid w:val="00AA66FB"/>
    <w:rsid w:val="00AC17B3"/>
    <w:rsid w:val="00B0106A"/>
    <w:rsid w:val="00B10918"/>
    <w:rsid w:val="00B147EB"/>
    <w:rsid w:val="00B23B81"/>
    <w:rsid w:val="00B552DA"/>
    <w:rsid w:val="00B6499C"/>
    <w:rsid w:val="00B710F4"/>
    <w:rsid w:val="00BE258B"/>
    <w:rsid w:val="00C0738F"/>
    <w:rsid w:val="00C13D1D"/>
    <w:rsid w:val="00C30B48"/>
    <w:rsid w:val="00C35A3E"/>
    <w:rsid w:val="00C51980"/>
    <w:rsid w:val="00CB3CD5"/>
    <w:rsid w:val="00CB5AFB"/>
    <w:rsid w:val="00CE1388"/>
    <w:rsid w:val="00D42C06"/>
    <w:rsid w:val="00D55D20"/>
    <w:rsid w:val="00D84E24"/>
    <w:rsid w:val="00D8728D"/>
    <w:rsid w:val="00DA53DB"/>
    <w:rsid w:val="00DA7D08"/>
    <w:rsid w:val="00E834F6"/>
    <w:rsid w:val="00EC6362"/>
    <w:rsid w:val="00F17B23"/>
    <w:rsid w:val="00F20783"/>
    <w:rsid w:val="00F965C6"/>
    <w:rsid w:val="00FB0D50"/>
    <w:rsid w:val="00FD5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1810</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H45351</cp:lastModifiedBy>
  <cp:revision>5</cp:revision>
  <cp:lastPrinted>2010-08-20T13:18:00Z</cp:lastPrinted>
  <dcterms:created xsi:type="dcterms:W3CDTF">2010-08-20T19:37:00Z</dcterms:created>
  <dcterms:modified xsi:type="dcterms:W3CDTF">2010-08-20T19:40:00Z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-359987346</vt:i4>
  </property>
  <property fmtid="{D5CDD505-2E9C-101B-9397-08002B2CF9AE}" pid="4" name="_EmailSubject">
    <vt:lpwstr>CN forms</vt:lpwstr>
  </property>
  <property fmtid="{D5CDD505-2E9C-101B-9397-08002B2CF9AE}" pid="5" name="_AuthorEmail">
    <vt:lpwstr>Leigh.E.VanRij@hud.gov</vt:lpwstr>
  </property>
  <property fmtid="{D5CDD505-2E9C-101B-9397-08002B2CF9AE}" pid="6" name="_AuthorEmailDisplayName">
    <vt:lpwstr>van Rij, Leigh E</vt:lpwstr>
  </property>
  <property fmtid="{D5CDD505-2E9C-101B-9397-08002B2CF9AE}" pid="7" name="_PreviousAdHocReviewCycleID">
    <vt:i4>-2049151639</vt:i4>
  </property>
  <property fmtid="{D5CDD505-2E9C-101B-9397-08002B2CF9AE}" pid="8" name="_ReviewingToolsShownOnce">
    <vt:lpwstr/>
  </property>
</Properties>
</file>