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27A" w:rsidRPr="00E3227A" w:rsidRDefault="00E3227A" w:rsidP="00E3227A">
      <w:pPr>
        <w:jc w:val="center"/>
        <w:rPr>
          <w:b/>
          <w:sz w:val="28"/>
          <w:szCs w:val="28"/>
        </w:rPr>
      </w:pPr>
      <w:r w:rsidRPr="00E3227A">
        <w:rPr>
          <w:b/>
          <w:sz w:val="28"/>
          <w:szCs w:val="28"/>
        </w:rPr>
        <w:t>Supporting Statement for Paperwork Reduction Act Submission</w:t>
      </w:r>
    </w:p>
    <w:p w:rsidR="000E6961" w:rsidRPr="000E6961" w:rsidRDefault="00E3227A" w:rsidP="000E6961">
      <w:pPr>
        <w:pBdr>
          <w:top w:val="single" w:sz="6" w:space="7" w:color="auto"/>
        </w:pBdr>
        <w:tabs>
          <w:tab w:val="left" w:pos="240"/>
        </w:tabs>
        <w:ind w:right="-120"/>
        <w:rPr>
          <w:sz w:val="24"/>
          <w:szCs w:val="24"/>
        </w:rPr>
      </w:pPr>
      <w:r w:rsidRPr="000E6961">
        <w:rPr>
          <w:b/>
          <w:sz w:val="24"/>
          <w:szCs w:val="24"/>
        </w:rPr>
        <w:t xml:space="preserve">Title: </w:t>
      </w:r>
      <w:r w:rsidR="000E6961" w:rsidRPr="000E6961">
        <w:rPr>
          <w:b/>
          <w:sz w:val="24"/>
          <w:szCs w:val="24"/>
        </w:rPr>
        <w:t>Historically Black Colleges and Universities (HBCU)</w:t>
      </w:r>
    </w:p>
    <w:p w:rsidR="00E3227A" w:rsidRPr="000E6961" w:rsidRDefault="00E3227A" w:rsidP="00E3227A">
      <w:pPr>
        <w:rPr>
          <w:b/>
          <w:sz w:val="24"/>
          <w:szCs w:val="24"/>
        </w:rPr>
      </w:pPr>
      <w:r w:rsidRPr="000E6961">
        <w:rPr>
          <w:b/>
          <w:sz w:val="24"/>
          <w:szCs w:val="24"/>
        </w:rPr>
        <w:t>OMB Control #:</w:t>
      </w:r>
      <w:r w:rsidR="000E6961" w:rsidRPr="000E6961">
        <w:rPr>
          <w:sz w:val="24"/>
          <w:szCs w:val="24"/>
        </w:rPr>
        <w:t>2528-0235</w:t>
      </w:r>
      <w:r w:rsidRPr="000E6961">
        <w:rPr>
          <w:b/>
          <w:sz w:val="24"/>
          <w:szCs w:val="24"/>
        </w:rPr>
        <w:t xml:space="preserve"> </w:t>
      </w:r>
    </w:p>
    <w:p w:rsidR="0018123F" w:rsidRDefault="0018123F" w:rsidP="0018123F">
      <w:pPr>
        <w:pStyle w:val="ListParagraph"/>
        <w:keepLines/>
        <w:numPr>
          <w:ilvl w:val="0"/>
          <w:numId w:val="4"/>
        </w:numPr>
        <w:tabs>
          <w:tab w:val="left" w:pos="270"/>
          <w:tab w:val="left" w:pos="360"/>
        </w:tabs>
        <w:ind w:hanging="810"/>
      </w:pPr>
      <w:r w:rsidRPr="00214666">
        <w:t>This program is authorized under section 107 (b) (3) of the Housing and Urban Development Act of</w:t>
      </w:r>
    </w:p>
    <w:p w:rsidR="0018123F" w:rsidRPr="00214666" w:rsidRDefault="0018123F" w:rsidP="0018123F">
      <w:pPr>
        <w:pStyle w:val="ListParagraph"/>
        <w:keepLines/>
        <w:tabs>
          <w:tab w:val="left" w:pos="270"/>
          <w:tab w:val="left" w:pos="360"/>
        </w:tabs>
        <w:ind w:left="-90"/>
      </w:pPr>
      <w:proofErr w:type="gramStart"/>
      <w:r w:rsidRPr="00214666">
        <w:t>1974 (42 U.S.C. 530</w:t>
      </w:r>
      <w:r>
        <w:t>7 (b) (3)), which was added by S</w:t>
      </w:r>
      <w:r w:rsidRPr="00214666">
        <w:t>ection 105 of the Department of Housing and Urban Development Reform Act of 1989 (</w:t>
      </w:r>
      <w:proofErr w:type="spellStart"/>
      <w:r w:rsidRPr="00214666">
        <w:t>Pub.L</w:t>
      </w:r>
      <w:proofErr w:type="spellEnd"/>
      <w:r w:rsidRPr="00214666">
        <w:t>. 101-235).</w:t>
      </w:r>
      <w:proofErr w:type="gramEnd"/>
      <w:r w:rsidRPr="00214666">
        <w:t xml:space="preserve">  The HUD HBCU program is governed by regulations contained in 24 CFR 570.400, 570.404, and in 24 CFR </w:t>
      </w:r>
      <w:proofErr w:type="gramStart"/>
      <w:r w:rsidRPr="00214666">
        <w:t>part</w:t>
      </w:r>
      <w:proofErr w:type="gramEnd"/>
      <w:r w:rsidRPr="00214666">
        <w:t xml:space="preserve"> 570, subpart A, C, H, K, and O.</w:t>
      </w:r>
    </w:p>
    <w:p w:rsidR="0018123F" w:rsidRPr="00214666" w:rsidRDefault="0018123F" w:rsidP="0018123F">
      <w:pPr>
        <w:keepLines/>
        <w:tabs>
          <w:tab w:val="left" w:pos="360"/>
          <w:tab w:val="left" w:pos="720"/>
          <w:tab w:val="left" w:pos="9540"/>
        </w:tabs>
      </w:pPr>
      <w:r w:rsidRPr="00214666">
        <w:t>HUD provides grants to assists Historically Black Colleges and Universities (HBCUs) of higher education expand their role and effectiveness in addressing community development needs in their localities, including neighborhood revitalization, housing, and economic development, principally for persons of low- and moderate-income, consistent with the purposes of Title I of the Housing and Community Development Act of 1974, as amended.</w:t>
      </w:r>
    </w:p>
    <w:p w:rsidR="0018123F" w:rsidRPr="00214666" w:rsidRDefault="0018123F" w:rsidP="0018123F">
      <w:pPr>
        <w:keepLines/>
        <w:tabs>
          <w:tab w:val="left" w:pos="360"/>
          <w:tab w:val="left" w:pos="720"/>
          <w:tab w:val="left" w:pos="9540"/>
        </w:tabs>
      </w:pPr>
      <w:r w:rsidRPr="00214666">
        <w:t>Grantees are selected through a competition process, announced through a Notice of Funding Availability.  Applicants are required to submit certain information as part of their application for assistance.  Grantees</w:t>
      </w:r>
      <w:r>
        <w:t xml:space="preserve"> are required to prepare quarterly </w:t>
      </w:r>
      <w:r w:rsidRPr="00214666">
        <w:t>status report so that HUD monitors the progress of grantees in completing their research.</w:t>
      </w:r>
    </w:p>
    <w:p w:rsidR="00E3227A" w:rsidRDefault="00E3227A" w:rsidP="00E3227A">
      <w:pPr>
        <w:pStyle w:val="ListParagraph"/>
        <w:ind w:left="0"/>
      </w:pPr>
    </w:p>
    <w:p w:rsidR="00E3227A" w:rsidRPr="00E3227A" w:rsidRDefault="00E3227A" w:rsidP="00E3227A">
      <w:pPr>
        <w:pStyle w:val="ListParagraph"/>
        <w:ind w:left="0"/>
        <w:rPr>
          <w:b/>
        </w:rPr>
      </w:pPr>
      <w:r>
        <w:t>2. The information is collected during the application process.  Collection of this data will serve two purposes:</w:t>
      </w:r>
    </w:p>
    <w:p w:rsidR="00E3227A" w:rsidRDefault="00E3227A" w:rsidP="00E3227A">
      <w:pPr>
        <w:keepLines/>
        <w:tabs>
          <w:tab w:val="left" w:pos="360"/>
          <w:tab w:val="left" w:pos="720"/>
        </w:tabs>
      </w:pPr>
      <w:r>
        <w:t>a) It will enable HUD to select grantee under a competitive selection process.  Without this information, it would be impossible to determine which applicants to select.</w:t>
      </w:r>
    </w:p>
    <w:p w:rsidR="00E3227A" w:rsidRDefault="00E3227A" w:rsidP="00E3227A">
      <w:pPr>
        <w:keepLines/>
        <w:tabs>
          <w:tab w:val="left" w:pos="360"/>
          <w:tab w:val="left" w:pos="720"/>
        </w:tabs>
      </w:pPr>
      <w:r>
        <w:t xml:space="preserve">b) It will enable the Government Technical Representative (GTR) to monitor each grantee's </w:t>
      </w:r>
      <w:r w:rsidR="0018123F">
        <w:t>administration of its HBCU</w:t>
      </w:r>
      <w:r>
        <w:t xml:space="preserve"> funds.  It is the only way to determine that funds are being spent in accordance with statutory requirements.</w:t>
      </w:r>
      <w:r>
        <w:t> </w:t>
      </w:r>
      <w:r>
        <w:t> </w:t>
      </w:r>
      <w:r>
        <w:t> </w:t>
      </w:r>
      <w:r>
        <w:t> </w:t>
      </w:r>
    </w:p>
    <w:p w:rsidR="00E3227A" w:rsidRDefault="00E3227A" w:rsidP="00E3227A">
      <w:pPr>
        <w:keepLines/>
        <w:tabs>
          <w:tab w:val="left" w:pos="360"/>
          <w:tab w:val="left" w:pos="720"/>
        </w:tabs>
      </w:pPr>
      <w:r>
        <w:t>3.  None</w:t>
      </w:r>
    </w:p>
    <w:p w:rsidR="00E3227A" w:rsidRDefault="00E3227A" w:rsidP="00E3227A">
      <w:pPr>
        <w:keepLines/>
        <w:tabs>
          <w:tab w:val="left" w:pos="270"/>
          <w:tab w:val="left" w:pos="720"/>
        </w:tabs>
      </w:pPr>
      <w:proofErr w:type="gramStart"/>
      <w:r>
        <w:t>4.</w:t>
      </w:r>
      <w:proofErr w:type="gramEnd"/>
      <w:r>
        <w:t> </w:t>
      </w:r>
      <w:r>
        <w:t>This program does not duplicate any existing government program.  No similar information is available.</w:t>
      </w:r>
    </w:p>
    <w:p w:rsidR="00E3227A" w:rsidRDefault="0018123F" w:rsidP="00E3227A">
      <w:pPr>
        <w:keepLines/>
        <w:tabs>
          <w:tab w:val="left" w:pos="360"/>
          <w:tab w:val="left" w:pos="720"/>
        </w:tabs>
        <w:rPr>
          <w:noProof/>
        </w:rPr>
      </w:pPr>
      <w:r>
        <w:t xml:space="preserve">5. HBCU </w:t>
      </w:r>
      <w:r w:rsidR="00E3227A">
        <w:rPr>
          <w:noProof/>
        </w:rPr>
        <w:t>does not involve small businesses.</w:t>
      </w:r>
    </w:p>
    <w:p w:rsidR="0018123F" w:rsidRPr="0018123F" w:rsidRDefault="00E3227A" w:rsidP="0018123F">
      <w:pPr>
        <w:tabs>
          <w:tab w:val="left" w:pos="0"/>
        </w:tabs>
        <w:spacing w:line="240" w:lineRule="auto"/>
        <w:rPr>
          <w:noProof/>
        </w:rPr>
      </w:pPr>
      <w:r>
        <w:rPr>
          <w:noProof/>
        </w:rPr>
        <w:t xml:space="preserve"> </w:t>
      </w:r>
      <w:r w:rsidR="0018123F">
        <w:rPr>
          <w:noProof/>
        </w:rPr>
        <w:t xml:space="preserve">6. </w:t>
      </w:r>
      <w:r w:rsidR="0018123F" w:rsidRPr="004B5152">
        <w:rPr>
          <w:noProof/>
        </w:rPr>
        <w:t>If information were not collected pursuant to submitting applications</w:t>
      </w:r>
      <w:r w:rsidR="0018123F">
        <w:rPr>
          <w:noProof/>
        </w:rPr>
        <w:t xml:space="preserve">, HUD would have no qualitative </w:t>
      </w:r>
      <w:r w:rsidR="0018123F" w:rsidRPr="004B5152">
        <w:rPr>
          <w:noProof/>
        </w:rPr>
        <w:t>for selecting among the various applicants.  If information were not collected for monitoring purposes, HUD would not be able to ensure that Federal dollars were being spent wisely and appropriately.</w:t>
      </w:r>
    </w:p>
    <w:p w:rsidR="0018123F" w:rsidRPr="006E5215" w:rsidRDefault="0018123F" w:rsidP="0018123F">
      <w:pPr>
        <w:keepLines/>
        <w:tabs>
          <w:tab w:val="left" w:pos="360"/>
          <w:tab w:val="left" w:pos="720"/>
        </w:tabs>
        <w:spacing w:line="240" w:lineRule="auto"/>
        <w:ind w:left="360"/>
        <w:rPr>
          <w:noProof/>
        </w:rPr>
      </w:pPr>
    </w:p>
    <w:p w:rsidR="0018123F" w:rsidRPr="004B5152" w:rsidRDefault="0018123F" w:rsidP="0018123F">
      <w:pPr>
        <w:tabs>
          <w:tab w:val="left" w:pos="0"/>
        </w:tabs>
        <w:spacing w:line="240" w:lineRule="auto"/>
      </w:pPr>
      <w:r w:rsidRPr="006E5215">
        <w:rPr>
          <w:noProof/>
        </w:rPr>
        <w:lastRenderedPageBreak/>
        <w:t>Information collected pursuant to submitting applications is requested only once per application cycle, the minimum amount of time possible.  Information collected for monitorin</w:t>
      </w:r>
      <w:r>
        <w:rPr>
          <w:noProof/>
        </w:rPr>
        <w:t>g purposes is submitted quarterly during the three year</w:t>
      </w:r>
      <w:r w:rsidRPr="006E5215">
        <w:rPr>
          <w:noProof/>
        </w:rPr>
        <w:t xml:space="preserve"> grant </w:t>
      </w:r>
      <w:r>
        <w:rPr>
          <w:noProof/>
        </w:rPr>
        <w:t xml:space="preserve">performance </w:t>
      </w:r>
      <w:r w:rsidRPr="006E5215">
        <w:rPr>
          <w:noProof/>
        </w:rPr>
        <w:t>period.  To require less frequent submission would mean that no action could be taken to correct administrative problems before the end of the grant period.</w:t>
      </w:r>
    </w:p>
    <w:p w:rsidR="00E3227A" w:rsidRDefault="00E3227A" w:rsidP="00E3227A">
      <w:pPr>
        <w:keepLines/>
        <w:tabs>
          <w:tab w:val="left" w:pos="360"/>
          <w:tab w:val="left" w:pos="720"/>
        </w:tabs>
        <w:rPr>
          <w:noProof/>
        </w:rPr>
      </w:pPr>
      <w:r>
        <w:rPr>
          <w:noProof/>
        </w:rPr>
        <w:t>7. None</w:t>
      </w:r>
    </w:p>
    <w:p w:rsidR="00E3227A" w:rsidRDefault="00E3227A" w:rsidP="00E3227A">
      <w:pPr>
        <w:keepLines/>
        <w:tabs>
          <w:tab w:val="left" w:pos="360"/>
          <w:tab w:val="left" w:pos="720"/>
        </w:tabs>
      </w:pPr>
      <w:r>
        <w:rPr>
          <w:noProof/>
        </w:rPr>
        <w:t xml:space="preserve">8.  </w:t>
      </w:r>
      <w:r>
        <w:t>Notice was published in the Federal Register,</w:t>
      </w:r>
      <w:r w:rsidR="003E6619">
        <w:t xml:space="preserve"> Vol. 75, </w:t>
      </w:r>
      <w:proofErr w:type="gramStart"/>
      <w:r w:rsidR="003E6619">
        <w:t>Page</w:t>
      </w:r>
      <w:proofErr w:type="gramEnd"/>
      <w:r w:rsidR="003E6619">
        <w:t xml:space="preserve"> 21018 on April 22, 2010.</w:t>
      </w:r>
      <w:r>
        <w:t xml:space="preserve"> </w:t>
      </w:r>
      <w:r w:rsidR="003E6619">
        <w:t xml:space="preserve"> No comments w</w:t>
      </w:r>
      <w:r>
        <w:t>ere received</w:t>
      </w:r>
      <w:r w:rsidR="003E6619">
        <w:t>.</w:t>
      </w:r>
    </w:p>
    <w:p w:rsidR="00E3227A" w:rsidRDefault="00E3227A" w:rsidP="00E3227A">
      <w:pPr>
        <w:keepLines/>
        <w:tabs>
          <w:tab w:val="left" w:pos="360"/>
          <w:tab w:val="left" w:pos="720"/>
        </w:tabs>
      </w:pPr>
      <w:r>
        <w:t>9. None</w:t>
      </w:r>
    </w:p>
    <w:p w:rsidR="00E3227A" w:rsidRDefault="00E3227A" w:rsidP="00E3227A">
      <w:pPr>
        <w:keepLines/>
        <w:tabs>
          <w:tab w:val="left" w:pos="360"/>
          <w:tab w:val="left" w:pos="720"/>
        </w:tabs>
      </w:pPr>
      <w:r>
        <w:t>10. None</w:t>
      </w:r>
    </w:p>
    <w:p w:rsidR="0018123F" w:rsidRDefault="00E3227A" w:rsidP="0018123F">
      <w:pPr>
        <w:keepLines/>
        <w:tabs>
          <w:tab w:val="left" w:pos="360"/>
          <w:tab w:val="left" w:pos="720"/>
        </w:tabs>
      </w:pPr>
      <w:r>
        <w:t>11. None</w:t>
      </w:r>
    </w:p>
    <w:p w:rsidR="0018123F" w:rsidRDefault="0018123F" w:rsidP="0018123F">
      <w:pPr>
        <w:keepLines/>
        <w:tabs>
          <w:tab w:val="left" w:pos="360"/>
          <w:tab w:val="left" w:pos="720"/>
        </w:tabs>
        <w:ind w:left="1440" w:hanging="1440"/>
      </w:pPr>
      <w:r>
        <w:t xml:space="preserve">12.  </w:t>
      </w:r>
      <w:r>
        <w:tab/>
      </w:r>
      <w:r w:rsidR="00E3227A">
        <w:t xml:space="preserve"> </w:t>
      </w:r>
    </w:p>
    <w:p w:rsidR="0018123F" w:rsidRDefault="0018123F" w:rsidP="0018123F">
      <w:pPr>
        <w:keepLines/>
        <w:tabs>
          <w:tab w:val="left" w:pos="360"/>
          <w:tab w:val="left" w:pos="720"/>
        </w:tabs>
      </w:pPr>
      <w:r w:rsidRPr="006E5215">
        <w:t>1) Pre-Award</w:t>
      </w:r>
    </w:p>
    <w:p w:rsidR="0018123F" w:rsidRPr="006E5215" w:rsidRDefault="0018123F" w:rsidP="0018123F">
      <w:pPr>
        <w:keepLines/>
        <w:tabs>
          <w:tab w:val="left" w:pos="360"/>
          <w:tab w:val="left" w:pos="720"/>
        </w:tabs>
      </w:pPr>
      <w:r w:rsidRPr="006E5215">
        <w:t>HUD estimates that each applicant spends approximately 200 person-hours to complete an application.  Almost all of this time is invested by a professor or other senior administrator who would oversee the program.  HUD estimates the mean hourly rate at $30.  For 105 applications, the computation is as follows: 10</w:t>
      </w:r>
      <w:r>
        <w:t xml:space="preserve">5 applications X 200 hours $30 </w:t>
      </w:r>
      <w:r w:rsidRPr="006E5215">
        <w:t>X per hours= $630,000.</w:t>
      </w:r>
    </w:p>
    <w:p w:rsidR="0018123F" w:rsidRPr="006E5215" w:rsidRDefault="0018123F" w:rsidP="0018123F">
      <w:pPr>
        <w:keepLines/>
        <w:tabs>
          <w:tab w:val="left" w:pos="360"/>
          <w:tab w:val="left" w:pos="720"/>
        </w:tabs>
      </w:pPr>
      <w:r w:rsidRPr="006E5215">
        <w:t>2) Post-Award</w:t>
      </w:r>
    </w:p>
    <w:p w:rsidR="0018123F" w:rsidRPr="006E5215" w:rsidRDefault="0018123F" w:rsidP="0018123F">
      <w:pPr>
        <w:keepLines/>
        <w:tabs>
          <w:tab w:val="left" w:pos="360"/>
          <w:tab w:val="left" w:pos="720"/>
        </w:tabs>
      </w:pPr>
      <w:r w:rsidRPr="006E5215">
        <w:t>HUD estimates that each grantee will spend approximately 24 hours a year maintaining records.  HUD also estimates that each grantee will spend approximately 72 hours a year preparing monitoring reports and 60 hours during each funding cycle's final grant year preparing final reports.  Clerical staff and faculty/supervisory staff will share this burden.  HUD estimates the applicable hourly rate at $15.  The computation is as follow:  105 grantees x 156 hours x $15 an hour = $245,700.</w:t>
      </w:r>
    </w:p>
    <w:p w:rsidR="0018123F" w:rsidRDefault="0018123F" w:rsidP="0018123F">
      <w:pPr>
        <w:keepLines/>
        <w:tabs>
          <w:tab w:val="left" w:pos="360"/>
          <w:tab w:val="left" w:pos="720"/>
        </w:tabs>
        <w:ind w:left="360"/>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1890"/>
        <w:gridCol w:w="1260"/>
        <w:gridCol w:w="1440"/>
        <w:gridCol w:w="1080"/>
        <w:gridCol w:w="1440"/>
      </w:tblGrid>
      <w:tr w:rsidR="0018123F" w:rsidTr="005629D3">
        <w:trPr>
          <w:trHeight w:val="980"/>
        </w:trPr>
        <w:tc>
          <w:tcPr>
            <w:tcW w:w="3420" w:type="dxa"/>
          </w:tcPr>
          <w:p w:rsidR="0018123F" w:rsidRDefault="0018123F" w:rsidP="0018123F">
            <w:pPr>
              <w:keepLines/>
              <w:tabs>
                <w:tab w:val="left" w:pos="360"/>
                <w:tab w:val="left" w:pos="720"/>
              </w:tabs>
              <w:rPr>
                <w:rFonts w:ascii="Helvetica" w:hAnsi="Helvetica"/>
                <w:sz w:val="18"/>
              </w:rPr>
            </w:pPr>
          </w:p>
          <w:p w:rsidR="0018123F" w:rsidRDefault="0018123F" w:rsidP="0018123F">
            <w:pPr>
              <w:keepLines/>
              <w:tabs>
                <w:tab w:val="left" w:pos="360"/>
                <w:tab w:val="left" w:pos="720"/>
              </w:tabs>
              <w:rPr>
                <w:rFonts w:ascii="Helvetica" w:hAnsi="Helvetica"/>
                <w:sz w:val="18"/>
              </w:rPr>
            </w:pPr>
            <w:r>
              <w:rPr>
                <w:rFonts w:ascii="Helvetica" w:hAnsi="Helvetica"/>
                <w:sz w:val="18"/>
              </w:rPr>
              <w:t>Description of Information Collection</w:t>
            </w:r>
          </w:p>
        </w:tc>
        <w:tc>
          <w:tcPr>
            <w:tcW w:w="189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Number of Respondents</w:t>
            </w:r>
          </w:p>
        </w:tc>
        <w:tc>
          <w:tcPr>
            <w:tcW w:w="126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Responses per Year</w:t>
            </w:r>
          </w:p>
        </w:tc>
        <w:tc>
          <w:tcPr>
            <w:tcW w:w="144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Total Annual Responses</w:t>
            </w:r>
          </w:p>
        </w:tc>
        <w:tc>
          <w:tcPr>
            <w:tcW w:w="108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Hrs per Response</w:t>
            </w:r>
          </w:p>
        </w:tc>
        <w:tc>
          <w:tcPr>
            <w:tcW w:w="144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Total Hours</w:t>
            </w:r>
          </w:p>
        </w:tc>
      </w:tr>
      <w:tr w:rsidR="0018123F" w:rsidTr="0018123F">
        <w:trPr>
          <w:trHeight w:val="368"/>
        </w:trPr>
        <w:tc>
          <w:tcPr>
            <w:tcW w:w="3420" w:type="dxa"/>
          </w:tcPr>
          <w:p w:rsidR="0018123F" w:rsidRDefault="0018123F" w:rsidP="0018123F">
            <w:pPr>
              <w:keepLines/>
              <w:tabs>
                <w:tab w:val="left" w:pos="360"/>
                <w:tab w:val="left" w:pos="720"/>
              </w:tabs>
              <w:rPr>
                <w:rFonts w:ascii="Helvetica" w:hAnsi="Helvetica"/>
                <w:sz w:val="18"/>
              </w:rPr>
            </w:pPr>
            <w:r>
              <w:rPr>
                <w:rFonts w:ascii="Helvetica" w:hAnsi="Helvetica"/>
                <w:sz w:val="18"/>
              </w:rPr>
              <w:t>SF424</w:t>
            </w:r>
          </w:p>
        </w:tc>
        <w:tc>
          <w:tcPr>
            <w:tcW w:w="189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26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w:t>
            </w:r>
          </w:p>
        </w:tc>
        <w:tc>
          <w:tcPr>
            <w:tcW w:w="144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080" w:type="dxa"/>
          </w:tcPr>
          <w:p w:rsidR="0018123F" w:rsidRDefault="0018123F" w:rsidP="0018123F">
            <w:pPr>
              <w:keepLines/>
              <w:ind w:left="-228" w:right="132"/>
              <w:jc w:val="center"/>
              <w:rPr>
                <w:rFonts w:ascii="Helvetica" w:hAnsi="Helvetica"/>
                <w:sz w:val="18"/>
              </w:rPr>
            </w:pPr>
            <w:r>
              <w:rPr>
                <w:rFonts w:ascii="Helvetica" w:hAnsi="Helvetica"/>
                <w:sz w:val="18"/>
              </w:rPr>
              <w:t>0.75</w:t>
            </w:r>
          </w:p>
        </w:tc>
        <w:tc>
          <w:tcPr>
            <w:tcW w:w="1440" w:type="dxa"/>
          </w:tcPr>
          <w:p w:rsidR="0018123F" w:rsidRDefault="0018123F" w:rsidP="0018123F">
            <w:pPr>
              <w:keepLines/>
              <w:tabs>
                <w:tab w:val="left" w:pos="612"/>
              </w:tabs>
              <w:ind w:left="-348" w:right="612"/>
              <w:jc w:val="center"/>
              <w:rPr>
                <w:rFonts w:ascii="Helvetica" w:hAnsi="Helvetica"/>
                <w:sz w:val="18"/>
              </w:rPr>
            </w:pPr>
            <w:r>
              <w:rPr>
                <w:rFonts w:ascii="Helvetica" w:hAnsi="Helvetica"/>
                <w:sz w:val="18"/>
              </w:rPr>
              <w:t xml:space="preserve">   </w:t>
            </w:r>
            <w:r w:rsidR="005629D3">
              <w:rPr>
                <w:rFonts w:ascii="Helvetica" w:hAnsi="Helvetica"/>
                <w:sz w:val="18"/>
              </w:rPr>
              <w:t xml:space="preserve">   78.75</w:t>
            </w:r>
            <w:r>
              <w:rPr>
                <w:rFonts w:ascii="Helvetica" w:hAnsi="Helvetica"/>
                <w:sz w:val="18"/>
              </w:rPr>
              <w:t xml:space="preserve"> </w:t>
            </w:r>
          </w:p>
        </w:tc>
      </w:tr>
      <w:tr w:rsidR="0018123F" w:rsidTr="0018123F">
        <w:tc>
          <w:tcPr>
            <w:tcW w:w="3420" w:type="dxa"/>
          </w:tcPr>
          <w:p w:rsidR="0018123F" w:rsidRDefault="0018123F" w:rsidP="0018123F">
            <w:pPr>
              <w:keepLines/>
              <w:tabs>
                <w:tab w:val="left" w:pos="360"/>
                <w:tab w:val="left" w:pos="720"/>
              </w:tabs>
              <w:rPr>
                <w:rFonts w:ascii="Helvetica" w:hAnsi="Helvetica"/>
                <w:sz w:val="18"/>
              </w:rPr>
            </w:pPr>
            <w:r>
              <w:rPr>
                <w:rFonts w:ascii="Helvetica" w:hAnsi="Helvetica"/>
                <w:sz w:val="18"/>
              </w:rPr>
              <w:t>SF424 Supplement</w:t>
            </w:r>
          </w:p>
        </w:tc>
        <w:tc>
          <w:tcPr>
            <w:tcW w:w="189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26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w:t>
            </w:r>
          </w:p>
        </w:tc>
        <w:tc>
          <w:tcPr>
            <w:tcW w:w="144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080" w:type="dxa"/>
          </w:tcPr>
          <w:p w:rsidR="0018123F" w:rsidRDefault="0018123F" w:rsidP="0018123F">
            <w:pPr>
              <w:keepLines/>
              <w:ind w:left="-228" w:right="132"/>
              <w:jc w:val="center"/>
              <w:rPr>
                <w:rFonts w:ascii="Helvetica" w:hAnsi="Helvetica"/>
                <w:sz w:val="18"/>
              </w:rPr>
            </w:pPr>
            <w:r>
              <w:rPr>
                <w:rFonts w:ascii="Helvetica" w:hAnsi="Helvetica"/>
                <w:sz w:val="18"/>
              </w:rPr>
              <w:t>0.08</w:t>
            </w:r>
          </w:p>
        </w:tc>
        <w:tc>
          <w:tcPr>
            <w:tcW w:w="1440" w:type="dxa"/>
          </w:tcPr>
          <w:p w:rsidR="0018123F" w:rsidRDefault="0018123F" w:rsidP="0018123F">
            <w:pPr>
              <w:keepLines/>
              <w:ind w:left="-108" w:right="372"/>
              <w:jc w:val="center"/>
              <w:rPr>
                <w:rFonts w:ascii="Helvetica" w:hAnsi="Helvetica"/>
                <w:sz w:val="18"/>
              </w:rPr>
            </w:pPr>
            <w:r>
              <w:rPr>
                <w:rFonts w:ascii="Helvetica" w:hAnsi="Helvetica"/>
                <w:sz w:val="18"/>
              </w:rPr>
              <w:t>8.4</w:t>
            </w:r>
          </w:p>
        </w:tc>
      </w:tr>
      <w:tr w:rsidR="0018123F" w:rsidTr="0018123F">
        <w:tc>
          <w:tcPr>
            <w:tcW w:w="3420" w:type="dxa"/>
          </w:tcPr>
          <w:p w:rsidR="0018123F" w:rsidRDefault="0018123F" w:rsidP="0018123F">
            <w:pPr>
              <w:keepLines/>
              <w:tabs>
                <w:tab w:val="left" w:pos="360"/>
                <w:tab w:val="left" w:pos="720"/>
              </w:tabs>
              <w:rPr>
                <w:rFonts w:ascii="Helvetica" w:hAnsi="Helvetica"/>
                <w:sz w:val="18"/>
              </w:rPr>
            </w:pPr>
            <w:r>
              <w:rPr>
                <w:rFonts w:ascii="Helvetica" w:hAnsi="Helvetica"/>
                <w:sz w:val="18"/>
              </w:rPr>
              <w:t>HUD 424CB</w:t>
            </w:r>
          </w:p>
        </w:tc>
        <w:tc>
          <w:tcPr>
            <w:tcW w:w="189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26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w:t>
            </w:r>
          </w:p>
        </w:tc>
        <w:tc>
          <w:tcPr>
            <w:tcW w:w="144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080" w:type="dxa"/>
          </w:tcPr>
          <w:p w:rsidR="0018123F" w:rsidRDefault="0018123F" w:rsidP="0018123F">
            <w:pPr>
              <w:keepLines/>
              <w:ind w:left="-468" w:right="372"/>
              <w:jc w:val="center"/>
              <w:rPr>
                <w:rFonts w:ascii="Helvetica" w:hAnsi="Helvetica"/>
                <w:sz w:val="18"/>
              </w:rPr>
            </w:pPr>
            <w:r>
              <w:rPr>
                <w:rFonts w:ascii="Helvetica" w:hAnsi="Helvetica"/>
                <w:sz w:val="18"/>
              </w:rPr>
              <w:t xml:space="preserve">           3</w:t>
            </w:r>
          </w:p>
        </w:tc>
        <w:tc>
          <w:tcPr>
            <w:tcW w:w="1440" w:type="dxa"/>
          </w:tcPr>
          <w:p w:rsidR="0018123F" w:rsidRDefault="0018123F" w:rsidP="0018123F">
            <w:pPr>
              <w:keepLines/>
              <w:ind w:left="-468" w:right="612"/>
              <w:jc w:val="center"/>
              <w:rPr>
                <w:rFonts w:ascii="Helvetica" w:hAnsi="Helvetica"/>
                <w:sz w:val="18"/>
              </w:rPr>
            </w:pPr>
            <w:r>
              <w:rPr>
                <w:rFonts w:ascii="Helvetica" w:hAnsi="Helvetica"/>
                <w:sz w:val="18"/>
              </w:rPr>
              <w:t xml:space="preserve">              315</w:t>
            </w:r>
          </w:p>
        </w:tc>
      </w:tr>
      <w:tr w:rsidR="0018123F" w:rsidTr="0018123F">
        <w:tc>
          <w:tcPr>
            <w:tcW w:w="3420" w:type="dxa"/>
          </w:tcPr>
          <w:p w:rsidR="0018123F" w:rsidRDefault="0018123F" w:rsidP="0018123F">
            <w:pPr>
              <w:keepLines/>
              <w:tabs>
                <w:tab w:val="left" w:pos="360"/>
                <w:tab w:val="left" w:pos="720"/>
              </w:tabs>
              <w:rPr>
                <w:rFonts w:ascii="Helvetica" w:hAnsi="Helvetica"/>
                <w:sz w:val="18"/>
              </w:rPr>
            </w:pPr>
            <w:r>
              <w:rPr>
                <w:rFonts w:ascii="Helvetica" w:hAnsi="Helvetica"/>
                <w:sz w:val="18"/>
              </w:rPr>
              <w:t>SFLLL</w:t>
            </w:r>
          </w:p>
        </w:tc>
        <w:tc>
          <w:tcPr>
            <w:tcW w:w="189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26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w:t>
            </w:r>
          </w:p>
        </w:tc>
        <w:tc>
          <w:tcPr>
            <w:tcW w:w="144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080" w:type="dxa"/>
          </w:tcPr>
          <w:p w:rsidR="0018123F" w:rsidRDefault="0018123F" w:rsidP="0018123F">
            <w:pPr>
              <w:keepLines/>
              <w:ind w:left="-228" w:right="132"/>
              <w:jc w:val="center"/>
              <w:rPr>
                <w:rFonts w:ascii="Helvetica" w:hAnsi="Helvetica"/>
                <w:sz w:val="18"/>
              </w:rPr>
            </w:pPr>
            <w:r>
              <w:rPr>
                <w:rFonts w:ascii="Helvetica" w:hAnsi="Helvetica"/>
                <w:sz w:val="18"/>
              </w:rPr>
              <w:t>0.17</w:t>
            </w:r>
          </w:p>
        </w:tc>
        <w:tc>
          <w:tcPr>
            <w:tcW w:w="1440" w:type="dxa"/>
          </w:tcPr>
          <w:p w:rsidR="0018123F" w:rsidRDefault="0018123F" w:rsidP="0018123F">
            <w:pPr>
              <w:keepLines/>
              <w:ind w:left="-108" w:right="372"/>
              <w:jc w:val="center"/>
              <w:rPr>
                <w:rFonts w:ascii="Helvetica" w:hAnsi="Helvetica"/>
                <w:sz w:val="18"/>
              </w:rPr>
            </w:pPr>
            <w:r>
              <w:rPr>
                <w:rFonts w:ascii="Helvetica" w:hAnsi="Helvetica"/>
                <w:sz w:val="18"/>
              </w:rPr>
              <w:t>17.85</w:t>
            </w:r>
          </w:p>
        </w:tc>
      </w:tr>
      <w:tr w:rsidR="0018123F" w:rsidTr="0018123F">
        <w:tc>
          <w:tcPr>
            <w:tcW w:w="3420" w:type="dxa"/>
          </w:tcPr>
          <w:p w:rsidR="0018123F" w:rsidRDefault="0018123F" w:rsidP="0018123F">
            <w:pPr>
              <w:keepLines/>
              <w:tabs>
                <w:tab w:val="left" w:pos="360"/>
                <w:tab w:val="left" w:pos="720"/>
              </w:tabs>
              <w:rPr>
                <w:rFonts w:ascii="Helvetica" w:hAnsi="Helvetica"/>
                <w:sz w:val="18"/>
              </w:rPr>
            </w:pPr>
            <w:r>
              <w:rPr>
                <w:rFonts w:ascii="Helvetica" w:hAnsi="Helvetica"/>
                <w:sz w:val="18"/>
              </w:rPr>
              <w:t>HUD 27300 (2510-0013)</w:t>
            </w:r>
          </w:p>
        </w:tc>
        <w:tc>
          <w:tcPr>
            <w:tcW w:w="189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26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w:t>
            </w:r>
          </w:p>
        </w:tc>
        <w:tc>
          <w:tcPr>
            <w:tcW w:w="144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080" w:type="dxa"/>
          </w:tcPr>
          <w:p w:rsidR="0018123F" w:rsidRDefault="0018123F" w:rsidP="0018123F">
            <w:pPr>
              <w:keepLines/>
              <w:ind w:left="-468" w:right="372"/>
              <w:jc w:val="center"/>
              <w:rPr>
                <w:rFonts w:ascii="Helvetica" w:hAnsi="Helvetica"/>
                <w:sz w:val="18"/>
              </w:rPr>
            </w:pPr>
            <w:r>
              <w:rPr>
                <w:rFonts w:ascii="Helvetica" w:hAnsi="Helvetica"/>
                <w:sz w:val="18"/>
              </w:rPr>
              <w:t xml:space="preserve">            0</w:t>
            </w:r>
          </w:p>
        </w:tc>
        <w:tc>
          <w:tcPr>
            <w:tcW w:w="1440" w:type="dxa"/>
          </w:tcPr>
          <w:p w:rsidR="0018123F" w:rsidRDefault="0018123F" w:rsidP="0018123F">
            <w:pPr>
              <w:keepLines/>
              <w:ind w:left="-348" w:right="612"/>
              <w:jc w:val="center"/>
              <w:rPr>
                <w:rFonts w:ascii="Helvetica" w:hAnsi="Helvetica"/>
                <w:sz w:val="18"/>
              </w:rPr>
            </w:pPr>
            <w:r>
              <w:rPr>
                <w:rFonts w:ascii="Helvetica" w:hAnsi="Helvetica"/>
                <w:sz w:val="18"/>
              </w:rPr>
              <w:t xml:space="preserve">           0</w:t>
            </w:r>
          </w:p>
        </w:tc>
      </w:tr>
      <w:tr w:rsidR="0018123F" w:rsidTr="0018123F">
        <w:tc>
          <w:tcPr>
            <w:tcW w:w="3420" w:type="dxa"/>
          </w:tcPr>
          <w:p w:rsidR="0018123F" w:rsidRDefault="0018123F" w:rsidP="0018123F">
            <w:pPr>
              <w:keepLines/>
              <w:tabs>
                <w:tab w:val="left" w:pos="360"/>
                <w:tab w:val="left" w:pos="720"/>
              </w:tabs>
              <w:rPr>
                <w:rFonts w:ascii="Helvetica" w:hAnsi="Helvetica"/>
                <w:sz w:val="18"/>
              </w:rPr>
            </w:pPr>
            <w:r>
              <w:rPr>
                <w:rFonts w:ascii="Helvetica" w:hAnsi="Helvetica"/>
                <w:sz w:val="18"/>
              </w:rPr>
              <w:lastRenderedPageBreak/>
              <w:t>HUD 2880 (2510-0011)</w:t>
            </w:r>
          </w:p>
        </w:tc>
        <w:tc>
          <w:tcPr>
            <w:tcW w:w="189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26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w:t>
            </w:r>
          </w:p>
        </w:tc>
        <w:tc>
          <w:tcPr>
            <w:tcW w:w="144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080" w:type="dxa"/>
          </w:tcPr>
          <w:p w:rsidR="0018123F" w:rsidRDefault="0018123F" w:rsidP="0018123F">
            <w:pPr>
              <w:keepLines/>
              <w:ind w:left="-468" w:right="372"/>
              <w:jc w:val="center"/>
              <w:rPr>
                <w:rFonts w:ascii="Helvetica" w:hAnsi="Helvetica"/>
                <w:sz w:val="18"/>
              </w:rPr>
            </w:pPr>
            <w:r>
              <w:rPr>
                <w:rFonts w:ascii="Helvetica" w:hAnsi="Helvetica"/>
                <w:sz w:val="18"/>
              </w:rPr>
              <w:t xml:space="preserve">             0</w:t>
            </w:r>
          </w:p>
        </w:tc>
        <w:tc>
          <w:tcPr>
            <w:tcW w:w="1440" w:type="dxa"/>
          </w:tcPr>
          <w:p w:rsidR="0018123F" w:rsidRDefault="0018123F" w:rsidP="0018123F">
            <w:pPr>
              <w:keepLines/>
              <w:ind w:left="-348" w:right="612"/>
              <w:jc w:val="center"/>
              <w:rPr>
                <w:rFonts w:ascii="Helvetica" w:hAnsi="Helvetica"/>
                <w:sz w:val="18"/>
              </w:rPr>
            </w:pPr>
            <w:r>
              <w:rPr>
                <w:rFonts w:ascii="Helvetica" w:hAnsi="Helvetica"/>
                <w:sz w:val="18"/>
              </w:rPr>
              <w:t xml:space="preserve">          0</w:t>
            </w:r>
          </w:p>
        </w:tc>
      </w:tr>
      <w:tr w:rsidR="0018123F" w:rsidTr="0018123F">
        <w:tc>
          <w:tcPr>
            <w:tcW w:w="3420" w:type="dxa"/>
          </w:tcPr>
          <w:p w:rsidR="0018123F" w:rsidRDefault="0018123F" w:rsidP="0018123F">
            <w:pPr>
              <w:keepLines/>
              <w:tabs>
                <w:tab w:val="left" w:pos="360"/>
                <w:tab w:val="left" w:pos="720"/>
              </w:tabs>
              <w:rPr>
                <w:rFonts w:ascii="Helvetica" w:hAnsi="Helvetica"/>
                <w:sz w:val="18"/>
              </w:rPr>
            </w:pPr>
            <w:r>
              <w:rPr>
                <w:rFonts w:ascii="Helvetica" w:hAnsi="Helvetica"/>
                <w:sz w:val="18"/>
              </w:rPr>
              <w:t>HUD 2990</w:t>
            </w:r>
          </w:p>
        </w:tc>
        <w:tc>
          <w:tcPr>
            <w:tcW w:w="189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26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w:t>
            </w:r>
          </w:p>
        </w:tc>
        <w:tc>
          <w:tcPr>
            <w:tcW w:w="144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080" w:type="dxa"/>
          </w:tcPr>
          <w:p w:rsidR="0018123F" w:rsidRDefault="0018123F" w:rsidP="0018123F">
            <w:pPr>
              <w:keepLines/>
              <w:ind w:left="-468" w:right="372"/>
              <w:jc w:val="center"/>
              <w:rPr>
                <w:rFonts w:ascii="Helvetica" w:hAnsi="Helvetica"/>
                <w:sz w:val="18"/>
              </w:rPr>
            </w:pPr>
            <w:r>
              <w:rPr>
                <w:rFonts w:ascii="Helvetica" w:hAnsi="Helvetica"/>
                <w:sz w:val="18"/>
              </w:rPr>
              <w:t xml:space="preserve">            0</w:t>
            </w:r>
          </w:p>
        </w:tc>
        <w:tc>
          <w:tcPr>
            <w:tcW w:w="1440" w:type="dxa"/>
          </w:tcPr>
          <w:p w:rsidR="0018123F" w:rsidRDefault="0018123F" w:rsidP="0018123F">
            <w:pPr>
              <w:keepLines/>
              <w:ind w:left="-348" w:right="612"/>
              <w:jc w:val="center"/>
              <w:rPr>
                <w:rFonts w:ascii="Helvetica" w:hAnsi="Helvetica"/>
                <w:sz w:val="18"/>
              </w:rPr>
            </w:pPr>
            <w:r>
              <w:rPr>
                <w:rFonts w:ascii="Helvetica" w:hAnsi="Helvetica"/>
                <w:sz w:val="18"/>
              </w:rPr>
              <w:t xml:space="preserve">          0</w:t>
            </w:r>
          </w:p>
        </w:tc>
      </w:tr>
      <w:tr w:rsidR="0018123F" w:rsidTr="0018123F">
        <w:tc>
          <w:tcPr>
            <w:tcW w:w="3420" w:type="dxa"/>
          </w:tcPr>
          <w:p w:rsidR="0018123F" w:rsidRDefault="0018123F" w:rsidP="0018123F">
            <w:pPr>
              <w:keepLines/>
              <w:tabs>
                <w:tab w:val="left" w:pos="360"/>
                <w:tab w:val="left" w:pos="720"/>
              </w:tabs>
              <w:rPr>
                <w:rFonts w:ascii="Helvetica" w:hAnsi="Helvetica"/>
                <w:sz w:val="18"/>
              </w:rPr>
            </w:pPr>
            <w:r>
              <w:rPr>
                <w:rFonts w:ascii="Helvetica" w:hAnsi="Helvetica"/>
                <w:sz w:val="18"/>
              </w:rPr>
              <w:t>HUD 2991</w:t>
            </w:r>
          </w:p>
        </w:tc>
        <w:tc>
          <w:tcPr>
            <w:tcW w:w="189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26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w:t>
            </w:r>
          </w:p>
        </w:tc>
        <w:tc>
          <w:tcPr>
            <w:tcW w:w="144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080" w:type="dxa"/>
          </w:tcPr>
          <w:p w:rsidR="0018123F" w:rsidRDefault="0018123F" w:rsidP="0018123F">
            <w:pPr>
              <w:keepLines/>
              <w:ind w:left="-468" w:right="372"/>
              <w:jc w:val="center"/>
              <w:rPr>
                <w:rFonts w:ascii="Helvetica" w:hAnsi="Helvetica"/>
                <w:sz w:val="18"/>
              </w:rPr>
            </w:pPr>
            <w:r>
              <w:rPr>
                <w:rFonts w:ascii="Helvetica" w:hAnsi="Helvetica"/>
                <w:sz w:val="18"/>
              </w:rPr>
              <w:t xml:space="preserve">            0</w:t>
            </w:r>
          </w:p>
        </w:tc>
        <w:tc>
          <w:tcPr>
            <w:tcW w:w="1440" w:type="dxa"/>
          </w:tcPr>
          <w:p w:rsidR="0018123F" w:rsidRDefault="0018123F" w:rsidP="0018123F">
            <w:pPr>
              <w:keepLines/>
              <w:ind w:left="-348" w:right="612"/>
              <w:jc w:val="center"/>
              <w:rPr>
                <w:rFonts w:ascii="Helvetica" w:hAnsi="Helvetica"/>
                <w:sz w:val="18"/>
              </w:rPr>
            </w:pPr>
            <w:r>
              <w:rPr>
                <w:rFonts w:ascii="Helvetica" w:hAnsi="Helvetica"/>
                <w:sz w:val="18"/>
              </w:rPr>
              <w:t xml:space="preserve">          0</w:t>
            </w:r>
          </w:p>
        </w:tc>
      </w:tr>
      <w:tr w:rsidR="0018123F" w:rsidTr="0018123F">
        <w:tc>
          <w:tcPr>
            <w:tcW w:w="3420" w:type="dxa"/>
          </w:tcPr>
          <w:p w:rsidR="0018123F" w:rsidRDefault="0018123F" w:rsidP="0018123F">
            <w:pPr>
              <w:keepLines/>
              <w:tabs>
                <w:tab w:val="left" w:pos="360"/>
                <w:tab w:val="left" w:pos="720"/>
              </w:tabs>
              <w:rPr>
                <w:rFonts w:ascii="Helvetica" w:hAnsi="Helvetica"/>
                <w:sz w:val="18"/>
              </w:rPr>
            </w:pPr>
            <w:r>
              <w:rPr>
                <w:rFonts w:ascii="Helvetica" w:hAnsi="Helvetica"/>
                <w:sz w:val="18"/>
              </w:rPr>
              <w:t>HUD 2993</w:t>
            </w:r>
          </w:p>
        </w:tc>
        <w:tc>
          <w:tcPr>
            <w:tcW w:w="189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26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w:t>
            </w:r>
          </w:p>
        </w:tc>
        <w:tc>
          <w:tcPr>
            <w:tcW w:w="144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080" w:type="dxa"/>
          </w:tcPr>
          <w:p w:rsidR="0018123F" w:rsidRDefault="0018123F" w:rsidP="0018123F">
            <w:pPr>
              <w:keepLines/>
              <w:ind w:left="-468" w:right="372"/>
              <w:jc w:val="center"/>
              <w:rPr>
                <w:rFonts w:ascii="Helvetica" w:hAnsi="Helvetica"/>
                <w:sz w:val="18"/>
              </w:rPr>
            </w:pPr>
            <w:r>
              <w:rPr>
                <w:rFonts w:ascii="Helvetica" w:hAnsi="Helvetica"/>
                <w:sz w:val="18"/>
              </w:rPr>
              <w:t xml:space="preserve">            0</w:t>
            </w:r>
          </w:p>
        </w:tc>
        <w:tc>
          <w:tcPr>
            <w:tcW w:w="1440" w:type="dxa"/>
          </w:tcPr>
          <w:p w:rsidR="0018123F" w:rsidRDefault="0018123F" w:rsidP="0018123F">
            <w:pPr>
              <w:keepLines/>
              <w:ind w:left="-348" w:right="612"/>
              <w:jc w:val="center"/>
              <w:rPr>
                <w:rFonts w:ascii="Helvetica" w:hAnsi="Helvetica"/>
                <w:sz w:val="18"/>
              </w:rPr>
            </w:pPr>
            <w:r>
              <w:rPr>
                <w:rFonts w:ascii="Helvetica" w:hAnsi="Helvetica"/>
                <w:sz w:val="18"/>
              </w:rPr>
              <w:t xml:space="preserve">           0</w:t>
            </w:r>
          </w:p>
        </w:tc>
      </w:tr>
      <w:tr w:rsidR="0018123F" w:rsidTr="0018123F">
        <w:tc>
          <w:tcPr>
            <w:tcW w:w="3420" w:type="dxa"/>
          </w:tcPr>
          <w:p w:rsidR="0018123F" w:rsidRDefault="0018123F" w:rsidP="0018123F">
            <w:pPr>
              <w:keepLines/>
              <w:tabs>
                <w:tab w:val="left" w:pos="360"/>
                <w:tab w:val="left" w:pos="720"/>
              </w:tabs>
              <w:rPr>
                <w:rFonts w:ascii="Helvetica" w:hAnsi="Helvetica"/>
                <w:sz w:val="18"/>
              </w:rPr>
            </w:pPr>
            <w:r>
              <w:rPr>
                <w:rFonts w:ascii="Helvetica" w:hAnsi="Helvetica"/>
                <w:sz w:val="18"/>
              </w:rPr>
              <w:t>HUD 2994</w:t>
            </w:r>
          </w:p>
        </w:tc>
        <w:tc>
          <w:tcPr>
            <w:tcW w:w="189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26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w:t>
            </w:r>
          </w:p>
        </w:tc>
        <w:tc>
          <w:tcPr>
            <w:tcW w:w="144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080" w:type="dxa"/>
          </w:tcPr>
          <w:p w:rsidR="0018123F" w:rsidRDefault="0018123F" w:rsidP="0018123F">
            <w:pPr>
              <w:keepLines/>
              <w:ind w:left="-468" w:right="372"/>
              <w:jc w:val="center"/>
              <w:rPr>
                <w:rFonts w:ascii="Helvetica" w:hAnsi="Helvetica"/>
                <w:sz w:val="18"/>
              </w:rPr>
            </w:pPr>
            <w:r>
              <w:rPr>
                <w:rFonts w:ascii="Helvetica" w:hAnsi="Helvetica"/>
                <w:sz w:val="18"/>
              </w:rPr>
              <w:t xml:space="preserve">            0</w:t>
            </w:r>
          </w:p>
        </w:tc>
        <w:tc>
          <w:tcPr>
            <w:tcW w:w="1440" w:type="dxa"/>
          </w:tcPr>
          <w:p w:rsidR="0018123F" w:rsidRDefault="0018123F" w:rsidP="0018123F">
            <w:pPr>
              <w:keepLines/>
              <w:ind w:left="-348" w:right="612"/>
              <w:jc w:val="center"/>
              <w:rPr>
                <w:rFonts w:ascii="Helvetica" w:hAnsi="Helvetica"/>
                <w:sz w:val="18"/>
              </w:rPr>
            </w:pPr>
            <w:r>
              <w:rPr>
                <w:rFonts w:ascii="Helvetica" w:hAnsi="Helvetica"/>
                <w:sz w:val="18"/>
              </w:rPr>
              <w:t xml:space="preserve">          0</w:t>
            </w:r>
          </w:p>
        </w:tc>
      </w:tr>
      <w:tr w:rsidR="0018123F" w:rsidTr="0018123F">
        <w:tc>
          <w:tcPr>
            <w:tcW w:w="3420" w:type="dxa"/>
          </w:tcPr>
          <w:p w:rsidR="0018123F" w:rsidRDefault="0018123F" w:rsidP="0018123F">
            <w:pPr>
              <w:keepLines/>
              <w:tabs>
                <w:tab w:val="left" w:pos="360"/>
                <w:tab w:val="left" w:pos="720"/>
              </w:tabs>
              <w:rPr>
                <w:rFonts w:ascii="Helvetica" w:hAnsi="Helvetica"/>
                <w:sz w:val="18"/>
              </w:rPr>
            </w:pPr>
            <w:r>
              <w:rPr>
                <w:rFonts w:ascii="Helvetica" w:hAnsi="Helvetica"/>
                <w:sz w:val="18"/>
              </w:rPr>
              <w:t>HUD 2994 A</w:t>
            </w:r>
          </w:p>
        </w:tc>
        <w:tc>
          <w:tcPr>
            <w:tcW w:w="189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26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w:t>
            </w:r>
          </w:p>
        </w:tc>
        <w:tc>
          <w:tcPr>
            <w:tcW w:w="144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080" w:type="dxa"/>
          </w:tcPr>
          <w:p w:rsidR="0018123F" w:rsidRDefault="0018123F" w:rsidP="0018123F">
            <w:pPr>
              <w:keepLines/>
              <w:ind w:left="-468" w:right="372"/>
              <w:jc w:val="center"/>
              <w:rPr>
                <w:rFonts w:ascii="Helvetica" w:hAnsi="Helvetica"/>
                <w:sz w:val="18"/>
              </w:rPr>
            </w:pPr>
            <w:r>
              <w:rPr>
                <w:rFonts w:ascii="Helvetica" w:hAnsi="Helvetica"/>
                <w:sz w:val="18"/>
              </w:rPr>
              <w:t xml:space="preserve">            0</w:t>
            </w:r>
          </w:p>
        </w:tc>
        <w:tc>
          <w:tcPr>
            <w:tcW w:w="1440" w:type="dxa"/>
          </w:tcPr>
          <w:p w:rsidR="0018123F" w:rsidRDefault="0018123F" w:rsidP="0018123F">
            <w:pPr>
              <w:keepLines/>
              <w:ind w:left="-348" w:right="612"/>
              <w:jc w:val="center"/>
              <w:rPr>
                <w:rFonts w:ascii="Helvetica" w:hAnsi="Helvetica"/>
                <w:sz w:val="18"/>
              </w:rPr>
            </w:pPr>
            <w:r>
              <w:rPr>
                <w:rFonts w:ascii="Helvetica" w:hAnsi="Helvetica"/>
                <w:sz w:val="18"/>
              </w:rPr>
              <w:t xml:space="preserve">          0</w:t>
            </w:r>
          </w:p>
        </w:tc>
      </w:tr>
      <w:tr w:rsidR="0018123F" w:rsidTr="0018123F">
        <w:tc>
          <w:tcPr>
            <w:tcW w:w="3420" w:type="dxa"/>
          </w:tcPr>
          <w:p w:rsidR="0018123F" w:rsidRDefault="0018123F" w:rsidP="0018123F">
            <w:pPr>
              <w:keepLines/>
              <w:tabs>
                <w:tab w:val="left" w:pos="360"/>
                <w:tab w:val="left" w:pos="720"/>
              </w:tabs>
              <w:rPr>
                <w:rFonts w:ascii="Helvetica" w:hAnsi="Helvetica"/>
                <w:sz w:val="18"/>
              </w:rPr>
            </w:pPr>
            <w:r>
              <w:rPr>
                <w:rFonts w:ascii="Helvetica" w:hAnsi="Helvetica"/>
                <w:sz w:val="18"/>
              </w:rPr>
              <w:t>HUD 40076</w:t>
            </w:r>
          </w:p>
        </w:tc>
        <w:tc>
          <w:tcPr>
            <w:tcW w:w="189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26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w:t>
            </w:r>
          </w:p>
        </w:tc>
        <w:tc>
          <w:tcPr>
            <w:tcW w:w="144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080" w:type="dxa"/>
          </w:tcPr>
          <w:p w:rsidR="0018123F" w:rsidRDefault="0018123F" w:rsidP="0018123F">
            <w:pPr>
              <w:keepLines/>
              <w:ind w:left="-468" w:right="372"/>
              <w:jc w:val="center"/>
              <w:rPr>
                <w:rFonts w:ascii="Helvetica" w:hAnsi="Helvetica"/>
                <w:sz w:val="18"/>
              </w:rPr>
            </w:pPr>
            <w:r>
              <w:rPr>
                <w:rFonts w:ascii="Helvetica" w:hAnsi="Helvetica"/>
                <w:sz w:val="18"/>
              </w:rPr>
              <w:t xml:space="preserve">            0</w:t>
            </w:r>
          </w:p>
        </w:tc>
        <w:tc>
          <w:tcPr>
            <w:tcW w:w="1440" w:type="dxa"/>
          </w:tcPr>
          <w:p w:rsidR="0018123F" w:rsidRDefault="0018123F" w:rsidP="0018123F">
            <w:pPr>
              <w:keepLines/>
              <w:ind w:left="-348" w:right="612"/>
              <w:jc w:val="center"/>
              <w:rPr>
                <w:rFonts w:ascii="Helvetica" w:hAnsi="Helvetica"/>
                <w:sz w:val="18"/>
              </w:rPr>
            </w:pPr>
            <w:r>
              <w:rPr>
                <w:rFonts w:ascii="Helvetica" w:hAnsi="Helvetica"/>
                <w:sz w:val="18"/>
              </w:rPr>
              <w:t xml:space="preserve">           0</w:t>
            </w:r>
          </w:p>
        </w:tc>
      </w:tr>
      <w:tr w:rsidR="0018123F" w:rsidTr="0018123F">
        <w:tc>
          <w:tcPr>
            <w:tcW w:w="3420" w:type="dxa"/>
          </w:tcPr>
          <w:p w:rsidR="0018123F" w:rsidRDefault="0018123F" w:rsidP="0018123F">
            <w:pPr>
              <w:keepLines/>
              <w:tabs>
                <w:tab w:val="left" w:pos="360"/>
                <w:tab w:val="left" w:pos="720"/>
              </w:tabs>
              <w:rPr>
                <w:rFonts w:ascii="Helvetica" w:hAnsi="Helvetica"/>
                <w:sz w:val="18"/>
              </w:rPr>
            </w:pPr>
            <w:r>
              <w:rPr>
                <w:rFonts w:ascii="Helvetica" w:hAnsi="Helvetica"/>
                <w:sz w:val="18"/>
              </w:rPr>
              <w:t>HUD 96010 (2535-0114)</w:t>
            </w:r>
          </w:p>
        </w:tc>
        <w:tc>
          <w:tcPr>
            <w:tcW w:w="189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26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w:t>
            </w:r>
          </w:p>
        </w:tc>
        <w:tc>
          <w:tcPr>
            <w:tcW w:w="144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080" w:type="dxa"/>
          </w:tcPr>
          <w:p w:rsidR="0018123F" w:rsidRDefault="0018123F" w:rsidP="0018123F">
            <w:pPr>
              <w:keepLines/>
              <w:ind w:left="-468" w:right="372"/>
              <w:jc w:val="center"/>
              <w:rPr>
                <w:rFonts w:ascii="Helvetica" w:hAnsi="Helvetica"/>
                <w:sz w:val="18"/>
              </w:rPr>
            </w:pPr>
            <w:r>
              <w:rPr>
                <w:rFonts w:ascii="Helvetica" w:hAnsi="Helvetica"/>
                <w:sz w:val="18"/>
              </w:rPr>
              <w:t xml:space="preserve">             0</w:t>
            </w:r>
          </w:p>
        </w:tc>
        <w:tc>
          <w:tcPr>
            <w:tcW w:w="1440" w:type="dxa"/>
          </w:tcPr>
          <w:p w:rsidR="0018123F" w:rsidRDefault="0018123F" w:rsidP="0018123F">
            <w:pPr>
              <w:keepLines/>
              <w:ind w:left="-348" w:right="612"/>
              <w:jc w:val="center"/>
              <w:rPr>
                <w:rFonts w:ascii="Helvetica" w:hAnsi="Helvetica"/>
                <w:sz w:val="18"/>
              </w:rPr>
            </w:pPr>
            <w:r>
              <w:rPr>
                <w:rFonts w:ascii="Helvetica" w:hAnsi="Helvetica"/>
                <w:sz w:val="18"/>
              </w:rPr>
              <w:t xml:space="preserve">          0</w:t>
            </w:r>
          </w:p>
        </w:tc>
      </w:tr>
      <w:tr w:rsidR="0018123F" w:rsidTr="0018123F">
        <w:tc>
          <w:tcPr>
            <w:tcW w:w="3420" w:type="dxa"/>
          </w:tcPr>
          <w:p w:rsidR="0018123F" w:rsidRDefault="0018123F" w:rsidP="0018123F">
            <w:pPr>
              <w:keepLines/>
              <w:tabs>
                <w:tab w:val="left" w:pos="360"/>
                <w:tab w:val="left" w:pos="720"/>
              </w:tabs>
              <w:rPr>
                <w:rFonts w:ascii="Helvetica" w:hAnsi="Helvetica"/>
                <w:sz w:val="18"/>
              </w:rPr>
            </w:pPr>
            <w:r>
              <w:rPr>
                <w:rFonts w:ascii="Helvetica" w:hAnsi="Helvetica"/>
                <w:sz w:val="18"/>
              </w:rPr>
              <w:t>HUD 96011</w:t>
            </w:r>
          </w:p>
        </w:tc>
        <w:tc>
          <w:tcPr>
            <w:tcW w:w="189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26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w:t>
            </w:r>
          </w:p>
        </w:tc>
        <w:tc>
          <w:tcPr>
            <w:tcW w:w="144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080" w:type="dxa"/>
          </w:tcPr>
          <w:p w:rsidR="0018123F" w:rsidRDefault="0018123F" w:rsidP="0018123F">
            <w:pPr>
              <w:keepLines/>
              <w:ind w:left="-468" w:right="372"/>
              <w:jc w:val="center"/>
              <w:rPr>
                <w:rFonts w:ascii="Helvetica" w:hAnsi="Helvetica"/>
                <w:sz w:val="18"/>
              </w:rPr>
            </w:pPr>
            <w:r>
              <w:rPr>
                <w:rFonts w:ascii="Helvetica" w:hAnsi="Helvetica"/>
                <w:sz w:val="18"/>
              </w:rPr>
              <w:t xml:space="preserve">             0</w:t>
            </w:r>
          </w:p>
        </w:tc>
        <w:tc>
          <w:tcPr>
            <w:tcW w:w="1440" w:type="dxa"/>
          </w:tcPr>
          <w:p w:rsidR="0018123F" w:rsidRDefault="0018123F" w:rsidP="0018123F">
            <w:pPr>
              <w:keepLines/>
              <w:ind w:left="-348" w:right="612"/>
              <w:jc w:val="center"/>
              <w:rPr>
                <w:rFonts w:ascii="Helvetica" w:hAnsi="Helvetica"/>
                <w:sz w:val="18"/>
              </w:rPr>
            </w:pPr>
            <w:r>
              <w:rPr>
                <w:rFonts w:ascii="Helvetica" w:hAnsi="Helvetica"/>
                <w:sz w:val="18"/>
              </w:rPr>
              <w:t xml:space="preserve">          0</w:t>
            </w:r>
          </w:p>
        </w:tc>
      </w:tr>
      <w:tr w:rsidR="000960F1" w:rsidTr="0018123F">
        <w:tc>
          <w:tcPr>
            <w:tcW w:w="3420" w:type="dxa"/>
          </w:tcPr>
          <w:p w:rsidR="000960F1" w:rsidRDefault="000960F1" w:rsidP="0018123F">
            <w:pPr>
              <w:keepLines/>
              <w:tabs>
                <w:tab w:val="left" w:pos="360"/>
                <w:tab w:val="left" w:pos="720"/>
              </w:tabs>
              <w:rPr>
                <w:rFonts w:ascii="Helvetica" w:hAnsi="Helvetica"/>
                <w:sz w:val="18"/>
              </w:rPr>
            </w:pPr>
            <w:r>
              <w:rPr>
                <w:rFonts w:ascii="Helvetica" w:hAnsi="Helvetica"/>
                <w:sz w:val="18"/>
              </w:rPr>
              <w:t>HUD 40077</w:t>
            </w:r>
            <w:r w:rsidR="00096074">
              <w:rPr>
                <w:rFonts w:ascii="Helvetica" w:hAnsi="Helvetica"/>
                <w:sz w:val="18"/>
              </w:rPr>
              <w:t xml:space="preserve"> (2528-0198)</w:t>
            </w:r>
          </w:p>
        </w:tc>
        <w:tc>
          <w:tcPr>
            <w:tcW w:w="1890" w:type="dxa"/>
          </w:tcPr>
          <w:p w:rsidR="000960F1" w:rsidRDefault="000960F1" w:rsidP="0018123F">
            <w:pPr>
              <w:keepLines/>
              <w:tabs>
                <w:tab w:val="left" w:pos="360"/>
                <w:tab w:val="left" w:pos="720"/>
              </w:tabs>
              <w:jc w:val="center"/>
              <w:rPr>
                <w:rFonts w:ascii="Helvetica" w:hAnsi="Helvetica"/>
                <w:sz w:val="18"/>
              </w:rPr>
            </w:pPr>
            <w:r>
              <w:rPr>
                <w:rFonts w:ascii="Helvetica" w:hAnsi="Helvetica"/>
                <w:sz w:val="18"/>
              </w:rPr>
              <w:t>105</w:t>
            </w:r>
          </w:p>
        </w:tc>
        <w:tc>
          <w:tcPr>
            <w:tcW w:w="1260" w:type="dxa"/>
          </w:tcPr>
          <w:p w:rsidR="000960F1" w:rsidRDefault="000960F1" w:rsidP="0018123F">
            <w:pPr>
              <w:keepLines/>
              <w:tabs>
                <w:tab w:val="left" w:pos="360"/>
                <w:tab w:val="left" w:pos="720"/>
              </w:tabs>
              <w:jc w:val="center"/>
              <w:rPr>
                <w:rFonts w:ascii="Helvetica" w:hAnsi="Helvetica"/>
                <w:sz w:val="18"/>
              </w:rPr>
            </w:pPr>
            <w:r>
              <w:rPr>
                <w:rFonts w:ascii="Helvetica" w:hAnsi="Helvetica"/>
                <w:sz w:val="18"/>
              </w:rPr>
              <w:t>1</w:t>
            </w:r>
          </w:p>
        </w:tc>
        <w:tc>
          <w:tcPr>
            <w:tcW w:w="1440" w:type="dxa"/>
          </w:tcPr>
          <w:p w:rsidR="000960F1" w:rsidRDefault="000960F1" w:rsidP="0018123F">
            <w:pPr>
              <w:keepLines/>
              <w:tabs>
                <w:tab w:val="left" w:pos="360"/>
                <w:tab w:val="left" w:pos="720"/>
              </w:tabs>
              <w:jc w:val="center"/>
              <w:rPr>
                <w:rFonts w:ascii="Helvetica" w:hAnsi="Helvetica"/>
                <w:sz w:val="18"/>
              </w:rPr>
            </w:pPr>
            <w:r>
              <w:rPr>
                <w:rFonts w:ascii="Helvetica" w:hAnsi="Helvetica"/>
                <w:sz w:val="18"/>
              </w:rPr>
              <w:t>105</w:t>
            </w:r>
          </w:p>
        </w:tc>
        <w:tc>
          <w:tcPr>
            <w:tcW w:w="1080" w:type="dxa"/>
          </w:tcPr>
          <w:p w:rsidR="000960F1" w:rsidRDefault="000960F1" w:rsidP="0018123F">
            <w:pPr>
              <w:keepLines/>
              <w:ind w:left="-468" w:right="372"/>
              <w:jc w:val="center"/>
              <w:rPr>
                <w:rFonts w:ascii="Helvetica" w:hAnsi="Helvetica"/>
                <w:sz w:val="18"/>
              </w:rPr>
            </w:pPr>
            <w:r>
              <w:rPr>
                <w:rFonts w:ascii="Helvetica" w:hAnsi="Helvetica"/>
                <w:sz w:val="18"/>
              </w:rPr>
              <w:t xml:space="preserve">             6</w:t>
            </w:r>
          </w:p>
        </w:tc>
        <w:tc>
          <w:tcPr>
            <w:tcW w:w="1440" w:type="dxa"/>
          </w:tcPr>
          <w:p w:rsidR="000960F1" w:rsidRDefault="000960F1" w:rsidP="0018123F">
            <w:pPr>
              <w:keepLines/>
              <w:ind w:left="-348" w:right="612"/>
              <w:jc w:val="center"/>
              <w:rPr>
                <w:rFonts w:ascii="Helvetica" w:hAnsi="Helvetica"/>
                <w:sz w:val="18"/>
              </w:rPr>
            </w:pPr>
            <w:r>
              <w:rPr>
                <w:rFonts w:ascii="Helvetica" w:hAnsi="Helvetica"/>
                <w:sz w:val="18"/>
              </w:rPr>
              <w:t xml:space="preserve">        630</w:t>
            </w:r>
          </w:p>
        </w:tc>
      </w:tr>
      <w:tr w:rsidR="0018123F" w:rsidTr="0018123F">
        <w:tc>
          <w:tcPr>
            <w:tcW w:w="3420" w:type="dxa"/>
          </w:tcPr>
          <w:p w:rsidR="0018123F" w:rsidRDefault="0018123F" w:rsidP="0018123F">
            <w:pPr>
              <w:keepLines/>
              <w:tabs>
                <w:tab w:val="left" w:pos="360"/>
                <w:tab w:val="left" w:pos="720"/>
              </w:tabs>
              <w:rPr>
                <w:rFonts w:ascii="Helvetica" w:hAnsi="Helvetica"/>
                <w:sz w:val="18"/>
              </w:rPr>
            </w:pPr>
            <w:r>
              <w:rPr>
                <w:rFonts w:ascii="Helvetica" w:hAnsi="Helvetica"/>
                <w:sz w:val="18"/>
              </w:rPr>
              <w:t>Rating factor 1</w:t>
            </w:r>
          </w:p>
        </w:tc>
        <w:tc>
          <w:tcPr>
            <w:tcW w:w="189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26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w:t>
            </w:r>
          </w:p>
        </w:tc>
        <w:tc>
          <w:tcPr>
            <w:tcW w:w="144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080" w:type="dxa"/>
          </w:tcPr>
          <w:p w:rsidR="0018123F" w:rsidRDefault="0018123F" w:rsidP="0018123F">
            <w:pPr>
              <w:keepLines/>
              <w:ind w:left="-228" w:right="252"/>
              <w:jc w:val="center"/>
              <w:rPr>
                <w:rFonts w:ascii="Helvetica" w:hAnsi="Helvetica"/>
                <w:sz w:val="18"/>
              </w:rPr>
            </w:pPr>
            <w:r>
              <w:rPr>
                <w:rFonts w:ascii="Helvetica" w:hAnsi="Helvetica"/>
                <w:sz w:val="18"/>
              </w:rPr>
              <w:t xml:space="preserve">  49  </w:t>
            </w:r>
          </w:p>
        </w:tc>
        <w:tc>
          <w:tcPr>
            <w:tcW w:w="1440" w:type="dxa"/>
          </w:tcPr>
          <w:p w:rsidR="0018123F" w:rsidRDefault="0018123F" w:rsidP="0018123F">
            <w:pPr>
              <w:keepLines/>
              <w:ind w:left="-108" w:right="492"/>
              <w:jc w:val="center"/>
              <w:rPr>
                <w:rFonts w:ascii="Helvetica" w:hAnsi="Helvetica"/>
                <w:sz w:val="18"/>
              </w:rPr>
            </w:pPr>
            <w:r>
              <w:rPr>
                <w:rFonts w:ascii="Helvetica" w:hAnsi="Helvetica"/>
                <w:sz w:val="18"/>
              </w:rPr>
              <w:t>200</w:t>
            </w:r>
          </w:p>
        </w:tc>
      </w:tr>
      <w:tr w:rsidR="0018123F" w:rsidTr="0018123F">
        <w:tc>
          <w:tcPr>
            <w:tcW w:w="3420" w:type="dxa"/>
          </w:tcPr>
          <w:p w:rsidR="0018123F" w:rsidRDefault="0018123F" w:rsidP="0018123F">
            <w:pPr>
              <w:keepLines/>
              <w:tabs>
                <w:tab w:val="left" w:pos="360"/>
                <w:tab w:val="left" w:pos="720"/>
              </w:tabs>
              <w:rPr>
                <w:rFonts w:ascii="Helvetica" w:hAnsi="Helvetica"/>
                <w:sz w:val="18"/>
              </w:rPr>
            </w:pPr>
            <w:r>
              <w:rPr>
                <w:rFonts w:ascii="Helvetica" w:hAnsi="Helvetica"/>
                <w:sz w:val="18"/>
              </w:rPr>
              <w:t>Rating factor 2</w:t>
            </w:r>
          </w:p>
        </w:tc>
        <w:tc>
          <w:tcPr>
            <w:tcW w:w="189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26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w:t>
            </w:r>
          </w:p>
        </w:tc>
        <w:tc>
          <w:tcPr>
            <w:tcW w:w="144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080" w:type="dxa"/>
          </w:tcPr>
          <w:p w:rsidR="0018123F" w:rsidRDefault="0018123F" w:rsidP="0018123F">
            <w:pPr>
              <w:keepLines/>
              <w:ind w:left="-228" w:right="252"/>
              <w:jc w:val="center"/>
              <w:rPr>
                <w:rFonts w:ascii="Helvetica" w:hAnsi="Helvetica"/>
                <w:sz w:val="18"/>
              </w:rPr>
            </w:pPr>
            <w:r>
              <w:rPr>
                <w:rFonts w:ascii="Helvetica" w:hAnsi="Helvetica"/>
                <w:sz w:val="18"/>
              </w:rPr>
              <w:t xml:space="preserve">       49</w:t>
            </w:r>
          </w:p>
        </w:tc>
        <w:tc>
          <w:tcPr>
            <w:tcW w:w="1440" w:type="dxa"/>
          </w:tcPr>
          <w:p w:rsidR="0018123F" w:rsidRDefault="0018123F" w:rsidP="0018123F">
            <w:pPr>
              <w:keepLines/>
              <w:ind w:left="-108" w:right="492"/>
              <w:jc w:val="center"/>
              <w:rPr>
                <w:rFonts w:ascii="Helvetica" w:hAnsi="Helvetica"/>
                <w:sz w:val="18"/>
              </w:rPr>
            </w:pPr>
            <w:r>
              <w:rPr>
                <w:rFonts w:ascii="Helvetica" w:hAnsi="Helvetica"/>
                <w:sz w:val="18"/>
              </w:rPr>
              <w:t>200</w:t>
            </w:r>
          </w:p>
        </w:tc>
      </w:tr>
      <w:tr w:rsidR="0018123F" w:rsidTr="0018123F">
        <w:tc>
          <w:tcPr>
            <w:tcW w:w="3420" w:type="dxa"/>
          </w:tcPr>
          <w:p w:rsidR="0018123F" w:rsidRDefault="0018123F" w:rsidP="0018123F">
            <w:pPr>
              <w:keepLines/>
              <w:tabs>
                <w:tab w:val="left" w:pos="360"/>
                <w:tab w:val="left" w:pos="720"/>
              </w:tabs>
              <w:rPr>
                <w:rFonts w:ascii="Helvetica" w:hAnsi="Helvetica"/>
                <w:sz w:val="18"/>
              </w:rPr>
            </w:pPr>
            <w:r>
              <w:rPr>
                <w:rFonts w:ascii="Helvetica" w:hAnsi="Helvetica"/>
                <w:sz w:val="18"/>
              </w:rPr>
              <w:t>Rating factor 3</w:t>
            </w:r>
          </w:p>
        </w:tc>
        <w:tc>
          <w:tcPr>
            <w:tcW w:w="189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26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w:t>
            </w:r>
          </w:p>
        </w:tc>
        <w:tc>
          <w:tcPr>
            <w:tcW w:w="144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080" w:type="dxa"/>
          </w:tcPr>
          <w:p w:rsidR="0018123F" w:rsidRDefault="0018123F" w:rsidP="0018123F">
            <w:pPr>
              <w:keepLines/>
              <w:ind w:left="-228" w:right="252"/>
              <w:jc w:val="center"/>
              <w:rPr>
                <w:rFonts w:ascii="Helvetica" w:hAnsi="Helvetica"/>
                <w:sz w:val="18"/>
              </w:rPr>
            </w:pPr>
            <w:r>
              <w:rPr>
                <w:rFonts w:ascii="Helvetica" w:hAnsi="Helvetica"/>
                <w:sz w:val="18"/>
              </w:rPr>
              <w:t xml:space="preserve">       49</w:t>
            </w:r>
          </w:p>
        </w:tc>
        <w:tc>
          <w:tcPr>
            <w:tcW w:w="1440" w:type="dxa"/>
          </w:tcPr>
          <w:p w:rsidR="0018123F" w:rsidRDefault="0018123F" w:rsidP="0018123F">
            <w:pPr>
              <w:keepLines/>
              <w:ind w:left="-108" w:right="492"/>
              <w:jc w:val="center"/>
              <w:rPr>
                <w:rFonts w:ascii="Helvetica" w:hAnsi="Helvetica"/>
                <w:sz w:val="18"/>
              </w:rPr>
            </w:pPr>
            <w:r>
              <w:rPr>
                <w:rFonts w:ascii="Helvetica" w:hAnsi="Helvetica"/>
                <w:sz w:val="18"/>
              </w:rPr>
              <w:t>200</w:t>
            </w:r>
          </w:p>
        </w:tc>
      </w:tr>
      <w:tr w:rsidR="0018123F" w:rsidTr="0018123F">
        <w:tc>
          <w:tcPr>
            <w:tcW w:w="3420" w:type="dxa"/>
          </w:tcPr>
          <w:p w:rsidR="0018123F" w:rsidRDefault="0018123F" w:rsidP="0018123F">
            <w:pPr>
              <w:keepLines/>
              <w:tabs>
                <w:tab w:val="left" w:pos="360"/>
                <w:tab w:val="left" w:pos="720"/>
              </w:tabs>
              <w:rPr>
                <w:rFonts w:ascii="Helvetica" w:hAnsi="Helvetica"/>
                <w:sz w:val="18"/>
              </w:rPr>
            </w:pPr>
            <w:r>
              <w:rPr>
                <w:rFonts w:ascii="Helvetica" w:hAnsi="Helvetica"/>
                <w:sz w:val="18"/>
              </w:rPr>
              <w:t>Rating factor 4</w:t>
            </w:r>
          </w:p>
        </w:tc>
        <w:tc>
          <w:tcPr>
            <w:tcW w:w="189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26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w:t>
            </w:r>
          </w:p>
        </w:tc>
        <w:tc>
          <w:tcPr>
            <w:tcW w:w="144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080" w:type="dxa"/>
          </w:tcPr>
          <w:p w:rsidR="0018123F" w:rsidRDefault="0018123F" w:rsidP="0018123F">
            <w:pPr>
              <w:keepLines/>
              <w:ind w:left="-228" w:right="252"/>
              <w:jc w:val="center"/>
              <w:rPr>
                <w:rFonts w:ascii="Helvetica" w:hAnsi="Helvetica"/>
                <w:sz w:val="18"/>
              </w:rPr>
            </w:pPr>
            <w:r>
              <w:rPr>
                <w:rFonts w:ascii="Helvetica" w:hAnsi="Helvetica"/>
                <w:sz w:val="18"/>
              </w:rPr>
              <w:t xml:space="preserve">       49</w:t>
            </w:r>
          </w:p>
        </w:tc>
        <w:tc>
          <w:tcPr>
            <w:tcW w:w="1440" w:type="dxa"/>
          </w:tcPr>
          <w:p w:rsidR="0018123F" w:rsidRDefault="0018123F" w:rsidP="0018123F">
            <w:pPr>
              <w:keepLines/>
              <w:ind w:left="-108" w:right="492"/>
              <w:jc w:val="center"/>
              <w:rPr>
                <w:rFonts w:ascii="Helvetica" w:hAnsi="Helvetica"/>
                <w:sz w:val="18"/>
              </w:rPr>
            </w:pPr>
            <w:r>
              <w:rPr>
                <w:rFonts w:ascii="Helvetica" w:hAnsi="Helvetica"/>
                <w:sz w:val="18"/>
              </w:rPr>
              <w:t>200</w:t>
            </w:r>
          </w:p>
        </w:tc>
      </w:tr>
      <w:tr w:rsidR="0018123F" w:rsidTr="0018123F">
        <w:trPr>
          <w:trHeight w:val="377"/>
        </w:trPr>
        <w:tc>
          <w:tcPr>
            <w:tcW w:w="3420" w:type="dxa"/>
          </w:tcPr>
          <w:p w:rsidR="0018123F" w:rsidRDefault="0018123F" w:rsidP="0018123F">
            <w:pPr>
              <w:keepLines/>
              <w:tabs>
                <w:tab w:val="left" w:pos="360"/>
                <w:tab w:val="left" w:pos="720"/>
              </w:tabs>
              <w:rPr>
                <w:rFonts w:ascii="Helvetica" w:hAnsi="Helvetica"/>
                <w:sz w:val="18"/>
              </w:rPr>
            </w:pPr>
            <w:r>
              <w:rPr>
                <w:rFonts w:ascii="Helvetica" w:hAnsi="Helvetica"/>
                <w:sz w:val="18"/>
              </w:rPr>
              <w:t>Subtotal (Application)</w:t>
            </w:r>
          </w:p>
        </w:tc>
        <w:tc>
          <w:tcPr>
            <w:tcW w:w="189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26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w:t>
            </w:r>
          </w:p>
        </w:tc>
        <w:tc>
          <w:tcPr>
            <w:tcW w:w="144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105</w:t>
            </w:r>
          </w:p>
        </w:tc>
        <w:tc>
          <w:tcPr>
            <w:tcW w:w="1080" w:type="dxa"/>
          </w:tcPr>
          <w:p w:rsidR="0018123F" w:rsidRDefault="0018123F" w:rsidP="0018123F">
            <w:pPr>
              <w:keepLines/>
              <w:ind w:left="-468" w:right="372"/>
              <w:jc w:val="center"/>
              <w:rPr>
                <w:rFonts w:ascii="Helvetica" w:hAnsi="Helvetica"/>
                <w:sz w:val="18"/>
              </w:rPr>
            </w:pPr>
            <w:r>
              <w:rPr>
                <w:rFonts w:ascii="Helvetica" w:hAnsi="Helvetica"/>
                <w:sz w:val="18"/>
              </w:rPr>
              <w:t xml:space="preserve">             200</w:t>
            </w:r>
          </w:p>
          <w:p w:rsidR="0018123F" w:rsidRDefault="0018123F" w:rsidP="0018123F">
            <w:pPr>
              <w:keepLines/>
              <w:ind w:left="-468" w:right="372"/>
              <w:rPr>
                <w:rFonts w:ascii="Helvetica" w:hAnsi="Helvetica"/>
                <w:sz w:val="18"/>
              </w:rPr>
            </w:pPr>
          </w:p>
        </w:tc>
        <w:tc>
          <w:tcPr>
            <w:tcW w:w="1440" w:type="dxa"/>
          </w:tcPr>
          <w:p w:rsidR="0018123F" w:rsidRDefault="0018123F" w:rsidP="0018123F">
            <w:pPr>
              <w:keepLines/>
              <w:ind w:left="-348" w:right="612"/>
              <w:jc w:val="center"/>
              <w:rPr>
                <w:rFonts w:ascii="Helvetica" w:hAnsi="Helvetica"/>
                <w:sz w:val="18"/>
              </w:rPr>
            </w:pPr>
            <w:r>
              <w:rPr>
                <w:rFonts w:ascii="Helvetica" w:hAnsi="Helvetica"/>
                <w:sz w:val="18"/>
              </w:rPr>
              <w:t xml:space="preserve">        21000</w:t>
            </w:r>
          </w:p>
        </w:tc>
      </w:tr>
      <w:tr w:rsidR="0018123F" w:rsidTr="0018123F">
        <w:tc>
          <w:tcPr>
            <w:tcW w:w="3420" w:type="dxa"/>
          </w:tcPr>
          <w:p w:rsidR="0018123F" w:rsidRDefault="0018123F" w:rsidP="0018123F">
            <w:pPr>
              <w:keepLines/>
              <w:tabs>
                <w:tab w:val="left" w:pos="360"/>
                <w:tab w:val="left" w:pos="720"/>
              </w:tabs>
              <w:rPr>
                <w:rFonts w:ascii="Helvetica" w:hAnsi="Helvetica"/>
                <w:sz w:val="18"/>
              </w:rPr>
            </w:pPr>
            <w:r>
              <w:rPr>
                <w:rFonts w:ascii="Helvetica" w:hAnsi="Helvetica"/>
                <w:sz w:val="18"/>
              </w:rPr>
              <w:t>Quarterly Reports</w:t>
            </w:r>
          </w:p>
        </w:tc>
        <w:tc>
          <w:tcPr>
            <w:tcW w:w="189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45</w:t>
            </w:r>
          </w:p>
        </w:tc>
        <w:tc>
          <w:tcPr>
            <w:tcW w:w="126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4</w:t>
            </w:r>
          </w:p>
        </w:tc>
        <w:tc>
          <w:tcPr>
            <w:tcW w:w="144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180</w:t>
            </w:r>
          </w:p>
        </w:tc>
        <w:tc>
          <w:tcPr>
            <w:tcW w:w="1080" w:type="dxa"/>
          </w:tcPr>
          <w:p w:rsidR="0018123F" w:rsidRDefault="0018123F" w:rsidP="0018123F">
            <w:pPr>
              <w:keepLines/>
              <w:ind w:left="-468" w:right="372"/>
              <w:jc w:val="center"/>
              <w:rPr>
                <w:rFonts w:ascii="Helvetica" w:hAnsi="Helvetica"/>
                <w:sz w:val="18"/>
              </w:rPr>
            </w:pPr>
            <w:r>
              <w:rPr>
                <w:rFonts w:ascii="Helvetica" w:hAnsi="Helvetica"/>
                <w:sz w:val="18"/>
              </w:rPr>
              <w:t xml:space="preserve">     72</w:t>
            </w:r>
          </w:p>
        </w:tc>
        <w:tc>
          <w:tcPr>
            <w:tcW w:w="1440" w:type="dxa"/>
          </w:tcPr>
          <w:p w:rsidR="0018123F" w:rsidRDefault="0018123F" w:rsidP="0018123F">
            <w:pPr>
              <w:keepLines/>
              <w:ind w:left="-348" w:right="612"/>
              <w:jc w:val="center"/>
              <w:rPr>
                <w:rFonts w:ascii="Helvetica" w:hAnsi="Helvetica"/>
                <w:sz w:val="18"/>
              </w:rPr>
            </w:pPr>
            <w:r>
              <w:rPr>
                <w:rFonts w:ascii="Helvetica" w:hAnsi="Helvetica"/>
                <w:sz w:val="18"/>
              </w:rPr>
              <w:t xml:space="preserve">        12960</w:t>
            </w:r>
          </w:p>
        </w:tc>
      </w:tr>
      <w:tr w:rsidR="0018123F" w:rsidTr="0018123F">
        <w:tc>
          <w:tcPr>
            <w:tcW w:w="3420" w:type="dxa"/>
          </w:tcPr>
          <w:p w:rsidR="0018123F" w:rsidRDefault="0018123F" w:rsidP="0018123F">
            <w:pPr>
              <w:keepLines/>
              <w:tabs>
                <w:tab w:val="left" w:pos="360"/>
                <w:tab w:val="left" w:pos="720"/>
              </w:tabs>
              <w:rPr>
                <w:rFonts w:ascii="Helvetica" w:hAnsi="Helvetica"/>
                <w:sz w:val="18"/>
              </w:rPr>
            </w:pPr>
            <w:r>
              <w:rPr>
                <w:rFonts w:ascii="Helvetica" w:hAnsi="Helvetica"/>
                <w:sz w:val="18"/>
              </w:rPr>
              <w:t>Final Reports</w:t>
            </w:r>
          </w:p>
        </w:tc>
        <w:tc>
          <w:tcPr>
            <w:tcW w:w="189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15</w:t>
            </w:r>
          </w:p>
        </w:tc>
        <w:tc>
          <w:tcPr>
            <w:tcW w:w="126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w:t>
            </w:r>
          </w:p>
        </w:tc>
        <w:tc>
          <w:tcPr>
            <w:tcW w:w="144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15</w:t>
            </w:r>
          </w:p>
        </w:tc>
        <w:tc>
          <w:tcPr>
            <w:tcW w:w="1080" w:type="dxa"/>
          </w:tcPr>
          <w:p w:rsidR="0018123F" w:rsidRDefault="0018123F" w:rsidP="0018123F">
            <w:pPr>
              <w:keepLines/>
              <w:ind w:left="-468" w:right="372"/>
              <w:jc w:val="center"/>
              <w:rPr>
                <w:rFonts w:ascii="Helvetica" w:hAnsi="Helvetica"/>
                <w:sz w:val="18"/>
              </w:rPr>
            </w:pPr>
            <w:r>
              <w:rPr>
                <w:rFonts w:ascii="Helvetica" w:hAnsi="Helvetica"/>
                <w:sz w:val="18"/>
              </w:rPr>
              <w:t>60</w:t>
            </w:r>
          </w:p>
        </w:tc>
        <w:tc>
          <w:tcPr>
            <w:tcW w:w="1440" w:type="dxa"/>
          </w:tcPr>
          <w:p w:rsidR="0018123F" w:rsidRDefault="0018123F" w:rsidP="0018123F">
            <w:pPr>
              <w:keepLines/>
              <w:ind w:left="-348" w:right="612"/>
              <w:jc w:val="center"/>
              <w:rPr>
                <w:rFonts w:ascii="Helvetica" w:hAnsi="Helvetica"/>
                <w:sz w:val="18"/>
              </w:rPr>
            </w:pPr>
            <w:r>
              <w:rPr>
                <w:rFonts w:ascii="Helvetica" w:hAnsi="Helvetica"/>
                <w:sz w:val="18"/>
              </w:rPr>
              <w:t xml:space="preserve">        9 00</w:t>
            </w:r>
          </w:p>
        </w:tc>
      </w:tr>
      <w:tr w:rsidR="0018123F" w:rsidTr="0018123F">
        <w:tc>
          <w:tcPr>
            <w:tcW w:w="3420" w:type="dxa"/>
          </w:tcPr>
          <w:p w:rsidR="0018123F" w:rsidRDefault="0018123F" w:rsidP="0018123F">
            <w:pPr>
              <w:keepLines/>
              <w:tabs>
                <w:tab w:val="left" w:pos="360"/>
                <w:tab w:val="left" w:pos="720"/>
              </w:tabs>
              <w:rPr>
                <w:rFonts w:ascii="Helvetica" w:hAnsi="Helvetica"/>
                <w:sz w:val="18"/>
              </w:rPr>
            </w:pPr>
            <w:r>
              <w:rPr>
                <w:rFonts w:ascii="Helvetica" w:hAnsi="Helvetica"/>
                <w:sz w:val="18"/>
              </w:rPr>
              <w:t>Record keeping</w:t>
            </w:r>
          </w:p>
        </w:tc>
        <w:tc>
          <w:tcPr>
            <w:tcW w:w="189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45</w:t>
            </w:r>
          </w:p>
        </w:tc>
        <w:tc>
          <w:tcPr>
            <w:tcW w:w="1260" w:type="dxa"/>
          </w:tcPr>
          <w:p w:rsidR="0018123F" w:rsidRDefault="0018123F" w:rsidP="0018123F">
            <w:pPr>
              <w:keepLines/>
              <w:tabs>
                <w:tab w:val="left" w:pos="360"/>
                <w:tab w:val="left" w:pos="720"/>
              </w:tabs>
              <w:jc w:val="center"/>
              <w:rPr>
                <w:rFonts w:ascii="Helvetica" w:hAnsi="Helvetica"/>
                <w:sz w:val="18"/>
              </w:rPr>
            </w:pPr>
          </w:p>
        </w:tc>
        <w:tc>
          <w:tcPr>
            <w:tcW w:w="1440" w:type="dxa"/>
          </w:tcPr>
          <w:p w:rsidR="0018123F" w:rsidRDefault="0018123F" w:rsidP="0018123F">
            <w:pPr>
              <w:keepLines/>
              <w:tabs>
                <w:tab w:val="left" w:pos="360"/>
                <w:tab w:val="left" w:pos="720"/>
              </w:tabs>
              <w:jc w:val="center"/>
              <w:rPr>
                <w:rFonts w:ascii="Helvetica" w:hAnsi="Helvetica"/>
                <w:sz w:val="18"/>
              </w:rPr>
            </w:pPr>
            <w:r>
              <w:rPr>
                <w:rFonts w:ascii="Helvetica" w:hAnsi="Helvetica"/>
                <w:sz w:val="18"/>
              </w:rPr>
              <w:t>24</w:t>
            </w:r>
          </w:p>
        </w:tc>
        <w:tc>
          <w:tcPr>
            <w:tcW w:w="1080" w:type="dxa"/>
          </w:tcPr>
          <w:p w:rsidR="0018123F" w:rsidRDefault="0018123F" w:rsidP="0018123F">
            <w:pPr>
              <w:keepLines/>
              <w:ind w:left="-468" w:right="372"/>
              <w:jc w:val="center"/>
              <w:rPr>
                <w:rFonts w:ascii="Helvetica" w:hAnsi="Helvetica"/>
                <w:sz w:val="18"/>
              </w:rPr>
            </w:pPr>
            <w:r>
              <w:rPr>
                <w:rFonts w:ascii="Helvetica" w:hAnsi="Helvetica"/>
                <w:sz w:val="18"/>
              </w:rPr>
              <w:t>24</w:t>
            </w:r>
          </w:p>
        </w:tc>
        <w:tc>
          <w:tcPr>
            <w:tcW w:w="1440" w:type="dxa"/>
          </w:tcPr>
          <w:p w:rsidR="0018123F" w:rsidRDefault="0018123F" w:rsidP="0018123F">
            <w:pPr>
              <w:keepLines/>
              <w:ind w:left="-348" w:right="612"/>
              <w:jc w:val="center"/>
              <w:rPr>
                <w:rFonts w:ascii="Helvetica" w:hAnsi="Helvetica"/>
                <w:sz w:val="18"/>
              </w:rPr>
            </w:pPr>
            <w:r>
              <w:rPr>
                <w:rFonts w:ascii="Helvetica" w:hAnsi="Helvetica"/>
                <w:sz w:val="18"/>
              </w:rPr>
              <w:t xml:space="preserve">      1080</w:t>
            </w:r>
          </w:p>
        </w:tc>
      </w:tr>
      <w:tr w:rsidR="0018123F" w:rsidTr="0018123F">
        <w:tc>
          <w:tcPr>
            <w:tcW w:w="3420" w:type="dxa"/>
          </w:tcPr>
          <w:p w:rsidR="0018123F" w:rsidRDefault="0018123F" w:rsidP="0018123F">
            <w:pPr>
              <w:keepLines/>
              <w:tabs>
                <w:tab w:val="left" w:pos="360"/>
                <w:tab w:val="left" w:pos="720"/>
              </w:tabs>
              <w:rPr>
                <w:rFonts w:ascii="Helvetica" w:hAnsi="Helvetica"/>
                <w:sz w:val="18"/>
              </w:rPr>
            </w:pPr>
            <w:r>
              <w:rPr>
                <w:rFonts w:ascii="Helvetica" w:hAnsi="Helvetica"/>
                <w:sz w:val="18"/>
              </w:rPr>
              <w:t>Total</w:t>
            </w:r>
          </w:p>
        </w:tc>
        <w:tc>
          <w:tcPr>
            <w:tcW w:w="1890" w:type="dxa"/>
          </w:tcPr>
          <w:p w:rsidR="0018123F" w:rsidRDefault="000960F1" w:rsidP="0018123F">
            <w:pPr>
              <w:keepLines/>
              <w:tabs>
                <w:tab w:val="left" w:pos="360"/>
                <w:tab w:val="left" w:pos="720"/>
              </w:tabs>
              <w:jc w:val="center"/>
              <w:rPr>
                <w:rFonts w:ascii="Helvetica" w:hAnsi="Helvetica"/>
                <w:b/>
                <w:bCs/>
                <w:sz w:val="18"/>
              </w:rPr>
            </w:pPr>
            <w:r>
              <w:rPr>
                <w:rFonts w:ascii="Helvetica" w:hAnsi="Helvetica"/>
                <w:b/>
                <w:bCs/>
                <w:sz w:val="18"/>
              </w:rPr>
              <w:t>105</w:t>
            </w:r>
          </w:p>
        </w:tc>
        <w:tc>
          <w:tcPr>
            <w:tcW w:w="1260" w:type="dxa"/>
          </w:tcPr>
          <w:p w:rsidR="0018123F" w:rsidRDefault="0018123F" w:rsidP="0018123F">
            <w:pPr>
              <w:keepLines/>
              <w:tabs>
                <w:tab w:val="left" w:pos="360"/>
                <w:tab w:val="left" w:pos="720"/>
              </w:tabs>
              <w:jc w:val="center"/>
              <w:rPr>
                <w:rFonts w:ascii="Helvetica" w:hAnsi="Helvetica"/>
                <w:b/>
                <w:bCs/>
                <w:sz w:val="18"/>
              </w:rPr>
            </w:pPr>
          </w:p>
        </w:tc>
        <w:tc>
          <w:tcPr>
            <w:tcW w:w="1440" w:type="dxa"/>
          </w:tcPr>
          <w:p w:rsidR="0018123F" w:rsidRDefault="00096074" w:rsidP="0018123F">
            <w:pPr>
              <w:keepLines/>
              <w:tabs>
                <w:tab w:val="left" w:pos="360"/>
                <w:tab w:val="left" w:pos="720"/>
              </w:tabs>
              <w:jc w:val="center"/>
              <w:rPr>
                <w:rFonts w:ascii="Helvetica" w:hAnsi="Helvetica"/>
                <w:b/>
                <w:bCs/>
                <w:sz w:val="18"/>
              </w:rPr>
            </w:pPr>
            <w:r>
              <w:rPr>
                <w:rFonts w:ascii="Helvetica" w:hAnsi="Helvetica"/>
                <w:b/>
                <w:bCs/>
                <w:sz w:val="18"/>
              </w:rPr>
              <w:t>325</w:t>
            </w:r>
          </w:p>
        </w:tc>
        <w:tc>
          <w:tcPr>
            <w:tcW w:w="1080" w:type="dxa"/>
          </w:tcPr>
          <w:p w:rsidR="0018123F" w:rsidRPr="00FC6E61" w:rsidRDefault="00CF058B" w:rsidP="00CF058B">
            <w:pPr>
              <w:keepLines/>
              <w:ind w:left="-228" w:right="252"/>
              <w:jc w:val="center"/>
              <w:rPr>
                <w:rFonts w:ascii="Helvetica" w:hAnsi="Helvetica"/>
                <w:bCs/>
                <w:sz w:val="18"/>
              </w:rPr>
            </w:pPr>
            <w:r>
              <w:rPr>
                <w:rFonts w:ascii="Helvetica" w:hAnsi="Helvetica"/>
                <w:b/>
                <w:bCs/>
                <w:sz w:val="18"/>
              </w:rPr>
              <w:t>562</w:t>
            </w:r>
          </w:p>
        </w:tc>
        <w:tc>
          <w:tcPr>
            <w:tcW w:w="1440" w:type="dxa"/>
          </w:tcPr>
          <w:p w:rsidR="0018123F" w:rsidRPr="009A2791" w:rsidRDefault="00FC6E61" w:rsidP="00FC6E61">
            <w:pPr>
              <w:keepLines/>
              <w:ind w:left="-348" w:right="612"/>
              <w:jc w:val="center"/>
              <w:rPr>
                <w:rFonts w:ascii="Helvetica" w:hAnsi="Helvetica"/>
                <w:b/>
                <w:bCs/>
                <w:sz w:val="18"/>
              </w:rPr>
            </w:pPr>
            <w:r w:rsidRPr="009A2791">
              <w:rPr>
                <w:rFonts w:ascii="Helvetica" w:hAnsi="Helvetica"/>
                <w:b/>
                <w:bCs/>
                <w:sz w:val="18"/>
              </w:rPr>
              <w:t xml:space="preserve">      37790</w:t>
            </w:r>
            <w:r w:rsidR="0018123F" w:rsidRPr="009A2791">
              <w:rPr>
                <w:rFonts w:ascii="Helvetica" w:hAnsi="Helvetica"/>
                <w:b/>
                <w:bCs/>
                <w:sz w:val="18"/>
              </w:rPr>
              <w:t xml:space="preserve"> </w:t>
            </w:r>
          </w:p>
        </w:tc>
      </w:tr>
    </w:tbl>
    <w:p w:rsidR="0018123F" w:rsidRDefault="0018123F" w:rsidP="0018123F">
      <w:pPr>
        <w:keepLines/>
        <w:tabs>
          <w:tab w:val="left" w:pos="0"/>
        </w:tabs>
      </w:pPr>
    </w:p>
    <w:p w:rsidR="00E3227A" w:rsidRDefault="00CF49B9" w:rsidP="0018123F">
      <w:pPr>
        <w:keepLines/>
        <w:tabs>
          <w:tab w:val="left" w:pos="0"/>
        </w:tabs>
      </w:pPr>
      <w:r>
        <w:t>13. None</w:t>
      </w:r>
    </w:p>
    <w:p w:rsidR="0018123F" w:rsidRPr="006E5215" w:rsidRDefault="0018123F" w:rsidP="0018123F">
      <w:pPr>
        <w:keepLines/>
        <w:tabs>
          <w:tab w:val="left" w:pos="0"/>
        </w:tabs>
      </w:pPr>
      <w:r>
        <w:t xml:space="preserve">14.  </w:t>
      </w:r>
      <w:r w:rsidRPr="006E5215">
        <w:t>1) Pre-Award.</w:t>
      </w:r>
    </w:p>
    <w:p w:rsidR="0018123F" w:rsidRPr="006E5215" w:rsidRDefault="0018123F" w:rsidP="0018123F">
      <w:pPr>
        <w:keepLines/>
        <w:tabs>
          <w:tab w:val="left" w:pos="360"/>
          <w:tab w:val="left" w:pos="720"/>
        </w:tabs>
      </w:pPr>
      <w:r w:rsidRPr="006E5215">
        <w:t>Approximately 105 applications are expected to be received annually.  Each</w:t>
      </w:r>
      <w:r>
        <w:t xml:space="preserve"> application goes through a threshold review which takes one hour to conduct.  This review is conducted by two </w:t>
      </w:r>
      <w:r w:rsidRPr="006E5215">
        <w:t>persons, having an ave</w:t>
      </w:r>
      <w:r>
        <w:t>rage grade of GS-14 at an hourly rate of $45.00</w:t>
      </w:r>
      <w:r w:rsidRPr="006E5215">
        <w:t xml:space="preserve">.  Thus the annual review </w:t>
      </w:r>
      <w:r>
        <w:t xml:space="preserve">process takes approximately 210 </w:t>
      </w:r>
      <w:r w:rsidRPr="006E5215">
        <w:t>staff hours.  The computation is as follows: 105 applicatio</w:t>
      </w:r>
      <w:r>
        <w:t>ns x 2 persons x 1 hours x $45.00 = $9,450</w:t>
      </w:r>
      <w:r w:rsidRPr="006E5215">
        <w:t>.</w:t>
      </w:r>
    </w:p>
    <w:p w:rsidR="0018123F" w:rsidRDefault="0018123F" w:rsidP="0018123F">
      <w:pPr>
        <w:keepLines/>
        <w:tabs>
          <w:tab w:val="left" w:pos="360"/>
          <w:tab w:val="left" w:pos="720"/>
        </w:tabs>
      </w:pPr>
    </w:p>
    <w:p w:rsidR="0018123F" w:rsidRDefault="0018123F" w:rsidP="0018123F">
      <w:pPr>
        <w:keepLines/>
        <w:tabs>
          <w:tab w:val="left" w:pos="360"/>
          <w:tab w:val="left" w:pos="720"/>
        </w:tabs>
      </w:pPr>
    </w:p>
    <w:p w:rsidR="0018123F" w:rsidRPr="006E5215" w:rsidRDefault="0018123F" w:rsidP="0018123F">
      <w:pPr>
        <w:keepLines/>
        <w:tabs>
          <w:tab w:val="left" w:pos="360"/>
          <w:tab w:val="left" w:pos="720"/>
        </w:tabs>
      </w:pPr>
      <w:r w:rsidRPr="006E5215">
        <w:lastRenderedPageBreak/>
        <w:t>2) Post-Award</w:t>
      </w:r>
    </w:p>
    <w:p w:rsidR="0018123F" w:rsidRPr="006E5215" w:rsidRDefault="0018123F" w:rsidP="0018123F">
      <w:pPr>
        <w:keepLines/>
        <w:tabs>
          <w:tab w:val="left" w:pos="360"/>
          <w:tab w:val="left" w:pos="720"/>
        </w:tabs>
      </w:pPr>
      <w:r w:rsidRPr="006E5215">
        <w:t>HUD will award approxima</w:t>
      </w:r>
      <w:r>
        <w:t>tely 1</w:t>
      </w:r>
      <w:r w:rsidRPr="006E5215">
        <w:t>5 grants pursuant to each annual Notice of Fu</w:t>
      </w:r>
      <w:r>
        <w:t xml:space="preserve">nding Availability.  With quarterly </w:t>
      </w:r>
      <w:r w:rsidRPr="006E5215">
        <w:t>r</w:t>
      </w:r>
      <w:r>
        <w:t xml:space="preserve">eporting, HUD will now receive 180 </w:t>
      </w:r>
      <w:r w:rsidRPr="006E5215">
        <w:t xml:space="preserve">quarterly </w:t>
      </w:r>
      <w:r>
        <w:t xml:space="preserve">progress and </w:t>
      </w:r>
      <w:r w:rsidRPr="006E5215">
        <w:t>financial reports each funding cycle, requiring a total review time of 3 hours per grant p</w:t>
      </w:r>
      <w:r>
        <w:t>er report, for a total of 540 hour.  Assuming a GS-14</w:t>
      </w:r>
      <w:r w:rsidRPr="006E5215">
        <w:t xml:space="preserve"> conducts the reviews, the cost is c</w:t>
      </w:r>
      <w:r>
        <w:t>omputed as follows: 3 hours x 180 reports x $45.00 an hour = $24,300</w:t>
      </w:r>
      <w:r w:rsidRPr="006E5215">
        <w:t>.</w:t>
      </w:r>
      <w:r w:rsidRPr="006E5215">
        <w:t> </w:t>
      </w:r>
    </w:p>
    <w:p w:rsidR="00E3227A" w:rsidRDefault="00E3227A" w:rsidP="00E3227A">
      <w:pPr>
        <w:keepLines/>
        <w:tabs>
          <w:tab w:val="left" w:pos="360"/>
          <w:tab w:val="left" w:pos="720"/>
        </w:tabs>
      </w:pPr>
      <w:r>
        <w:t xml:space="preserve">15. </w:t>
      </w:r>
      <w:r w:rsidR="00AB1E93">
        <w:t xml:space="preserve"> Grant Progress Report, </w:t>
      </w:r>
      <w:r w:rsidR="00B276C4">
        <w:t>HUD Form 40077 (OMB Approval No. 2528-0198) has been added to this collection.</w:t>
      </w:r>
      <w:r>
        <w:t xml:space="preserve">  This form will provide grantees with the form</w:t>
      </w:r>
      <w:r w:rsidR="00B276C4">
        <w:t>at to report their progress.  HUD</w:t>
      </w:r>
      <w:r>
        <w:t xml:space="preserve"> will not be requesting any additional information, but will be </w:t>
      </w:r>
      <w:r w:rsidR="00B276C4">
        <w:t>acquiring</w:t>
      </w:r>
      <w:r w:rsidR="00CF49B9">
        <w:t xml:space="preserve"> the same information in a </w:t>
      </w:r>
      <w:r>
        <w:t>structured format</w:t>
      </w:r>
      <w:r w:rsidR="00B276C4">
        <w:t>.</w:t>
      </w:r>
    </w:p>
    <w:p w:rsidR="00E3227A" w:rsidRDefault="00E3227A" w:rsidP="00E3227A">
      <w:pPr>
        <w:keepLines/>
        <w:tabs>
          <w:tab w:val="left" w:pos="360"/>
          <w:tab w:val="left" w:pos="720"/>
        </w:tabs>
      </w:pPr>
      <w:r>
        <w:t>16. Not applicable</w:t>
      </w:r>
    </w:p>
    <w:p w:rsidR="00E3227A" w:rsidRDefault="00E3227A" w:rsidP="00E3227A">
      <w:pPr>
        <w:keepLines/>
        <w:tabs>
          <w:tab w:val="left" w:pos="360"/>
          <w:tab w:val="left" w:pos="720"/>
        </w:tabs>
        <w:rPr>
          <w:noProof/>
        </w:rPr>
      </w:pPr>
      <w:r>
        <w:t xml:space="preserve">17. </w:t>
      </w:r>
      <w:r>
        <w:rPr>
          <w:noProof/>
        </w:rPr>
        <w:t>No such approval is sought</w:t>
      </w:r>
    </w:p>
    <w:p w:rsidR="00E3227A" w:rsidRDefault="0018123F" w:rsidP="00E3227A">
      <w:pPr>
        <w:keepLines/>
        <w:tabs>
          <w:tab w:val="left" w:pos="360"/>
          <w:tab w:val="left" w:pos="720"/>
        </w:tabs>
      </w:pPr>
      <w:r>
        <w:t>18</w:t>
      </w:r>
      <w:r w:rsidR="00E3227A">
        <w:t>. None requested.</w:t>
      </w:r>
    </w:p>
    <w:p w:rsidR="00E3227A" w:rsidRPr="00E3227A" w:rsidRDefault="00E3227A" w:rsidP="00E3227A">
      <w:pPr>
        <w:keepLines/>
        <w:tabs>
          <w:tab w:val="left" w:pos="360"/>
          <w:tab w:val="left" w:pos="720"/>
        </w:tabs>
      </w:pPr>
      <w:r>
        <w:t>B.  None</w:t>
      </w:r>
    </w:p>
    <w:sectPr w:rsidR="00E3227A" w:rsidRPr="00E3227A" w:rsidSect="005B17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83285"/>
    <w:multiLevelType w:val="hybridMultilevel"/>
    <w:tmpl w:val="1E062C38"/>
    <w:lvl w:ilvl="0" w:tplc="91223CC8">
      <w:start w:val="1"/>
      <w:numFmt w:val="decimal"/>
      <w:lvlText w:val="%1."/>
      <w:lvlJc w:val="left"/>
      <w:pPr>
        <w:ind w:left="720" w:hanging="360"/>
      </w:pPr>
      <w:rPr>
        <w:rFonts w:ascii="Helvetica" w:hAnsi="Helvetic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6D3F20"/>
    <w:multiLevelType w:val="hybridMultilevel"/>
    <w:tmpl w:val="1B0E5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9046C2"/>
    <w:multiLevelType w:val="singleLevel"/>
    <w:tmpl w:val="9C6C837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56ED03A9"/>
    <w:multiLevelType w:val="hybridMultilevel"/>
    <w:tmpl w:val="2AC073D4"/>
    <w:lvl w:ilvl="0" w:tplc="502874C6">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0917"/>
    <w:rsid w:val="000133E8"/>
    <w:rsid w:val="00096074"/>
    <w:rsid w:val="000960F1"/>
    <w:rsid w:val="000B1D22"/>
    <w:rsid w:val="000C6C79"/>
    <w:rsid w:val="000D479C"/>
    <w:rsid w:val="000D5223"/>
    <w:rsid w:val="000E6961"/>
    <w:rsid w:val="0012773B"/>
    <w:rsid w:val="0018123F"/>
    <w:rsid w:val="002C7AD6"/>
    <w:rsid w:val="002D693E"/>
    <w:rsid w:val="002E7228"/>
    <w:rsid w:val="002E7E1B"/>
    <w:rsid w:val="003115E4"/>
    <w:rsid w:val="003B419B"/>
    <w:rsid w:val="003E6619"/>
    <w:rsid w:val="00420D75"/>
    <w:rsid w:val="004566E3"/>
    <w:rsid w:val="00481F72"/>
    <w:rsid w:val="004B586C"/>
    <w:rsid w:val="00516325"/>
    <w:rsid w:val="00535F7B"/>
    <w:rsid w:val="00536C5D"/>
    <w:rsid w:val="005629D3"/>
    <w:rsid w:val="005A64B3"/>
    <w:rsid w:val="005B1766"/>
    <w:rsid w:val="005C5F73"/>
    <w:rsid w:val="006E6364"/>
    <w:rsid w:val="007139F1"/>
    <w:rsid w:val="008A0757"/>
    <w:rsid w:val="008A2B62"/>
    <w:rsid w:val="008A4F1F"/>
    <w:rsid w:val="008B0917"/>
    <w:rsid w:val="008D04E3"/>
    <w:rsid w:val="009226D1"/>
    <w:rsid w:val="009A2791"/>
    <w:rsid w:val="009A327A"/>
    <w:rsid w:val="009A3308"/>
    <w:rsid w:val="009A5D43"/>
    <w:rsid w:val="00A86405"/>
    <w:rsid w:val="00AB1E93"/>
    <w:rsid w:val="00B276C4"/>
    <w:rsid w:val="00B73388"/>
    <w:rsid w:val="00B83559"/>
    <w:rsid w:val="00BC7D52"/>
    <w:rsid w:val="00BE7D4C"/>
    <w:rsid w:val="00C165A9"/>
    <w:rsid w:val="00C952B0"/>
    <w:rsid w:val="00CF058B"/>
    <w:rsid w:val="00CF49B9"/>
    <w:rsid w:val="00D14D18"/>
    <w:rsid w:val="00E17BBC"/>
    <w:rsid w:val="00E3227A"/>
    <w:rsid w:val="00EF3F7C"/>
    <w:rsid w:val="00F25C2F"/>
    <w:rsid w:val="00F67038"/>
    <w:rsid w:val="00F95B5B"/>
    <w:rsid w:val="00FC6E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7A"/>
    <w:pPr>
      <w:ind w:left="720"/>
      <w:contextualSpacing/>
    </w:pPr>
  </w:style>
  <w:style w:type="paragraph" w:styleId="Header">
    <w:name w:val="header"/>
    <w:basedOn w:val="Normal"/>
    <w:link w:val="HeaderChar"/>
    <w:semiHidden/>
    <w:rsid w:val="00E3227A"/>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E3227A"/>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h17799</dc:creator>
  <cp:keywords/>
  <dc:description/>
  <cp:lastModifiedBy>H45351</cp:lastModifiedBy>
  <cp:revision>6</cp:revision>
  <dcterms:created xsi:type="dcterms:W3CDTF">2010-08-18T13:54:00Z</dcterms:created>
  <dcterms:modified xsi:type="dcterms:W3CDTF">2010-08-18T14:10:00Z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449738843</vt:i4>
  </property>
  <property fmtid="{D5CDD505-2E9C-101B-9397-08002B2CF9AE}" pid="3" name="_NewReviewCycle">
    <vt:lpwstr/>
  </property>
  <property fmtid="{D5CDD505-2E9C-101B-9397-08002B2CF9AE}" pid="4" name="_EmailSubject">
    <vt:lpwstr>supporting statements</vt:lpwstr>
  </property>
  <property fmtid="{D5CDD505-2E9C-101B-9397-08002B2CF9AE}" pid="5" name="_AuthorEmail">
    <vt:lpwstr>Nathaniel.X.Coates@hud.gov</vt:lpwstr>
  </property>
  <property fmtid="{D5CDD505-2E9C-101B-9397-08002B2CF9AE}" pid="6" name="_AuthorEmailDisplayName">
    <vt:lpwstr>Coates, Nathaniel X</vt:lpwstr>
  </property>
  <property fmtid="{D5CDD505-2E9C-101B-9397-08002B2CF9AE}" pid="7" name="_PreviousAdHocReviewCycleID">
    <vt:i4>-315646127</vt:i4>
  </property>
  <property fmtid="{D5CDD505-2E9C-101B-9397-08002B2CF9AE}" pid="8" name="_ReviewingToolsShownOnce">
    <vt:lpwstr/>
  </property>
</Properties>
</file>