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B9" w:rsidRDefault="00AB6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BB31B6" w:rsidRDefault="00AB67B9" w:rsidP="00AB6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b/>
          <w:sz w:val="28"/>
        </w:rPr>
        <w:tab/>
      </w:r>
      <w:r>
        <w:rPr>
          <w:rFonts w:ascii="Helvetica" w:hAnsi="Helvetica"/>
          <w:b/>
          <w:sz w:val="28"/>
        </w:rPr>
        <w:tab/>
      </w:r>
      <w:r w:rsidR="00BB31B6">
        <w:rPr>
          <w:rFonts w:ascii="Helvetica" w:hAnsi="Helvetica"/>
          <w:b/>
          <w:sz w:val="28"/>
        </w:rPr>
        <w:t>Supporting Statement for Paperwork Reduction Act Submissions</w:t>
      </w:r>
    </w:p>
    <w:p w:rsidR="00BB31B6" w:rsidRDefault="00BB3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BB31B6" w:rsidRDefault="00BB31B6">
      <w:pPr>
        <w:pStyle w:val="Heading2"/>
      </w:pPr>
      <w:r>
        <w:t>Monthly Accounting Reports</w:t>
      </w:r>
    </w:p>
    <w:p w:rsidR="00BB31B6" w:rsidRDefault="00BB3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2502-0108</w:t>
      </w:r>
    </w:p>
    <w:p w:rsidR="00BB31B6" w:rsidRPr="00511C21" w:rsidRDefault="00BB3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4"/>
        </w:rPr>
      </w:pPr>
      <w:r w:rsidRPr="00511C21">
        <w:rPr>
          <w:rFonts w:ascii="Helvetica" w:hAnsi="Helvetica"/>
          <w:b/>
          <w:bCs/>
          <w:sz w:val="24"/>
        </w:rPr>
        <w:t>(Forms HUD-93479, HUD-93480, HUD-93481)</w:t>
      </w:r>
    </w:p>
    <w:p w:rsidR="00BB31B6" w:rsidRDefault="00BB3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800080"/>
          <w:sz w:val="24"/>
        </w:rPr>
      </w:pPr>
    </w:p>
    <w:p w:rsidR="00BB31B6" w:rsidRDefault="00BB3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BB31B6" w:rsidRDefault="00BB3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BB31B6" w:rsidRDefault="00BB31B6">
      <w:pPr>
        <w:pStyle w:val="BodyTextIndent"/>
        <w:rPr>
          <w:sz w:val="24"/>
        </w:rPr>
      </w:pPr>
      <w:r>
        <w:rPr>
          <w:sz w:val="24"/>
        </w:rPr>
        <w:t>1.</w:t>
      </w:r>
      <w:r>
        <w:rPr>
          <w:sz w:val="24"/>
        </w:rPr>
        <w:tab/>
        <w:t xml:space="preserve">Monthly Reports for Establishing Net Income (hereafter) collectively called Monthly Accounting Reports (MAR) provide HUD with financial data necessary to monitor the financial conditions of the project and to review contractual compliance during the selected periods of a project’s operation or other information that indicates that the project is experiencing financial or management difficulties.  The statutory authority for collection of monthly reports is contained in 24 CFR 200.105, Mortgagor Supervision.  The administrative authority for this collection in referenced in HUD Handbook 4370.1, REV-2, </w:t>
      </w:r>
      <w:proofErr w:type="gramStart"/>
      <w:r>
        <w:rPr>
          <w:sz w:val="24"/>
        </w:rPr>
        <w:t>Chapter</w:t>
      </w:r>
      <w:proofErr w:type="gramEnd"/>
      <w:r>
        <w:rPr>
          <w:sz w:val="24"/>
        </w:rPr>
        <w:t xml:space="preserve"> 3-Monthly Accounting Reports.  Copies of these authorities are attached along with copies of the HUD forms.</w:t>
      </w:r>
    </w:p>
    <w:p w:rsidR="00BB31B6" w:rsidRDefault="00BB31B6">
      <w:pPr>
        <w:tabs>
          <w:tab w:val="left" w:pos="360"/>
        </w:tabs>
        <w:rPr>
          <w:color w:val="000000"/>
          <w:sz w:val="24"/>
        </w:rPr>
      </w:pPr>
    </w:p>
    <w:p w:rsidR="00BB31B6" w:rsidRDefault="00DA53C1" w:rsidP="00DA53C1">
      <w:pPr>
        <w:pStyle w:val="HTMLPreformatted"/>
        <w:tabs>
          <w:tab w:val="clear" w:pos="916"/>
          <w:tab w:val="left" w:pos="360"/>
        </w:tabs>
        <w:ind w:left="36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BB31B6">
        <w:rPr>
          <w:rFonts w:ascii="Times New Roman" w:hAnsi="Times New Roman" w:cs="Times New Roman"/>
          <w:sz w:val="24"/>
          <w:szCs w:val="24"/>
        </w:rPr>
        <w:t>HUD Project Managers review the monthly accounting reports to evaluate a project's performance and for monitoring compliance.  Similar to the annual review, the monthly review has three purposes:</w:t>
      </w:r>
    </w:p>
    <w:p w:rsidR="00BB31B6" w:rsidRDefault="00BB31B6">
      <w:pPr>
        <w:pStyle w:val="HTMLPreformatted"/>
        <w:numPr>
          <w:ilvl w:val="0"/>
          <w:numId w:val="16"/>
        </w:numPr>
        <w:rPr>
          <w:rFonts w:ascii="Times New Roman" w:hAnsi="Times New Roman" w:cs="Times New Roman"/>
          <w:sz w:val="24"/>
          <w:szCs w:val="24"/>
        </w:rPr>
      </w:pPr>
      <w:r>
        <w:rPr>
          <w:rFonts w:ascii="Times New Roman" w:hAnsi="Times New Roman" w:cs="Times New Roman"/>
          <w:sz w:val="24"/>
          <w:szCs w:val="24"/>
        </w:rPr>
        <w:t>evaluate compliance,</w:t>
      </w:r>
    </w:p>
    <w:p w:rsidR="00BB31B6" w:rsidRDefault="00BB31B6">
      <w:pPr>
        <w:pStyle w:val="HTMLPreformatted"/>
        <w:numPr>
          <w:ilvl w:val="0"/>
          <w:numId w:val="16"/>
        </w:numPr>
        <w:rPr>
          <w:rFonts w:ascii="Times New Roman" w:hAnsi="Times New Roman" w:cs="Times New Roman"/>
          <w:sz w:val="24"/>
          <w:szCs w:val="24"/>
        </w:rPr>
      </w:pPr>
      <w:r>
        <w:rPr>
          <w:rFonts w:ascii="Times New Roman" w:hAnsi="Times New Roman" w:cs="Times New Roman"/>
          <w:sz w:val="24"/>
          <w:szCs w:val="24"/>
        </w:rPr>
        <w:t>identify potential diversions, and,</w:t>
      </w:r>
    </w:p>
    <w:p w:rsidR="00BB31B6" w:rsidRDefault="00BB31B6">
      <w:pPr>
        <w:pStyle w:val="HTMLPreformatted"/>
        <w:numPr>
          <w:ilvl w:val="0"/>
          <w:numId w:val="16"/>
        </w:numPr>
        <w:rPr>
          <w:rFonts w:ascii="Times New Roman" w:hAnsi="Times New Roman" w:cs="Times New Roman"/>
          <w:sz w:val="24"/>
          <w:szCs w:val="24"/>
        </w:rPr>
      </w:pPr>
      <w:proofErr w:type="gramStart"/>
      <w:r>
        <w:rPr>
          <w:rFonts w:ascii="Times New Roman" w:hAnsi="Times New Roman" w:cs="Times New Roman"/>
          <w:sz w:val="24"/>
          <w:szCs w:val="24"/>
        </w:rPr>
        <w:t>assess</w:t>
      </w:r>
      <w:proofErr w:type="gramEnd"/>
      <w:r>
        <w:rPr>
          <w:rFonts w:ascii="Times New Roman" w:hAnsi="Times New Roman" w:cs="Times New Roman"/>
          <w:sz w:val="24"/>
          <w:szCs w:val="24"/>
        </w:rPr>
        <w:t xml:space="preserve"> project performance.</w:t>
      </w:r>
    </w:p>
    <w:p w:rsidR="00BB31B6" w:rsidRDefault="00BB31B6">
      <w:pPr>
        <w:pStyle w:val="HTMLPreformatted"/>
        <w:rPr>
          <w:rFonts w:ascii="Times New Roman" w:hAnsi="Times New Roman" w:cs="Times New Roman"/>
          <w:sz w:val="24"/>
          <w:szCs w:val="24"/>
        </w:rPr>
      </w:pPr>
    </w:p>
    <w:p w:rsidR="00BB31B6" w:rsidRDefault="00BB31B6" w:rsidP="00DA53C1">
      <w:pPr>
        <w:pStyle w:val="HTMLPreformatted"/>
        <w:tabs>
          <w:tab w:val="clear" w:pos="916"/>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The review procedures require HUD staff to review individual transactions and to analyze month-to-month trends in cash flow, occupancy, rent collections, and liquidity.</w:t>
      </w:r>
    </w:p>
    <w:p w:rsidR="00BB31B6" w:rsidRDefault="00BB31B6" w:rsidP="00DA53C1">
      <w:pPr>
        <w:pStyle w:val="HTMLPreformatted"/>
        <w:tabs>
          <w:tab w:val="clear" w:pos="916"/>
          <w:tab w:val="left" w:pos="360"/>
        </w:tabs>
        <w:ind w:left="360" w:hanging="360"/>
        <w:rPr>
          <w:rFonts w:ascii="Times New Roman" w:hAnsi="Times New Roman" w:cs="Times New Roman"/>
          <w:sz w:val="24"/>
          <w:szCs w:val="24"/>
        </w:rPr>
      </w:pPr>
    </w:p>
    <w:p w:rsidR="00BB31B6" w:rsidRDefault="00BB31B6" w:rsidP="00DA53C1">
      <w:pPr>
        <w:pStyle w:val="HTMLPreformatted"/>
        <w:tabs>
          <w:tab w:val="clear" w:pos="916"/>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Monthly Accounting Reports are submitted to local HUD offices on the tenth day of each month by owners or management agents of HUD-insured or Secretary-held projects.  MARs are required during the following period of a project’s operation:</w:t>
      </w:r>
    </w:p>
    <w:p w:rsidR="00BB31B6" w:rsidRDefault="00BB31B6">
      <w:pPr>
        <w:keepLines/>
        <w:numPr>
          <w:ilvl w:val="0"/>
          <w:numId w:val="10"/>
        </w:numPr>
        <w:tabs>
          <w:tab w:val="left" w:pos="360"/>
        </w:tabs>
        <w:spacing w:after="80"/>
        <w:rPr>
          <w:color w:val="000000"/>
          <w:sz w:val="24"/>
        </w:rPr>
      </w:pPr>
      <w:r>
        <w:rPr>
          <w:color w:val="000000"/>
          <w:sz w:val="24"/>
        </w:rPr>
        <w:t>During the initial rent-up period from the date of initial occupancy through the date of sustaining (95%) occupancy;</w:t>
      </w:r>
    </w:p>
    <w:p w:rsidR="00BB31B6" w:rsidRDefault="00BB31B6">
      <w:pPr>
        <w:keepLines/>
        <w:numPr>
          <w:ilvl w:val="0"/>
          <w:numId w:val="10"/>
        </w:numPr>
        <w:tabs>
          <w:tab w:val="left" w:pos="360"/>
        </w:tabs>
        <w:spacing w:after="80"/>
        <w:rPr>
          <w:color w:val="000000"/>
          <w:sz w:val="24"/>
        </w:rPr>
      </w:pPr>
      <w:r>
        <w:rPr>
          <w:color w:val="000000"/>
          <w:sz w:val="24"/>
        </w:rPr>
        <w:t>During the term of any project workout, modification agreement of Financial Assistance Contract and;</w:t>
      </w:r>
    </w:p>
    <w:p w:rsidR="00BB31B6" w:rsidRDefault="00BB31B6">
      <w:pPr>
        <w:keepLines/>
        <w:numPr>
          <w:ilvl w:val="0"/>
          <w:numId w:val="10"/>
        </w:numPr>
        <w:tabs>
          <w:tab w:val="left" w:pos="360"/>
        </w:tabs>
        <w:spacing w:after="80"/>
        <w:rPr>
          <w:color w:val="000000"/>
          <w:sz w:val="24"/>
        </w:rPr>
      </w:pPr>
      <w:r>
        <w:rPr>
          <w:color w:val="000000"/>
          <w:sz w:val="24"/>
        </w:rPr>
        <w:t>Anytime the project is in default under the original terms of the mortgage.</w:t>
      </w:r>
    </w:p>
    <w:p w:rsidR="00BB31B6" w:rsidRDefault="00BB31B6">
      <w:pPr>
        <w:keepLines/>
        <w:tabs>
          <w:tab w:val="left" w:pos="360"/>
        </w:tabs>
        <w:spacing w:after="80"/>
        <w:rPr>
          <w:color w:val="000000"/>
          <w:sz w:val="24"/>
        </w:rPr>
      </w:pPr>
    </w:p>
    <w:p w:rsidR="00BB31B6" w:rsidRDefault="00BB31B6">
      <w:pPr>
        <w:keepLines/>
        <w:tabs>
          <w:tab w:val="left" w:pos="360"/>
        </w:tabs>
        <w:spacing w:after="80"/>
        <w:rPr>
          <w:color w:val="000000"/>
          <w:sz w:val="24"/>
        </w:rPr>
      </w:pPr>
      <w:r>
        <w:rPr>
          <w:color w:val="000000"/>
          <w:sz w:val="24"/>
        </w:rPr>
        <w:tab/>
        <w:t>HUD may also require monthly accounting reports if:</w:t>
      </w:r>
    </w:p>
    <w:p w:rsidR="00BB31B6" w:rsidRDefault="00BB31B6">
      <w:pPr>
        <w:keepLines/>
        <w:numPr>
          <w:ilvl w:val="0"/>
          <w:numId w:val="11"/>
        </w:numPr>
        <w:tabs>
          <w:tab w:val="clear" w:pos="1080"/>
          <w:tab w:val="left" w:pos="360"/>
          <w:tab w:val="num" w:pos="840"/>
        </w:tabs>
        <w:spacing w:after="80"/>
        <w:ind w:left="840"/>
        <w:rPr>
          <w:color w:val="000000"/>
          <w:sz w:val="24"/>
        </w:rPr>
      </w:pPr>
      <w:r>
        <w:rPr>
          <w:color w:val="000000"/>
          <w:sz w:val="24"/>
        </w:rPr>
        <w:t>The review of the annual audited financial statement indicates that (1) the project is in poor financial condition; (2) has poor or missing internal controls; or (3) the owner or agent diverted project operating funds; or</w:t>
      </w:r>
    </w:p>
    <w:p w:rsidR="00BB31B6" w:rsidRDefault="00BB31B6">
      <w:pPr>
        <w:keepLines/>
        <w:numPr>
          <w:ilvl w:val="0"/>
          <w:numId w:val="11"/>
        </w:numPr>
        <w:tabs>
          <w:tab w:val="clear" w:pos="1080"/>
          <w:tab w:val="left" w:pos="360"/>
          <w:tab w:val="num" w:pos="840"/>
        </w:tabs>
        <w:spacing w:after="80"/>
        <w:ind w:left="840"/>
        <w:rPr>
          <w:color w:val="000000"/>
          <w:sz w:val="24"/>
        </w:rPr>
      </w:pPr>
      <w:r>
        <w:rPr>
          <w:color w:val="000000"/>
          <w:sz w:val="24"/>
        </w:rPr>
        <w:t>The project develops vacancy problems after initial rent-up or experiences problems in collecting tenant rents.  A drop in the percentage of collection indicating management or collection problems that may later be reflected in more serious financial or maintenance problems.</w:t>
      </w:r>
    </w:p>
    <w:p w:rsidR="00BB31B6" w:rsidRDefault="00BB31B6">
      <w:pPr>
        <w:keepLines/>
        <w:tabs>
          <w:tab w:val="left" w:pos="360"/>
        </w:tabs>
        <w:spacing w:after="80"/>
        <w:rPr>
          <w:color w:val="000000"/>
          <w:sz w:val="24"/>
        </w:rPr>
      </w:pPr>
    </w:p>
    <w:p w:rsidR="00BB31B6" w:rsidRDefault="00BB31B6" w:rsidP="00DA53C1">
      <w:pPr>
        <w:tabs>
          <w:tab w:val="left" w:pos="360"/>
        </w:tabs>
        <w:ind w:left="360" w:hanging="360"/>
        <w:rPr>
          <w:color w:val="000000"/>
          <w:sz w:val="24"/>
          <w:szCs w:val="24"/>
        </w:rPr>
      </w:pPr>
      <w:r>
        <w:tab/>
      </w:r>
      <w:r>
        <w:rPr>
          <w:sz w:val="24"/>
          <w:szCs w:val="24"/>
        </w:rPr>
        <w:t xml:space="preserve">Field Office staff use MARs to assess the need for remedial actions to correct the project deficiencies or head off potential default of the project mortgage.  Form HUD-93479 is used to report net income for a specified period, form-93480 reports the owner’s schedule of disbursements, and form HUD-93481 reports the owner’s schedule of accounts payable.  All forms are used to analyze the project’s owner’s costs and determine financial compliance.  </w:t>
      </w:r>
    </w:p>
    <w:p w:rsidR="00BB31B6" w:rsidRDefault="00BB31B6">
      <w:pPr>
        <w:keepLines/>
        <w:tabs>
          <w:tab w:val="left" w:pos="360"/>
        </w:tabs>
        <w:spacing w:after="80"/>
        <w:ind w:left="360" w:hanging="360"/>
        <w:rPr>
          <w:color w:val="000000"/>
          <w:sz w:val="24"/>
        </w:rPr>
      </w:pPr>
      <w:r>
        <w:rPr>
          <w:color w:val="000000"/>
          <w:sz w:val="24"/>
        </w:rPr>
        <w:lastRenderedPageBreak/>
        <w:t>3.</w:t>
      </w:r>
      <w:r>
        <w:rPr>
          <w:color w:val="000000"/>
          <w:sz w:val="24"/>
        </w:rPr>
        <w:tab/>
        <w:t xml:space="preserve">Owners and agents may, in some cases, submit </w:t>
      </w:r>
      <w:r w:rsidR="0018318F" w:rsidRPr="00BB7ECE">
        <w:rPr>
          <w:sz w:val="24"/>
        </w:rPr>
        <w:t xml:space="preserve">paper </w:t>
      </w:r>
      <w:r w:rsidRPr="00BB7ECE">
        <w:rPr>
          <w:sz w:val="24"/>
        </w:rPr>
        <w:t xml:space="preserve">statements </w:t>
      </w:r>
      <w:r w:rsidR="0018318F" w:rsidRPr="00BB7ECE">
        <w:rPr>
          <w:sz w:val="24"/>
        </w:rPr>
        <w:t xml:space="preserve">generated by proprietary computer systems </w:t>
      </w:r>
      <w:r w:rsidRPr="00BB7ECE">
        <w:rPr>
          <w:sz w:val="24"/>
        </w:rPr>
        <w:t>in lieu of the monthly accounting report</w:t>
      </w:r>
      <w:r w:rsidR="0018318F" w:rsidRPr="00BB7ECE">
        <w:rPr>
          <w:sz w:val="24"/>
        </w:rPr>
        <w:t xml:space="preserve"> forms</w:t>
      </w:r>
      <w:r w:rsidRPr="00BB7ECE">
        <w:rPr>
          <w:sz w:val="24"/>
        </w:rPr>
        <w:t xml:space="preserve">.  </w:t>
      </w:r>
      <w:r w:rsidR="0018318F" w:rsidRPr="00BB7ECE">
        <w:rPr>
          <w:sz w:val="24"/>
        </w:rPr>
        <w:t xml:space="preserve">Approximately 50% of owner/managers take this option.  Fewer than 25% submit electronic reports readable by HUD systems.  </w:t>
      </w:r>
      <w:r w:rsidRPr="00BB7ECE">
        <w:rPr>
          <w:sz w:val="24"/>
        </w:rPr>
        <w:t xml:space="preserve">Conditions for approving submission of automated reports are included in Handbook HUD 4370.1 REV-2 Reviewing Annual and Monthly Financial Reports.  </w:t>
      </w:r>
      <w:r w:rsidR="0018318F" w:rsidRPr="00BB7ECE">
        <w:rPr>
          <w:sz w:val="24"/>
        </w:rPr>
        <w:t>Total a</w:t>
      </w:r>
      <w:r w:rsidRPr="00BB7ECE">
        <w:rPr>
          <w:sz w:val="24"/>
        </w:rPr>
        <w:t xml:space="preserve">utomation of this process is not feasible at this time because the respondent may be required to submit </w:t>
      </w:r>
      <w:r w:rsidR="0018318F" w:rsidRPr="00BB7ECE">
        <w:rPr>
          <w:sz w:val="24"/>
        </w:rPr>
        <w:t>supporting</w:t>
      </w:r>
      <w:r w:rsidRPr="00BB7ECE">
        <w:rPr>
          <w:sz w:val="24"/>
        </w:rPr>
        <w:t xml:space="preserve"> information</w:t>
      </w:r>
      <w:r w:rsidR="0018318F" w:rsidRPr="00BB7ECE">
        <w:rPr>
          <w:sz w:val="24"/>
        </w:rPr>
        <w:t>, such as rent rolls or general ledger reports</w:t>
      </w:r>
      <w:r w:rsidRPr="00BB7ECE">
        <w:rPr>
          <w:sz w:val="24"/>
        </w:rPr>
        <w:t xml:space="preserve"> in support of the monthly accounting reports.  </w:t>
      </w:r>
      <w:r w:rsidR="000079A7" w:rsidRPr="00BB7ECE">
        <w:rPr>
          <w:sz w:val="24"/>
        </w:rPr>
        <w:t xml:space="preserve">These potential submissions do not constitute additional burden because they are routinely produced for management purposes. </w:t>
      </w:r>
      <w:r w:rsidRPr="00BB7ECE">
        <w:rPr>
          <w:sz w:val="24"/>
        </w:rPr>
        <w:t>In addition, original signatures are required from</w:t>
      </w:r>
      <w:r>
        <w:rPr>
          <w:color w:val="000000"/>
          <w:sz w:val="24"/>
        </w:rPr>
        <w:t xml:space="preserve"> respondents to certify that the information submitted is true and accurate.  </w:t>
      </w:r>
      <w:r w:rsidR="00ED1AA2">
        <w:rPr>
          <w:color w:val="000000"/>
          <w:sz w:val="24"/>
        </w:rPr>
        <w:t xml:space="preserve">Automation efforts are still underway, but systems are able to accept at least 25% of the necessary reports electronically.  </w:t>
      </w:r>
    </w:p>
    <w:p w:rsidR="00BB31B6" w:rsidRDefault="00BB31B6">
      <w:pPr>
        <w:tabs>
          <w:tab w:val="left" w:pos="360"/>
        </w:tabs>
        <w:ind w:left="360" w:hanging="360"/>
        <w:rPr>
          <w:color w:val="000000"/>
          <w:sz w:val="24"/>
        </w:rPr>
      </w:pPr>
    </w:p>
    <w:p w:rsidR="00BB31B6" w:rsidRDefault="00BB31B6">
      <w:pPr>
        <w:keepLines/>
        <w:tabs>
          <w:tab w:val="left" w:pos="360"/>
        </w:tabs>
        <w:spacing w:after="80"/>
        <w:ind w:left="360" w:hanging="360"/>
        <w:rPr>
          <w:color w:val="000000"/>
          <w:sz w:val="24"/>
        </w:rPr>
      </w:pPr>
      <w:r>
        <w:rPr>
          <w:color w:val="000000"/>
          <w:sz w:val="24"/>
        </w:rPr>
        <w:t>4.</w:t>
      </w:r>
      <w:r>
        <w:rPr>
          <w:color w:val="000000"/>
          <w:sz w:val="24"/>
        </w:rPr>
        <w:tab/>
        <w:t>This information is not collected and/or available from other sources.</w:t>
      </w:r>
    </w:p>
    <w:p w:rsidR="00BB31B6" w:rsidRDefault="00BB31B6">
      <w:pPr>
        <w:tabs>
          <w:tab w:val="left" w:pos="360"/>
        </w:tabs>
        <w:ind w:left="360" w:hanging="360"/>
        <w:rPr>
          <w:color w:val="000000"/>
          <w:sz w:val="24"/>
        </w:rPr>
      </w:pPr>
    </w:p>
    <w:p w:rsidR="00BB31B6" w:rsidRDefault="00BB31B6">
      <w:pPr>
        <w:keepLines/>
        <w:tabs>
          <w:tab w:val="left" w:pos="360"/>
        </w:tabs>
        <w:spacing w:after="80"/>
        <w:ind w:left="360" w:hanging="360"/>
        <w:rPr>
          <w:color w:val="000000"/>
          <w:sz w:val="24"/>
        </w:rPr>
      </w:pPr>
      <w:r>
        <w:rPr>
          <w:color w:val="000000"/>
          <w:sz w:val="24"/>
        </w:rPr>
        <w:t>5.</w:t>
      </w:r>
      <w:r>
        <w:rPr>
          <w:color w:val="000000"/>
          <w:sz w:val="24"/>
        </w:rPr>
        <w:tab/>
        <w:t>The impact on small businesses such as accounting firms and Management Agents is necessary to collect and prepare financial data required for the completion of the MARs.  Management Agents are responsible for maintaining books and records for audit purposes.  An Independent Public Account (IPA) must review financial statements submitted by owners.  The IPA will either express an opinion on the accuracy of the financial statements or issue a disclaimer.  The burden could be minimized when the continuous review of monthly and annual reports indicate that the project owner/agent has taken the necessary corrective action(s) and the project is no longer experiencing financial or management difficulties.</w:t>
      </w:r>
    </w:p>
    <w:p w:rsidR="00BB31B6" w:rsidRDefault="00BB31B6">
      <w:pPr>
        <w:tabs>
          <w:tab w:val="left" w:pos="360"/>
        </w:tabs>
        <w:ind w:left="360" w:hanging="360"/>
        <w:rPr>
          <w:color w:val="000000"/>
          <w:sz w:val="24"/>
        </w:rPr>
      </w:pPr>
    </w:p>
    <w:p w:rsidR="00BB31B6" w:rsidRDefault="00BB31B6">
      <w:pPr>
        <w:keepLines/>
        <w:tabs>
          <w:tab w:val="left" w:pos="360"/>
        </w:tabs>
        <w:spacing w:after="80"/>
        <w:ind w:left="360" w:hanging="360"/>
        <w:rPr>
          <w:color w:val="000000"/>
          <w:sz w:val="24"/>
        </w:rPr>
      </w:pPr>
      <w:r>
        <w:rPr>
          <w:color w:val="000000"/>
          <w:sz w:val="24"/>
        </w:rPr>
        <w:t>6.</w:t>
      </w:r>
      <w:r>
        <w:rPr>
          <w:color w:val="000000"/>
          <w:sz w:val="24"/>
        </w:rPr>
        <w:tab/>
        <w:t>Less frequent data collection would decrease the Department’s ability to monitor debt collection on HUD-held projects and would increase the potential for fraud, diversions, defaults, and assignments.</w:t>
      </w:r>
    </w:p>
    <w:p w:rsidR="00BB31B6" w:rsidRDefault="00BB31B6">
      <w:pPr>
        <w:tabs>
          <w:tab w:val="left" w:pos="360"/>
        </w:tabs>
        <w:ind w:left="360" w:hanging="360"/>
        <w:rPr>
          <w:color w:val="000000"/>
          <w:sz w:val="24"/>
        </w:rPr>
      </w:pPr>
    </w:p>
    <w:p w:rsidR="00BB31B6" w:rsidRDefault="00BB31B6">
      <w:pPr>
        <w:tabs>
          <w:tab w:val="left" w:pos="360"/>
        </w:tabs>
        <w:ind w:left="360" w:hanging="360"/>
        <w:rPr>
          <w:b/>
          <w:bCs/>
          <w:sz w:val="24"/>
        </w:rPr>
      </w:pPr>
      <w:r>
        <w:rPr>
          <w:color w:val="000000"/>
          <w:sz w:val="24"/>
        </w:rPr>
        <w:t>7.</w:t>
      </w:r>
      <w:r>
        <w:rPr>
          <w:color w:val="000000"/>
          <w:sz w:val="24"/>
        </w:rPr>
        <w:tab/>
      </w:r>
      <w:r>
        <w:rPr>
          <w:b/>
          <w:bCs/>
          <w:sz w:val="24"/>
        </w:rPr>
        <w:t>Explain any special circumstances that would cause an information collection to be conducted in a manner:</w:t>
      </w:r>
    </w:p>
    <w:p w:rsidR="00BB31B6" w:rsidRDefault="00BB31B6">
      <w:pPr>
        <w:pStyle w:val="BodyText"/>
        <w:ind w:left="720"/>
      </w:pPr>
      <w:r>
        <w:t>● requiring respondents to report information to the agency more than quarterly;</w:t>
      </w:r>
    </w:p>
    <w:p w:rsidR="00BB31B6" w:rsidRDefault="00BB31B6">
      <w:pPr>
        <w:ind w:left="720"/>
        <w:rPr>
          <w:sz w:val="24"/>
        </w:rPr>
      </w:pPr>
      <w:r>
        <w:rPr>
          <w:sz w:val="24"/>
        </w:rPr>
        <w:t>Financial statements are submitted monthly per standard industry custom.</w:t>
      </w:r>
    </w:p>
    <w:p w:rsidR="00BB31B6" w:rsidRDefault="00BB31B6">
      <w:pPr>
        <w:tabs>
          <w:tab w:val="left" w:pos="360"/>
        </w:tabs>
        <w:ind w:left="360" w:hanging="360"/>
        <w:rPr>
          <w:color w:val="000000"/>
          <w:sz w:val="24"/>
        </w:rPr>
      </w:pPr>
    </w:p>
    <w:p w:rsidR="0037068A" w:rsidRPr="0037068A" w:rsidRDefault="00BB31B6" w:rsidP="0037068A">
      <w:pPr>
        <w:shd w:val="clear" w:color="auto" w:fill="FFFFFF"/>
        <w:tabs>
          <w:tab w:val="left" w:pos="360"/>
        </w:tabs>
        <w:ind w:left="360" w:hanging="330"/>
        <w:rPr>
          <w:color w:val="000000"/>
          <w:sz w:val="24"/>
        </w:rPr>
      </w:pPr>
      <w:r>
        <w:rPr>
          <w:color w:val="000000"/>
          <w:sz w:val="24"/>
        </w:rPr>
        <w:t>8.</w:t>
      </w:r>
      <w:r>
        <w:rPr>
          <w:color w:val="000000"/>
          <w:sz w:val="24"/>
        </w:rPr>
        <w:tab/>
      </w:r>
      <w:r w:rsidR="0037068A" w:rsidRPr="0037068A">
        <w:rPr>
          <w:color w:val="000000"/>
          <w:sz w:val="24"/>
        </w:rPr>
        <w:t xml:space="preserve">This information collection is conducted in a manner consistent with the guidelines of 5 CFR 1320.8(d).  The Notice for this collection was announced in the </w:t>
      </w:r>
      <w:r w:rsidR="0037068A" w:rsidRPr="0037068A">
        <w:rPr>
          <w:i/>
          <w:iCs/>
          <w:color w:val="000000"/>
          <w:sz w:val="24"/>
        </w:rPr>
        <w:t>Federal Register</w:t>
      </w:r>
      <w:r w:rsidR="0037068A" w:rsidRPr="0037068A">
        <w:rPr>
          <w:color w:val="000000"/>
          <w:sz w:val="24"/>
        </w:rPr>
        <w:t xml:space="preserve"> on June 2, 2010, Vol. 75, page No. 30846.</w:t>
      </w:r>
    </w:p>
    <w:p w:rsidR="00F940D1" w:rsidRDefault="00F940D1">
      <w:pPr>
        <w:shd w:val="clear" w:color="auto" w:fill="FFFFFF"/>
        <w:tabs>
          <w:tab w:val="left" w:pos="360"/>
        </w:tabs>
        <w:ind w:left="360" w:hanging="330"/>
        <w:rPr>
          <w:sz w:val="24"/>
        </w:rPr>
      </w:pPr>
    </w:p>
    <w:p w:rsidR="000079A7" w:rsidRPr="00BB7ECE" w:rsidRDefault="000079A7" w:rsidP="000079A7">
      <w:pPr>
        <w:shd w:val="clear" w:color="auto" w:fill="FFFFFF"/>
        <w:tabs>
          <w:tab w:val="left" w:pos="-720"/>
        </w:tabs>
        <w:ind w:left="360"/>
        <w:rPr>
          <w:sz w:val="24"/>
        </w:rPr>
      </w:pPr>
      <w:r w:rsidRPr="00BB7ECE">
        <w:rPr>
          <w:sz w:val="24"/>
        </w:rPr>
        <w:t xml:space="preserve">In addition, three management representatives of owners were contacted for input when preparing this report:  </w:t>
      </w:r>
      <w:r w:rsidR="00702EAB" w:rsidRPr="00BB7ECE">
        <w:rPr>
          <w:sz w:val="24"/>
        </w:rPr>
        <w:tab/>
      </w:r>
      <w:proofErr w:type="spellStart"/>
      <w:r w:rsidR="00702EAB" w:rsidRPr="00BB7ECE">
        <w:rPr>
          <w:sz w:val="24"/>
        </w:rPr>
        <w:t>Analisa</w:t>
      </w:r>
      <w:proofErr w:type="spellEnd"/>
      <w:r w:rsidR="00702EAB" w:rsidRPr="00BB7ECE">
        <w:rPr>
          <w:sz w:val="24"/>
        </w:rPr>
        <w:t xml:space="preserve"> Anthony at The John Stewart Company</w:t>
      </w:r>
    </w:p>
    <w:p w:rsidR="00702EAB" w:rsidRPr="00BB7ECE" w:rsidRDefault="00702EAB" w:rsidP="000079A7">
      <w:pPr>
        <w:shd w:val="clear" w:color="auto" w:fill="FFFFFF"/>
        <w:tabs>
          <w:tab w:val="left" w:pos="-720"/>
        </w:tabs>
        <w:ind w:left="360"/>
        <w:rPr>
          <w:sz w:val="24"/>
        </w:rPr>
      </w:pPr>
      <w:r w:rsidRPr="00BB7ECE">
        <w:rPr>
          <w:sz w:val="24"/>
        </w:rPr>
        <w:tab/>
      </w:r>
      <w:r w:rsidRPr="00BB7ECE">
        <w:rPr>
          <w:sz w:val="24"/>
        </w:rPr>
        <w:tab/>
      </w:r>
      <w:proofErr w:type="spellStart"/>
      <w:proofErr w:type="gramStart"/>
      <w:r w:rsidRPr="00BB7ECE">
        <w:rPr>
          <w:sz w:val="24"/>
        </w:rPr>
        <w:t>Rebekah</w:t>
      </w:r>
      <w:proofErr w:type="spellEnd"/>
      <w:r w:rsidRPr="00BB7ECE">
        <w:rPr>
          <w:sz w:val="24"/>
        </w:rPr>
        <w:t xml:space="preserve"> </w:t>
      </w:r>
      <w:proofErr w:type="spellStart"/>
      <w:r w:rsidRPr="00BB7ECE">
        <w:rPr>
          <w:sz w:val="24"/>
        </w:rPr>
        <w:t>Gerrick</w:t>
      </w:r>
      <w:proofErr w:type="spellEnd"/>
      <w:r w:rsidRPr="00BB7ECE">
        <w:rPr>
          <w:sz w:val="24"/>
        </w:rPr>
        <w:t xml:space="preserve"> at Cascade Management Corp.</w:t>
      </w:r>
      <w:proofErr w:type="gramEnd"/>
    </w:p>
    <w:p w:rsidR="00BB31B6" w:rsidRPr="00BB7ECE" w:rsidRDefault="00BB31B6">
      <w:pPr>
        <w:shd w:val="clear" w:color="auto" w:fill="FFFFFF"/>
        <w:tabs>
          <w:tab w:val="left" w:pos="360"/>
        </w:tabs>
        <w:ind w:left="360" w:hanging="330"/>
        <w:rPr>
          <w:sz w:val="24"/>
        </w:rPr>
      </w:pPr>
      <w:r w:rsidRPr="00BB7ECE">
        <w:rPr>
          <w:sz w:val="24"/>
        </w:rPr>
        <w:t xml:space="preserve"> </w:t>
      </w:r>
      <w:r w:rsidR="00702EAB" w:rsidRPr="00BB7ECE">
        <w:rPr>
          <w:sz w:val="24"/>
        </w:rPr>
        <w:tab/>
      </w:r>
      <w:r w:rsidR="00702EAB" w:rsidRPr="00BB7ECE">
        <w:rPr>
          <w:sz w:val="24"/>
        </w:rPr>
        <w:tab/>
      </w:r>
      <w:r w:rsidR="00702EAB" w:rsidRPr="00BB7ECE">
        <w:rPr>
          <w:sz w:val="24"/>
        </w:rPr>
        <w:tab/>
      </w:r>
      <w:r w:rsidR="00BF6508" w:rsidRPr="00BB7ECE">
        <w:rPr>
          <w:sz w:val="24"/>
        </w:rPr>
        <w:t>Timothy O’Keefe at Multifamily Management of Philadelphia</w:t>
      </w:r>
    </w:p>
    <w:p w:rsidR="00BF6508" w:rsidRPr="00BF6508" w:rsidRDefault="00BF6508">
      <w:pPr>
        <w:shd w:val="clear" w:color="auto" w:fill="FFFFFF"/>
        <w:tabs>
          <w:tab w:val="left" w:pos="360"/>
        </w:tabs>
        <w:ind w:left="360" w:hanging="330"/>
        <w:rPr>
          <w:color w:val="FF0000"/>
          <w:sz w:val="24"/>
        </w:rPr>
      </w:pPr>
    </w:p>
    <w:p w:rsidR="00BB31B6" w:rsidRDefault="00BB31B6">
      <w:pPr>
        <w:pStyle w:val="BodyTextIndent2"/>
        <w:ind w:hanging="330"/>
      </w:pPr>
      <w:r>
        <w:t>9.</w:t>
      </w:r>
      <w:r>
        <w:tab/>
        <w:t>There will be no payments or gifts to respondents.</w:t>
      </w:r>
    </w:p>
    <w:p w:rsidR="00BB31B6" w:rsidRDefault="00BB31B6">
      <w:pPr>
        <w:tabs>
          <w:tab w:val="left" w:pos="360"/>
        </w:tabs>
        <w:ind w:left="360" w:hanging="330"/>
        <w:rPr>
          <w:color w:val="000000"/>
          <w:sz w:val="24"/>
        </w:rPr>
      </w:pPr>
    </w:p>
    <w:p w:rsidR="00BB31B6" w:rsidRDefault="00BB31B6">
      <w:pPr>
        <w:shd w:val="clear" w:color="auto" w:fill="FFFFFF"/>
        <w:tabs>
          <w:tab w:val="left" w:pos="360"/>
        </w:tabs>
        <w:ind w:left="360" w:hanging="330"/>
        <w:rPr>
          <w:sz w:val="24"/>
        </w:rPr>
      </w:pPr>
      <w:r>
        <w:rPr>
          <w:color w:val="000000"/>
          <w:sz w:val="24"/>
        </w:rPr>
        <w:t>10.</w:t>
      </w:r>
      <w:r>
        <w:rPr>
          <w:color w:val="000000"/>
          <w:sz w:val="24"/>
        </w:rPr>
        <w:tab/>
      </w:r>
      <w:r>
        <w:rPr>
          <w:sz w:val="24"/>
        </w:rPr>
        <w:t>No assurances of confidentiality are provided.</w:t>
      </w:r>
    </w:p>
    <w:p w:rsidR="00BB31B6" w:rsidRDefault="00BB31B6">
      <w:pPr>
        <w:tabs>
          <w:tab w:val="left" w:pos="360"/>
        </w:tabs>
        <w:ind w:left="360" w:hanging="330"/>
        <w:rPr>
          <w:color w:val="000000"/>
          <w:sz w:val="24"/>
        </w:rPr>
      </w:pPr>
    </w:p>
    <w:p w:rsidR="00BB31B6" w:rsidRDefault="00BB31B6">
      <w:pPr>
        <w:keepLines/>
        <w:tabs>
          <w:tab w:val="left" w:pos="360"/>
          <w:tab w:val="left" w:pos="720"/>
        </w:tabs>
        <w:ind w:left="360" w:hanging="330"/>
        <w:rPr>
          <w:color w:val="000000"/>
          <w:sz w:val="24"/>
        </w:rPr>
      </w:pPr>
      <w:r>
        <w:rPr>
          <w:color w:val="000000"/>
          <w:sz w:val="24"/>
        </w:rPr>
        <w:t>11.</w:t>
      </w:r>
      <w:r>
        <w:rPr>
          <w:color w:val="000000"/>
          <w:sz w:val="24"/>
        </w:rPr>
        <w:tab/>
      </w:r>
      <w:r>
        <w:rPr>
          <w:sz w:val="24"/>
        </w:rPr>
        <w:t>There are no questions of a sensitive nature.</w:t>
      </w:r>
    </w:p>
    <w:p w:rsidR="00BB31B6" w:rsidRDefault="00BB31B6">
      <w:pPr>
        <w:keepLines/>
        <w:tabs>
          <w:tab w:val="left" w:pos="360"/>
        </w:tabs>
        <w:ind w:left="360" w:hanging="330"/>
        <w:rPr>
          <w:color w:val="000000"/>
          <w:sz w:val="24"/>
        </w:rPr>
      </w:pPr>
    </w:p>
    <w:p w:rsidR="00F940D1" w:rsidRDefault="00F940D1">
      <w:pPr>
        <w:overflowPunct/>
        <w:autoSpaceDE/>
        <w:autoSpaceDN/>
        <w:adjustRightInd/>
        <w:textAlignment w:val="auto"/>
        <w:rPr>
          <w:color w:val="000000"/>
          <w:sz w:val="24"/>
          <w:szCs w:val="24"/>
        </w:rPr>
      </w:pPr>
      <w:r>
        <w:rPr>
          <w:b/>
          <w:bCs/>
          <w:color w:val="000000"/>
        </w:rPr>
        <w:br w:type="page"/>
      </w:r>
    </w:p>
    <w:p w:rsidR="00BB31B6" w:rsidRDefault="00BB31B6">
      <w:pPr>
        <w:pStyle w:val="Heading3"/>
        <w:tabs>
          <w:tab w:val="left" w:pos="360"/>
        </w:tabs>
        <w:ind w:left="360" w:hanging="330"/>
      </w:pPr>
      <w:r>
        <w:rPr>
          <w:b w:val="0"/>
          <w:bCs w:val="0"/>
          <w:color w:val="000000"/>
        </w:rPr>
        <w:lastRenderedPageBreak/>
        <w:t>12.</w:t>
      </w:r>
      <w:r>
        <w:rPr>
          <w:color w:val="000000"/>
        </w:rPr>
        <w:tab/>
        <w:t xml:space="preserve">The following table is the </w:t>
      </w:r>
      <w:r>
        <w:t xml:space="preserve">Estimated Number of Respondents, Responses, and Burden Hours Per Annum  </w:t>
      </w:r>
    </w:p>
    <w:tbl>
      <w:tblPr>
        <w:tblW w:w="10275" w:type="dxa"/>
        <w:tblInd w:w="93" w:type="dxa"/>
        <w:tblLook w:val="04A0"/>
      </w:tblPr>
      <w:tblGrid>
        <w:gridCol w:w="1313"/>
        <w:gridCol w:w="1514"/>
        <w:gridCol w:w="1280"/>
        <w:gridCol w:w="1180"/>
        <w:gridCol w:w="1120"/>
        <w:gridCol w:w="1120"/>
        <w:gridCol w:w="1128"/>
        <w:gridCol w:w="1620"/>
      </w:tblGrid>
      <w:tr w:rsidR="006D5D16" w:rsidRPr="006D5D16" w:rsidTr="006D5D16">
        <w:trPr>
          <w:trHeight w:val="300"/>
        </w:trPr>
        <w:tc>
          <w:tcPr>
            <w:tcW w:w="10275" w:type="dxa"/>
            <w:gridSpan w:val="8"/>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Estimates of the Hour burden of the Collection of Information</w:t>
            </w:r>
          </w:p>
        </w:tc>
      </w:tr>
      <w:tr w:rsidR="006D5D16" w:rsidRPr="006D5D16" w:rsidTr="006D5D16">
        <w:trPr>
          <w:trHeight w:val="139"/>
        </w:trPr>
        <w:tc>
          <w:tcPr>
            <w:tcW w:w="1313"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514"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128"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62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r>
      <w:tr w:rsidR="006D5D16" w:rsidRPr="006D5D16" w:rsidTr="006D5D16">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Information </w:t>
            </w:r>
            <w:r w:rsidRPr="006D5D16">
              <w:rPr>
                <w:rFonts w:ascii="Calibri" w:hAnsi="Calibri"/>
                <w:b/>
                <w:bCs/>
                <w:color w:val="000000"/>
                <w:sz w:val="22"/>
                <w:szCs w:val="22"/>
              </w:rPr>
              <w:br/>
              <w:t>Collection</w:t>
            </w:r>
          </w:p>
        </w:tc>
        <w:tc>
          <w:tcPr>
            <w:tcW w:w="1514"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Number of </w:t>
            </w:r>
            <w:r w:rsidRPr="006D5D16">
              <w:rPr>
                <w:rFonts w:ascii="Calibri" w:hAnsi="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Frequency </w:t>
            </w:r>
            <w:r w:rsidRPr="006D5D16">
              <w:rPr>
                <w:rFonts w:ascii="Calibri" w:hAnsi="Calibri"/>
                <w:b/>
                <w:bCs/>
                <w:color w:val="000000"/>
                <w:sz w:val="22"/>
                <w:szCs w:val="22"/>
              </w:rPr>
              <w:br/>
              <w:t>of Response</w:t>
            </w:r>
          </w:p>
        </w:tc>
        <w:tc>
          <w:tcPr>
            <w:tcW w:w="118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Total </w:t>
            </w:r>
            <w:r w:rsidRPr="006D5D16">
              <w:rPr>
                <w:rFonts w:ascii="Calibri" w:hAnsi="Calibri"/>
                <w:b/>
                <w:bCs/>
                <w:color w:val="000000"/>
                <w:sz w:val="22"/>
                <w:szCs w:val="22"/>
              </w:rPr>
              <w:br/>
              <w:t xml:space="preserve">Annual </w:t>
            </w:r>
            <w:r w:rsidRPr="006D5D16">
              <w:rPr>
                <w:rFonts w:ascii="Calibri" w:hAnsi="Calibri"/>
                <w:b/>
                <w:bCs/>
                <w:color w:val="000000"/>
                <w:sz w:val="22"/>
                <w:szCs w:val="22"/>
              </w:rPr>
              <w:br/>
              <w:t>Responses</w:t>
            </w:r>
          </w:p>
        </w:tc>
        <w:tc>
          <w:tcPr>
            <w:tcW w:w="112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Burden </w:t>
            </w:r>
            <w:r w:rsidRPr="006D5D16">
              <w:rPr>
                <w:rFonts w:ascii="Calibri" w:hAnsi="Calibri"/>
                <w:b/>
                <w:bCs/>
                <w:color w:val="000000"/>
                <w:sz w:val="22"/>
                <w:szCs w:val="22"/>
              </w:rPr>
              <w:br/>
              <w:t xml:space="preserve">Hours per </w:t>
            </w:r>
            <w:r w:rsidRPr="006D5D16">
              <w:rPr>
                <w:rFonts w:ascii="Calibri" w:hAnsi="Calibri"/>
                <w:b/>
                <w:bCs/>
                <w:color w:val="000000"/>
                <w:sz w:val="22"/>
                <w:szCs w:val="22"/>
              </w:rPr>
              <w:br/>
              <w:t>Response</w:t>
            </w:r>
          </w:p>
        </w:tc>
        <w:tc>
          <w:tcPr>
            <w:tcW w:w="112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Annual </w:t>
            </w:r>
            <w:r w:rsidRPr="006D5D16">
              <w:rPr>
                <w:rFonts w:ascii="Calibri" w:hAnsi="Calibri"/>
                <w:b/>
                <w:bCs/>
                <w:color w:val="000000"/>
                <w:sz w:val="22"/>
                <w:szCs w:val="22"/>
              </w:rPr>
              <w:br/>
              <w:t xml:space="preserve">Burden </w:t>
            </w:r>
            <w:r w:rsidRPr="006D5D16">
              <w:rPr>
                <w:rFonts w:ascii="Calibri" w:hAnsi="Calibri"/>
                <w:b/>
                <w:bCs/>
                <w:color w:val="000000"/>
                <w:sz w:val="22"/>
                <w:szCs w:val="22"/>
              </w:rPr>
              <w:br/>
              <w:t>Hours</w:t>
            </w:r>
          </w:p>
        </w:tc>
        <w:tc>
          <w:tcPr>
            <w:tcW w:w="1128"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Hourly </w:t>
            </w:r>
            <w:r w:rsidRPr="006D5D16">
              <w:rPr>
                <w:rFonts w:ascii="Calibri" w:hAnsi="Calibri"/>
                <w:b/>
                <w:bCs/>
                <w:color w:val="000000"/>
                <w:sz w:val="22"/>
                <w:szCs w:val="22"/>
              </w:rPr>
              <w:br/>
              <w:t>Cost</w:t>
            </w:r>
          </w:p>
        </w:tc>
        <w:tc>
          <w:tcPr>
            <w:tcW w:w="162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Total Annual </w:t>
            </w:r>
            <w:r w:rsidRPr="006D5D16">
              <w:rPr>
                <w:rFonts w:ascii="Calibri" w:hAnsi="Calibri"/>
                <w:b/>
                <w:bCs/>
                <w:color w:val="000000"/>
                <w:sz w:val="22"/>
                <w:szCs w:val="22"/>
              </w:rPr>
              <w:br/>
              <w:t>Cost</w:t>
            </w:r>
          </w:p>
        </w:tc>
      </w:tr>
      <w:tr w:rsidR="006D5D16" w:rsidRPr="006D5D16" w:rsidTr="006D5D16">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HUD-93479</w:t>
            </w:r>
          </w:p>
        </w:tc>
        <w:tc>
          <w:tcPr>
            <w:tcW w:w="1514"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3,423 </w:t>
            </w:r>
          </w:p>
        </w:tc>
        <w:tc>
          <w:tcPr>
            <w:tcW w:w="12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1.5</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61,614 </w:t>
            </w:r>
          </w:p>
        </w:tc>
        <w:tc>
          <w:tcPr>
            <w:tcW w:w="1128"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24.46 </w:t>
            </w:r>
          </w:p>
        </w:tc>
        <w:tc>
          <w:tcPr>
            <w:tcW w:w="16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1,507,078 </w:t>
            </w:r>
          </w:p>
        </w:tc>
      </w:tr>
      <w:tr w:rsidR="006D5D16" w:rsidRPr="006D5D16" w:rsidTr="006D5D16">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HUD-93480</w:t>
            </w:r>
          </w:p>
        </w:tc>
        <w:tc>
          <w:tcPr>
            <w:tcW w:w="1514"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3,423 </w:t>
            </w:r>
          </w:p>
        </w:tc>
        <w:tc>
          <w:tcPr>
            <w:tcW w:w="12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128"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24.46 </w:t>
            </w:r>
          </w:p>
        </w:tc>
        <w:tc>
          <w:tcPr>
            <w:tcW w:w="16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1,004,719 </w:t>
            </w:r>
          </w:p>
        </w:tc>
      </w:tr>
      <w:tr w:rsidR="006D5D16" w:rsidRPr="006D5D16" w:rsidTr="006D5D16">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HUD-96003</w:t>
            </w:r>
          </w:p>
        </w:tc>
        <w:tc>
          <w:tcPr>
            <w:tcW w:w="1514"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3,423 </w:t>
            </w:r>
          </w:p>
        </w:tc>
        <w:tc>
          <w:tcPr>
            <w:tcW w:w="12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128"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24.46 </w:t>
            </w:r>
          </w:p>
        </w:tc>
        <w:tc>
          <w:tcPr>
            <w:tcW w:w="16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 $ </w:t>
            </w:r>
            <w:r w:rsidRPr="006D5D16">
              <w:rPr>
                <w:rFonts w:ascii="Calibri" w:hAnsi="Calibri"/>
                <w:color w:val="000000"/>
                <w:sz w:val="22"/>
                <w:szCs w:val="22"/>
              </w:rPr>
              <w:t xml:space="preserve"> 1,004,719 </w:t>
            </w:r>
          </w:p>
        </w:tc>
      </w:tr>
      <w:tr w:rsidR="006D5D16" w:rsidRPr="006D5D16" w:rsidTr="006D5D16">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Total</w:t>
            </w:r>
          </w:p>
        </w:tc>
        <w:tc>
          <w:tcPr>
            <w:tcW w:w="1514"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10,269 </w:t>
            </w:r>
          </w:p>
        </w:tc>
        <w:tc>
          <w:tcPr>
            <w:tcW w:w="12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123,228 </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143,766 </w:t>
            </w:r>
          </w:p>
        </w:tc>
        <w:tc>
          <w:tcPr>
            <w:tcW w:w="1128"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w:t>
            </w:r>
            <w:r>
              <w:rPr>
                <w:rFonts w:ascii="Calibri" w:hAnsi="Calibri"/>
                <w:color w:val="000000"/>
                <w:sz w:val="22"/>
                <w:szCs w:val="22"/>
              </w:rPr>
              <w:t>$</w:t>
            </w:r>
            <w:r w:rsidRPr="006D5D16">
              <w:rPr>
                <w:rFonts w:ascii="Calibri" w:hAnsi="Calibri"/>
                <w:color w:val="000000"/>
                <w:sz w:val="22"/>
                <w:szCs w:val="22"/>
              </w:rPr>
              <w:t xml:space="preserve">  3,516,516 </w:t>
            </w:r>
          </w:p>
        </w:tc>
      </w:tr>
    </w:tbl>
    <w:p w:rsidR="006D5D16" w:rsidRPr="006D5D16" w:rsidRDefault="006D5D16" w:rsidP="006D5D16"/>
    <w:p w:rsidR="00BB31B6" w:rsidRDefault="00BB31B6">
      <w:pPr>
        <w:ind w:left="360"/>
        <w:rPr>
          <w:sz w:val="16"/>
        </w:rPr>
      </w:pPr>
      <w:r w:rsidRPr="00511C21">
        <w:rPr>
          <w:b/>
          <w:bCs/>
          <w:sz w:val="16"/>
        </w:rPr>
        <w:t xml:space="preserve">* </w:t>
      </w:r>
      <w:r w:rsidRPr="00511C21">
        <w:rPr>
          <w:sz w:val="16"/>
        </w:rPr>
        <w:t>This estimate is based on 20%</w:t>
      </w:r>
      <w:r>
        <w:rPr>
          <w:sz w:val="16"/>
        </w:rPr>
        <w:t xml:space="preserve"> of HUD’s Insured and HUD-Held portfolio.  </w:t>
      </w:r>
    </w:p>
    <w:p w:rsidR="00BB31B6" w:rsidRDefault="00BB31B6">
      <w:pPr>
        <w:ind w:left="360"/>
        <w:rPr>
          <w:b/>
          <w:bCs/>
          <w:sz w:val="16"/>
        </w:rPr>
      </w:pPr>
      <w:r>
        <w:rPr>
          <w:b/>
          <w:bCs/>
          <w:sz w:val="16"/>
        </w:rPr>
        <w:t>**</w:t>
      </w:r>
      <w:r>
        <w:rPr>
          <w:sz w:val="16"/>
        </w:rPr>
        <w:t>Estimated hourly costs are based on respondent’s staff hours to gather documents and complete the forms.</w:t>
      </w:r>
    </w:p>
    <w:p w:rsidR="00BB31B6" w:rsidRDefault="00BB31B6">
      <w:pPr>
        <w:ind w:left="-180"/>
        <w:rPr>
          <w:b/>
          <w:bCs/>
          <w:sz w:val="16"/>
        </w:rPr>
      </w:pPr>
    </w:p>
    <w:p w:rsidR="00F940D1" w:rsidRDefault="00BB31B6" w:rsidP="00F940D1">
      <w:pPr>
        <w:shd w:val="clear" w:color="auto" w:fill="FFFFFF" w:themeFill="background1"/>
        <w:tabs>
          <w:tab w:val="left" w:pos="360"/>
        </w:tabs>
        <w:ind w:left="360" w:hanging="360"/>
        <w:rPr>
          <w:color w:val="000000"/>
          <w:sz w:val="24"/>
        </w:rPr>
      </w:pPr>
      <w:r w:rsidRPr="00F940D1">
        <w:rPr>
          <w:color w:val="000000"/>
          <w:sz w:val="24"/>
        </w:rPr>
        <w:t>13.</w:t>
      </w:r>
      <w:r w:rsidR="00F940D1">
        <w:rPr>
          <w:color w:val="000000"/>
          <w:sz w:val="24"/>
        </w:rPr>
        <w:t xml:space="preserve">  There </w:t>
      </w:r>
      <w:proofErr w:type="gramStart"/>
      <w:r w:rsidR="00F940D1">
        <w:rPr>
          <w:color w:val="000000"/>
          <w:sz w:val="24"/>
        </w:rPr>
        <w:t>are</w:t>
      </w:r>
      <w:proofErr w:type="gramEnd"/>
      <w:r w:rsidR="00F940D1">
        <w:rPr>
          <w:color w:val="000000"/>
          <w:sz w:val="24"/>
        </w:rPr>
        <w:t xml:space="preserve"> no additional capital/startup costs associated with the collection of information.</w:t>
      </w:r>
      <w:r w:rsidRPr="00F940D1">
        <w:rPr>
          <w:color w:val="000000"/>
          <w:sz w:val="24"/>
        </w:rPr>
        <w:tab/>
      </w:r>
    </w:p>
    <w:p w:rsidR="00BB31B6" w:rsidRDefault="00BB31B6">
      <w:pPr>
        <w:tabs>
          <w:tab w:val="left" w:pos="360"/>
        </w:tabs>
        <w:ind w:left="360" w:hanging="360"/>
        <w:rPr>
          <w:color w:val="000000"/>
          <w:sz w:val="24"/>
        </w:rPr>
      </w:pPr>
    </w:p>
    <w:p w:rsidR="00BB31B6" w:rsidRDefault="00BB31B6">
      <w:pPr>
        <w:tabs>
          <w:tab w:val="left" w:pos="360"/>
        </w:tabs>
        <w:ind w:left="360" w:hanging="360"/>
        <w:rPr>
          <w:b/>
          <w:bCs/>
          <w:sz w:val="24"/>
        </w:rPr>
      </w:pPr>
      <w:r>
        <w:rPr>
          <w:color w:val="000000"/>
          <w:sz w:val="24"/>
        </w:rPr>
        <w:t>14.</w:t>
      </w:r>
      <w:r>
        <w:rPr>
          <w:color w:val="000000"/>
          <w:sz w:val="24"/>
        </w:rPr>
        <w:tab/>
      </w:r>
      <w:r>
        <w:rPr>
          <w:b/>
          <w:bCs/>
          <w:sz w:val="24"/>
        </w:rPr>
        <w:t>Estimates of annualized cost to the Federal government</w:t>
      </w:r>
    </w:p>
    <w:tbl>
      <w:tblPr>
        <w:tblW w:w="8025" w:type="dxa"/>
        <w:tblInd w:w="93" w:type="dxa"/>
        <w:tblLook w:val="04A0"/>
      </w:tblPr>
      <w:tblGrid>
        <w:gridCol w:w="1320"/>
        <w:gridCol w:w="1302"/>
        <w:gridCol w:w="1360"/>
        <w:gridCol w:w="1400"/>
        <w:gridCol w:w="1113"/>
        <w:gridCol w:w="1530"/>
      </w:tblGrid>
      <w:tr w:rsidR="006D5D16" w:rsidRPr="006D5D16" w:rsidTr="006D5D16">
        <w:trPr>
          <w:trHeight w:val="300"/>
        </w:trPr>
        <w:tc>
          <w:tcPr>
            <w:tcW w:w="132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b/>
                <w:bCs/>
                <w:color w:val="000000"/>
                <w:sz w:val="22"/>
                <w:szCs w:val="22"/>
              </w:rPr>
            </w:pPr>
          </w:p>
        </w:tc>
        <w:tc>
          <w:tcPr>
            <w:tcW w:w="6705" w:type="dxa"/>
            <w:gridSpan w:val="5"/>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Estimates of Annualized Cost to the Federal Government</w:t>
            </w:r>
          </w:p>
        </w:tc>
      </w:tr>
      <w:tr w:rsidR="006D5D16" w:rsidRPr="006D5D16" w:rsidTr="006D5D16">
        <w:trPr>
          <w:trHeight w:val="139"/>
        </w:trPr>
        <w:tc>
          <w:tcPr>
            <w:tcW w:w="132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302"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113"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rsidR="006D5D16" w:rsidRPr="006D5D16" w:rsidRDefault="006D5D16" w:rsidP="006D5D16">
            <w:pPr>
              <w:overflowPunct/>
              <w:autoSpaceDE/>
              <w:autoSpaceDN/>
              <w:adjustRightInd/>
              <w:textAlignment w:val="auto"/>
              <w:rPr>
                <w:rFonts w:ascii="Calibri" w:hAnsi="Calibri"/>
                <w:color w:val="000000"/>
                <w:sz w:val="22"/>
                <w:szCs w:val="22"/>
              </w:rPr>
            </w:pPr>
          </w:p>
        </w:tc>
      </w:tr>
      <w:tr w:rsidR="006D5D16" w:rsidRPr="006D5D16" w:rsidTr="006D5D16">
        <w:trPr>
          <w:trHeight w:val="900"/>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Information </w:t>
            </w:r>
            <w:r w:rsidRPr="006D5D16">
              <w:rPr>
                <w:rFonts w:ascii="Calibri" w:hAnsi="Calibri"/>
                <w:b/>
                <w:bCs/>
                <w:color w:val="000000"/>
                <w:sz w:val="22"/>
                <w:szCs w:val="22"/>
              </w:rPr>
              <w:br/>
              <w:t>Collection</w:t>
            </w:r>
          </w:p>
        </w:tc>
        <w:tc>
          <w:tcPr>
            <w:tcW w:w="1302"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Total Annual</w:t>
            </w:r>
            <w:r w:rsidRPr="006D5D16">
              <w:rPr>
                <w:rFonts w:ascii="Calibri" w:hAnsi="Calibri"/>
                <w:b/>
                <w:bCs/>
                <w:color w:val="000000"/>
                <w:sz w:val="22"/>
                <w:szCs w:val="22"/>
              </w:rPr>
              <w:br/>
              <w:t>Responses</w:t>
            </w:r>
          </w:p>
        </w:tc>
        <w:tc>
          <w:tcPr>
            <w:tcW w:w="136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Burden Hours</w:t>
            </w:r>
            <w:r w:rsidRPr="006D5D16">
              <w:rPr>
                <w:rFonts w:ascii="Calibri" w:hAnsi="Calibri"/>
                <w:b/>
                <w:bCs/>
                <w:color w:val="000000"/>
                <w:sz w:val="22"/>
                <w:szCs w:val="22"/>
              </w:rPr>
              <w:br/>
              <w:t>per Response</w:t>
            </w:r>
          </w:p>
        </w:tc>
        <w:tc>
          <w:tcPr>
            <w:tcW w:w="140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Total Annual</w:t>
            </w:r>
            <w:r w:rsidRPr="006D5D16">
              <w:rPr>
                <w:rFonts w:ascii="Calibri" w:hAnsi="Calibri"/>
                <w:b/>
                <w:bCs/>
                <w:color w:val="000000"/>
                <w:sz w:val="22"/>
                <w:szCs w:val="22"/>
              </w:rPr>
              <w:br/>
              <w:t>Burden Hours</w:t>
            </w:r>
          </w:p>
        </w:tc>
        <w:tc>
          <w:tcPr>
            <w:tcW w:w="1113"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 xml:space="preserve">Hourly </w:t>
            </w:r>
            <w:r w:rsidRPr="006D5D16">
              <w:rPr>
                <w:rFonts w:ascii="Calibri" w:hAnsi="Calibri"/>
                <w:b/>
                <w:bCs/>
                <w:color w:val="000000"/>
                <w:sz w:val="22"/>
                <w:szCs w:val="22"/>
              </w:rPr>
              <w:br/>
              <w:t>Cost</w:t>
            </w:r>
          </w:p>
        </w:tc>
        <w:tc>
          <w:tcPr>
            <w:tcW w:w="1530" w:type="dxa"/>
            <w:tcBorders>
              <w:top w:val="single" w:sz="4" w:space="0" w:color="auto"/>
              <w:left w:val="nil"/>
              <w:bottom w:val="single" w:sz="4" w:space="0" w:color="auto"/>
              <w:right w:val="single" w:sz="4" w:space="0" w:color="auto"/>
            </w:tcBorders>
            <w:shd w:val="clear" w:color="auto" w:fill="auto"/>
            <w:hideMark/>
          </w:tcPr>
          <w:p w:rsidR="006D5D16" w:rsidRPr="006D5D16" w:rsidRDefault="006D5D16" w:rsidP="006D5D16">
            <w:pPr>
              <w:overflowPunct/>
              <w:autoSpaceDE/>
              <w:autoSpaceDN/>
              <w:adjustRightInd/>
              <w:jc w:val="center"/>
              <w:textAlignment w:val="auto"/>
              <w:rPr>
                <w:rFonts w:ascii="Calibri" w:hAnsi="Calibri"/>
                <w:b/>
                <w:bCs/>
                <w:color w:val="000000"/>
                <w:sz w:val="22"/>
                <w:szCs w:val="22"/>
              </w:rPr>
            </w:pPr>
            <w:r w:rsidRPr="006D5D16">
              <w:rPr>
                <w:rFonts w:ascii="Calibri" w:hAnsi="Calibri"/>
                <w:b/>
                <w:bCs/>
                <w:color w:val="000000"/>
                <w:sz w:val="22"/>
                <w:szCs w:val="22"/>
              </w:rPr>
              <w:t>Total Annual</w:t>
            </w:r>
            <w:r w:rsidRPr="006D5D16">
              <w:rPr>
                <w:rFonts w:ascii="Calibri" w:hAnsi="Calibri"/>
                <w:b/>
                <w:bCs/>
                <w:color w:val="000000"/>
                <w:sz w:val="22"/>
                <w:szCs w:val="22"/>
              </w:rPr>
              <w:br/>
              <w:t>Cost</w:t>
            </w:r>
          </w:p>
        </w:tc>
      </w:tr>
      <w:tr w:rsidR="006D5D16" w:rsidRPr="006D5D16" w:rsidTr="006D5D16">
        <w:trPr>
          <w:trHeight w:val="42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HUD-93479 </w:t>
            </w:r>
          </w:p>
        </w:tc>
        <w:tc>
          <w:tcPr>
            <w:tcW w:w="1302"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36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0.25</w:t>
            </w:r>
          </w:p>
        </w:tc>
        <w:tc>
          <w:tcPr>
            <w:tcW w:w="140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10,269 </w:t>
            </w:r>
          </w:p>
        </w:tc>
        <w:tc>
          <w:tcPr>
            <w:tcW w:w="1113"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28.88 </w:t>
            </w:r>
          </w:p>
        </w:tc>
        <w:tc>
          <w:tcPr>
            <w:tcW w:w="153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296,569 </w:t>
            </w:r>
          </w:p>
        </w:tc>
      </w:tr>
      <w:tr w:rsidR="006D5D16" w:rsidRPr="006D5D16" w:rsidTr="006D5D16">
        <w:trPr>
          <w:trHeight w:val="42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HUD-93480 </w:t>
            </w:r>
          </w:p>
        </w:tc>
        <w:tc>
          <w:tcPr>
            <w:tcW w:w="1302"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36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0.25</w:t>
            </w:r>
          </w:p>
        </w:tc>
        <w:tc>
          <w:tcPr>
            <w:tcW w:w="140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10,269 </w:t>
            </w:r>
          </w:p>
        </w:tc>
        <w:tc>
          <w:tcPr>
            <w:tcW w:w="1113"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28.88 </w:t>
            </w:r>
          </w:p>
        </w:tc>
        <w:tc>
          <w:tcPr>
            <w:tcW w:w="153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296,569 </w:t>
            </w:r>
          </w:p>
        </w:tc>
      </w:tr>
      <w:tr w:rsidR="006D5D16" w:rsidRPr="006D5D16" w:rsidTr="006D5D16">
        <w:trPr>
          <w:trHeight w:val="42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HUD-96003 </w:t>
            </w:r>
          </w:p>
        </w:tc>
        <w:tc>
          <w:tcPr>
            <w:tcW w:w="1302"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41,076 </w:t>
            </w:r>
          </w:p>
        </w:tc>
        <w:tc>
          <w:tcPr>
            <w:tcW w:w="136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0.25</w:t>
            </w:r>
          </w:p>
        </w:tc>
        <w:tc>
          <w:tcPr>
            <w:tcW w:w="140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10,269 </w:t>
            </w:r>
          </w:p>
        </w:tc>
        <w:tc>
          <w:tcPr>
            <w:tcW w:w="1113"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28.88 </w:t>
            </w:r>
          </w:p>
        </w:tc>
        <w:tc>
          <w:tcPr>
            <w:tcW w:w="153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296,569 </w:t>
            </w:r>
          </w:p>
        </w:tc>
      </w:tr>
      <w:tr w:rsidR="006D5D16" w:rsidRPr="006D5D16" w:rsidTr="006D5D16">
        <w:trPr>
          <w:trHeight w:val="42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Total  </w:t>
            </w:r>
          </w:p>
        </w:tc>
        <w:tc>
          <w:tcPr>
            <w:tcW w:w="1302"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123,228 </w:t>
            </w:r>
          </w:p>
        </w:tc>
        <w:tc>
          <w:tcPr>
            <w:tcW w:w="136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30,807 </w:t>
            </w:r>
          </w:p>
        </w:tc>
        <w:tc>
          <w:tcPr>
            <w:tcW w:w="1113"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center"/>
            <w:hideMark/>
          </w:tcPr>
          <w:p w:rsidR="006D5D16" w:rsidRPr="006D5D16" w:rsidRDefault="006D5D16" w:rsidP="006D5D16">
            <w:pPr>
              <w:overflowPunct/>
              <w:autoSpaceDE/>
              <w:autoSpaceDN/>
              <w:adjustRightInd/>
              <w:jc w:val="center"/>
              <w:textAlignment w:val="auto"/>
              <w:rPr>
                <w:rFonts w:ascii="Calibri" w:hAnsi="Calibri"/>
                <w:color w:val="000000"/>
                <w:sz w:val="22"/>
                <w:szCs w:val="22"/>
              </w:rPr>
            </w:pPr>
            <w:r w:rsidRPr="006D5D16">
              <w:rPr>
                <w:rFonts w:ascii="Calibri" w:hAnsi="Calibri"/>
                <w:color w:val="000000"/>
                <w:sz w:val="22"/>
                <w:szCs w:val="22"/>
              </w:rPr>
              <w:t xml:space="preserve"> $        889,706 </w:t>
            </w:r>
          </w:p>
        </w:tc>
      </w:tr>
    </w:tbl>
    <w:p w:rsidR="006D5D16" w:rsidRDefault="006D5D16">
      <w:pPr>
        <w:tabs>
          <w:tab w:val="left" w:pos="360"/>
        </w:tabs>
        <w:ind w:left="360" w:hanging="360"/>
        <w:rPr>
          <w:color w:val="000000"/>
          <w:sz w:val="18"/>
        </w:rPr>
      </w:pPr>
    </w:p>
    <w:p w:rsidR="00BB31B6" w:rsidRDefault="00BB31B6">
      <w:pPr>
        <w:tabs>
          <w:tab w:val="left" w:pos="360"/>
        </w:tabs>
        <w:ind w:left="360" w:hanging="360"/>
        <w:rPr>
          <w:color w:val="000000"/>
          <w:sz w:val="18"/>
        </w:rPr>
      </w:pPr>
      <w:r>
        <w:rPr>
          <w:color w:val="000000"/>
          <w:sz w:val="18"/>
        </w:rPr>
        <w:tab/>
        <w:t>*Hourly cost based on a GS-12, Project Manager charged with reviewing the monthly accounting reports.</w:t>
      </w:r>
    </w:p>
    <w:p w:rsidR="00BB31B6" w:rsidRDefault="00BB31B6">
      <w:pPr>
        <w:tabs>
          <w:tab w:val="left" w:pos="360"/>
        </w:tabs>
        <w:ind w:left="360" w:hanging="360"/>
        <w:rPr>
          <w:color w:val="000000"/>
          <w:sz w:val="18"/>
        </w:rPr>
      </w:pPr>
    </w:p>
    <w:p w:rsidR="00BB31B6" w:rsidRPr="00BB7ECE" w:rsidRDefault="00BB31B6" w:rsidP="002C022A">
      <w:pPr>
        <w:keepLines/>
        <w:tabs>
          <w:tab w:val="left" w:pos="360"/>
        </w:tabs>
        <w:spacing w:after="80"/>
        <w:ind w:left="360" w:hanging="360"/>
        <w:rPr>
          <w:sz w:val="24"/>
        </w:rPr>
      </w:pPr>
      <w:r>
        <w:rPr>
          <w:color w:val="000000"/>
          <w:sz w:val="24"/>
        </w:rPr>
        <w:t>15.</w:t>
      </w:r>
      <w:r>
        <w:rPr>
          <w:color w:val="000000"/>
          <w:sz w:val="24"/>
        </w:rPr>
        <w:tab/>
        <w:t xml:space="preserve">This is an extension of a currently approved collection.  </w:t>
      </w:r>
      <w:r w:rsidR="002C022A" w:rsidRPr="002C022A">
        <w:rPr>
          <w:color w:val="000000"/>
          <w:sz w:val="24"/>
        </w:rPr>
        <w:t xml:space="preserve">An adjustment was made to reflect the </w:t>
      </w:r>
      <w:r w:rsidR="006356A2">
        <w:rPr>
          <w:color w:val="000000"/>
          <w:sz w:val="24"/>
        </w:rPr>
        <w:t xml:space="preserve">current </w:t>
      </w:r>
      <w:r w:rsidR="002C022A" w:rsidRPr="002C022A">
        <w:rPr>
          <w:color w:val="000000"/>
          <w:sz w:val="24"/>
        </w:rPr>
        <w:t xml:space="preserve">responses based on information available in HUD systems instead of previous estimates. As a result, the number of responses and the annual burden hours have increased.  </w:t>
      </w:r>
    </w:p>
    <w:p w:rsidR="00BB31B6" w:rsidRDefault="00BB31B6">
      <w:pPr>
        <w:keepLines/>
        <w:tabs>
          <w:tab w:val="left" w:pos="360"/>
          <w:tab w:val="left" w:pos="720"/>
        </w:tabs>
        <w:rPr>
          <w:color w:val="000000"/>
          <w:sz w:val="24"/>
        </w:rPr>
      </w:pPr>
      <w:r>
        <w:rPr>
          <w:color w:val="000000"/>
          <w:sz w:val="24"/>
        </w:rPr>
        <w:t>16.</w:t>
      </w:r>
      <w:r>
        <w:rPr>
          <w:color w:val="000000"/>
          <w:sz w:val="24"/>
        </w:rPr>
        <w:tab/>
      </w:r>
      <w:r>
        <w:rPr>
          <w:sz w:val="24"/>
        </w:rPr>
        <w:t xml:space="preserve">The results of this information will not be published.  </w:t>
      </w:r>
    </w:p>
    <w:p w:rsidR="00BB31B6" w:rsidRDefault="00BB31B6">
      <w:pPr>
        <w:keepLines/>
        <w:tabs>
          <w:tab w:val="left" w:pos="360"/>
          <w:tab w:val="left" w:pos="720"/>
        </w:tabs>
        <w:rPr>
          <w:color w:val="000000"/>
          <w:sz w:val="24"/>
        </w:rPr>
      </w:pPr>
    </w:p>
    <w:p w:rsidR="00BB31B6" w:rsidRDefault="00BB31B6">
      <w:pPr>
        <w:shd w:val="clear" w:color="auto" w:fill="FFFFFF"/>
        <w:rPr>
          <w:sz w:val="24"/>
        </w:rPr>
      </w:pPr>
      <w:r>
        <w:rPr>
          <w:color w:val="000000"/>
          <w:sz w:val="24"/>
        </w:rPr>
        <w:t>17.  T</w:t>
      </w:r>
      <w:r>
        <w:rPr>
          <w:sz w:val="24"/>
        </w:rPr>
        <w:t>he expiration date will be displayed on the HUD forms associated with this information collection.</w:t>
      </w:r>
    </w:p>
    <w:p w:rsidR="00BB31B6" w:rsidRDefault="00BB31B6">
      <w:pPr>
        <w:tabs>
          <w:tab w:val="left" w:pos="360"/>
          <w:tab w:val="left" w:pos="720"/>
        </w:tabs>
        <w:rPr>
          <w:color w:val="000000"/>
          <w:sz w:val="24"/>
        </w:rPr>
      </w:pPr>
    </w:p>
    <w:p w:rsidR="00BB31B6" w:rsidRDefault="00BB31B6">
      <w:pPr>
        <w:tabs>
          <w:tab w:val="left" w:pos="360"/>
          <w:tab w:val="left" w:pos="720"/>
        </w:tabs>
        <w:rPr>
          <w:color w:val="000000"/>
          <w:sz w:val="24"/>
        </w:rPr>
      </w:pPr>
      <w:r>
        <w:rPr>
          <w:color w:val="000000"/>
          <w:sz w:val="24"/>
        </w:rPr>
        <w:t>18.</w:t>
      </w:r>
      <w:r>
        <w:rPr>
          <w:color w:val="000000"/>
          <w:sz w:val="24"/>
        </w:rPr>
        <w:tab/>
        <w:t xml:space="preserve"> There are no exceptions to certification statement in item 19.</w:t>
      </w:r>
    </w:p>
    <w:p w:rsidR="00BB31B6" w:rsidRDefault="00BB31B6">
      <w:pPr>
        <w:shd w:val="clear" w:color="auto" w:fill="FFFFFF"/>
        <w:ind w:left="720"/>
        <w:rPr>
          <w:sz w:val="24"/>
        </w:rPr>
      </w:pPr>
    </w:p>
    <w:p w:rsidR="00BB31B6" w:rsidRDefault="00BB31B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r>
        <w:rPr>
          <w:rFonts w:ascii="Helvetica" w:hAnsi="Helvetica"/>
          <w:b/>
          <w:color w:val="000000"/>
          <w:sz w:val="24"/>
        </w:rPr>
        <w:t xml:space="preserve">B. </w:t>
      </w:r>
      <w:r>
        <w:rPr>
          <w:rFonts w:ascii="Helvetica" w:hAnsi="Helvetica"/>
          <w:b/>
          <w:color w:val="000000"/>
          <w:sz w:val="24"/>
        </w:rPr>
        <w:tab/>
        <w:t>Collections of Information Employing Statistical Methods</w:t>
      </w:r>
    </w:p>
    <w:p w:rsidR="00BB31B6" w:rsidRDefault="00BB31B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24"/>
        </w:rPr>
      </w:pPr>
    </w:p>
    <w:p w:rsidR="00BB31B6" w:rsidRDefault="00BB31B6">
      <w:pPr>
        <w:shd w:val="clear" w:color="auto" w:fill="FFFFFF"/>
        <w:ind w:left="720"/>
        <w:rPr>
          <w:sz w:val="24"/>
        </w:rPr>
      </w:pPr>
      <w:r>
        <w:rPr>
          <w:sz w:val="24"/>
        </w:rPr>
        <w:t>There statistical methods used for collection of this information.</w:t>
      </w:r>
    </w:p>
    <w:sectPr w:rsidR="00BB31B6" w:rsidSect="00E909A9">
      <w:footerReference w:type="default" r:id="rId7"/>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579" w:rsidRDefault="00B00579">
      <w:r>
        <w:separator/>
      </w:r>
    </w:p>
  </w:endnote>
  <w:endnote w:type="continuationSeparator" w:id="0">
    <w:p w:rsidR="00B00579" w:rsidRDefault="00B00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AB" w:rsidRDefault="002E2C40">
    <w:pPr>
      <w:pStyle w:val="Footer"/>
      <w:framePr w:wrap="around" w:vAnchor="text" w:hAnchor="margin" w:xAlign="center" w:y="1"/>
      <w:rPr>
        <w:rStyle w:val="PageNumber"/>
      </w:rPr>
    </w:pPr>
    <w:r>
      <w:rPr>
        <w:rStyle w:val="PageNumber"/>
      </w:rPr>
      <w:fldChar w:fldCharType="begin"/>
    </w:r>
    <w:r w:rsidR="00702EAB">
      <w:rPr>
        <w:rStyle w:val="PageNumber"/>
      </w:rPr>
      <w:instrText xml:space="preserve">PAGE  </w:instrText>
    </w:r>
    <w:r>
      <w:rPr>
        <w:rStyle w:val="PageNumber"/>
      </w:rPr>
      <w:fldChar w:fldCharType="separate"/>
    </w:r>
    <w:r w:rsidR="006356A2">
      <w:rPr>
        <w:rStyle w:val="PageNumber"/>
        <w:noProof/>
      </w:rPr>
      <w:t>3</w:t>
    </w:r>
    <w:r>
      <w:rPr>
        <w:rStyle w:val="PageNumber"/>
      </w:rPr>
      <w:fldChar w:fldCharType="end"/>
    </w:r>
  </w:p>
  <w:p w:rsidR="00702EAB" w:rsidRDefault="00702EAB" w:rsidP="00DA53C1">
    <w:pPr>
      <w:pStyle w:val="Footer"/>
      <w:pBdr>
        <w:top w:val="single" w:sz="6" w:space="1" w:color="auto"/>
      </w:pBdr>
      <w:tabs>
        <w:tab w:val="clear" w:pos="4320"/>
        <w:tab w:val="clear" w:pos="8640"/>
        <w:tab w:val="right" w:pos="10920"/>
      </w:tabs>
      <w:ind w:left="-120" w:righ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579" w:rsidRDefault="00B00579">
      <w:r>
        <w:separator/>
      </w:r>
    </w:p>
  </w:footnote>
  <w:footnote w:type="continuationSeparator" w:id="0">
    <w:p w:rsidR="00B00579" w:rsidRDefault="00B00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F63D15"/>
    <w:multiLevelType w:val="hybridMultilevel"/>
    <w:tmpl w:val="A13E6A26"/>
    <w:lvl w:ilvl="0" w:tplc="B614BBC6">
      <w:start w:val="1"/>
      <w:numFmt w:val="upperLetter"/>
      <w:pStyle w:val="Heading1"/>
      <w:lvlText w:val="%1."/>
      <w:lvlJc w:val="left"/>
      <w:pPr>
        <w:tabs>
          <w:tab w:val="num" w:pos="720"/>
        </w:tabs>
        <w:ind w:left="720" w:hanging="360"/>
      </w:pPr>
      <w:rPr>
        <w:rFonts w:hint="default"/>
      </w:rPr>
    </w:lvl>
    <w:lvl w:ilvl="1" w:tplc="4C9A18C0">
      <w:start w:val="1"/>
      <w:numFmt w:val="decimal"/>
      <w:lvlText w:val="%2."/>
      <w:lvlJc w:val="left"/>
      <w:pPr>
        <w:tabs>
          <w:tab w:val="num" w:pos="1440"/>
        </w:tabs>
        <w:ind w:left="1440" w:hanging="360"/>
      </w:pPr>
      <w:rPr>
        <w:rFonts w:hint="default"/>
      </w:rPr>
    </w:lvl>
    <w:lvl w:ilvl="2" w:tplc="BC4665DE">
      <w:start w:val="1"/>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E814541"/>
    <w:multiLevelType w:val="hybridMultilevel"/>
    <w:tmpl w:val="8D963874"/>
    <w:lvl w:ilvl="0" w:tplc="2ADC8D2E">
      <w:start w:val="5"/>
      <w:numFmt w:val="decimal"/>
      <w:lvlText w:val="%1."/>
      <w:lvlJc w:val="left"/>
      <w:pPr>
        <w:tabs>
          <w:tab w:val="num" w:pos="180"/>
        </w:tabs>
        <w:ind w:left="180" w:hanging="360"/>
      </w:pPr>
      <w:rPr>
        <w:rFonts w:hint="default"/>
      </w:rPr>
    </w:lvl>
    <w:lvl w:ilvl="1" w:tplc="BC4665DE">
      <w:start w:val="1"/>
      <w:numFmt w:val="bullet"/>
      <w:lvlText w:val=""/>
      <w:lvlJc w:val="left"/>
      <w:pPr>
        <w:tabs>
          <w:tab w:val="num" w:pos="900"/>
        </w:tabs>
        <w:ind w:left="900" w:hanging="360"/>
      </w:pPr>
      <w:rPr>
        <w:rFonts w:ascii="Symbol" w:eastAsia="Times New Roman" w:hAnsi="Symbol" w:cs="Times New Roman" w:hint="default"/>
      </w:rPr>
    </w:lvl>
    <w:lvl w:ilvl="2" w:tplc="2BB8A778">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37FA2ED5"/>
    <w:multiLevelType w:val="hybridMultilevel"/>
    <w:tmpl w:val="5ED0CFC2"/>
    <w:lvl w:ilvl="0" w:tplc="2D98780C">
      <w:start w:val="1"/>
      <w:numFmt w:val="bullet"/>
      <w:lvlText w:val=""/>
      <w:lvlJc w:val="left"/>
      <w:pPr>
        <w:tabs>
          <w:tab w:val="num" w:pos="720"/>
        </w:tabs>
        <w:ind w:left="720" w:hanging="360"/>
      </w:pPr>
      <w:rPr>
        <w:rFonts w:ascii="Symbol" w:hAnsi="Symbol" w:hint="default"/>
      </w:rPr>
    </w:lvl>
    <w:lvl w:ilvl="1" w:tplc="34A61DB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A97B46"/>
    <w:multiLevelType w:val="hybridMultilevel"/>
    <w:tmpl w:val="F1A87C46"/>
    <w:lvl w:ilvl="0" w:tplc="EF24C89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A60B30"/>
    <w:multiLevelType w:val="hybridMultilevel"/>
    <w:tmpl w:val="A9BAB8D2"/>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775F9D"/>
    <w:multiLevelType w:val="hybridMultilevel"/>
    <w:tmpl w:val="A3601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6D10147"/>
    <w:multiLevelType w:val="hybridMultilevel"/>
    <w:tmpl w:val="7B7CB5C2"/>
    <w:lvl w:ilvl="0" w:tplc="34A61D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4"/>
  </w:num>
  <w:num w:numId="3">
    <w:abstractNumId w:val="2"/>
  </w:num>
  <w:num w:numId="4">
    <w:abstractNumId w:val="13"/>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7"/>
  </w:num>
  <w:num w:numId="11">
    <w:abstractNumId w:val="10"/>
  </w:num>
  <w:num w:numId="12">
    <w:abstractNumId w:val="4"/>
  </w:num>
  <w:num w:numId="13">
    <w:abstractNumId w:val="6"/>
  </w:num>
  <w:num w:numId="14">
    <w:abstractNumId w:val="1"/>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BB31B6"/>
    <w:rsid w:val="0000273A"/>
    <w:rsid w:val="000079A7"/>
    <w:rsid w:val="00164AB0"/>
    <w:rsid w:val="0018318F"/>
    <w:rsid w:val="002376AD"/>
    <w:rsid w:val="00250392"/>
    <w:rsid w:val="0029403D"/>
    <w:rsid w:val="002C022A"/>
    <w:rsid w:val="002C1473"/>
    <w:rsid w:val="002E2C40"/>
    <w:rsid w:val="0037068A"/>
    <w:rsid w:val="003B3C7C"/>
    <w:rsid w:val="00435DE6"/>
    <w:rsid w:val="004C61E7"/>
    <w:rsid w:val="004E377B"/>
    <w:rsid w:val="00511C21"/>
    <w:rsid w:val="006356A2"/>
    <w:rsid w:val="006D5D16"/>
    <w:rsid w:val="00702EAB"/>
    <w:rsid w:val="007E0FFE"/>
    <w:rsid w:val="00810800"/>
    <w:rsid w:val="00903CF6"/>
    <w:rsid w:val="0091012C"/>
    <w:rsid w:val="00976511"/>
    <w:rsid w:val="009A74B4"/>
    <w:rsid w:val="00AB67B9"/>
    <w:rsid w:val="00B00579"/>
    <w:rsid w:val="00BB31B6"/>
    <w:rsid w:val="00BB7ECE"/>
    <w:rsid w:val="00BF6508"/>
    <w:rsid w:val="00DA53C1"/>
    <w:rsid w:val="00E909A9"/>
    <w:rsid w:val="00ED1AA2"/>
    <w:rsid w:val="00F94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A9"/>
    <w:pPr>
      <w:overflowPunct w:val="0"/>
      <w:autoSpaceDE w:val="0"/>
      <w:autoSpaceDN w:val="0"/>
      <w:adjustRightInd w:val="0"/>
      <w:textAlignment w:val="baseline"/>
    </w:pPr>
  </w:style>
  <w:style w:type="paragraph" w:styleId="Heading1">
    <w:name w:val="heading 1"/>
    <w:basedOn w:val="Normal"/>
    <w:next w:val="Normal"/>
    <w:qFormat/>
    <w:rsid w:val="00E909A9"/>
    <w:pPr>
      <w:keepNext/>
      <w:numPr>
        <w:numId w:val="14"/>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E909A9"/>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909A9"/>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E909A9"/>
    <w:pPr>
      <w:keepNext/>
      <w:tabs>
        <w:tab w:val="left" w:pos="240"/>
      </w:tabs>
      <w:spacing w:after="40"/>
      <w:ind w:left="120" w:right="-120"/>
      <w:outlineLvl w:val="3"/>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09A9"/>
    <w:pPr>
      <w:tabs>
        <w:tab w:val="center" w:pos="4320"/>
        <w:tab w:val="right" w:pos="8640"/>
      </w:tabs>
    </w:pPr>
  </w:style>
  <w:style w:type="paragraph" w:styleId="Footer">
    <w:name w:val="footer"/>
    <w:basedOn w:val="Normal"/>
    <w:semiHidden/>
    <w:rsid w:val="00E909A9"/>
    <w:pPr>
      <w:tabs>
        <w:tab w:val="center" w:pos="4320"/>
        <w:tab w:val="right" w:pos="8640"/>
      </w:tabs>
    </w:pPr>
  </w:style>
  <w:style w:type="paragraph" w:styleId="BodyTextIndent">
    <w:name w:val="Body Text Indent"/>
    <w:basedOn w:val="Normal"/>
    <w:semiHidden/>
    <w:rsid w:val="00E909A9"/>
    <w:pPr>
      <w:keepLines/>
      <w:tabs>
        <w:tab w:val="left" w:pos="360"/>
      </w:tabs>
      <w:spacing w:after="80"/>
      <w:ind w:left="360" w:hanging="360"/>
    </w:pPr>
    <w:rPr>
      <w:color w:val="000000"/>
    </w:rPr>
  </w:style>
  <w:style w:type="paragraph" w:styleId="BodyText">
    <w:name w:val="Body Text"/>
    <w:basedOn w:val="Normal"/>
    <w:semiHidden/>
    <w:rsid w:val="00E909A9"/>
    <w:pPr>
      <w:overflowPunct/>
      <w:autoSpaceDE/>
      <w:autoSpaceDN/>
      <w:adjustRightInd/>
      <w:textAlignment w:val="auto"/>
    </w:pPr>
    <w:rPr>
      <w:b/>
      <w:bCs/>
      <w:sz w:val="24"/>
      <w:szCs w:val="24"/>
    </w:rPr>
  </w:style>
  <w:style w:type="paragraph" w:styleId="BodyText3">
    <w:name w:val="Body Text 3"/>
    <w:basedOn w:val="Normal"/>
    <w:semiHidden/>
    <w:rsid w:val="00E909A9"/>
    <w:pPr>
      <w:shd w:val="clear" w:color="auto" w:fill="FFFFFF"/>
      <w:overflowPunct/>
      <w:autoSpaceDE/>
      <w:autoSpaceDN/>
      <w:adjustRightInd/>
      <w:textAlignment w:val="auto"/>
    </w:pPr>
    <w:rPr>
      <w:sz w:val="24"/>
      <w:szCs w:val="24"/>
    </w:rPr>
  </w:style>
  <w:style w:type="paragraph" w:styleId="BodyTextIndent2">
    <w:name w:val="Body Text Indent 2"/>
    <w:basedOn w:val="Normal"/>
    <w:semiHidden/>
    <w:rsid w:val="00E909A9"/>
    <w:pPr>
      <w:keepLines/>
      <w:tabs>
        <w:tab w:val="left" w:pos="360"/>
      </w:tabs>
      <w:spacing w:after="80"/>
      <w:ind w:left="360" w:hanging="360"/>
    </w:pPr>
    <w:rPr>
      <w:color w:val="000000"/>
      <w:sz w:val="24"/>
    </w:rPr>
  </w:style>
  <w:style w:type="character" w:styleId="PageNumber">
    <w:name w:val="page number"/>
    <w:basedOn w:val="DefaultParagraphFont"/>
    <w:semiHidden/>
    <w:rsid w:val="00E909A9"/>
  </w:style>
  <w:style w:type="paragraph" w:styleId="BodyTextIndent3">
    <w:name w:val="Body Text Indent 3"/>
    <w:basedOn w:val="Normal"/>
    <w:semiHidden/>
    <w:rsid w:val="00E909A9"/>
    <w:pPr>
      <w:shd w:val="clear" w:color="auto" w:fill="FFFFFF"/>
      <w:ind w:left="810"/>
    </w:pPr>
    <w:rPr>
      <w:sz w:val="24"/>
      <w:shd w:val="clear" w:color="auto" w:fill="E6E6E6"/>
    </w:rPr>
  </w:style>
  <w:style w:type="paragraph" w:styleId="HTMLPreformatted">
    <w:name w:val="HTML Preformatted"/>
    <w:basedOn w:val="Normal"/>
    <w:semiHidden/>
    <w:rsid w:val="00E9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unhideWhenUsed/>
    <w:rsid w:val="002C1473"/>
    <w:rPr>
      <w:rFonts w:ascii="Tahoma" w:hAnsi="Tahoma" w:cs="Tahoma"/>
      <w:sz w:val="16"/>
      <w:szCs w:val="16"/>
    </w:rPr>
  </w:style>
  <w:style w:type="character" w:customStyle="1" w:styleId="BalloonTextChar">
    <w:name w:val="Balloon Text Char"/>
    <w:basedOn w:val="DefaultParagraphFont"/>
    <w:link w:val="BalloonText"/>
    <w:uiPriority w:val="99"/>
    <w:semiHidden/>
    <w:rsid w:val="002C1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955601">
      <w:bodyDiv w:val="1"/>
      <w:marLeft w:val="0"/>
      <w:marRight w:val="0"/>
      <w:marTop w:val="0"/>
      <w:marBottom w:val="0"/>
      <w:divBdr>
        <w:top w:val="none" w:sz="0" w:space="0" w:color="auto"/>
        <w:left w:val="none" w:sz="0" w:space="0" w:color="auto"/>
        <w:bottom w:val="none" w:sz="0" w:space="0" w:color="auto"/>
        <w:right w:val="none" w:sz="0" w:space="0" w:color="auto"/>
      </w:divBdr>
    </w:div>
    <w:div w:id="19857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6828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3</cp:revision>
  <cp:lastPrinted>2010-05-20T15:57:00Z</cp:lastPrinted>
  <dcterms:created xsi:type="dcterms:W3CDTF">2010-09-14T13:16:00Z</dcterms:created>
  <dcterms:modified xsi:type="dcterms:W3CDTF">2010-09-14T13:19:00Z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-774904477</vt:i4>
  </property>
  <property fmtid="{D5CDD505-2E9C-101B-9397-08002B2CF9AE}" pid="3" name="_NewReviewCycle">
    <vt:lpwstr/>
  </property>
  <property fmtid="{D5CDD505-2E9C-101B-9397-08002B2CF9AE}" pid="4" name="_EmailSubject">
    <vt:lpwstr>Time to Renew - OMB Information Collection 2502-0108</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2113045061</vt:i4>
  </property>
  <property fmtid="{D5CDD505-2E9C-101B-9397-08002B2CF9AE}" pid="8" name="_ReviewingToolsShownOnce">
    <vt:lpwstr/>
  </property>
</Properties>
</file>