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13" w:rsidRPr="0069737F" w:rsidRDefault="00CC6713">
      <w:pPr>
        <w:pStyle w:val="Title"/>
        <w:rPr>
          <w:rFonts w:ascii="Times New Roman" w:hAnsi="Times New Roman"/>
          <w:sz w:val="24"/>
          <w:szCs w:val="24"/>
        </w:rPr>
      </w:pPr>
      <w:r w:rsidRPr="0069737F">
        <w:rPr>
          <w:rFonts w:ascii="Times New Roman" w:hAnsi="Times New Roman"/>
          <w:sz w:val="24"/>
          <w:szCs w:val="24"/>
        </w:rPr>
        <w:tab/>
        <w:t>SUPPORTING STATEMENT</w:t>
      </w:r>
    </w:p>
    <w:p w:rsidR="00CC6713" w:rsidRPr="0069737F" w:rsidRDefault="00CC6713">
      <w:pPr>
        <w:pStyle w:val="Title"/>
        <w:rPr>
          <w:rFonts w:ascii="Times New Roman" w:hAnsi="Times New Roman"/>
          <w:sz w:val="24"/>
          <w:szCs w:val="24"/>
        </w:rPr>
      </w:pPr>
      <w:r w:rsidRPr="0069737F">
        <w:rPr>
          <w:rFonts w:ascii="Times New Roman" w:hAnsi="Times New Roman"/>
          <w:sz w:val="24"/>
          <w:szCs w:val="24"/>
        </w:rPr>
        <w:tab/>
        <w:t>FOR PAPERWORK REDUCTION ACT SUBMISSION</w:t>
      </w:r>
    </w:p>
    <w:p w:rsidR="00CC6713" w:rsidRPr="0069737F" w:rsidRDefault="00CC6713">
      <w:pPr>
        <w:tabs>
          <w:tab w:val="left" w:pos="0"/>
        </w:tabs>
        <w:suppressAutoHyphens/>
        <w:rPr>
          <w:rFonts w:ascii="Times New Roman" w:hAnsi="Times New Roman"/>
          <w:b/>
          <w:szCs w:val="24"/>
        </w:rPr>
      </w:pPr>
    </w:p>
    <w:bookmarkStart w:id="0" w:name="Text1"/>
    <w:p w:rsidR="00CC6713" w:rsidRPr="0069737F" w:rsidRDefault="00CC6713">
      <w:pPr>
        <w:suppressAutoHyphens/>
        <w:jc w:val="center"/>
        <w:rPr>
          <w:rFonts w:ascii="Times New Roman" w:hAnsi="Times New Roman"/>
          <w:b/>
          <w:szCs w:val="24"/>
        </w:rPr>
      </w:pPr>
      <w:r w:rsidRPr="0069737F">
        <w:rPr>
          <w:rFonts w:ascii="Times New Roman" w:hAnsi="Times New Roman"/>
          <w:b/>
          <w:szCs w:val="24"/>
        </w:rPr>
        <w:fldChar w:fldCharType="begin">
          <w:ffData>
            <w:name w:val="Text1"/>
            <w:enabled/>
            <w:calcOnExit w:val="0"/>
            <w:helpText w:type="text" w:val="Enter Title"/>
            <w:statusText w:type="text" w:val="Enter Title"/>
            <w:textInput/>
          </w:ffData>
        </w:fldChar>
      </w:r>
      <w:r w:rsidRPr="0069737F">
        <w:rPr>
          <w:rFonts w:ascii="Times New Roman" w:hAnsi="Times New Roman"/>
          <w:b/>
          <w:szCs w:val="24"/>
        </w:rPr>
        <w:instrText xml:space="preserve"> FORMTEXT </w:instrText>
      </w:r>
      <w:r w:rsidRPr="0069737F">
        <w:rPr>
          <w:rFonts w:ascii="Times New Roman" w:hAnsi="Times New Roman"/>
          <w:b/>
          <w:szCs w:val="24"/>
        </w:rPr>
      </w:r>
      <w:r w:rsidRPr="0069737F">
        <w:rPr>
          <w:rFonts w:ascii="Times New Roman" w:hAnsi="Times New Roman"/>
          <w:b/>
          <w:szCs w:val="24"/>
        </w:rPr>
        <w:fldChar w:fldCharType="separate"/>
      </w:r>
      <w:r w:rsidRPr="0069737F">
        <w:rPr>
          <w:rFonts w:ascii="Times New Roman" w:hAnsi="Times New Roman"/>
          <w:b/>
          <w:noProof/>
          <w:szCs w:val="24"/>
        </w:rPr>
        <w:t> </w:t>
      </w:r>
      <w:r w:rsidRPr="0069737F">
        <w:rPr>
          <w:rFonts w:ascii="Times New Roman" w:hAnsi="Times New Roman"/>
          <w:b/>
          <w:noProof/>
          <w:szCs w:val="24"/>
        </w:rPr>
        <w:t> </w:t>
      </w:r>
      <w:r w:rsidRPr="0069737F">
        <w:rPr>
          <w:rFonts w:ascii="Times New Roman" w:hAnsi="Times New Roman"/>
          <w:b/>
          <w:noProof/>
          <w:szCs w:val="24"/>
        </w:rPr>
        <w:t> </w:t>
      </w:r>
      <w:r w:rsidRPr="0069737F">
        <w:rPr>
          <w:rFonts w:ascii="Times New Roman" w:hAnsi="Times New Roman"/>
          <w:b/>
          <w:noProof/>
          <w:szCs w:val="24"/>
        </w:rPr>
        <w:t> </w:t>
      </w:r>
      <w:r w:rsidRPr="0069737F">
        <w:rPr>
          <w:rFonts w:ascii="Times New Roman" w:hAnsi="Times New Roman"/>
          <w:b/>
          <w:noProof/>
          <w:szCs w:val="24"/>
        </w:rPr>
        <w:t> </w:t>
      </w:r>
      <w:r w:rsidRPr="0069737F">
        <w:rPr>
          <w:rFonts w:ascii="Times New Roman" w:hAnsi="Times New Roman"/>
          <w:b/>
          <w:szCs w:val="24"/>
        </w:rPr>
        <w:fldChar w:fldCharType="end"/>
      </w:r>
      <w:bookmarkEnd w:id="0"/>
    </w:p>
    <w:p w:rsidR="00CC6713" w:rsidRPr="0069737F" w:rsidRDefault="00CC6713">
      <w:pPr>
        <w:tabs>
          <w:tab w:val="left" w:pos="0"/>
        </w:tabs>
        <w:suppressAutoHyphens/>
        <w:rPr>
          <w:rFonts w:ascii="Times New Roman" w:hAnsi="Times New Roman"/>
          <w:b/>
          <w:szCs w:val="24"/>
        </w:rPr>
      </w:pPr>
    </w:p>
    <w:p w:rsidR="00CC6713" w:rsidRPr="0069737F" w:rsidRDefault="00CC6713">
      <w:pPr>
        <w:tabs>
          <w:tab w:val="left" w:pos="0"/>
        </w:tabs>
        <w:suppressAutoHyphens/>
        <w:rPr>
          <w:rFonts w:ascii="Times New Roman" w:hAnsi="Times New Roman"/>
          <w:szCs w:val="24"/>
        </w:rPr>
      </w:pPr>
      <w:r w:rsidRPr="0069737F">
        <w:rPr>
          <w:rFonts w:ascii="Times New Roman" w:hAnsi="Times New Roman"/>
          <w:b/>
          <w:szCs w:val="24"/>
        </w:rPr>
        <w:t xml:space="preserve">A. Justification </w:t>
      </w:r>
    </w:p>
    <w:p w:rsidR="00CC6713" w:rsidRPr="0069737F" w:rsidRDefault="00CC6713">
      <w:pPr>
        <w:tabs>
          <w:tab w:val="left" w:pos="0"/>
        </w:tabs>
        <w:suppressAutoHyphens/>
        <w:rPr>
          <w:rFonts w:ascii="Times New Roman" w:hAnsi="Times New Roman"/>
          <w:szCs w:val="24"/>
        </w:rPr>
      </w:pPr>
    </w:p>
    <w:p w:rsidR="00CC6713" w:rsidRPr="0069737F" w:rsidRDefault="00CC6713">
      <w:pPr>
        <w:tabs>
          <w:tab w:val="left" w:pos="0"/>
        </w:tabs>
        <w:suppressAutoHyphens/>
        <w:rPr>
          <w:rFonts w:ascii="Times New Roman" w:hAnsi="Times New Roman"/>
          <w:szCs w:val="24"/>
        </w:rPr>
      </w:pPr>
      <w:r w:rsidRPr="0069737F">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6713" w:rsidRPr="0069737F" w:rsidRDefault="00CC6713">
      <w:pPr>
        <w:tabs>
          <w:tab w:val="left" w:pos="0"/>
        </w:tabs>
        <w:suppressAutoHyphens/>
        <w:rPr>
          <w:rFonts w:ascii="Times New Roman" w:hAnsi="Times New Roman"/>
          <w:szCs w:val="24"/>
        </w:rPr>
      </w:pPr>
    </w:p>
    <w:p w:rsidR="00CC6713" w:rsidRDefault="00CC6713" w:rsidP="0031365F">
      <w:pPr>
        <w:tabs>
          <w:tab w:val="left" w:pos="0"/>
        </w:tabs>
        <w:suppressAutoHyphens/>
        <w:ind w:left="720"/>
        <w:rPr>
          <w:rFonts w:ascii="Times New Roman" w:hAnsi="Times New Roman"/>
          <w:szCs w:val="24"/>
        </w:rPr>
      </w:pPr>
      <w:r w:rsidRPr="00511E5E">
        <w:rPr>
          <w:rFonts w:ascii="Times New Roman" w:hAnsi="Times New Roman"/>
          <w:szCs w:val="24"/>
        </w:rPr>
        <w:t xml:space="preserve">The </w:t>
      </w:r>
      <w:r>
        <w:rPr>
          <w:rFonts w:ascii="Times New Roman" w:hAnsi="Times New Roman"/>
          <w:szCs w:val="24"/>
        </w:rPr>
        <w:t xml:space="preserve">State Fiscal </w:t>
      </w:r>
      <w:r w:rsidRPr="00511E5E">
        <w:rPr>
          <w:rFonts w:ascii="Times New Roman" w:hAnsi="Times New Roman"/>
          <w:szCs w:val="24"/>
        </w:rPr>
        <w:t xml:space="preserve">Stabilization </w:t>
      </w:r>
      <w:r>
        <w:rPr>
          <w:rFonts w:ascii="Times New Roman" w:hAnsi="Times New Roman"/>
          <w:szCs w:val="24"/>
        </w:rPr>
        <w:t xml:space="preserve">Fund (SFSF) </w:t>
      </w:r>
      <w:r w:rsidRPr="00511E5E">
        <w:rPr>
          <w:rFonts w:ascii="Times New Roman" w:hAnsi="Times New Roman"/>
          <w:szCs w:val="24"/>
        </w:rPr>
        <w:t>program is authorized in Title XIV of Division A of the American Recovery and Reinvestment Act of 2009 (ARRA) (Pub. L. 111-5), which President Barack Obama signed into law on February 17, 2009.</w:t>
      </w:r>
      <w:r>
        <w:rPr>
          <w:rFonts w:ascii="Times New Roman" w:hAnsi="Times New Roman"/>
          <w:szCs w:val="24"/>
        </w:rPr>
        <w:t xml:space="preserve"> </w:t>
      </w:r>
      <w:r w:rsidRPr="0069737F">
        <w:rPr>
          <w:rFonts w:ascii="Times New Roman" w:hAnsi="Times New Roman"/>
          <w:szCs w:val="24"/>
        </w:rPr>
        <w:t xml:space="preserve"> </w:t>
      </w:r>
    </w:p>
    <w:p w:rsidR="00CC6713" w:rsidRDefault="00CC6713" w:rsidP="00511E5E">
      <w:pPr>
        <w:tabs>
          <w:tab w:val="left" w:pos="0"/>
        </w:tabs>
        <w:suppressAutoHyphens/>
        <w:ind w:left="1440"/>
        <w:rPr>
          <w:rFonts w:ascii="Times New Roman" w:hAnsi="Times New Roman"/>
          <w:szCs w:val="24"/>
        </w:rPr>
      </w:pPr>
    </w:p>
    <w:p w:rsidR="00CC6713" w:rsidRDefault="00CC6713" w:rsidP="0031365F">
      <w:pPr>
        <w:tabs>
          <w:tab w:val="left" w:pos="0"/>
        </w:tabs>
        <w:suppressAutoHyphens/>
        <w:ind w:left="720"/>
        <w:rPr>
          <w:rFonts w:ascii="Times New Roman" w:hAnsi="Times New Roman"/>
          <w:szCs w:val="24"/>
        </w:rPr>
      </w:pPr>
      <w:r w:rsidRPr="00511E5E">
        <w:rPr>
          <w:rFonts w:ascii="Times New Roman" w:hAnsi="Times New Roman"/>
          <w:szCs w:val="24"/>
        </w:rPr>
        <w:t>Under the SFSF program, the U.S. Department of Education awards funds to Governors to help stabilize State and local budgets in order to minimize and avoid reductions in education and other essential services, in exchange for a State’s commitment to advance essential education reform in four areas: (1) making improvements in teacher effectiveness and in the equitable distribution of qualified teachers for all students, particularly students who are most in need; (2)</w:t>
      </w:r>
      <w:r>
        <w:rPr>
          <w:rFonts w:ascii="Times New Roman" w:hAnsi="Times New Roman"/>
          <w:szCs w:val="24"/>
        </w:rPr>
        <w:t> </w:t>
      </w:r>
      <w:r w:rsidRPr="00511E5E">
        <w:rPr>
          <w:rFonts w:ascii="Times New Roman" w:hAnsi="Times New Roman"/>
          <w:szCs w:val="24"/>
        </w:rPr>
        <w:t>establishing pre-K-to-college-and-career data systems that track progress and foster continuous improvement; (3) making progress toward rigorous college- and career-ready standards and high-quality assessments that are valid and reliable for all students, including limited English proficient students and students with disabilities; and (4) providing targeted, intensive support and effective interventions for the lowest-performing schools.</w:t>
      </w:r>
    </w:p>
    <w:p w:rsidR="00CC6713" w:rsidRDefault="00CC6713" w:rsidP="00511E5E">
      <w:pPr>
        <w:tabs>
          <w:tab w:val="left" w:pos="0"/>
        </w:tabs>
        <w:suppressAutoHyphens/>
        <w:ind w:left="1440"/>
        <w:rPr>
          <w:rFonts w:ascii="Times New Roman" w:hAnsi="Times New Roman"/>
          <w:szCs w:val="24"/>
        </w:rPr>
      </w:pPr>
    </w:p>
    <w:p w:rsidR="00CC6713" w:rsidRDefault="00CC6713" w:rsidP="0031365F">
      <w:pPr>
        <w:tabs>
          <w:tab w:val="left" w:pos="0"/>
        </w:tabs>
        <w:suppressAutoHyphens/>
        <w:ind w:left="720"/>
        <w:rPr>
          <w:rFonts w:ascii="Times New Roman" w:hAnsi="Times New Roman"/>
          <w:szCs w:val="24"/>
        </w:rPr>
      </w:pPr>
      <w:r>
        <w:rPr>
          <w:rFonts w:ascii="Times New Roman" w:hAnsi="Times New Roman"/>
          <w:szCs w:val="24"/>
        </w:rPr>
        <w:t xml:space="preserve">Section 14008 of ARRA requires each State receiving funds to submit an annual report to the Secretary, at such time and in such manner as the Secretary may require, that describes:  </w:t>
      </w:r>
    </w:p>
    <w:p w:rsidR="00CC6713" w:rsidRDefault="00CC6713" w:rsidP="00511E5E">
      <w:pPr>
        <w:tabs>
          <w:tab w:val="left" w:pos="0"/>
        </w:tabs>
        <w:suppressAutoHyphens/>
        <w:ind w:left="1440"/>
        <w:rPr>
          <w:rFonts w:ascii="Times New Roman" w:hAnsi="Times New Roman"/>
          <w:szCs w:val="24"/>
        </w:rPr>
      </w:pPr>
    </w:p>
    <w:p w:rsidR="00CC6713" w:rsidRPr="007E226C" w:rsidRDefault="00CC6713" w:rsidP="007E226C">
      <w:pPr>
        <w:tabs>
          <w:tab w:val="left" w:pos="0"/>
        </w:tabs>
        <w:suppressAutoHyphens/>
        <w:ind w:left="1440"/>
        <w:rPr>
          <w:rFonts w:ascii="Times New Roman" w:hAnsi="Times New Roman"/>
          <w:szCs w:val="24"/>
        </w:rPr>
      </w:pPr>
      <w:r>
        <w:rPr>
          <w:rFonts w:ascii="Times New Roman" w:hAnsi="Times New Roman"/>
          <w:szCs w:val="24"/>
        </w:rPr>
        <w:tab/>
      </w:r>
      <w:r w:rsidRPr="007E226C">
        <w:rPr>
          <w:rFonts w:ascii="Times New Roman" w:hAnsi="Times New Roman"/>
          <w:szCs w:val="24"/>
        </w:rPr>
        <w:t>(1) the uses of funds provided under this title within the State;</w:t>
      </w:r>
    </w:p>
    <w:p w:rsidR="00CC6713" w:rsidRPr="007E226C" w:rsidRDefault="00CC6713" w:rsidP="007E226C">
      <w:pPr>
        <w:tabs>
          <w:tab w:val="left" w:pos="0"/>
        </w:tabs>
        <w:suppressAutoHyphens/>
        <w:ind w:left="1440"/>
        <w:rPr>
          <w:rFonts w:ascii="Times New Roman" w:hAnsi="Times New Roman"/>
          <w:szCs w:val="24"/>
        </w:rPr>
      </w:pPr>
      <w:r>
        <w:rPr>
          <w:rFonts w:ascii="Times New Roman" w:hAnsi="Times New Roman"/>
          <w:szCs w:val="24"/>
        </w:rPr>
        <w:tab/>
      </w:r>
      <w:r w:rsidRPr="007E226C">
        <w:rPr>
          <w:rFonts w:ascii="Times New Roman" w:hAnsi="Times New Roman"/>
          <w:szCs w:val="24"/>
        </w:rPr>
        <w:t>(2) how the State distributed the funds it received under this title;</w:t>
      </w:r>
    </w:p>
    <w:p w:rsidR="00CC6713" w:rsidRPr="007E226C"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(3) the number of jobs that the Governor estimates were saved or created with funds the State received under this title;</w:t>
      </w:r>
    </w:p>
    <w:p w:rsidR="00CC6713" w:rsidRPr="007E226C"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(4) tax increases that the Governor estimates were averted because of the availability of funds from this title;</w:t>
      </w:r>
    </w:p>
    <w:p w:rsidR="00CC6713" w:rsidRPr="007E226C"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CC6713" w:rsidRPr="007E226C"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CC6713" w:rsidRPr="007E226C"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(7) the extent to which public institutions of higher education maintained, increased, or decreased enrollment of in-State students, including students eligible for Pell Grants or other need-based financial assistance; and</w:t>
      </w:r>
    </w:p>
    <w:p w:rsidR="00CC6713" w:rsidRDefault="00CC6713" w:rsidP="007E226C">
      <w:pPr>
        <w:tabs>
          <w:tab w:val="left" w:pos="0"/>
        </w:tabs>
        <w:suppressAutoHyphens/>
        <w:ind w:left="2160"/>
        <w:rPr>
          <w:rFonts w:ascii="Times New Roman" w:hAnsi="Times New Roman"/>
          <w:szCs w:val="24"/>
        </w:rPr>
      </w:pPr>
      <w:r w:rsidRPr="007E226C">
        <w:rPr>
          <w:rFonts w:ascii="Times New Roman" w:hAnsi="Times New Roman"/>
          <w:szCs w:val="24"/>
        </w:rPr>
        <w:t>(8) a description of each modernization, renovation and repair project funded, which shall include the amounts awarded and project costs.</w:t>
      </w:r>
    </w:p>
    <w:p w:rsidR="00CC6713" w:rsidRDefault="00CC6713" w:rsidP="007E226C">
      <w:pPr>
        <w:tabs>
          <w:tab w:val="left" w:pos="0"/>
        </w:tabs>
        <w:suppressAutoHyphens/>
        <w:ind w:left="2160"/>
        <w:rPr>
          <w:rFonts w:ascii="Times New Roman" w:hAnsi="Times New Roman"/>
          <w:szCs w:val="24"/>
        </w:rPr>
      </w:pPr>
    </w:p>
    <w:p w:rsidR="00CC6713" w:rsidRDefault="00CC6713" w:rsidP="0031365F">
      <w:pPr>
        <w:tabs>
          <w:tab w:val="left" w:pos="0"/>
        </w:tabs>
        <w:suppressAutoHyphens/>
        <w:ind w:left="720"/>
        <w:rPr>
          <w:rFonts w:ascii="Times New Roman" w:hAnsi="Times New Roman"/>
          <w:szCs w:val="24"/>
        </w:rPr>
      </w:pPr>
      <w:r w:rsidRPr="00CD47F5">
        <w:rPr>
          <w:rFonts w:ascii="Times New Roman" w:hAnsi="Times New Roman"/>
          <w:szCs w:val="24"/>
        </w:rPr>
        <w:t xml:space="preserve">Each State </w:t>
      </w:r>
      <w:r>
        <w:rPr>
          <w:rFonts w:ascii="Times New Roman" w:hAnsi="Times New Roman"/>
          <w:szCs w:val="24"/>
        </w:rPr>
        <w:t>will submit to the Department two</w:t>
      </w:r>
      <w:r w:rsidRPr="00CD47F5">
        <w:rPr>
          <w:rFonts w:ascii="Times New Roman" w:hAnsi="Times New Roman"/>
          <w:szCs w:val="24"/>
        </w:rPr>
        <w:t xml:space="preserve"> SFSF annual report</w:t>
      </w:r>
      <w:r>
        <w:rPr>
          <w:rFonts w:ascii="Times New Roman" w:hAnsi="Times New Roman"/>
          <w:szCs w:val="24"/>
        </w:rPr>
        <w:t>s. The initial report will be due to the Department</w:t>
      </w:r>
      <w:r w:rsidRPr="00CD47F5">
        <w:rPr>
          <w:rFonts w:ascii="Times New Roman" w:hAnsi="Times New Roman"/>
          <w:szCs w:val="24"/>
        </w:rPr>
        <w:t xml:space="preserve"> by </w:t>
      </w:r>
      <w:r>
        <w:rPr>
          <w:rFonts w:ascii="Times New Roman" w:hAnsi="Times New Roman"/>
          <w:szCs w:val="24"/>
        </w:rPr>
        <w:t>March XX</w:t>
      </w:r>
      <w:r w:rsidRPr="00CD47F5">
        <w:rPr>
          <w:rFonts w:ascii="Times New Roman" w:hAnsi="Times New Roman"/>
          <w:szCs w:val="24"/>
        </w:rPr>
        <w:t>, 2011.</w:t>
      </w:r>
      <w:r>
        <w:rPr>
          <w:rFonts w:ascii="Times New Roman" w:hAnsi="Times New Roman"/>
          <w:szCs w:val="24"/>
        </w:rPr>
        <w:t xml:space="preserve">  This report will cover the period from the State’s receipt of SFSF funds through September 30, 2010.  Each State must submit its final SFSF report by March XX, 2012.  The final report will provide data for the period extending through September 30, 2011, the deadline for obligation of SFSF funds.  </w:t>
      </w:r>
    </w:p>
    <w:p w:rsidR="00CC6713" w:rsidRDefault="00CC6713" w:rsidP="0031365F">
      <w:pPr>
        <w:tabs>
          <w:tab w:val="left" w:pos="0"/>
        </w:tabs>
        <w:suppressAutoHyphens/>
        <w:ind w:left="720"/>
        <w:rPr>
          <w:rFonts w:ascii="Times New Roman" w:hAnsi="Times New Roman"/>
          <w:szCs w:val="24"/>
        </w:rPr>
      </w:pPr>
    </w:p>
    <w:p w:rsidR="00CC6713" w:rsidRPr="0069737F" w:rsidRDefault="00CC6713" w:rsidP="0031365F">
      <w:pPr>
        <w:tabs>
          <w:tab w:val="left" w:pos="0"/>
        </w:tabs>
        <w:suppressAutoHyphens/>
        <w:ind w:left="720"/>
        <w:rPr>
          <w:rFonts w:ascii="Times New Roman" w:hAnsi="Times New Roman"/>
          <w:szCs w:val="24"/>
        </w:rPr>
      </w:pPr>
      <w:r>
        <w:rPr>
          <w:rFonts w:ascii="Times New Roman" w:hAnsi="Times New Roman"/>
          <w:szCs w:val="24"/>
        </w:rPr>
        <w:t>Approval of this information collection will enable the Department to collect from States the information required by statute.</w:t>
      </w:r>
    </w:p>
    <w:p w:rsidR="00CC6713" w:rsidRPr="0069737F" w:rsidRDefault="00CC6713">
      <w:pPr>
        <w:tabs>
          <w:tab w:val="left" w:pos="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00CC6713" w:rsidRPr="0069737F" w:rsidRDefault="00CC6713">
      <w:pPr>
        <w:tabs>
          <w:tab w:val="left" w:pos="-720"/>
        </w:tabs>
        <w:suppressAutoHyphens/>
        <w:rPr>
          <w:rFonts w:ascii="Times New Roman" w:hAnsi="Times New Roman"/>
          <w:szCs w:val="24"/>
        </w:rPr>
      </w:pPr>
    </w:p>
    <w:p w:rsidR="00CC6713" w:rsidRDefault="00CC6713" w:rsidP="00FD44CA">
      <w:pPr>
        <w:tabs>
          <w:tab w:val="left" w:pos="0"/>
        </w:tabs>
        <w:suppressAutoHyphens/>
        <w:ind w:left="720"/>
        <w:rPr>
          <w:rFonts w:ascii="Times New Roman" w:hAnsi="Times New Roman"/>
          <w:szCs w:val="24"/>
        </w:rPr>
      </w:pPr>
      <w:r>
        <w:rPr>
          <w:rFonts w:ascii="Times New Roman" w:hAnsi="Times New Roman"/>
          <w:szCs w:val="24"/>
        </w:rPr>
        <w:t xml:space="preserve">The Department will, with the assistance of a contractor, evaluate the information in each report and use the data to prepare for the Congress the Secretary’s Report required under Section 14110 of the ARRA.  </w:t>
      </w:r>
    </w:p>
    <w:p w:rsidR="00CC6713" w:rsidRDefault="00CC6713" w:rsidP="00847778">
      <w:pPr>
        <w:tabs>
          <w:tab w:val="left" w:pos="0"/>
        </w:tabs>
        <w:suppressAutoHyphens/>
        <w:ind w:left="2160"/>
        <w:rPr>
          <w:rFonts w:ascii="Times New Roman" w:hAnsi="Times New Roman"/>
          <w:szCs w:val="24"/>
        </w:rPr>
      </w:pPr>
    </w:p>
    <w:p w:rsidR="00CC6713" w:rsidRPr="0069737F" w:rsidRDefault="00CC6713" w:rsidP="00FD44CA">
      <w:pPr>
        <w:tabs>
          <w:tab w:val="left" w:pos="0"/>
        </w:tabs>
        <w:suppressAutoHyphens/>
        <w:ind w:left="720"/>
        <w:rPr>
          <w:rFonts w:ascii="Times New Roman" w:hAnsi="Times New Roman"/>
          <w:szCs w:val="24"/>
        </w:rPr>
      </w:pPr>
      <w:r>
        <w:rPr>
          <w:rFonts w:ascii="Times New Roman" w:hAnsi="Times New Roman"/>
          <w:szCs w:val="24"/>
        </w:rPr>
        <w:t>The data will inform the Department’s administration and oversight of the program.  In particular, it will provide useful information on the uses and impact of SFSF funds.</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CC6713" w:rsidRPr="0069737F" w:rsidRDefault="00CC6713">
      <w:pPr>
        <w:tabs>
          <w:tab w:val="left" w:pos="-720"/>
        </w:tabs>
        <w:suppressAutoHyphens/>
        <w:rPr>
          <w:rFonts w:ascii="Times New Roman" w:hAnsi="Times New Roman"/>
          <w:szCs w:val="24"/>
        </w:rPr>
      </w:pPr>
    </w:p>
    <w:p w:rsidR="00CC6713" w:rsidRPr="0069737F" w:rsidRDefault="00CC6713" w:rsidP="00344230">
      <w:pPr>
        <w:tabs>
          <w:tab w:val="left" w:pos="-720"/>
        </w:tabs>
        <w:suppressAutoHyphens/>
        <w:ind w:left="720"/>
        <w:rPr>
          <w:rFonts w:ascii="Times New Roman" w:hAnsi="Times New Roman"/>
          <w:szCs w:val="24"/>
        </w:rPr>
      </w:pPr>
      <w:r>
        <w:rPr>
          <w:rFonts w:ascii="Times New Roman" w:hAnsi="Times New Roman"/>
          <w:szCs w:val="24"/>
        </w:rPr>
        <w:t xml:space="preserve">The Department will enlist the services of a contractor to develop an electronic system to facilitate the collection of annual report data from States. States will be able to respond through a secured website and submit the required information electronically to the following site </w:t>
      </w:r>
      <w:hyperlink r:id="rId7" w:history="1">
        <w:r w:rsidRPr="000717A6">
          <w:rPr>
            <w:rStyle w:val="Hyperlink"/>
            <w:rFonts w:ascii="Times New Roman" w:hAnsi="Times New Roman"/>
            <w:color w:val="auto"/>
            <w:szCs w:val="24"/>
          </w:rPr>
          <w:t>WWW.SFSF-APR.US</w:t>
        </w:r>
      </w:hyperlink>
      <w:r>
        <w:rPr>
          <w:rFonts w:ascii="Times New Roman" w:hAnsi="Times New Roman"/>
          <w:szCs w:val="24"/>
        </w:rPr>
        <w:t xml:space="preserve"> . </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4.  Describe efforts to identify duplication.  Show specifically why any similar information already available cannot be used or modified for use of the purposes described in Item 2 above.</w:t>
      </w:r>
    </w:p>
    <w:p w:rsidR="00CC6713" w:rsidRPr="0069737F" w:rsidRDefault="00CC6713">
      <w:pPr>
        <w:tabs>
          <w:tab w:val="left" w:pos="-720"/>
        </w:tabs>
        <w:suppressAutoHyphens/>
        <w:rPr>
          <w:rFonts w:ascii="Times New Roman" w:hAnsi="Times New Roman"/>
          <w:szCs w:val="24"/>
        </w:rPr>
      </w:pPr>
    </w:p>
    <w:p w:rsidR="00CC6713" w:rsidRDefault="00CC6713" w:rsidP="00344230">
      <w:pPr>
        <w:tabs>
          <w:tab w:val="left" w:pos="-720"/>
        </w:tabs>
        <w:suppressAutoHyphens/>
        <w:ind w:left="720"/>
        <w:rPr>
          <w:rFonts w:ascii="Times New Roman" w:hAnsi="Times New Roman"/>
          <w:szCs w:val="24"/>
        </w:rPr>
      </w:pPr>
      <w:r w:rsidRPr="008C520F">
        <w:rPr>
          <w:rFonts w:ascii="Times New Roman" w:hAnsi="Times New Roman"/>
          <w:szCs w:val="24"/>
        </w:rPr>
        <w:t>The majority of the data required by statute is not available. The information on jobs created or saved can be found on the 1512 Quarterly reports, the Department will use the information already provided by the States to populate this portion of the annual report.</w:t>
      </w:r>
    </w:p>
    <w:p w:rsidR="00CC6713" w:rsidRPr="0069737F" w:rsidRDefault="00CC6713" w:rsidP="00344230">
      <w:pPr>
        <w:tabs>
          <w:tab w:val="left" w:pos="-720"/>
        </w:tabs>
        <w:suppressAutoHyphens/>
        <w:ind w:left="720"/>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5.  If the collection of information impacts small businesses or other small entities (Item 8b of IC Data Part 2), describe any methods used to minimize burden.</w:t>
      </w:r>
    </w:p>
    <w:p w:rsidR="00CC6713" w:rsidRPr="0069737F" w:rsidRDefault="00CC6713">
      <w:pPr>
        <w:tabs>
          <w:tab w:val="left" w:pos="-720"/>
        </w:tabs>
        <w:suppressAutoHyphens/>
        <w:rPr>
          <w:rFonts w:ascii="Times New Roman" w:hAnsi="Times New Roman"/>
          <w:szCs w:val="24"/>
        </w:rPr>
      </w:pPr>
    </w:p>
    <w:p w:rsidR="00CC6713" w:rsidRPr="0069737F" w:rsidRDefault="00CC6713" w:rsidP="00584979">
      <w:pPr>
        <w:tabs>
          <w:tab w:val="left" w:pos="-720"/>
        </w:tabs>
        <w:suppressAutoHyphens/>
        <w:rPr>
          <w:rFonts w:ascii="Times New Roman" w:hAnsi="Times New Roman"/>
          <w:szCs w:val="24"/>
        </w:rPr>
      </w:pPr>
      <w:r>
        <w:rPr>
          <w:rFonts w:ascii="Times New Roman" w:hAnsi="Times New Roman"/>
          <w:szCs w:val="24"/>
        </w:rPr>
        <w:tab/>
      </w:r>
      <w:r w:rsidRPr="0069737F">
        <w:rPr>
          <w:rFonts w:ascii="Times New Roman" w:hAnsi="Times New Roman"/>
          <w:szCs w:val="24"/>
        </w:rPr>
        <w:t>The collection of information does not impact small business or other small entities.</w:t>
      </w:r>
    </w:p>
    <w:p w:rsidR="00CC6713" w:rsidRPr="0069737F" w:rsidRDefault="00CC6713" w:rsidP="00584979">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CC6713" w:rsidRPr="0069737F" w:rsidRDefault="00CC6713">
      <w:pPr>
        <w:tabs>
          <w:tab w:val="left" w:pos="-720"/>
        </w:tabs>
        <w:suppressAutoHyphens/>
        <w:rPr>
          <w:rFonts w:ascii="Times New Roman" w:hAnsi="Times New Roman"/>
          <w:szCs w:val="24"/>
        </w:rPr>
      </w:pPr>
    </w:p>
    <w:p w:rsidR="00CC6713" w:rsidRPr="0069737F" w:rsidRDefault="00CC6713" w:rsidP="00344230">
      <w:pPr>
        <w:tabs>
          <w:tab w:val="left" w:pos="-720"/>
        </w:tabs>
        <w:suppressAutoHyphens/>
        <w:ind w:left="720"/>
        <w:rPr>
          <w:rFonts w:ascii="Times New Roman" w:hAnsi="Times New Roman"/>
          <w:szCs w:val="24"/>
        </w:rPr>
      </w:pPr>
      <w:r w:rsidRPr="0069737F">
        <w:rPr>
          <w:rFonts w:ascii="Times New Roman" w:hAnsi="Times New Roman"/>
          <w:szCs w:val="24"/>
        </w:rPr>
        <w:t xml:space="preserve">If the collection is not conducted, </w:t>
      </w:r>
      <w:r>
        <w:rPr>
          <w:rFonts w:ascii="Times New Roman" w:hAnsi="Times New Roman"/>
          <w:szCs w:val="24"/>
        </w:rPr>
        <w:t>ED will not meet the statutory requirement to report on the information required by statute</w:t>
      </w:r>
      <w:r w:rsidRPr="0069737F">
        <w:rPr>
          <w:rFonts w:ascii="Times New Roman" w:hAnsi="Times New Roman"/>
          <w:szCs w:val="24"/>
        </w:rPr>
        <w:t>.</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7. Explain any special circumstances that would cause an information collection to be conducted in a manner:</w:t>
      </w:r>
    </w:p>
    <w:p w:rsidR="00CC6713" w:rsidRPr="0069737F" w:rsidRDefault="00CC6713">
      <w:pPr>
        <w:tabs>
          <w:tab w:val="left" w:pos="-720"/>
        </w:tabs>
        <w:suppressAutoHyphens/>
        <w:rPr>
          <w:rFonts w:ascii="Times New Roman" w:hAnsi="Times New Roman"/>
          <w:b/>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respondents to report information to the agency more often than quarterly;</w:t>
      </w:r>
    </w:p>
    <w:p w:rsidR="00CC6713" w:rsidRPr="0069737F" w:rsidRDefault="00CC6713">
      <w:pPr>
        <w:numPr>
          <w:ilvl w:val="12"/>
          <w:numId w:val="0"/>
        </w:numPr>
        <w:tabs>
          <w:tab w:val="left" w:pos="-720"/>
        </w:tabs>
        <w:suppressAutoHyphens/>
        <w:ind w:left="340"/>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respondents to prepare a written response to a collection of information in fewer than 30 days after receipt of it;</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respondents to submit more than an original and two copies of any document;</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respondents to retain records, other than health, medical, government contract, grant-in-aid, or tax records for more than three years;</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in connection with a statistical survey, that is not designed to produce valid and reliable results than can be generalized to the universe of study;</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the use of a statistical data classification that has not been reviewed and approved by OMB;</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C6713" w:rsidRPr="0069737F" w:rsidRDefault="00CC6713">
      <w:pPr>
        <w:numPr>
          <w:ilvl w:val="12"/>
          <w:numId w:val="0"/>
        </w:numPr>
        <w:tabs>
          <w:tab w:val="left" w:pos="-720"/>
        </w:tabs>
        <w:suppressAutoHyphens/>
        <w:rPr>
          <w:rFonts w:ascii="Times New Roman" w:hAnsi="Times New Roman"/>
          <w:szCs w:val="24"/>
        </w:rPr>
      </w:pPr>
    </w:p>
    <w:p w:rsidR="00CC6713" w:rsidRPr="0069737F" w:rsidRDefault="00CC6713" w:rsidP="003C29C2">
      <w:pPr>
        <w:numPr>
          <w:ilvl w:val="0"/>
          <w:numId w:val="8"/>
        </w:numPr>
        <w:tabs>
          <w:tab w:val="left" w:pos="-720"/>
          <w:tab w:val="left" w:pos="1247"/>
        </w:tabs>
        <w:suppressAutoHyphens/>
        <w:rPr>
          <w:rFonts w:ascii="Times New Roman" w:hAnsi="Times New Roman"/>
          <w:szCs w:val="24"/>
        </w:rPr>
      </w:pPr>
      <w:r w:rsidRPr="0069737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9D2112">
        <w:rPr>
          <w:rFonts w:ascii="Times New Roman" w:hAnsi="Times New Roman"/>
          <w:szCs w:val="24"/>
        </w:rPr>
        <w:tab/>
      </w:r>
      <w:r w:rsidRPr="009D2112">
        <w:rPr>
          <w:rFonts w:ascii="Times New Roman" w:hAnsi="Times New Roman"/>
          <w:szCs w:val="24"/>
        </w:rPr>
        <w:tab/>
        <w:t>This collection is consistent wit</w:t>
      </w:r>
      <w:r>
        <w:rPr>
          <w:rFonts w:ascii="Times New Roman" w:hAnsi="Times New Roman"/>
          <w:szCs w:val="24"/>
        </w:rPr>
        <w:t xml:space="preserve">h 5 CFR 1320.5.  </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p>
    <w:p w:rsidR="00CC6713" w:rsidRPr="0069737F" w:rsidRDefault="00CC6713">
      <w:pPr>
        <w:numPr>
          <w:ilvl w:val="0"/>
          <w:numId w:val="2"/>
        </w:numPr>
        <w:tabs>
          <w:tab w:val="left" w:pos="-720"/>
          <w:tab w:val="left" w:pos="375"/>
        </w:tabs>
        <w:suppressAutoHyphens/>
        <w:rPr>
          <w:rFonts w:ascii="Times New Roman" w:hAnsi="Times New Roman"/>
          <w:szCs w:val="24"/>
        </w:rPr>
      </w:pPr>
      <w:r w:rsidRPr="0069737F">
        <w:rPr>
          <w:rFonts w:ascii="Times New Roman" w:hAnsi="Times New Roman"/>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6713" w:rsidRPr="0069737F" w:rsidRDefault="00CC6713">
      <w:pPr>
        <w:tabs>
          <w:tab w:val="left" w:pos="-720"/>
        </w:tabs>
        <w:suppressAutoHyphens/>
        <w:rPr>
          <w:rStyle w:val="a"/>
          <w:rFonts w:ascii="Times New Roman" w:hAnsi="Times New Roman"/>
          <w:b/>
          <w:szCs w:val="24"/>
        </w:rPr>
      </w:pPr>
    </w:p>
    <w:p w:rsidR="00CC6713" w:rsidRPr="0069737F" w:rsidRDefault="00CC6713" w:rsidP="003C29C2">
      <w:pPr>
        <w:tabs>
          <w:tab w:val="left" w:pos="-720"/>
        </w:tabs>
        <w:suppressAutoHyphens/>
        <w:ind w:left="360"/>
        <w:rPr>
          <w:rStyle w:val="a"/>
          <w:rFonts w:ascii="Times New Roman" w:hAnsi="Times New Roman"/>
          <w:szCs w:val="24"/>
        </w:rPr>
      </w:pPr>
      <w:r w:rsidRPr="0069737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CC6713" w:rsidRPr="0069737F" w:rsidRDefault="00CC6713">
      <w:pPr>
        <w:tabs>
          <w:tab w:val="left" w:pos="-720"/>
        </w:tabs>
        <w:suppressAutoHyphens/>
        <w:rPr>
          <w:rStyle w:val="a"/>
          <w:rFonts w:ascii="Times New Roman" w:hAnsi="Times New Roman"/>
          <w:szCs w:val="24"/>
        </w:rPr>
      </w:pPr>
    </w:p>
    <w:p w:rsidR="00CC6713" w:rsidRPr="0069737F" w:rsidRDefault="00CC6713" w:rsidP="003C29C2">
      <w:pPr>
        <w:tabs>
          <w:tab w:val="left" w:pos="-720"/>
        </w:tabs>
        <w:suppressAutoHyphens/>
        <w:ind w:left="360"/>
        <w:rPr>
          <w:rFonts w:ascii="Times New Roman" w:hAnsi="Times New Roman"/>
          <w:szCs w:val="24"/>
        </w:rPr>
      </w:pPr>
      <w:r w:rsidRPr="0069737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6713" w:rsidRPr="0069737F" w:rsidRDefault="00CC6713">
      <w:pPr>
        <w:tabs>
          <w:tab w:val="left" w:pos="-720"/>
        </w:tabs>
        <w:suppressAutoHyphens/>
        <w:rPr>
          <w:rFonts w:ascii="Times New Roman" w:hAnsi="Times New Roman"/>
          <w:szCs w:val="24"/>
        </w:rPr>
      </w:pPr>
    </w:p>
    <w:p w:rsidR="00CC6713" w:rsidRDefault="00CC6713" w:rsidP="00344230">
      <w:pPr>
        <w:pStyle w:val="PlainText"/>
        <w:ind w:left="720"/>
        <w:rPr>
          <w:rFonts w:ascii="Times New Roman" w:hAnsi="Times New Roman"/>
          <w:sz w:val="24"/>
          <w:szCs w:val="24"/>
        </w:rPr>
      </w:pPr>
      <w:r>
        <w:rPr>
          <w:rFonts w:ascii="Times New Roman" w:hAnsi="Times New Roman"/>
          <w:sz w:val="24"/>
          <w:szCs w:val="24"/>
        </w:rPr>
        <w:t>T</w:t>
      </w:r>
      <w:r w:rsidRPr="0069737F">
        <w:rPr>
          <w:rFonts w:ascii="Times New Roman" w:hAnsi="Times New Roman"/>
          <w:sz w:val="24"/>
          <w:szCs w:val="24"/>
        </w:rPr>
        <w:t>he public will have an opportunity to comment during the review process</w:t>
      </w:r>
      <w:r>
        <w:rPr>
          <w:rFonts w:ascii="Times New Roman" w:hAnsi="Times New Roman"/>
          <w:sz w:val="24"/>
          <w:szCs w:val="24"/>
        </w:rPr>
        <w:t xml:space="preserve"> through the 60-day comment period (75 FR-35774-35775).  Comments were received and have been addressed in the Response Summary document.   The public will have another opportunity to comment during the 30-day comment period, at the same time this collection is pending at OMB</w:t>
      </w:r>
      <w:r w:rsidRPr="0069737F">
        <w:rPr>
          <w:rFonts w:ascii="Times New Roman" w:hAnsi="Times New Roman"/>
          <w:sz w:val="24"/>
          <w:szCs w:val="24"/>
        </w:rPr>
        <w:t xml:space="preserve">. </w:t>
      </w:r>
    </w:p>
    <w:p w:rsidR="00CC6713" w:rsidRDefault="00CC6713" w:rsidP="00344230">
      <w:pPr>
        <w:pStyle w:val="PlainText"/>
        <w:ind w:left="720"/>
        <w:rPr>
          <w:rFonts w:ascii="Times New Roman" w:hAnsi="Times New Roman"/>
          <w:sz w:val="24"/>
          <w:szCs w:val="24"/>
        </w:rPr>
      </w:pPr>
    </w:p>
    <w:p w:rsidR="00CC6713" w:rsidRPr="0069737F" w:rsidRDefault="00CC6713" w:rsidP="00344230">
      <w:pPr>
        <w:pStyle w:val="PlainText"/>
        <w:ind w:left="720"/>
        <w:rPr>
          <w:rFonts w:ascii="Times New Roman" w:hAnsi="Times New Roman"/>
          <w:sz w:val="24"/>
          <w:szCs w:val="24"/>
        </w:rPr>
      </w:pPr>
      <w:r>
        <w:rPr>
          <w:rFonts w:ascii="Times New Roman" w:hAnsi="Times New Roman"/>
          <w:sz w:val="24"/>
          <w:szCs w:val="24"/>
        </w:rPr>
        <w:t>The Department has consulted with the States that have commented during the 60-day comment period. During the consultations, the Department solicited their views on data availability and timing of the collection. Other topics were not discussed as the States contacted did not have pressing issues surrounding alternative topics.</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 xml:space="preserve">9. </w:t>
      </w:r>
      <w:r w:rsidRPr="0069737F">
        <w:rPr>
          <w:rStyle w:val="a"/>
          <w:rFonts w:ascii="Times New Roman" w:hAnsi="Times New Roman"/>
          <w:szCs w:val="24"/>
        </w:rPr>
        <w:t>Explain any decision to provide any payment or gift to respondents, other than remuneration of contractors or grantees.</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Pr>
          <w:rFonts w:ascii="Times New Roman" w:hAnsi="Times New Roman"/>
          <w:szCs w:val="24"/>
        </w:rPr>
        <w:tab/>
      </w:r>
      <w:r w:rsidRPr="0069737F">
        <w:rPr>
          <w:rFonts w:ascii="Times New Roman" w:hAnsi="Times New Roman"/>
          <w:szCs w:val="24"/>
        </w:rPr>
        <w:t>No payments or gifts to respondents will be made.</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10. Describe any assurance of confidentiality provided to respondents and the basis for the assurance in statute, regulation, or agency policy.</w:t>
      </w:r>
    </w:p>
    <w:p w:rsidR="00CC6713" w:rsidRPr="0069737F" w:rsidRDefault="00CC6713">
      <w:pPr>
        <w:tabs>
          <w:tab w:val="left" w:pos="-720"/>
        </w:tabs>
        <w:suppressAutoHyphens/>
        <w:rPr>
          <w:rFonts w:ascii="Times New Roman" w:hAnsi="Times New Roman"/>
          <w:szCs w:val="24"/>
        </w:rPr>
      </w:pPr>
    </w:p>
    <w:p w:rsidR="00CC6713" w:rsidRPr="0069737F" w:rsidRDefault="00CC6713" w:rsidP="00344230">
      <w:pPr>
        <w:pStyle w:val="PlainText"/>
        <w:ind w:firstLine="720"/>
        <w:rPr>
          <w:rFonts w:ascii="Times New Roman" w:hAnsi="Times New Roman"/>
          <w:sz w:val="24"/>
          <w:szCs w:val="24"/>
        </w:rPr>
      </w:pPr>
      <w:r w:rsidRPr="0069737F">
        <w:rPr>
          <w:rFonts w:ascii="Times New Roman" w:hAnsi="Times New Roman"/>
          <w:sz w:val="24"/>
          <w:szCs w:val="24"/>
        </w:rPr>
        <w:t>There is no assurance of confidentiality.</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6713" w:rsidRPr="0069737F" w:rsidRDefault="00CC6713">
      <w:pPr>
        <w:tabs>
          <w:tab w:val="left" w:pos="-720"/>
        </w:tabs>
        <w:suppressAutoHyphens/>
        <w:rPr>
          <w:rFonts w:ascii="Times New Roman" w:hAnsi="Times New Roman"/>
          <w:szCs w:val="24"/>
        </w:rPr>
      </w:pPr>
    </w:p>
    <w:p w:rsidR="00CC6713" w:rsidRPr="0069737F" w:rsidRDefault="00CC6713" w:rsidP="00344230">
      <w:pPr>
        <w:pStyle w:val="PlainText"/>
        <w:ind w:firstLine="720"/>
        <w:rPr>
          <w:rFonts w:ascii="Times New Roman" w:hAnsi="Times New Roman"/>
          <w:sz w:val="24"/>
          <w:szCs w:val="24"/>
        </w:rPr>
      </w:pPr>
      <w:r w:rsidRPr="0069737F">
        <w:rPr>
          <w:rFonts w:ascii="Times New Roman" w:hAnsi="Times New Roman"/>
          <w:sz w:val="24"/>
          <w:szCs w:val="24"/>
        </w:rPr>
        <w:t>There are no questions of a sensitive nature.</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Style w:val="a"/>
          <w:rFonts w:ascii="Times New Roman" w:hAnsi="Times New Roman"/>
          <w:szCs w:val="24"/>
        </w:rPr>
      </w:pPr>
      <w:r w:rsidRPr="0069737F">
        <w:rPr>
          <w:rFonts w:ascii="Times New Roman" w:hAnsi="Times New Roman"/>
          <w:szCs w:val="24"/>
        </w:rPr>
        <w:t xml:space="preserve">12. </w:t>
      </w:r>
      <w:r w:rsidRPr="0069737F">
        <w:rPr>
          <w:rStyle w:val="a"/>
          <w:rFonts w:ascii="Times New Roman" w:hAnsi="Times New Roman"/>
          <w:szCs w:val="24"/>
        </w:rPr>
        <w:t>Provide estimates of the hour burden of the collection of info</w:t>
      </w:r>
      <w:r>
        <w:rPr>
          <w:rStyle w:val="a"/>
          <w:rFonts w:ascii="Times New Roman" w:hAnsi="Times New Roman"/>
          <w:szCs w:val="24"/>
        </w:rPr>
        <w:t>rmation.  The statement should:</w:t>
      </w:r>
    </w:p>
    <w:p w:rsidR="00CC6713" w:rsidRPr="0069737F" w:rsidRDefault="00CC6713">
      <w:pPr>
        <w:tabs>
          <w:tab w:val="left" w:pos="-720"/>
        </w:tabs>
        <w:suppressAutoHyphens/>
        <w:rPr>
          <w:rStyle w:val="a"/>
          <w:rFonts w:ascii="Times New Roman" w:hAnsi="Times New Roman"/>
          <w:szCs w:val="24"/>
        </w:rPr>
      </w:pPr>
    </w:p>
    <w:p w:rsidR="00CC6713" w:rsidRPr="0069737F" w:rsidRDefault="00CC6713" w:rsidP="003C29C2">
      <w:pPr>
        <w:numPr>
          <w:ilvl w:val="0"/>
          <w:numId w:val="7"/>
        </w:numPr>
        <w:tabs>
          <w:tab w:val="left" w:pos="-720"/>
          <w:tab w:val="left" w:pos="1247"/>
        </w:tabs>
        <w:suppressAutoHyphens/>
        <w:rPr>
          <w:rStyle w:val="a"/>
          <w:rFonts w:ascii="Times New Roman" w:hAnsi="Times New Roman"/>
          <w:szCs w:val="24"/>
        </w:rPr>
      </w:pPr>
      <w:r w:rsidRPr="0069737F">
        <w:rPr>
          <w:rStyle w:val="a"/>
          <w:rFonts w:ascii="Times New Roman" w:hAnsi="Times New Roman"/>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C6713" w:rsidRPr="0069737F" w:rsidRDefault="00CC6713" w:rsidP="003C29C2">
      <w:pPr>
        <w:tabs>
          <w:tab w:val="left" w:pos="-720"/>
          <w:tab w:val="left" w:pos="1247"/>
        </w:tabs>
        <w:suppressAutoHyphens/>
        <w:ind w:left="700"/>
        <w:rPr>
          <w:rStyle w:val="a"/>
          <w:rFonts w:ascii="Times New Roman" w:hAnsi="Times New Roman"/>
          <w:szCs w:val="24"/>
        </w:rPr>
      </w:pPr>
    </w:p>
    <w:p w:rsidR="00CC6713" w:rsidRPr="0069737F" w:rsidRDefault="00CC6713" w:rsidP="003C29C2">
      <w:pPr>
        <w:numPr>
          <w:ilvl w:val="0"/>
          <w:numId w:val="7"/>
        </w:numPr>
        <w:tabs>
          <w:tab w:val="left" w:pos="-720"/>
          <w:tab w:val="left" w:pos="1247"/>
        </w:tabs>
        <w:suppressAutoHyphens/>
        <w:rPr>
          <w:rStyle w:val="a"/>
          <w:rFonts w:ascii="Times New Roman" w:hAnsi="Times New Roman"/>
          <w:szCs w:val="24"/>
        </w:rPr>
      </w:pPr>
      <w:r w:rsidRPr="0069737F">
        <w:rPr>
          <w:rStyle w:val="a"/>
          <w:rFonts w:ascii="Times New Roman" w:hAnsi="Times New Roman"/>
          <w:szCs w:val="24"/>
        </w:rPr>
        <w:t>If this request for approval covers more than one form, provide separate hour burden estimates for each form and aggregate the hour burdens in item 16 of IC Data Part 1.</w:t>
      </w:r>
    </w:p>
    <w:p w:rsidR="00CC6713" w:rsidRPr="0069737F" w:rsidRDefault="00CC6713" w:rsidP="003C29C2">
      <w:pPr>
        <w:tabs>
          <w:tab w:val="left" w:pos="-720"/>
          <w:tab w:val="left" w:pos="1247"/>
        </w:tabs>
        <w:suppressAutoHyphens/>
        <w:rPr>
          <w:rStyle w:val="a"/>
          <w:rFonts w:ascii="Times New Roman" w:hAnsi="Times New Roman"/>
          <w:szCs w:val="24"/>
        </w:rPr>
      </w:pPr>
    </w:p>
    <w:p w:rsidR="00CC6713" w:rsidRPr="0069737F" w:rsidRDefault="00CC6713" w:rsidP="003C29C2">
      <w:pPr>
        <w:numPr>
          <w:ilvl w:val="0"/>
          <w:numId w:val="7"/>
        </w:numPr>
        <w:tabs>
          <w:tab w:val="left" w:pos="-720"/>
          <w:tab w:val="left" w:pos="1247"/>
        </w:tabs>
        <w:suppressAutoHyphens/>
        <w:rPr>
          <w:rFonts w:ascii="Times New Roman" w:hAnsi="Times New Roman"/>
          <w:szCs w:val="24"/>
        </w:rPr>
      </w:pPr>
      <w:r w:rsidRPr="0069737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CC6713" w:rsidRPr="0069737F" w:rsidRDefault="00CC6713">
      <w:pPr>
        <w:suppressAutoHyphens/>
        <w:rPr>
          <w:rFonts w:ascii="Times New Roman" w:hAnsi="Times New Roman"/>
          <w:szCs w:val="24"/>
        </w:rPr>
      </w:pPr>
    </w:p>
    <w:p w:rsidR="00CC6713" w:rsidRDefault="00CC6713" w:rsidP="00335DDC">
      <w:pPr>
        <w:keepNext/>
        <w:ind w:firstLine="700"/>
        <w:rPr>
          <w:rFonts w:ascii="Times New Roman" w:hAnsi="Times New Roman"/>
          <w:szCs w:val="24"/>
          <w:u w:val="single"/>
        </w:rPr>
      </w:pPr>
      <w:r w:rsidRPr="0069737F">
        <w:rPr>
          <w:rFonts w:ascii="Times New Roman" w:hAnsi="Times New Roman"/>
          <w:szCs w:val="24"/>
          <w:u w:val="single"/>
        </w:rPr>
        <w:t>Burden Hours for Respondents</w:t>
      </w:r>
    </w:p>
    <w:p w:rsidR="00CC6713" w:rsidRPr="0069737F" w:rsidRDefault="00CC6713" w:rsidP="009D4B1F">
      <w:pPr>
        <w:keepNext/>
        <w:rPr>
          <w:rFonts w:ascii="Times New Roman" w:hAnsi="Times New Roman"/>
          <w:szCs w:val="24"/>
          <w:u w:val="single"/>
        </w:rPr>
      </w:pPr>
    </w:p>
    <w:p w:rsidR="00CC6713" w:rsidRPr="0069737F" w:rsidRDefault="00CC6713" w:rsidP="0031365F">
      <w:pPr>
        <w:keepNext/>
        <w:ind w:left="720"/>
        <w:rPr>
          <w:rFonts w:ascii="Times New Roman" w:hAnsi="Times New Roman"/>
          <w:szCs w:val="24"/>
        </w:rPr>
      </w:pPr>
      <w:r w:rsidRPr="0069737F">
        <w:rPr>
          <w:rFonts w:ascii="Times New Roman" w:hAnsi="Times New Roman"/>
          <w:szCs w:val="24"/>
        </w:rPr>
        <w:t>The Departme</w:t>
      </w:r>
      <w:r>
        <w:rPr>
          <w:rFonts w:ascii="Times New Roman" w:hAnsi="Times New Roman"/>
          <w:szCs w:val="24"/>
        </w:rPr>
        <w:t>nt estimates that each State</w:t>
      </w:r>
      <w:r w:rsidRPr="0069737F">
        <w:rPr>
          <w:rFonts w:ascii="Times New Roman" w:hAnsi="Times New Roman"/>
          <w:szCs w:val="24"/>
        </w:rPr>
        <w:t xml:space="preserve"> would spend approximately </w:t>
      </w:r>
      <w:r>
        <w:rPr>
          <w:rFonts w:ascii="Times New Roman" w:hAnsi="Times New Roman"/>
          <w:szCs w:val="24"/>
        </w:rPr>
        <w:t xml:space="preserve">74 </w:t>
      </w:r>
      <w:r w:rsidRPr="0069737F">
        <w:rPr>
          <w:rFonts w:ascii="Times New Roman" w:hAnsi="Times New Roman"/>
          <w:szCs w:val="24"/>
        </w:rPr>
        <w:t xml:space="preserve">hours of staff time to </w:t>
      </w:r>
      <w:r>
        <w:rPr>
          <w:rFonts w:ascii="Times New Roman" w:hAnsi="Times New Roman"/>
          <w:szCs w:val="24"/>
        </w:rPr>
        <w:t>provide the information required in each annual report</w:t>
      </w:r>
      <w:r w:rsidRPr="0069737F">
        <w:rPr>
          <w:rFonts w:ascii="Times New Roman" w:hAnsi="Times New Roman"/>
          <w:szCs w:val="24"/>
        </w:rPr>
        <w:t xml:space="preserve">. The total number of hours </w:t>
      </w:r>
      <w:r>
        <w:rPr>
          <w:rFonts w:ascii="Times New Roman" w:hAnsi="Times New Roman"/>
          <w:szCs w:val="24"/>
        </w:rPr>
        <w:t>spent nationally completing the initial reports would be</w:t>
      </w:r>
      <w:r w:rsidRPr="0069737F">
        <w:rPr>
          <w:rFonts w:ascii="Times New Roman" w:hAnsi="Times New Roman"/>
          <w:szCs w:val="24"/>
        </w:rPr>
        <w:t xml:space="preserve"> </w:t>
      </w:r>
      <w:r>
        <w:rPr>
          <w:rFonts w:ascii="Times New Roman" w:hAnsi="Times New Roman"/>
          <w:szCs w:val="24"/>
        </w:rPr>
        <w:t>3,848 (74 hours per State x 52 States)</w:t>
      </w:r>
      <w:r w:rsidRPr="0069737F">
        <w:rPr>
          <w:rFonts w:ascii="Times New Roman" w:hAnsi="Times New Roman"/>
          <w:szCs w:val="24"/>
        </w:rPr>
        <w:t xml:space="preserve">. </w:t>
      </w:r>
      <w:r>
        <w:rPr>
          <w:rFonts w:ascii="Times New Roman" w:hAnsi="Times New Roman"/>
          <w:szCs w:val="24"/>
        </w:rPr>
        <w:t>In addition, the Department estimate it will take States the same amount of time (3,848 hours) to complete the final report.  The total burden to States for completing the two reports would be 7,696 hours.</w:t>
      </w:r>
    </w:p>
    <w:p w:rsidR="00CC6713" w:rsidRPr="0069737F" w:rsidRDefault="00CC6713" w:rsidP="00DD51AC">
      <w:pPr>
        <w:rPr>
          <w:rFonts w:ascii="Times New Roman" w:hAnsi="Times New Roman"/>
          <w:szCs w:val="24"/>
        </w:rPr>
      </w:pPr>
    </w:p>
    <w:p w:rsidR="00CC6713" w:rsidRDefault="00CC6713" w:rsidP="00335DDC">
      <w:pPr>
        <w:ind w:firstLine="720"/>
        <w:rPr>
          <w:rFonts w:ascii="Times New Roman" w:hAnsi="Times New Roman"/>
          <w:szCs w:val="24"/>
          <w:u w:val="single"/>
        </w:rPr>
      </w:pPr>
      <w:r w:rsidRPr="0069737F">
        <w:rPr>
          <w:rFonts w:ascii="Times New Roman" w:hAnsi="Times New Roman"/>
          <w:szCs w:val="24"/>
          <w:u w:val="single"/>
        </w:rPr>
        <w:t>Cost to Respondents</w:t>
      </w:r>
    </w:p>
    <w:p w:rsidR="00CC6713" w:rsidRPr="0069737F" w:rsidRDefault="00CC6713" w:rsidP="00DD51AC">
      <w:pPr>
        <w:rPr>
          <w:rFonts w:ascii="Times New Roman" w:hAnsi="Times New Roman"/>
          <w:szCs w:val="24"/>
          <w:u w:val="single"/>
        </w:rPr>
      </w:pPr>
    </w:p>
    <w:p w:rsidR="00CC6713" w:rsidRDefault="00CC6713" w:rsidP="00335DDC">
      <w:pPr>
        <w:ind w:left="720"/>
        <w:rPr>
          <w:rFonts w:ascii="Times New Roman" w:hAnsi="Times New Roman"/>
          <w:szCs w:val="24"/>
        </w:rPr>
      </w:pPr>
      <w:r w:rsidRPr="0069737F">
        <w:rPr>
          <w:rFonts w:ascii="Times New Roman" w:hAnsi="Times New Roman"/>
          <w:szCs w:val="24"/>
        </w:rPr>
        <w:t xml:space="preserve">The Department estimates that the per-hour cost </w:t>
      </w:r>
      <w:r>
        <w:rPr>
          <w:rFonts w:ascii="Times New Roman" w:hAnsi="Times New Roman"/>
          <w:szCs w:val="24"/>
        </w:rPr>
        <w:t>for each State</w:t>
      </w:r>
      <w:r w:rsidRPr="0069737F">
        <w:rPr>
          <w:rFonts w:ascii="Times New Roman" w:hAnsi="Times New Roman"/>
          <w:szCs w:val="24"/>
        </w:rPr>
        <w:t xml:space="preserve"> will average $</w:t>
      </w:r>
      <w:r>
        <w:rPr>
          <w:rFonts w:ascii="Times New Roman" w:hAnsi="Times New Roman"/>
          <w:szCs w:val="24"/>
        </w:rPr>
        <w:t>3</w:t>
      </w:r>
      <w:r w:rsidRPr="0069737F">
        <w:rPr>
          <w:rFonts w:ascii="Times New Roman" w:hAnsi="Times New Roman"/>
          <w:szCs w:val="24"/>
        </w:rPr>
        <w:t>0.00 for a</w:t>
      </w:r>
      <w:r>
        <w:rPr>
          <w:rFonts w:ascii="Times New Roman" w:hAnsi="Times New Roman"/>
          <w:szCs w:val="24"/>
        </w:rPr>
        <w:t>n</w:t>
      </w:r>
      <w:r w:rsidRPr="0069737F">
        <w:rPr>
          <w:rFonts w:ascii="Times New Roman" w:hAnsi="Times New Roman"/>
          <w:szCs w:val="24"/>
        </w:rPr>
        <w:t xml:space="preserve"> </w:t>
      </w:r>
      <w:r>
        <w:rPr>
          <w:rFonts w:ascii="Times New Roman" w:hAnsi="Times New Roman"/>
          <w:szCs w:val="24"/>
        </w:rPr>
        <w:t>aggregate national cost</w:t>
      </w:r>
      <w:r w:rsidRPr="0069737F">
        <w:rPr>
          <w:rFonts w:ascii="Times New Roman" w:hAnsi="Times New Roman"/>
          <w:szCs w:val="24"/>
        </w:rPr>
        <w:t xml:space="preserve"> of $</w:t>
      </w:r>
      <w:r>
        <w:rPr>
          <w:rFonts w:ascii="Times New Roman" w:hAnsi="Times New Roman"/>
          <w:szCs w:val="24"/>
        </w:rPr>
        <w:t>115,440</w:t>
      </w:r>
      <w:r w:rsidRPr="0069737F">
        <w:rPr>
          <w:rFonts w:ascii="Times New Roman" w:hAnsi="Times New Roman"/>
          <w:szCs w:val="24"/>
        </w:rPr>
        <w:t xml:space="preserve"> ($</w:t>
      </w:r>
      <w:r>
        <w:rPr>
          <w:rFonts w:ascii="Times New Roman" w:hAnsi="Times New Roman"/>
          <w:szCs w:val="24"/>
        </w:rPr>
        <w:t>3</w:t>
      </w:r>
      <w:r w:rsidRPr="0069737F">
        <w:rPr>
          <w:rFonts w:ascii="Times New Roman" w:hAnsi="Times New Roman"/>
          <w:szCs w:val="24"/>
        </w:rPr>
        <w:t xml:space="preserve">0.00 </w:t>
      </w:r>
      <w:r>
        <w:rPr>
          <w:rFonts w:ascii="Times New Roman" w:hAnsi="Times New Roman"/>
          <w:szCs w:val="24"/>
        </w:rPr>
        <w:t>x</w:t>
      </w:r>
      <w:r w:rsidRPr="0069737F">
        <w:rPr>
          <w:rFonts w:ascii="Times New Roman" w:hAnsi="Times New Roman"/>
          <w:szCs w:val="24"/>
        </w:rPr>
        <w:t xml:space="preserve"> </w:t>
      </w:r>
      <w:r>
        <w:rPr>
          <w:rFonts w:ascii="Times New Roman" w:hAnsi="Times New Roman"/>
          <w:szCs w:val="24"/>
        </w:rPr>
        <w:t>3,848</w:t>
      </w:r>
      <w:r w:rsidRPr="0069737F">
        <w:rPr>
          <w:rFonts w:ascii="Times New Roman" w:hAnsi="Times New Roman"/>
          <w:szCs w:val="24"/>
        </w:rPr>
        <w:t xml:space="preserve"> hours = $</w:t>
      </w:r>
      <w:r>
        <w:rPr>
          <w:rFonts w:ascii="Times New Roman" w:hAnsi="Times New Roman"/>
          <w:szCs w:val="24"/>
        </w:rPr>
        <w:t>115,440</w:t>
      </w:r>
      <w:r w:rsidRPr="0069737F">
        <w:rPr>
          <w:rFonts w:ascii="Times New Roman" w:hAnsi="Times New Roman"/>
          <w:szCs w:val="24"/>
        </w:rPr>
        <w:t>)</w:t>
      </w:r>
      <w:r>
        <w:rPr>
          <w:rFonts w:ascii="Times New Roman" w:hAnsi="Times New Roman"/>
          <w:szCs w:val="24"/>
        </w:rPr>
        <w:t xml:space="preserve"> per report</w:t>
      </w:r>
      <w:r w:rsidRPr="0069737F">
        <w:rPr>
          <w:rFonts w:ascii="Times New Roman" w:hAnsi="Times New Roman"/>
          <w:szCs w:val="24"/>
        </w:rPr>
        <w:t>.</w:t>
      </w:r>
      <w:r>
        <w:rPr>
          <w:rFonts w:ascii="Times New Roman" w:hAnsi="Times New Roman"/>
          <w:szCs w:val="24"/>
        </w:rPr>
        <w:t xml:space="preserve">  The total estimated cost to States of completing the two reports is $230,880.</w:t>
      </w:r>
      <w:r w:rsidRPr="0069737F">
        <w:rPr>
          <w:rFonts w:ascii="Times New Roman" w:hAnsi="Times New Roman"/>
          <w:szCs w:val="24"/>
        </w:rPr>
        <w:t xml:space="preserve"> </w:t>
      </w: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Pr="0069737F" w:rsidRDefault="00CC6713" w:rsidP="00AD0D57">
      <w:pPr>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Default="00CC6713" w:rsidP="00335DDC">
      <w:pPr>
        <w:ind w:left="720"/>
        <w:rPr>
          <w:rFonts w:ascii="Times New Roman" w:hAnsi="Times New Roman"/>
          <w:szCs w:val="24"/>
        </w:rPr>
      </w:pPr>
    </w:p>
    <w:p w:rsidR="00CC6713" w:rsidRPr="0069737F" w:rsidRDefault="00CC6713" w:rsidP="00335DDC">
      <w:pPr>
        <w:ind w:left="720"/>
        <w:rPr>
          <w:rFonts w:ascii="Times New Roman" w:hAnsi="Times New Roman"/>
          <w:szCs w:val="24"/>
        </w:rPr>
      </w:pPr>
    </w:p>
    <w:p w:rsidR="00CC6713" w:rsidRPr="0069737F" w:rsidRDefault="00CC6713" w:rsidP="001F0502">
      <w:pPr>
        <w:rPr>
          <w:rFonts w:ascii="Times New Roman" w:hAnsi="Times New Roman"/>
          <w:szCs w:val="24"/>
        </w:rPr>
      </w:pPr>
    </w:p>
    <w:p w:rsidR="00CC6713" w:rsidRDefault="00CC6713" w:rsidP="00591486">
      <w:pPr>
        <w:rPr>
          <w:rFonts w:ascii="Times New Roman" w:hAnsi="Times New Roman"/>
          <w:b/>
          <w:szCs w:val="24"/>
          <w:u w:val="single"/>
        </w:rPr>
      </w:pPr>
      <w:r w:rsidRPr="0069737F">
        <w:rPr>
          <w:rFonts w:ascii="Times New Roman" w:hAnsi="Times New Roman"/>
          <w:b/>
          <w:szCs w:val="24"/>
          <w:u w:val="single"/>
        </w:rPr>
        <w:t>Burden Hours and Cost</w:t>
      </w:r>
      <w:r>
        <w:rPr>
          <w:rFonts w:ascii="Times New Roman" w:hAnsi="Times New Roman"/>
          <w:b/>
          <w:szCs w:val="24"/>
          <w:u w:val="single"/>
        </w:rPr>
        <w:t>s</w:t>
      </w:r>
      <w:r w:rsidRPr="0069737F">
        <w:rPr>
          <w:rFonts w:ascii="Times New Roman" w:hAnsi="Times New Roman"/>
          <w:b/>
          <w:szCs w:val="24"/>
          <w:u w:val="single"/>
        </w:rPr>
        <w:t xml:space="preserve"> to Complete </w:t>
      </w:r>
      <w:r>
        <w:rPr>
          <w:rFonts w:ascii="Times New Roman" w:hAnsi="Times New Roman"/>
          <w:b/>
          <w:szCs w:val="24"/>
          <w:u w:val="single"/>
        </w:rPr>
        <w:t>Each Report</w:t>
      </w:r>
    </w:p>
    <w:p w:rsidR="00CC6713" w:rsidRDefault="00CC6713" w:rsidP="0069737F">
      <w:pPr>
        <w:pStyle w:val="ListParagraph"/>
        <w:rPr>
          <w:rFonts w:ascii="Times New Roman" w:hAnsi="Times New Roman"/>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6"/>
        <w:gridCol w:w="1571"/>
        <w:gridCol w:w="1688"/>
        <w:gridCol w:w="1688"/>
        <w:gridCol w:w="1416"/>
      </w:tblGrid>
      <w:tr w:rsidR="00CC6713" w:rsidRPr="0069737F" w:rsidTr="005A786F">
        <w:tc>
          <w:tcPr>
            <w:tcW w:w="1976" w:type="dxa"/>
            <w:shd w:val="clear" w:color="auto" w:fill="EEECE1"/>
          </w:tcPr>
          <w:p w:rsidR="00CC6713" w:rsidRPr="005A786F" w:rsidRDefault="00CC6713" w:rsidP="004F1EF0">
            <w:pPr>
              <w:rPr>
                <w:rFonts w:ascii="Times New Roman" w:hAnsi="Times New Roman"/>
                <w:b/>
                <w:szCs w:val="24"/>
              </w:rPr>
            </w:pPr>
            <w:r w:rsidRPr="005A786F">
              <w:rPr>
                <w:rFonts w:ascii="Times New Roman" w:hAnsi="Times New Roman"/>
                <w:b/>
                <w:szCs w:val="24"/>
              </w:rPr>
              <w:t>Reporting Activity</w:t>
            </w:r>
          </w:p>
        </w:tc>
        <w:tc>
          <w:tcPr>
            <w:tcW w:w="1571" w:type="dxa"/>
            <w:shd w:val="clear" w:color="auto" w:fill="EEECE1"/>
          </w:tcPr>
          <w:p w:rsidR="00CC6713" w:rsidRPr="005A786F" w:rsidRDefault="00CC6713" w:rsidP="004F1EF0">
            <w:pPr>
              <w:rPr>
                <w:rFonts w:ascii="Times New Roman" w:hAnsi="Times New Roman"/>
                <w:b/>
                <w:szCs w:val="24"/>
              </w:rPr>
            </w:pPr>
            <w:r w:rsidRPr="005A786F">
              <w:rPr>
                <w:rFonts w:ascii="Times New Roman" w:hAnsi="Times New Roman"/>
                <w:b/>
                <w:szCs w:val="24"/>
              </w:rPr>
              <w:t>Hours</w:t>
            </w:r>
          </w:p>
        </w:tc>
        <w:tc>
          <w:tcPr>
            <w:tcW w:w="1688" w:type="dxa"/>
            <w:shd w:val="clear" w:color="auto" w:fill="EEECE1"/>
          </w:tcPr>
          <w:p w:rsidR="00CC6713" w:rsidRPr="005A786F" w:rsidRDefault="00CC6713" w:rsidP="004F1EF0">
            <w:pPr>
              <w:rPr>
                <w:rFonts w:ascii="Times New Roman" w:hAnsi="Times New Roman"/>
                <w:b/>
                <w:szCs w:val="24"/>
              </w:rPr>
            </w:pPr>
            <w:r w:rsidRPr="005A786F">
              <w:rPr>
                <w:rFonts w:ascii="Times New Roman" w:hAnsi="Times New Roman"/>
                <w:b/>
                <w:sz w:val="22"/>
                <w:szCs w:val="24"/>
              </w:rPr>
              <w:t>States Reporting</w:t>
            </w:r>
          </w:p>
        </w:tc>
        <w:tc>
          <w:tcPr>
            <w:tcW w:w="1688" w:type="dxa"/>
            <w:shd w:val="clear" w:color="auto" w:fill="EEECE1"/>
          </w:tcPr>
          <w:p w:rsidR="00CC6713" w:rsidRPr="005A786F" w:rsidRDefault="00CC6713" w:rsidP="004F1EF0">
            <w:pPr>
              <w:rPr>
                <w:rFonts w:ascii="Times New Roman" w:hAnsi="Times New Roman"/>
                <w:b/>
                <w:szCs w:val="24"/>
              </w:rPr>
            </w:pPr>
            <w:r w:rsidRPr="005A786F">
              <w:rPr>
                <w:rFonts w:ascii="Times New Roman" w:hAnsi="Times New Roman"/>
                <w:b/>
                <w:szCs w:val="24"/>
              </w:rPr>
              <w:t>Estimated average cost/hour</w:t>
            </w:r>
          </w:p>
        </w:tc>
        <w:tc>
          <w:tcPr>
            <w:tcW w:w="1399" w:type="dxa"/>
            <w:shd w:val="clear" w:color="auto" w:fill="EEECE1"/>
          </w:tcPr>
          <w:p w:rsidR="00CC6713" w:rsidRPr="005A786F" w:rsidRDefault="00CC6713" w:rsidP="004F1EF0">
            <w:pPr>
              <w:rPr>
                <w:rFonts w:ascii="Times New Roman" w:hAnsi="Times New Roman"/>
                <w:b/>
                <w:szCs w:val="24"/>
              </w:rPr>
            </w:pPr>
            <w:r w:rsidRPr="005A786F">
              <w:rPr>
                <w:rFonts w:ascii="Times New Roman" w:hAnsi="Times New Roman"/>
                <w:b/>
                <w:szCs w:val="24"/>
              </w:rPr>
              <w:t>Estimated cost per activity</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Distribution of SFSF funds</w:t>
            </w:r>
          </w:p>
        </w:tc>
        <w:tc>
          <w:tcPr>
            <w:tcW w:w="1571" w:type="dxa"/>
          </w:tcPr>
          <w:p w:rsidR="00CC6713" w:rsidRPr="005A786F" w:rsidRDefault="00CC6713" w:rsidP="004F1EF0">
            <w:pPr>
              <w:rPr>
                <w:rFonts w:ascii="Times New Roman" w:hAnsi="Times New Roman"/>
                <w:szCs w:val="24"/>
              </w:rPr>
            </w:pPr>
            <w:r w:rsidRPr="005A786F">
              <w:rPr>
                <w:rFonts w:ascii="Times New Roman" w:hAnsi="Times New Roman"/>
                <w:szCs w:val="24"/>
              </w:rPr>
              <w:t>4</w:t>
            </w:r>
          </w:p>
        </w:tc>
        <w:tc>
          <w:tcPr>
            <w:tcW w:w="1688" w:type="dxa"/>
          </w:tcPr>
          <w:p w:rsidR="00CC6713" w:rsidRPr="005A786F" w:rsidRDefault="00CC6713" w:rsidP="004F1EF0">
            <w:pPr>
              <w:rPr>
                <w:rFonts w:ascii="Times New Roman" w:hAnsi="Times New Roman"/>
                <w:szCs w:val="24"/>
              </w:rPr>
            </w:pPr>
            <w:r w:rsidRPr="005A786F">
              <w:rPr>
                <w:rFonts w:ascii="Times New Roman" w:hAnsi="Times New Roman"/>
                <w:sz w:val="22"/>
                <w:szCs w:val="24"/>
              </w:rPr>
              <w:t>52</w:t>
            </w:r>
          </w:p>
        </w:tc>
        <w:tc>
          <w:tcPr>
            <w:tcW w:w="1688" w:type="dxa"/>
          </w:tcPr>
          <w:p w:rsidR="00CC6713" w:rsidRPr="005A786F" w:rsidRDefault="00CC6713" w:rsidP="004F1EF0">
            <w:pPr>
              <w:rPr>
                <w:rFonts w:ascii="Times New Roman" w:hAnsi="Times New Roman"/>
                <w:szCs w:val="24"/>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sidRPr="005A786F">
              <w:rPr>
                <w:rFonts w:ascii="Times New Roman" w:hAnsi="Times New Roman"/>
                <w:szCs w:val="24"/>
              </w:rPr>
              <w:t>$6,240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Uses of SFSF funds</w:t>
            </w:r>
          </w:p>
        </w:tc>
        <w:tc>
          <w:tcPr>
            <w:tcW w:w="1571" w:type="dxa"/>
          </w:tcPr>
          <w:p w:rsidR="00CC6713" w:rsidRPr="005A786F" w:rsidRDefault="00CC6713" w:rsidP="004F1EF0">
            <w:pPr>
              <w:rPr>
                <w:rFonts w:ascii="Times New Roman" w:hAnsi="Times New Roman"/>
                <w:szCs w:val="24"/>
              </w:rPr>
            </w:pPr>
            <w:r>
              <w:rPr>
                <w:rFonts w:ascii="Times New Roman" w:hAnsi="Times New Roman"/>
                <w:szCs w:val="24"/>
              </w:rPr>
              <w:t>10</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Pr>
                <w:rFonts w:ascii="Times New Roman" w:hAnsi="Times New Roman"/>
                <w:szCs w:val="24"/>
              </w:rPr>
              <w:t>$</w:t>
            </w:r>
            <w:r>
              <w:rPr>
                <w:rFonts w:ascii="Times New Roman" w:hAnsi="Times New Roman"/>
                <w:szCs w:val="24"/>
              </w:rPr>
              <w:fldChar w:fldCharType="begin"/>
            </w:r>
            <w:r>
              <w:rPr>
                <w:rFonts w:ascii="Times New Roman" w:hAnsi="Times New Roman"/>
                <w:szCs w:val="24"/>
              </w:rPr>
              <w:instrText xml:space="preserve"> =10*52*30 </w:instrText>
            </w:r>
            <w:r>
              <w:rPr>
                <w:rFonts w:ascii="Times New Roman" w:hAnsi="Times New Roman"/>
                <w:szCs w:val="24"/>
              </w:rPr>
              <w:fldChar w:fldCharType="separate"/>
            </w:r>
            <w:r>
              <w:rPr>
                <w:rFonts w:ascii="Times New Roman" w:hAnsi="Times New Roman"/>
                <w:noProof/>
                <w:szCs w:val="24"/>
              </w:rPr>
              <w:t>15,600</w:t>
            </w:r>
            <w:r>
              <w:rPr>
                <w:rFonts w:ascii="Times New Roman" w:hAnsi="Times New Roman"/>
                <w:szCs w:val="24"/>
              </w:rPr>
              <w:fldChar w:fldCharType="end"/>
            </w:r>
          </w:p>
        </w:tc>
      </w:tr>
      <w:tr w:rsidR="00CC6713" w:rsidRPr="0069737F" w:rsidTr="005A786F">
        <w:trPr>
          <w:trHeight w:val="828"/>
        </w:trPr>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Tuition and fee information</w:t>
            </w:r>
          </w:p>
        </w:tc>
        <w:tc>
          <w:tcPr>
            <w:tcW w:w="1571" w:type="dxa"/>
          </w:tcPr>
          <w:p w:rsidR="00CC6713" w:rsidRPr="005A786F" w:rsidRDefault="00CC6713" w:rsidP="004F1EF0">
            <w:pPr>
              <w:rPr>
                <w:rFonts w:ascii="Times New Roman" w:hAnsi="Times New Roman"/>
                <w:szCs w:val="24"/>
              </w:rPr>
            </w:pPr>
            <w:r w:rsidRPr="005A786F">
              <w:rPr>
                <w:rFonts w:ascii="Times New Roman" w:hAnsi="Times New Roman"/>
                <w:szCs w:val="24"/>
              </w:rPr>
              <w:t>8</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sidRPr="005A786F">
              <w:rPr>
                <w:rFonts w:ascii="Times New Roman" w:hAnsi="Times New Roman"/>
                <w:szCs w:val="24"/>
              </w:rPr>
              <w:t>$12,480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Public IHE student enrollment data</w:t>
            </w:r>
          </w:p>
        </w:tc>
        <w:tc>
          <w:tcPr>
            <w:tcW w:w="1571" w:type="dxa"/>
          </w:tcPr>
          <w:p w:rsidR="00CC6713" w:rsidRPr="005A786F" w:rsidRDefault="00CC6713" w:rsidP="004F1EF0">
            <w:pPr>
              <w:rPr>
                <w:rFonts w:ascii="Times New Roman" w:hAnsi="Times New Roman"/>
                <w:szCs w:val="24"/>
              </w:rPr>
            </w:pPr>
            <w:r w:rsidRPr="005A786F">
              <w:rPr>
                <w:rFonts w:ascii="Times New Roman" w:hAnsi="Times New Roman"/>
                <w:szCs w:val="24"/>
              </w:rPr>
              <w:t>24</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sidRPr="005A786F">
              <w:rPr>
                <w:rFonts w:ascii="Times New Roman" w:hAnsi="Times New Roman"/>
                <w:szCs w:val="24"/>
              </w:rPr>
              <w:t>$37,440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Tax increases averted</w:t>
            </w:r>
          </w:p>
        </w:tc>
        <w:tc>
          <w:tcPr>
            <w:tcW w:w="1571" w:type="dxa"/>
          </w:tcPr>
          <w:p w:rsidR="00CC6713" w:rsidRPr="005A786F" w:rsidRDefault="00CC6713" w:rsidP="004F1EF0">
            <w:pPr>
              <w:rPr>
                <w:rFonts w:ascii="Times New Roman" w:hAnsi="Times New Roman"/>
                <w:szCs w:val="24"/>
              </w:rPr>
            </w:pPr>
            <w:r w:rsidRPr="005A786F">
              <w:rPr>
                <w:rFonts w:ascii="Times New Roman" w:hAnsi="Times New Roman"/>
                <w:szCs w:val="24"/>
              </w:rPr>
              <w:t>8</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sidRPr="005A786F">
              <w:rPr>
                <w:rFonts w:ascii="Times New Roman" w:hAnsi="Times New Roman"/>
                <w:szCs w:val="24"/>
              </w:rPr>
              <w:t>$12,480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Jobs saved or created</w:t>
            </w:r>
          </w:p>
        </w:tc>
        <w:tc>
          <w:tcPr>
            <w:tcW w:w="1571" w:type="dxa"/>
          </w:tcPr>
          <w:p w:rsidR="00CC6713" w:rsidRPr="005A786F" w:rsidRDefault="00CC6713" w:rsidP="004F1EF0">
            <w:pPr>
              <w:rPr>
                <w:rFonts w:ascii="Times New Roman" w:hAnsi="Times New Roman"/>
                <w:szCs w:val="24"/>
              </w:rPr>
            </w:pPr>
            <w:r>
              <w:rPr>
                <w:rFonts w:ascii="Times New Roman" w:hAnsi="Times New Roman"/>
                <w:szCs w:val="24"/>
              </w:rPr>
              <w:t>0</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Pr>
                <w:rFonts w:ascii="Times New Roman" w:hAnsi="Times New Roman"/>
                <w:szCs w:val="24"/>
              </w:rPr>
              <w:t>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Progress in advancing education reform</w:t>
            </w:r>
          </w:p>
        </w:tc>
        <w:tc>
          <w:tcPr>
            <w:tcW w:w="1571" w:type="dxa"/>
          </w:tcPr>
          <w:p w:rsidR="00CC6713" w:rsidRPr="005A786F" w:rsidRDefault="00CC6713" w:rsidP="004F1EF0">
            <w:pPr>
              <w:rPr>
                <w:rFonts w:ascii="Times New Roman" w:hAnsi="Times New Roman"/>
                <w:szCs w:val="24"/>
              </w:rPr>
            </w:pPr>
            <w:r w:rsidRPr="005A786F">
              <w:rPr>
                <w:rFonts w:ascii="Times New Roman" w:hAnsi="Times New Roman"/>
                <w:szCs w:val="24"/>
              </w:rPr>
              <w:t>20</w:t>
            </w:r>
          </w:p>
        </w:tc>
        <w:tc>
          <w:tcPr>
            <w:tcW w:w="1688" w:type="dxa"/>
          </w:tcPr>
          <w:p w:rsidR="00CC6713" w:rsidRPr="005A786F" w:rsidRDefault="00CC6713">
            <w:pPr>
              <w:rPr>
                <w:szCs w:val="22"/>
              </w:rPr>
            </w:pPr>
            <w:r w:rsidRPr="005A786F">
              <w:rPr>
                <w:rFonts w:ascii="Times New Roman" w:hAnsi="Times New Roman"/>
                <w:sz w:val="22"/>
                <w:szCs w:val="24"/>
              </w:rPr>
              <w:t>52</w:t>
            </w:r>
          </w:p>
        </w:tc>
        <w:tc>
          <w:tcPr>
            <w:tcW w:w="1688" w:type="dxa"/>
          </w:tcPr>
          <w:p w:rsidR="00CC6713" w:rsidRPr="005A786F" w:rsidRDefault="00CC6713">
            <w:pPr>
              <w:rPr>
                <w:szCs w:val="22"/>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szCs w:val="24"/>
              </w:rPr>
            </w:pPr>
            <w:r w:rsidRPr="005A786F">
              <w:rPr>
                <w:rFonts w:ascii="Times New Roman" w:hAnsi="Times New Roman"/>
                <w:szCs w:val="24"/>
              </w:rPr>
              <w:t>$31,200</w:t>
            </w:r>
          </w:p>
        </w:tc>
      </w:tr>
      <w:tr w:rsidR="00CC6713" w:rsidRPr="0069737F" w:rsidTr="005A786F">
        <w:tc>
          <w:tcPr>
            <w:tcW w:w="1976" w:type="dxa"/>
          </w:tcPr>
          <w:p w:rsidR="00CC6713" w:rsidRPr="005A786F" w:rsidRDefault="00CC6713" w:rsidP="004F1EF0">
            <w:pPr>
              <w:rPr>
                <w:rFonts w:ascii="Times New Roman" w:hAnsi="Times New Roman"/>
                <w:b/>
                <w:szCs w:val="24"/>
              </w:rPr>
            </w:pPr>
            <w:r w:rsidRPr="005A786F">
              <w:rPr>
                <w:rFonts w:ascii="Times New Roman" w:hAnsi="Times New Roman"/>
                <w:b/>
                <w:szCs w:val="24"/>
              </w:rPr>
              <w:t>TOTALS</w:t>
            </w:r>
          </w:p>
        </w:tc>
        <w:tc>
          <w:tcPr>
            <w:tcW w:w="1571" w:type="dxa"/>
          </w:tcPr>
          <w:p w:rsidR="00CC6713" w:rsidRPr="005A786F" w:rsidRDefault="00CC6713" w:rsidP="004F1EF0">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 "0" </w:instrText>
            </w:r>
            <w:r>
              <w:rPr>
                <w:rFonts w:ascii="Times New Roman" w:hAnsi="Times New Roman"/>
                <w:szCs w:val="24"/>
              </w:rPr>
              <w:fldChar w:fldCharType="separate"/>
            </w:r>
            <w:r>
              <w:rPr>
                <w:rFonts w:ascii="Times New Roman" w:hAnsi="Times New Roman"/>
                <w:noProof/>
                <w:szCs w:val="24"/>
              </w:rPr>
              <w:t>74</w:t>
            </w:r>
            <w:r>
              <w:rPr>
                <w:rFonts w:ascii="Times New Roman" w:hAnsi="Times New Roman"/>
                <w:szCs w:val="24"/>
              </w:rPr>
              <w:fldChar w:fldCharType="end"/>
            </w:r>
          </w:p>
        </w:tc>
        <w:tc>
          <w:tcPr>
            <w:tcW w:w="1688" w:type="dxa"/>
          </w:tcPr>
          <w:p w:rsidR="00CC6713" w:rsidRPr="005A786F" w:rsidRDefault="00CC6713" w:rsidP="004F1EF0">
            <w:pPr>
              <w:rPr>
                <w:rFonts w:ascii="Times New Roman" w:hAnsi="Times New Roman"/>
                <w:szCs w:val="24"/>
              </w:rPr>
            </w:pPr>
            <w:r w:rsidRPr="005A786F">
              <w:rPr>
                <w:rFonts w:ascii="Times New Roman" w:hAnsi="Times New Roman"/>
                <w:sz w:val="22"/>
                <w:szCs w:val="24"/>
              </w:rPr>
              <w:t>52</w:t>
            </w:r>
          </w:p>
        </w:tc>
        <w:tc>
          <w:tcPr>
            <w:tcW w:w="1688" w:type="dxa"/>
          </w:tcPr>
          <w:p w:rsidR="00CC6713" w:rsidRPr="005A786F" w:rsidRDefault="00CC6713" w:rsidP="004F1EF0">
            <w:pPr>
              <w:rPr>
                <w:rFonts w:ascii="Times New Roman" w:hAnsi="Times New Roman"/>
                <w:szCs w:val="24"/>
              </w:rPr>
            </w:pPr>
            <w:r w:rsidRPr="005A786F">
              <w:rPr>
                <w:rFonts w:ascii="Times New Roman" w:hAnsi="Times New Roman"/>
                <w:szCs w:val="24"/>
              </w:rPr>
              <w:t>$30</w:t>
            </w:r>
          </w:p>
        </w:tc>
        <w:tc>
          <w:tcPr>
            <w:tcW w:w="1399" w:type="dxa"/>
          </w:tcPr>
          <w:p w:rsidR="00CC6713" w:rsidRPr="005A786F" w:rsidRDefault="00CC6713" w:rsidP="005A786F">
            <w:pPr>
              <w:jc w:val="right"/>
              <w:rPr>
                <w:rFonts w:ascii="Times New Roman" w:hAnsi="Times New Roman"/>
                <w:b/>
                <w:szCs w:val="24"/>
              </w:rPr>
            </w:pPr>
            <w:r>
              <w:rPr>
                <w:rFonts w:ascii="Times New Roman" w:hAnsi="Times New Roman"/>
                <w:b/>
                <w:szCs w:val="24"/>
              </w:rPr>
              <w:fldChar w:fldCharType="begin"/>
            </w:r>
            <w:r>
              <w:rPr>
                <w:rFonts w:ascii="Times New Roman" w:hAnsi="Times New Roman"/>
                <w:b/>
                <w:szCs w:val="24"/>
              </w:rPr>
              <w:instrText xml:space="preserve"> =SUM(ABOVE) </w:instrText>
            </w:r>
            <w:r>
              <w:rPr>
                <w:rFonts w:ascii="Times New Roman" w:hAnsi="Times New Roman"/>
                <w:b/>
                <w:szCs w:val="24"/>
              </w:rPr>
              <w:fldChar w:fldCharType="separate"/>
            </w:r>
            <w:r>
              <w:rPr>
                <w:rFonts w:ascii="Times New Roman" w:hAnsi="Times New Roman"/>
                <w:b/>
                <w:noProof/>
                <w:szCs w:val="24"/>
              </w:rPr>
              <w:t>$115,440.00</w:t>
            </w:r>
            <w:r>
              <w:rPr>
                <w:rFonts w:ascii="Times New Roman" w:hAnsi="Times New Roman"/>
                <w:b/>
                <w:szCs w:val="24"/>
              </w:rPr>
              <w:fldChar w:fldCharType="end"/>
            </w:r>
          </w:p>
          <w:p w:rsidR="00CC6713" w:rsidRPr="005A786F" w:rsidRDefault="00CC6713" w:rsidP="005A786F">
            <w:pPr>
              <w:jc w:val="right"/>
              <w:rPr>
                <w:rFonts w:ascii="Times New Roman" w:hAnsi="Times New Roman"/>
                <w:szCs w:val="24"/>
              </w:rPr>
            </w:pPr>
          </w:p>
        </w:tc>
      </w:tr>
    </w:tbl>
    <w:p w:rsidR="00CC6713" w:rsidRPr="0069737F" w:rsidRDefault="00CC6713" w:rsidP="00591486">
      <w:pPr>
        <w:rPr>
          <w:rFonts w:ascii="Times New Roman" w:hAnsi="Times New Roman"/>
          <w:szCs w:val="24"/>
        </w:rPr>
      </w:pPr>
      <w:r w:rsidRPr="0069737F">
        <w:rPr>
          <w:rFonts w:ascii="Times New Roman" w:hAnsi="Times New Roman"/>
          <w:szCs w:val="24"/>
        </w:rPr>
        <w:br w:type="page"/>
      </w: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 xml:space="preserve">13.  </w:t>
      </w:r>
      <w:r w:rsidRPr="0069737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CC6713" w:rsidRPr="0069737F" w:rsidRDefault="00CC6713">
      <w:pPr>
        <w:tabs>
          <w:tab w:val="left" w:pos="-720"/>
        </w:tabs>
        <w:suppressAutoHyphens/>
        <w:rPr>
          <w:rFonts w:ascii="Times New Roman" w:hAnsi="Times New Roman"/>
          <w:szCs w:val="24"/>
        </w:rPr>
      </w:pPr>
    </w:p>
    <w:p w:rsidR="00CC6713" w:rsidRPr="0069737F" w:rsidRDefault="00CC6713" w:rsidP="003C29C2">
      <w:pPr>
        <w:numPr>
          <w:ilvl w:val="0"/>
          <w:numId w:val="5"/>
        </w:numPr>
        <w:tabs>
          <w:tab w:val="left" w:pos="-720"/>
          <w:tab w:val="left" w:pos="1247"/>
        </w:tabs>
        <w:suppressAutoHyphens/>
        <w:rPr>
          <w:rFonts w:ascii="Times New Roman" w:hAnsi="Times New Roman"/>
          <w:szCs w:val="24"/>
        </w:rPr>
      </w:pPr>
      <w:r w:rsidRPr="0069737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C6713" w:rsidRPr="0069737F" w:rsidRDefault="00CC6713">
      <w:pPr>
        <w:numPr>
          <w:ilvl w:val="12"/>
          <w:numId w:val="0"/>
        </w:numPr>
        <w:tabs>
          <w:tab w:val="left" w:pos="-720"/>
        </w:tabs>
        <w:suppressAutoHyphens/>
        <w:ind w:left="340"/>
        <w:rPr>
          <w:rFonts w:ascii="Times New Roman" w:hAnsi="Times New Roman"/>
          <w:szCs w:val="24"/>
        </w:rPr>
      </w:pPr>
    </w:p>
    <w:p w:rsidR="00CC6713" w:rsidRPr="0069737F" w:rsidRDefault="00CC6713" w:rsidP="003C29C2">
      <w:pPr>
        <w:numPr>
          <w:ilvl w:val="0"/>
          <w:numId w:val="5"/>
        </w:numPr>
        <w:tabs>
          <w:tab w:val="left" w:pos="-720"/>
          <w:tab w:val="left" w:pos="1247"/>
        </w:tabs>
        <w:suppressAutoHyphens/>
        <w:rPr>
          <w:rFonts w:ascii="Times New Roman" w:hAnsi="Times New Roman"/>
          <w:szCs w:val="24"/>
        </w:rPr>
      </w:pPr>
      <w:r w:rsidRPr="0069737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C6713" w:rsidRPr="0069737F" w:rsidRDefault="00CC6713" w:rsidP="003C29C2">
      <w:pPr>
        <w:tabs>
          <w:tab w:val="left" w:pos="-720"/>
          <w:tab w:val="left" w:pos="1247"/>
        </w:tabs>
        <w:suppressAutoHyphens/>
        <w:rPr>
          <w:rFonts w:ascii="Times New Roman" w:hAnsi="Times New Roman"/>
          <w:szCs w:val="24"/>
        </w:rPr>
      </w:pPr>
    </w:p>
    <w:p w:rsidR="00CC6713" w:rsidRPr="0069737F" w:rsidRDefault="00CC6713" w:rsidP="003C29C2">
      <w:pPr>
        <w:numPr>
          <w:ilvl w:val="0"/>
          <w:numId w:val="5"/>
        </w:numPr>
        <w:tabs>
          <w:tab w:val="left" w:pos="-720"/>
          <w:tab w:val="left" w:pos="1247"/>
        </w:tabs>
        <w:suppressAutoHyphens/>
        <w:rPr>
          <w:rFonts w:ascii="Times New Roman" w:hAnsi="Times New Roman"/>
          <w:szCs w:val="24"/>
        </w:rPr>
      </w:pPr>
      <w:r w:rsidRPr="0069737F">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ab/>
        <w:t>Total A</w:t>
      </w:r>
      <w:r>
        <w:rPr>
          <w:rFonts w:ascii="Times New Roman" w:hAnsi="Times New Roman"/>
          <w:szCs w:val="24"/>
        </w:rPr>
        <w:t>nnualized Capital/Startup Cost:</w:t>
      </w:r>
      <w:r>
        <w:rPr>
          <w:rFonts w:ascii="Times New Roman" w:hAnsi="Times New Roman"/>
          <w:szCs w:val="24"/>
        </w:rPr>
        <w:tab/>
      </w:r>
      <w:r w:rsidRPr="0069737F">
        <w:rPr>
          <w:rFonts w:ascii="Times New Roman" w:hAnsi="Times New Roman"/>
          <w:szCs w:val="24"/>
        </w:rPr>
        <w:t>0</w:t>
      </w: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ab/>
        <w:t>Total Annual Costs (O&amp;M)</w:t>
      </w:r>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t>0</w:t>
      </w:r>
    </w:p>
    <w:p w:rsidR="00CC6713" w:rsidRDefault="00CC6713">
      <w:pPr>
        <w:tabs>
          <w:tab w:val="left" w:pos="-720"/>
        </w:tabs>
        <w:suppressAutoHyphens/>
        <w:rPr>
          <w:rFonts w:ascii="Times New Roman" w:hAnsi="Times New Roman"/>
          <w:szCs w:val="24"/>
        </w:rPr>
      </w:pPr>
      <w:r w:rsidRPr="0069737F">
        <w:rPr>
          <w:rFonts w:ascii="Times New Roman" w:hAnsi="Times New Roman"/>
          <w:szCs w:val="24"/>
        </w:rPr>
        <w:tab/>
      </w:r>
      <w:r w:rsidRPr="0069737F">
        <w:rPr>
          <w:rFonts w:ascii="Times New Roman" w:hAnsi="Times New Roman"/>
          <w:szCs w:val="24"/>
        </w:rPr>
        <w:tab/>
      </w:r>
      <w:r w:rsidRPr="0069737F">
        <w:rPr>
          <w:rFonts w:ascii="Times New Roman" w:hAnsi="Times New Roman"/>
          <w:szCs w:val="24"/>
        </w:rPr>
        <w:tab/>
      </w:r>
      <w:r w:rsidRPr="0069737F">
        <w:rPr>
          <w:rFonts w:ascii="Times New Roman" w:hAnsi="Times New Roman"/>
          <w:szCs w:val="24"/>
        </w:rPr>
        <w:tab/>
      </w:r>
      <w:r w:rsidRPr="0069737F">
        <w:rPr>
          <w:rFonts w:ascii="Times New Roman" w:hAnsi="Times New Roman"/>
          <w:szCs w:val="24"/>
        </w:rPr>
        <w:tab/>
      </w:r>
      <w:r w:rsidRPr="0069737F">
        <w:rPr>
          <w:rFonts w:ascii="Times New Roman" w:hAnsi="Times New Roman"/>
          <w:szCs w:val="24"/>
        </w:rPr>
        <w:tab/>
      </w:r>
      <w:r w:rsidRPr="0069737F">
        <w:rPr>
          <w:rFonts w:ascii="Times New Roman" w:hAnsi="Times New Roman"/>
          <w:szCs w:val="24"/>
        </w:rPr>
        <w:tab/>
      </w: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ab/>
        <w:t>To</w:t>
      </w:r>
      <w:r>
        <w:rPr>
          <w:rFonts w:ascii="Times New Roman" w:hAnsi="Times New Roman"/>
          <w:szCs w:val="24"/>
        </w:rPr>
        <w:t>tal Annualized Costs Requested:</w:t>
      </w:r>
      <w:r>
        <w:rPr>
          <w:rFonts w:ascii="Times New Roman" w:hAnsi="Times New Roman"/>
          <w:szCs w:val="24"/>
        </w:rPr>
        <w:tab/>
      </w:r>
      <w:r>
        <w:rPr>
          <w:rFonts w:ascii="Times New Roman" w:hAnsi="Times New Roman"/>
          <w:szCs w:val="24"/>
        </w:rPr>
        <w:tab/>
      </w:r>
      <w:r w:rsidRPr="0069737F">
        <w:rPr>
          <w:rFonts w:ascii="Times New Roman" w:hAnsi="Times New Roman"/>
          <w:szCs w:val="24"/>
        </w:rPr>
        <w:t xml:space="preserve"> 0</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Pr>
          <w:rFonts w:ascii="Times New Roman" w:hAnsi="Times New Roman"/>
          <w:szCs w:val="24"/>
        </w:rPr>
        <w:tab/>
      </w:r>
      <w:r w:rsidRPr="0069737F">
        <w:rPr>
          <w:rFonts w:ascii="Times New Roman" w:hAnsi="Times New Roman"/>
          <w:szCs w:val="24"/>
        </w:rPr>
        <w:t>There are no start-up costs for this collection.</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B22A75">
        <w:rPr>
          <w:rFonts w:ascii="Times New Roman" w:hAnsi="Times New Roman"/>
          <w:szCs w:val="24"/>
        </w:rPr>
        <w:t xml:space="preserve">14. </w:t>
      </w:r>
      <w:r w:rsidRPr="00B22A7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C6713" w:rsidRPr="0069737F" w:rsidRDefault="00CC6713">
      <w:pPr>
        <w:tabs>
          <w:tab w:val="left" w:pos="-720"/>
        </w:tabs>
        <w:suppressAutoHyphens/>
        <w:rPr>
          <w:rFonts w:ascii="Times New Roman" w:hAnsi="Times New Roman"/>
          <w:szCs w:val="24"/>
        </w:rPr>
      </w:pPr>
    </w:p>
    <w:p w:rsidR="00CC6713" w:rsidRPr="00C14F7D" w:rsidRDefault="00CC6713" w:rsidP="00C14F7D">
      <w:pPr>
        <w:tabs>
          <w:tab w:val="left" w:pos="-720"/>
        </w:tabs>
        <w:suppressAutoHyphens/>
        <w:rPr>
          <w:rStyle w:val="a"/>
          <w:rFonts w:ascii="Times New Roman" w:hAnsi="Times New Roman"/>
          <w:szCs w:val="24"/>
        </w:rPr>
      </w:pPr>
      <w:r w:rsidRPr="00C14F7D">
        <w:rPr>
          <w:rStyle w:val="a"/>
          <w:rFonts w:ascii="Times New Roman" w:hAnsi="Times New Roman"/>
          <w:szCs w:val="24"/>
        </w:rPr>
        <w:t>The Federal costs involve drafting the report template</w:t>
      </w:r>
      <w:r>
        <w:rPr>
          <w:rStyle w:val="a"/>
          <w:rFonts w:ascii="Times New Roman" w:hAnsi="Times New Roman"/>
          <w:szCs w:val="24"/>
        </w:rPr>
        <w:t>;</w:t>
      </w:r>
      <w:r w:rsidRPr="00C14F7D">
        <w:rPr>
          <w:rStyle w:val="a"/>
          <w:rFonts w:ascii="Times New Roman" w:hAnsi="Times New Roman"/>
          <w:szCs w:val="24"/>
        </w:rPr>
        <w:t xml:space="preserve"> staff review of the submitted reports for completeness, working with contractor on analyzing the data submitted by States</w:t>
      </w:r>
      <w:r>
        <w:rPr>
          <w:rStyle w:val="a"/>
          <w:rFonts w:ascii="Times New Roman" w:hAnsi="Times New Roman"/>
          <w:szCs w:val="24"/>
        </w:rPr>
        <w:t>;</w:t>
      </w:r>
      <w:r w:rsidRPr="00C14F7D">
        <w:rPr>
          <w:rStyle w:val="a"/>
          <w:rFonts w:ascii="Times New Roman" w:hAnsi="Times New Roman"/>
          <w:szCs w:val="24"/>
        </w:rPr>
        <w:t xml:space="preserve"> having follow</w:t>
      </w:r>
      <w:r>
        <w:rPr>
          <w:rStyle w:val="a"/>
          <w:rFonts w:ascii="Times New Roman" w:hAnsi="Times New Roman"/>
          <w:szCs w:val="24"/>
        </w:rPr>
        <w:t>-</w:t>
      </w:r>
      <w:r w:rsidRPr="00C14F7D">
        <w:rPr>
          <w:rStyle w:val="a"/>
          <w:rFonts w:ascii="Times New Roman" w:hAnsi="Times New Roman"/>
          <w:szCs w:val="24"/>
        </w:rPr>
        <w:t>up discussions with States</w:t>
      </w:r>
      <w:r>
        <w:rPr>
          <w:rStyle w:val="a"/>
          <w:rFonts w:ascii="Times New Roman" w:hAnsi="Times New Roman"/>
          <w:szCs w:val="24"/>
        </w:rPr>
        <w:t>,</w:t>
      </w:r>
      <w:r w:rsidRPr="00C14F7D">
        <w:rPr>
          <w:rStyle w:val="a"/>
          <w:rFonts w:ascii="Times New Roman" w:hAnsi="Times New Roman"/>
          <w:szCs w:val="24"/>
        </w:rPr>
        <w:t xml:space="preserve"> as necessary</w:t>
      </w:r>
      <w:r>
        <w:rPr>
          <w:rStyle w:val="a"/>
          <w:rFonts w:ascii="Times New Roman" w:hAnsi="Times New Roman"/>
          <w:szCs w:val="24"/>
        </w:rPr>
        <w:t>;</w:t>
      </w:r>
      <w:r w:rsidRPr="00C14F7D">
        <w:rPr>
          <w:rStyle w:val="a"/>
          <w:rFonts w:ascii="Times New Roman" w:hAnsi="Times New Roman"/>
          <w:szCs w:val="24"/>
        </w:rPr>
        <w:t xml:space="preserve"> and assisting in drafting the required report to Congress. </w:t>
      </w:r>
    </w:p>
    <w:p w:rsidR="00CC6713" w:rsidRPr="00C14F7D" w:rsidRDefault="00CC6713" w:rsidP="00C14F7D">
      <w:pPr>
        <w:tabs>
          <w:tab w:val="left" w:pos="-720"/>
        </w:tabs>
        <w:suppressAutoHyphens/>
        <w:rPr>
          <w:rStyle w:val="a"/>
        </w:rPr>
      </w:pPr>
    </w:p>
    <w:p w:rsidR="00CC6713" w:rsidRPr="00C14F7D" w:rsidRDefault="00CC6713" w:rsidP="00C14F7D">
      <w:pPr>
        <w:tabs>
          <w:tab w:val="left" w:pos="-720"/>
        </w:tabs>
        <w:suppressAutoHyphens/>
        <w:rPr>
          <w:rStyle w:val="a"/>
          <w:rFonts w:ascii="Times New Roman" w:hAnsi="Times New Roman"/>
          <w:szCs w:val="24"/>
        </w:rPr>
      </w:pPr>
      <w:r>
        <w:rPr>
          <w:rStyle w:val="a"/>
          <w:rFonts w:ascii="Times New Roman" w:hAnsi="Times New Roman"/>
          <w:szCs w:val="24"/>
        </w:rPr>
        <w:t>T</w:t>
      </w:r>
      <w:r w:rsidRPr="00C14F7D">
        <w:rPr>
          <w:rStyle w:val="a"/>
          <w:rFonts w:ascii="Times New Roman" w:hAnsi="Times New Roman"/>
          <w:szCs w:val="24"/>
        </w:rPr>
        <w:t xml:space="preserve">he contractor </w:t>
      </w:r>
      <w:r>
        <w:rPr>
          <w:rStyle w:val="a"/>
          <w:rFonts w:ascii="Times New Roman" w:hAnsi="Times New Roman"/>
          <w:szCs w:val="24"/>
        </w:rPr>
        <w:t>will</w:t>
      </w:r>
      <w:r w:rsidRPr="00C14F7D">
        <w:rPr>
          <w:rStyle w:val="a"/>
          <w:rFonts w:ascii="Times New Roman" w:hAnsi="Times New Roman"/>
          <w:szCs w:val="24"/>
        </w:rPr>
        <w:t xml:space="preserve"> provide an on-line system for annual performance report submission; provide technical assistance, as needed, to States in using the system; conduct data quality reviews and work with States, as necessary; and conduct an analysis of this annual data. The contractor will </w:t>
      </w:r>
      <w:r>
        <w:rPr>
          <w:rStyle w:val="a"/>
          <w:rFonts w:ascii="Times New Roman" w:hAnsi="Times New Roman"/>
          <w:szCs w:val="24"/>
        </w:rPr>
        <w:t xml:space="preserve">also </w:t>
      </w:r>
      <w:r w:rsidRPr="00C14F7D">
        <w:rPr>
          <w:rStyle w:val="a"/>
          <w:rFonts w:ascii="Times New Roman" w:hAnsi="Times New Roman"/>
          <w:szCs w:val="24"/>
        </w:rPr>
        <w:t>submit an annual analysis of the data reported through the APRs as well as the raw data. The contractor will also submit a comprehensive report at the end of the contract period.</w:t>
      </w:r>
    </w:p>
    <w:p w:rsidR="00CC6713" w:rsidRPr="00C14F7D" w:rsidRDefault="00CC6713" w:rsidP="00C14F7D">
      <w:pPr>
        <w:tabs>
          <w:tab w:val="left" w:pos="-720"/>
        </w:tabs>
        <w:suppressAutoHyphens/>
        <w:rPr>
          <w:rStyle w:val="a"/>
          <w:rFonts w:ascii="Times New Roman" w:hAnsi="Times New Roman"/>
          <w:szCs w:val="24"/>
        </w:rPr>
      </w:pPr>
    </w:p>
    <w:p w:rsidR="00CC6713" w:rsidRPr="00B22A75" w:rsidRDefault="00CC6713" w:rsidP="00B22A75">
      <w:pPr>
        <w:rPr>
          <w:rFonts w:ascii="Times New Roman" w:hAnsi="Times New Roman"/>
          <w:b/>
          <w:szCs w:val="24"/>
          <w:u w:val="single"/>
        </w:rPr>
      </w:pPr>
      <w:r w:rsidRPr="00B22A75">
        <w:rPr>
          <w:rFonts w:ascii="Times New Roman" w:hAnsi="Times New Roman"/>
          <w:b/>
          <w:szCs w:val="24"/>
          <w:u w:val="single"/>
        </w:rPr>
        <w:t xml:space="preserve">Burden Hours and </w:t>
      </w:r>
      <w:r>
        <w:rPr>
          <w:rFonts w:ascii="Times New Roman" w:hAnsi="Times New Roman"/>
          <w:b/>
          <w:szCs w:val="24"/>
          <w:u w:val="single"/>
        </w:rPr>
        <w:t xml:space="preserve">Total </w:t>
      </w:r>
      <w:r w:rsidRPr="00B22A75">
        <w:rPr>
          <w:rFonts w:ascii="Times New Roman" w:hAnsi="Times New Roman"/>
          <w:b/>
          <w:szCs w:val="24"/>
          <w:u w:val="single"/>
        </w:rPr>
        <w:t>Cost to Federal Government</w:t>
      </w:r>
    </w:p>
    <w:p w:rsidR="00CC6713" w:rsidRPr="0069737F" w:rsidRDefault="00CC6713" w:rsidP="003E3941">
      <w:pPr>
        <w:pStyle w:val="ListParagraph"/>
        <w:rPr>
          <w:rFonts w:ascii="Times New Roman" w:hAnsi="Times New Roman"/>
          <w:b/>
          <w:sz w:val="24"/>
          <w:szCs w:val="24"/>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790"/>
        <w:gridCol w:w="2070"/>
      </w:tblGrid>
      <w:tr w:rsidR="00CC6713" w:rsidRPr="0069737F" w:rsidTr="005A786F">
        <w:tc>
          <w:tcPr>
            <w:tcW w:w="2358" w:type="dxa"/>
          </w:tcPr>
          <w:p w:rsidR="00CC6713" w:rsidRPr="005A786F" w:rsidRDefault="00CC6713" w:rsidP="00813BDB">
            <w:pPr>
              <w:rPr>
                <w:rFonts w:ascii="Times New Roman" w:hAnsi="Times New Roman"/>
                <w:b/>
                <w:szCs w:val="24"/>
              </w:rPr>
            </w:pPr>
            <w:r w:rsidRPr="005A786F">
              <w:rPr>
                <w:rFonts w:ascii="Times New Roman" w:hAnsi="Times New Roman"/>
                <w:b/>
                <w:szCs w:val="24"/>
              </w:rPr>
              <w:t>Grade</w:t>
            </w:r>
          </w:p>
        </w:tc>
        <w:tc>
          <w:tcPr>
            <w:tcW w:w="2790" w:type="dxa"/>
          </w:tcPr>
          <w:p w:rsidR="00CC6713" w:rsidRPr="005A786F" w:rsidRDefault="00CC6713" w:rsidP="00813BDB">
            <w:pPr>
              <w:rPr>
                <w:rFonts w:ascii="Times New Roman" w:hAnsi="Times New Roman"/>
                <w:b/>
                <w:szCs w:val="24"/>
              </w:rPr>
            </w:pPr>
            <w:r w:rsidRPr="005A786F">
              <w:rPr>
                <w:rFonts w:ascii="Times New Roman" w:hAnsi="Times New Roman"/>
                <w:b/>
                <w:szCs w:val="24"/>
              </w:rPr>
              <w:t>Hours</w:t>
            </w:r>
          </w:p>
        </w:tc>
        <w:tc>
          <w:tcPr>
            <w:tcW w:w="2070" w:type="dxa"/>
          </w:tcPr>
          <w:p w:rsidR="00CC6713" w:rsidRPr="005A786F" w:rsidRDefault="00CC6713" w:rsidP="00813BDB">
            <w:pPr>
              <w:rPr>
                <w:rFonts w:ascii="Times New Roman" w:hAnsi="Times New Roman"/>
                <w:b/>
                <w:szCs w:val="24"/>
              </w:rPr>
            </w:pPr>
            <w:r w:rsidRPr="005A786F">
              <w:rPr>
                <w:rFonts w:ascii="Times New Roman" w:hAnsi="Times New Roman"/>
                <w:b/>
                <w:szCs w:val="24"/>
              </w:rPr>
              <w:t>Cost</w:t>
            </w:r>
          </w:p>
        </w:tc>
      </w:tr>
      <w:tr w:rsidR="00CC6713" w:rsidRPr="0069737F" w:rsidTr="005A786F">
        <w:tc>
          <w:tcPr>
            <w:tcW w:w="2358" w:type="dxa"/>
          </w:tcPr>
          <w:p w:rsidR="00CC6713" w:rsidRPr="005A786F" w:rsidRDefault="00CC6713" w:rsidP="00AD3C3E">
            <w:pPr>
              <w:rPr>
                <w:rFonts w:ascii="Times New Roman" w:hAnsi="Times New Roman"/>
                <w:b/>
                <w:szCs w:val="24"/>
              </w:rPr>
            </w:pPr>
            <w:r w:rsidRPr="005A786F">
              <w:rPr>
                <w:rFonts w:ascii="Times New Roman" w:hAnsi="Times New Roman"/>
                <w:b/>
                <w:szCs w:val="24"/>
              </w:rPr>
              <w:t>9 (2)</w:t>
            </w:r>
          </w:p>
        </w:tc>
        <w:tc>
          <w:tcPr>
            <w:tcW w:w="2790" w:type="dxa"/>
          </w:tcPr>
          <w:p w:rsidR="00CC6713" w:rsidRPr="005A786F" w:rsidRDefault="00CC6713" w:rsidP="00AD3C3E">
            <w:pPr>
              <w:rPr>
                <w:rFonts w:ascii="Times New Roman" w:hAnsi="Times New Roman"/>
                <w:szCs w:val="24"/>
              </w:rPr>
            </w:pPr>
            <w:r w:rsidRPr="005A786F">
              <w:rPr>
                <w:rFonts w:ascii="Times New Roman" w:hAnsi="Times New Roman"/>
                <w:szCs w:val="24"/>
              </w:rPr>
              <w:t>352 hours @ $24.74/hour</w:t>
            </w:r>
          </w:p>
        </w:tc>
        <w:tc>
          <w:tcPr>
            <w:tcW w:w="2070" w:type="dxa"/>
          </w:tcPr>
          <w:p w:rsidR="00CC6713" w:rsidRPr="005A786F" w:rsidRDefault="00CC6713" w:rsidP="0086330E">
            <w:pPr>
              <w:rPr>
                <w:rFonts w:ascii="Times New Roman" w:hAnsi="Times New Roman"/>
                <w:szCs w:val="24"/>
              </w:rPr>
            </w:pPr>
            <w:r w:rsidRPr="005A786F">
              <w:rPr>
                <w:rFonts w:ascii="Times New Roman" w:hAnsi="Times New Roman"/>
                <w:szCs w:val="24"/>
              </w:rPr>
              <w:t>$17,417</w:t>
            </w:r>
          </w:p>
        </w:tc>
      </w:tr>
      <w:tr w:rsidR="00CC6713" w:rsidRPr="0069737F" w:rsidTr="005A786F">
        <w:tc>
          <w:tcPr>
            <w:tcW w:w="2358" w:type="dxa"/>
          </w:tcPr>
          <w:p w:rsidR="00CC6713" w:rsidRPr="005A786F" w:rsidRDefault="00CC6713" w:rsidP="00AD3C3E">
            <w:pPr>
              <w:rPr>
                <w:rFonts w:ascii="Times New Roman" w:hAnsi="Times New Roman"/>
                <w:b/>
                <w:szCs w:val="24"/>
              </w:rPr>
            </w:pPr>
            <w:r w:rsidRPr="005A786F">
              <w:rPr>
                <w:rFonts w:ascii="Times New Roman" w:hAnsi="Times New Roman"/>
                <w:b/>
                <w:szCs w:val="24"/>
              </w:rPr>
              <w:t>11 (2)</w:t>
            </w:r>
          </w:p>
        </w:tc>
        <w:tc>
          <w:tcPr>
            <w:tcW w:w="2790" w:type="dxa"/>
          </w:tcPr>
          <w:p w:rsidR="00CC6713" w:rsidRPr="005A786F" w:rsidRDefault="00CC6713" w:rsidP="00813BDB">
            <w:pPr>
              <w:rPr>
                <w:rFonts w:ascii="Times New Roman" w:hAnsi="Times New Roman"/>
                <w:szCs w:val="24"/>
              </w:rPr>
            </w:pPr>
            <w:r w:rsidRPr="005A786F">
              <w:rPr>
                <w:rFonts w:ascii="Times New Roman" w:hAnsi="Times New Roman"/>
                <w:szCs w:val="24"/>
              </w:rPr>
              <w:t>320 hours @ $29.93</w:t>
            </w:r>
          </w:p>
        </w:tc>
        <w:tc>
          <w:tcPr>
            <w:tcW w:w="2070" w:type="dxa"/>
          </w:tcPr>
          <w:p w:rsidR="00CC6713" w:rsidRPr="005A786F" w:rsidRDefault="00CC6713" w:rsidP="0086330E">
            <w:pPr>
              <w:rPr>
                <w:rFonts w:ascii="Times New Roman" w:hAnsi="Times New Roman"/>
                <w:szCs w:val="24"/>
              </w:rPr>
            </w:pPr>
            <w:r w:rsidRPr="005A786F">
              <w:rPr>
                <w:rFonts w:ascii="Times New Roman" w:hAnsi="Times New Roman"/>
                <w:szCs w:val="24"/>
              </w:rPr>
              <w:t>$19,155</w:t>
            </w:r>
          </w:p>
        </w:tc>
      </w:tr>
      <w:tr w:rsidR="00CC6713" w:rsidRPr="0069737F" w:rsidTr="005A786F">
        <w:tc>
          <w:tcPr>
            <w:tcW w:w="2358" w:type="dxa"/>
          </w:tcPr>
          <w:p w:rsidR="00CC6713" w:rsidRPr="005A786F" w:rsidRDefault="00CC6713" w:rsidP="00AD3C3E">
            <w:pPr>
              <w:rPr>
                <w:rFonts w:ascii="Times New Roman" w:hAnsi="Times New Roman"/>
                <w:b/>
                <w:szCs w:val="24"/>
              </w:rPr>
            </w:pPr>
            <w:r w:rsidRPr="005A786F">
              <w:rPr>
                <w:rFonts w:ascii="Times New Roman" w:hAnsi="Times New Roman"/>
                <w:b/>
                <w:szCs w:val="24"/>
              </w:rPr>
              <w:t>12 (1)</w:t>
            </w:r>
          </w:p>
        </w:tc>
        <w:tc>
          <w:tcPr>
            <w:tcW w:w="2790" w:type="dxa"/>
          </w:tcPr>
          <w:p w:rsidR="00CC6713" w:rsidRPr="005A786F" w:rsidRDefault="00CC6713" w:rsidP="00AD3C3E">
            <w:pPr>
              <w:rPr>
                <w:rFonts w:ascii="Times New Roman" w:hAnsi="Times New Roman"/>
                <w:szCs w:val="24"/>
              </w:rPr>
            </w:pPr>
            <w:r w:rsidRPr="005A786F">
              <w:rPr>
                <w:rFonts w:ascii="Times New Roman" w:hAnsi="Times New Roman"/>
                <w:szCs w:val="24"/>
              </w:rPr>
              <w:t>160 hours@ $35.88/hour</w:t>
            </w:r>
          </w:p>
        </w:tc>
        <w:tc>
          <w:tcPr>
            <w:tcW w:w="2070" w:type="dxa"/>
          </w:tcPr>
          <w:p w:rsidR="00CC6713" w:rsidRPr="005A786F" w:rsidRDefault="00CC6713" w:rsidP="0086330E">
            <w:pPr>
              <w:rPr>
                <w:rFonts w:ascii="Times New Roman" w:hAnsi="Times New Roman"/>
                <w:szCs w:val="24"/>
              </w:rPr>
            </w:pPr>
            <w:r w:rsidRPr="005A786F">
              <w:rPr>
                <w:rFonts w:ascii="Times New Roman" w:hAnsi="Times New Roman"/>
                <w:szCs w:val="24"/>
              </w:rPr>
              <w:t>$5,741</w:t>
            </w:r>
          </w:p>
        </w:tc>
      </w:tr>
      <w:tr w:rsidR="00CC6713" w:rsidRPr="0069737F" w:rsidTr="005A786F">
        <w:tc>
          <w:tcPr>
            <w:tcW w:w="2358" w:type="dxa"/>
          </w:tcPr>
          <w:p w:rsidR="00CC6713" w:rsidRPr="005A786F" w:rsidRDefault="00CC6713" w:rsidP="00AD3C3E">
            <w:pPr>
              <w:rPr>
                <w:rFonts w:ascii="Times New Roman" w:hAnsi="Times New Roman"/>
                <w:b/>
                <w:szCs w:val="24"/>
              </w:rPr>
            </w:pPr>
            <w:r w:rsidRPr="005A786F">
              <w:rPr>
                <w:rFonts w:ascii="Times New Roman" w:hAnsi="Times New Roman"/>
                <w:b/>
                <w:szCs w:val="24"/>
              </w:rPr>
              <w:t>14 (1)</w:t>
            </w:r>
          </w:p>
        </w:tc>
        <w:tc>
          <w:tcPr>
            <w:tcW w:w="2790" w:type="dxa"/>
          </w:tcPr>
          <w:p w:rsidR="00CC6713" w:rsidRPr="005A786F" w:rsidRDefault="00CC6713" w:rsidP="00813BDB">
            <w:pPr>
              <w:rPr>
                <w:rFonts w:ascii="Times New Roman" w:hAnsi="Times New Roman"/>
                <w:szCs w:val="24"/>
              </w:rPr>
            </w:pPr>
            <w:r w:rsidRPr="005A786F">
              <w:rPr>
                <w:rFonts w:ascii="Times New Roman" w:hAnsi="Times New Roman"/>
                <w:szCs w:val="24"/>
              </w:rPr>
              <w:t>104 hours @$50.41</w:t>
            </w:r>
          </w:p>
        </w:tc>
        <w:tc>
          <w:tcPr>
            <w:tcW w:w="2070" w:type="dxa"/>
          </w:tcPr>
          <w:p w:rsidR="00CC6713" w:rsidRPr="005A786F" w:rsidRDefault="00CC6713" w:rsidP="0086330E">
            <w:pPr>
              <w:rPr>
                <w:rFonts w:ascii="Times New Roman" w:hAnsi="Times New Roman"/>
                <w:szCs w:val="24"/>
              </w:rPr>
            </w:pPr>
            <w:r w:rsidRPr="005A786F">
              <w:rPr>
                <w:rFonts w:ascii="Times New Roman" w:hAnsi="Times New Roman"/>
                <w:szCs w:val="24"/>
              </w:rPr>
              <w:t>$5,243</w:t>
            </w:r>
          </w:p>
        </w:tc>
      </w:tr>
      <w:tr w:rsidR="00CC6713" w:rsidRPr="0069737F" w:rsidTr="005A786F">
        <w:tc>
          <w:tcPr>
            <w:tcW w:w="2358" w:type="dxa"/>
          </w:tcPr>
          <w:p w:rsidR="00CC6713" w:rsidRPr="005A786F" w:rsidRDefault="00CC6713" w:rsidP="00AD3C3E">
            <w:pPr>
              <w:rPr>
                <w:rFonts w:ascii="Times New Roman" w:hAnsi="Times New Roman"/>
                <w:b/>
                <w:szCs w:val="24"/>
              </w:rPr>
            </w:pPr>
            <w:r w:rsidRPr="005A786F">
              <w:rPr>
                <w:rFonts w:ascii="Times New Roman" w:hAnsi="Times New Roman"/>
                <w:b/>
                <w:sz w:val="22"/>
                <w:szCs w:val="24"/>
              </w:rPr>
              <w:t>15(1)</w:t>
            </w:r>
          </w:p>
        </w:tc>
        <w:tc>
          <w:tcPr>
            <w:tcW w:w="2790" w:type="dxa"/>
            <w:shd w:val="clear" w:color="auto" w:fill="FFFFFF"/>
          </w:tcPr>
          <w:p w:rsidR="00CC6713" w:rsidRPr="005A786F" w:rsidRDefault="00CC6713" w:rsidP="0086330E">
            <w:pPr>
              <w:rPr>
                <w:rFonts w:ascii="Times New Roman" w:hAnsi="Times New Roman"/>
                <w:szCs w:val="24"/>
              </w:rPr>
            </w:pPr>
            <w:r w:rsidRPr="005A786F">
              <w:rPr>
                <w:rFonts w:ascii="Times New Roman" w:hAnsi="Times New Roman"/>
                <w:sz w:val="22"/>
                <w:szCs w:val="24"/>
              </w:rPr>
              <w:t>52 hours @$59.30</w:t>
            </w:r>
          </w:p>
        </w:tc>
        <w:tc>
          <w:tcPr>
            <w:tcW w:w="2070" w:type="dxa"/>
          </w:tcPr>
          <w:p w:rsidR="00CC6713" w:rsidRPr="005A786F" w:rsidRDefault="00CC6713" w:rsidP="0086330E">
            <w:pPr>
              <w:rPr>
                <w:rFonts w:ascii="Times New Roman" w:hAnsi="Times New Roman"/>
                <w:szCs w:val="24"/>
              </w:rPr>
            </w:pPr>
            <w:r w:rsidRPr="005A786F">
              <w:rPr>
                <w:rFonts w:ascii="Times New Roman" w:hAnsi="Times New Roman"/>
                <w:sz w:val="22"/>
                <w:szCs w:val="24"/>
              </w:rPr>
              <w:t>$3,084</w:t>
            </w:r>
          </w:p>
        </w:tc>
      </w:tr>
      <w:tr w:rsidR="00CC6713" w:rsidRPr="0069737F" w:rsidTr="005A786F">
        <w:tc>
          <w:tcPr>
            <w:tcW w:w="2358" w:type="dxa"/>
          </w:tcPr>
          <w:p w:rsidR="00CC6713" w:rsidRPr="005A786F" w:rsidRDefault="00CC6713" w:rsidP="009F0D8B">
            <w:pPr>
              <w:rPr>
                <w:rFonts w:ascii="Times New Roman" w:hAnsi="Times New Roman"/>
                <w:b/>
                <w:szCs w:val="24"/>
              </w:rPr>
            </w:pPr>
            <w:r w:rsidRPr="005A786F">
              <w:rPr>
                <w:rFonts w:ascii="Times New Roman" w:hAnsi="Times New Roman"/>
                <w:b/>
                <w:sz w:val="22"/>
                <w:szCs w:val="24"/>
              </w:rPr>
              <w:t>Contractor assistance</w:t>
            </w:r>
          </w:p>
        </w:tc>
        <w:tc>
          <w:tcPr>
            <w:tcW w:w="2790" w:type="dxa"/>
            <w:shd w:val="clear" w:color="auto" w:fill="FFFFFF"/>
          </w:tcPr>
          <w:p w:rsidR="00CC6713" w:rsidRPr="005A786F" w:rsidRDefault="00CC6713" w:rsidP="009F0D8B">
            <w:pPr>
              <w:rPr>
                <w:rFonts w:ascii="Times New Roman" w:hAnsi="Times New Roman"/>
                <w:szCs w:val="24"/>
              </w:rPr>
            </w:pPr>
          </w:p>
        </w:tc>
        <w:tc>
          <w:tcPr>
            <w:tcW w:w="2070" w:type="dxa"/>
          </w:tcPr>
          <w:p w:rsidR="00CC6713" w:rsidRPr="005A786F" w:rsidRDefault="00CC6713" w:rsidP="009F0D8B">
            <w:pPr>
              <w:rPr>
                <w:rFonts w:ascii="Times New Roman" w:hAnsi="Times New Roman"/>
                <w:szCs w:val="24"/>
              </w:rPr>
            </w:pPr>
            <w:r w:rsidRPr="005A786F">
              <w:rPr>
                <w:rFonts w:ascii="Times New Roman" w:hAnsi="Times New Roman"/>
                <w:sz w:val="22"/>
                <w:szCs w:val="24"/>
              </w:rPr>
              <w:t>$239,605</w:t>
            </w:r>
          </w:p>
        </w:tc>
      </w:tr>
      <w:tr w:rsidR="00CC6713" w:rsidRPr="0069737F" w:rsidTr="005A786F">
        <w:tc>
          <w:tcPr>
            <w:tcW w:w="2358" w:type="dxa"/>
          </w:tcPr>
          <w:p w:rsidR="00CC6713" w:rsidRPr="005A786F" w:rsidRDefault="00CC6713" w:rsidP="009F0D8B">
            <w:pPr>
              <w:rPr>
                <w:rFonts w:ascii="Times New Roman" w:hAnsi="Times New Roman"/>
                <w:b/>
                <w:szCs w:val="24"/>
              </w:rPr>
            </w:pPr>
            <w:r w:rsidRPr="005A786F">
              <w:rPr>
                <w:rFonts w:ascii="Times New Roman" w:hAnsi="Times New Roman"/>
                <w:b/>
                <w:sz w:val="22"/>
                <w:szCs w:val="24"/>
              </w:rPr>
              <w:t>TOTAL COST</w:t>
            </w:r>
          </w:p>
        </w:tc>
        <w:tc>
          <w:tcPr>
            <w:tcW w:w="2790" w:type="dxa"/>
            <w:shd w:val="clear" w:color="auto" w:fill="FFFFFF"/>
          </w:tcPr>
          <w:p w:rsidR="00CC6713" w:rsidRPr="005A786F" w:rsidRDefault="00CC6713" w:rsidP="009F0D8B">
            <w:pPr>
              <w:rPr>
                <w:rFonts w:ascii="Times New Roman" w:hAnsi="Times New Roman"/>
                <w:b/>
                <w:szCs w:val="24"/>
              </w:rPr>
            </w:pPr>
          </w:p>
        </w:tc>
        <w:tc>
          <w:tcPr>
            <w:tcW w:w="2070" w:type="dxa"/>
          </w:tcPr>
          <w:p w:rsidR="00CC6713" w:rsidRPr="005A786F" w:rsidRDefault="00CC6713" w:rsidP="00A50E45">
            <w:pPr>
              <w:rPr>
                <w:rFonts w:ascii="Times New Roman" w:hAnsi="Times New Roman"/>
                <w:b/>
                <w:szCs w:val="24"/>
              </w:rPr>
            </w:pPr>
            <w:r w:rsidRPr="005A786F">
              <w:rPr>
                <w:rFonts w:ascii="Times New Roman" w:hAnsi="Times New Roman"/>
                <w:b/>
                <w:sz w:val="22"/>
                <w:szCs w:val="24"/>
              </w:rPr>
              <w:t>$290,244</w:t>
            </w:r>
          </w:p>
        </w:tc>
      </w:tr>
    </w:tbl>
    <w:p w:rsidR="00CC6713" w:rsidRDefault="00CC6713" w:rsidP="00B22A75">
      <w:pPr>
        <w:tabs>
          <w:tab w:val="left" w:pos="-720"/>
        </w:tabs>
        <w:suppressAutoHyphens/>
        <w:ind w:left="720"/>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15. Explain the reasons for any program changes or adjustments to #16f of the IC Data Part 1 Form.</w:t>
      </w:r>
    </w:p>
    <w:p w:rsidR="00CC6713" w:rsidRPr="0069737F" w:rsidRDefault="00CC6713">
      <w:pPr>
        <w:tabs>
          <w:tab w:val="left" w:pos="-720"/>
        </w:tabs>
        <w:suppressAutoHyphens/>
        <w:rPr>
          <w:rFonts w:ascii="Times New Roman" w:hAnsi="Times New Roman"/>
          <w:szCs w:val="24"/>
        </w:rPr>
      </w:pPr>
    </w:p>
    <w:p w:rsidR="00CC6713" w:rsidRPr="0069737F" w:rsidRDefault="00CC6713" w:rsidP="00B22A75">
      <w:pPr>
        <w:pStyle w:val="PlainText"/>
        <w:ind w:firstLine="720"/>
        <w:rPr>
          <w:rFonts w:ascii="Times New Roman" w:hAnsi="Times New Roman"/>
          <w:sz w:val="24"/>
          <w:szCs w:val="24"/>
        </w:rPr>
      </w:pPr>
      <w:r w:rsidRPr="0069737F">
        <w:rPr>
          <w:rFonts w:ascii="Times New Roman" w:hAnsi="Times New Roman"/>
          <w:sz w:val="24"/>
          <w:szCs w:val="24"/>
        </w:rPr>
        <w:t>This is a new collection related to a new program.</w:t>
      </w:r>
    </w:p>
    <w:p w:rsidR="00CC6713" w:rsidRPr="0069737F" w:rsidRDefault="00CC6713" w:rsidP="0008737C">
      <w:pPr>
        <w:pStyle w:val="PlainText"/>
        <w:rPr>
          <w:rFonts w:ascii="Times New Roman" w:hAnsi="Times New Roman"/>
          <w:sz w:val="24"/>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 xml:space="preserve">16. </w:t>
      </w:r>
      <w:r w:rsidRPr="0069737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6713" w:rsidRPr="0069737F" w:rsidRDefault="00CC6713">
      <w:pPr>
        <w:tabs>
          <w:tab w:val="left" w:pos="-720"/>
        </w:tabs>
        <w:suppressAutoHyphens/>
        <w:rPr>
          <w:rFonts w:ascii="Times New Roman" w:hAnsi="Times New Roman"/>
          <w:szCs w:val="24"/>
        </w:rPr>
      </w:pPr>
    </w:p>
    <w:p w:rsidR="00CC6713" w:rsidRPr="0069737F" w:rsidRDefault="00CC6713" w:rsidP="00B22A75">
      <w:pPr>
        <w:pStyle w:val="PlainText"/>
        <w:ind w:left="720"/>
        <w:rPr>
          <w:rFonts w:ascii="Times New Roman" w:hAnsi="Times New Roman"/>
          <w:sz w:val="24"/>
          <w:szCs w:val="24"/>
        </w:rPr>
      </w:pPr>
      <w:r>
        <w:rPr>
          <w:rFonts w:ascii="Times New Roman" w:hAnsi="Times New Roman"/>
          <w:sz w:val="24"/>
          <w:szCs w:val="24"/>
        </w:rPr>
        <w:t>ED will report the information to Congress within 6 months of the deadline for the submission of State reports to ED.</w:t>
      </w:r>
    </w:p>
    <w:p w:rsidR="00CC6713" w:rsidRPr="0069737F" w:rsidRDefault="00CC6713">
      <w:pPr>
        <w:tabs>
          <w:tab w:val="left" w:pos="-720"/>
        </w:tabs>
        <w:suppressAutoHyphens/>
        <w:rPr>
          <w:rFonts w:ascii="Times New Roman" w:hAnsi="Times New Roman"/>
          <w:szCs w:val="24"/>
        </w:rPr>
      </w:pPr>
    </w:p>
    <w:p w:rsidR="00CC6713" w:rsidRPr="0069737F" w:rsidRDefault="00CC6713">
      <w:pPr>
        <w:tabs>
          <w:tab w:val="left" w:pos="-720"/>
        </w:tabs>
        <w:suppressAutoHyphens/>
        <w:rPr>
          <w:rFonts w:ascii="Times New Roman" w:hAnsi="Times New Roman"/>
          <w:szCs w:val="24"/>
        </w:rPr>
      </w:pPr>
      <w:r w:rsidRPr="0069737F">
        <w:rPr>
          <w:rFonts w:ascii="Times New Roman" w:hAnsi="Times New Roman"/>
          <w:szCs w:val="24"/>
        </w:rPr>
        <w:t xml:space="preserve">17. </w:t>
      </w:r>
      <w:r w:rsidRPr="0069737F">
        <w:rPr>
          <w:rStyle w:val="a"/>
          <w:rFonts w:ascii="Times New Roman" w:hAnsi="Times New Roman"/>
          <w:szCs w:val="24"/>
        </w:rPr>
        <w:t>If seeking approval to not display the expiration date for OMB approval of the information collection, explain the reasons that display would be inappropriate.</w:t>
      </w:r>
    </w:p>
    <w:p w:rsidR="00CC6713" w:rsidRPr="0069737F" w:rsidRDefault="00CC6713">
      <w:pPr>
        <w:tabs>
          <w:tab w:val="left" w:pos="-720"/>
        </w:tabs>
        <w:suppressAutoHyphens/>
        <w:rPr>
          <w:rFonts w:ascii="Times New Roman" w:hAnsi="Times New Roman"/>
          <w:szCs w:val="24"/>
        </w:rPr>
      </w:pPr>
    </w:p>
    <w:p w:rsidR="00CC6713" w:rsidRPr="0069737F" w:rsidRDefault="00CC6713" w:rsidP="00B22A75">
      <w:pPr>
        <w:pStyle w:val="PlainText"/>
        <w:ind w:left="720"/>
        <w:rPr>
          <w:rFonts w:ascii="Times New Roman" w:hAnsi="Times New Roman"/>
          <w:sz w:val="24"/>
          <w:szCs w:val="24"/>
        </w:rPr>
      </w:pPr>
      <w:r w:rsidRPr="0069737F">
        <w:rPr>
          <w:rFonts w:ascii="Times New Roman" w:hAnsi="Times New Roman"/>
          <w:sz w:val="24"/>
          <w:szCs w:val="24"/>
        </w:rPr>
        <w:t>Approval to not display the expiration date for OMB approval of the information collection is not being sought.</w:t>
      </w:r>
    </w:p>
    <w:p w:rsidR="00CC6713" w:rsidRPr="0069737F" w:rsidRDefault="00CC6713" w:rsidP="0008737C">
      <w:pPr>
        <w:pStyle w:val="PlainText"/>
        <w:rPr>
          <w:rFonts w:ascii="Times New Roman" w:hAnsi="Times New Roman"/>
          <w:sz w:val="24"/>
          <w:szCs w:val="24"/>
        </w:rPr>
      </w:pPr>
    </w:p>
    <w:p w:rsidR="00CC6713" w:rsidRPr="0069737F" w:rsidRDefault="00CC6713">
      <w:pPr>
        <w:tabs>
          <w:tab w:val="left" w:pos="-720"/>
        </w:tabs>
        <w:suppressAutoHyphens/>
        <w:rPr>
          <w:rStyle w:val="a"/>
          <w:rFonts w:ascii="Times New Roman" w:hAnsi="Times New Roman"/>
          <w:szCs w:val="24"/>
        </w:rPr>
      </w:pPr>
      <w:r w:rsidRPr="0069737F">
        <w:rPr>
          <w:rFonts w:ascii="Times New Roman" w:hAnsi="Times New Roman"/>
          <w:szCs w:val="24"/>
        </w:rPr>
        <w:t xml:space="preserve">18. </w:t>
      </w:r>
      <w:r w:rsidRPr="0069737F">
        <w:rPr>
          <w:rStyle w:val="a"/>
          <w:rFonts w:ascii="Times New Roman" w:hAnsi="Times New Roman"/>
          <w:szCs w:val="24"/>
        </w:rPr>
        <w:t>Explain each exception to the certification statement identified in the Certification of Paperwork Reduction Act.</w:t>
      </w:r>
    </w:p>
    <w:p w:rsidR="00CC6713" w:rsidRDefault="00CC6713" w:rsidP="00B22A75">
      <w:pPr>
        <w:pStyle w:val="PlainText"/>
        <w:ind w:firstLine="720"/>
        <w:rPr>
          <w:rFonts w:ascii="Times New Roman" w:hAnsi="Times New Roman"/>
          <w:sz w:val="24"/>
          <w:szCs w:val="24"/>
        </w:rPr>
      </w:pPr>
    </w:p>
    <w:p w:rsidR="00CC6713" w:rsidRPr="0069737F" w:rsidRDefault="00CC6713" w:rsidP="00B22A75">
      <w:pPr>
        <w:pStyle w:val="PlainText"/>
        <w:ind w:firstLine="720"/>
        <w:rPr>
          <w:rFonts w:ascii="Times New Roman" w:hAnsi="Times New Roman"/>
          <w:sz w:val="24"/>
          <w:szCs w:val="24"/>
        </w:rPr>
      </w:pPr>
      <w:r w:rsidRPr="0069737F">
        <w:rPr>
          <w:rFonts w:ascii="Times New Roman" w:hAnsi="Times New Roman"/>
          <w:sz w:val="24"/>
          <w:szCs w:val="24"/>
        </w:rPr>
        <w:t>There are no exceptions to the certification statement.</w:t>
      </w:r>
    </w:p>
    <w:sectPr w:rsidR="00CC6713" w:rsidRPr="0069737F" w:rsidSect="00C4432D">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713" w:rsidRDefault="00CC6713">
      <w:pPr>
        <w:spacing w:line="20" w:lineRule="exact"/>
      </w:pPr>
    </w:p>
  </w:endnote>
  <w:endnote w:type="continuationSeparator" w:id="0">
    <w:p w:rsidR="00CC6713" w:rsidRDefault="00CC6713">
      <w:r>
        <w:t xml:space="preserve"> </w:t>
      </w:r>
    </w:p>
  </w:endnote>
  <w:endnote w:type="continuationNotice" w:id="1">
    <w:p w:rsidR="00CC6713" w:rsidRDefault="00CC671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13" w:rsidRDefault="00CC6713">
    <w:pPr>
      <w:spacing w:before="140" w:line="100" w:lineRule="exact"/>
      <w:rPr>
        <w:sz w:val="10"/>
      </w:rPr>
    </w:pPr>
  </w:p>
  <w:p w:rsidR="00CC6713" w:rsidRDefault="00CC6713">
    <w:pPr>
      <w:tabs>
        <w:tab w:val="left" w:pos="0"/>
      </w:tabs>
      <w:suppressAutoHyphens/>
    </w:pPr>
  </w:p>
  <w:p w:rsidR="00CC6713" w:rsidRDefault="00CC6713">
    <w:pPr>
      <w:tabs>
        <w:tab w:val="left" w:pos="0"/>
      </w:tabs>
      <w:suppressAutoHyphens/>
    </w:pPr>
    <w:r>
      <w:rPr>
        <w:noProof/>
      </w:rPr>
      <w:pict>
        <v:rect id="_x0000_s2049" style="position:absolute;margin-left:1.5pt;margin-top:12pt;width:465pt;height:12pt;z-index:-251656192;mso-position-horizontal-relative:margin" o:allowincell="f" filled="f" stroked="f" strokeweight="0">
          <v:textbox inset="0,0,0,0">
            <w:txbxContent>
              <w:p w:rsidR="00CC6713" w:rsidRDefault="00CC6713">
                <w:pPr>
                  <w:tabs>
                    <w:tab w:val="center" w:pos="4650"/>
                  </w:tabs>
                  <w:suppressAutoHyphens/>
                  <w:jc w:val="both"/>
                </w:pPr>
                <w:r>
                  <w:tab/>
                </w:r>
                <w:fldSimple w:instr="page \* arabic">
                  <w:r>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713" w:rsidRDefault="00CC6713">
      <w:r>
        <w:separator/>
      </w:r>
    </w:p>
  </w:footnote>
  <w:footnote w:type="continuationSeparator" w:id="0">
    <w:p w:rsidR="00CC6713" w:rsidRDefault="00CC6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F11DA8"/>
    <w:multiLevelType w:val="hybridMultilevel"/>
    <w:tmpl w:val="BECE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E722AF7"/>
    <w:multiLevelType w:val="hybridMultilevel"/>
    <w:tmpl w:val="AC70F1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5D266EC"/>
    <w:multiLevelType w:val="hybridMultilevel"/>
    <w:tmpl w:val="58F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0EF0095"/>
    <w:multiLevelType w:val="hybridMultilevel"/>
    <w:tmpl w:val="FA8E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E6A60"/>
    <w:multiLevelType w:val="hybridMultilevel"/>
    <w:tmpl w:val="AC70F1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DF168E1"/>
    <w:multiLevelType w:val="hybridMultilevel"/>
    <w:tmpl w:val="4EFC9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3"/>
  </w:num>
  <w:num w:numId="5">
    <w:abstractNumId w:val="1"/>
  </w:num>
  <w:num w:numId="6">
    <w:abstractNumId w:val="3"/>
  </w:num>
  <w:num w:numId="7">
    <w:abstractNumId w:val="9"/>
  </w:num>
  <w:num w:numId="8">
    <w:abstractNumId w:val="8"/>
  </w:num>
  <w:num w:numId="9">
    <w:abstractNumId w:val="10"/>
  </w:num>
  <w:num w:numId="10">
    <w:abstractNumId w:val="12"/>
  </w:num>
  <w:num w:numId="11">
    <w:abstractNumId w:val="2"/>
  </w:num>
  <w:num w:numId="12">
    <w:abstractNumId w:val="11"/>
  </w:num>
  <w:num w:numId="13">
    <w:abstractNumId w:val="6"/>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9C2"/>
    <w:rsid w:val="00005CD1"/>
    <w:rsid w:val="00011785"/>
    <w:rsid w:val="000343E4"/>
    <w:rsid w:val="00037103"/>
    <w:rsid w:val="00045D9A"/>
    <w:rsid w:val="00061002"/>
    <w:rsid w:val="000717A6"/>
    <w:rsid w:val="0007280D"/>
    <w:rsid w:val="0008737C"/>
    <w:rsid w:val="000B53AE"/>
    <w:rsid w:val="000D205B"/>
    <w:rsid w:val="000D48CB"/>
    <w:rsid w:val="000E6A7B"/>
    <w:rsid w:val="00117589"/>
    <w:rsid w:val="0012332E"/>
    <w:rsid w:val="00124DC3"/>
    <w:rsid w:val="00132772"/>
    <w:rsid w:val="00146032"/>
    <w:rsid w:val="00153F20"/>
    <w:rsid w:val="00160AF1"/>
    <w:rsid w:val="0019025C"/>
    <w:rsid w:val="001F0502"/>
    <w:rsid w:val="001F55B4"/>
    <w:rsid w:val="00205B7B"/>
    <w:rsid w:val="002153C9"/>
    <w:rsid w:val="0024434A"/>
    <w:rsid w:val="0027122C"/>
    <w:rsid w:val="00284872"/>
    <w:rsid w:val="00290C80"/>
    <w:rsid w:val="002D4ED2"/>
    <w:rsid w:val="002E0046"/>
    <w:rsid w:val="0030321A"/>
    <w:rsid w:val="003054C3"/>
    <w:rsid w:val="0031365F"/>
    <w:rsid w:val="00315972"/>
    <w:rsid w:val="00321949"/>
    <w:rsid w:val="00326D32"/>
    <w:rsid w:val="00330F7C"/>
    <w:rsid w:val="003310C2"/>
    <w:rsid w:val="00335DDC"/>
    <w:rsid w:val="00344230"/>
    <w:rsid w:val="00372DF8"/>
    <w:rsid w:val="003746BB"/>
    <w:rsid w:val="00374DB7"/>
    <w:rsid w:val="0038190C"/>
    <w:rsid w:val="00387403"/>
    <w:rsid w:val="00394A96"/>
    <w:rsid w:val="003C29C2"/>
    <w:rsid w:val="003E276B"/>
    <w:rsid w:val="003E2D5D"/>
    <w:rsid w:val="003E3941"/>
    <w:rsid w:val="00433E2D"/>
    <w:rsid w:val="00436F59"/>
    <w:rsid w:val="00450E3B"/>
    <w:rsid w:val="00451610"/>
    <w:rsid w:val="00462B3F"/>
    <w:rsid w:val="00463FAE"/>
    <w:rsid w:val="00470C57"/>
    <w:rsid w:val="004B5074"/>
    <w:rsid w:val="004B5364"/>
    <w:rsid w:val="004E0582"/>
    <w:rsid w:val="004E2FBB"/>
    <w:rsid w:val="004F0FA7"/>
    <w:rsid w:val="004F1C7D"/>
    <w:rsid w:val="004F1EF0"/>
    <w:rsid w:val="004F2E07"/>
    <w:rsid w:val="004F692A"/>
    <w:rsid w:val="00511E5E"/>
    <w:rsid w:val="005122D4"/>
    <w:rsid w:val="00542EDC"/>
    <w:rsid w:val="00575DAF"/>
    <w:rsid w:val="00584979"/>
    <w:rsid w:val="00591486"/>
    <w:rsid w:val="00592CE4"/>
    <w:rsid w:val="005A4185"/>
    <w:rsid w:val="005A786F"/>
    <w:rsid w:val="006072DD"/>
    <w:rsid w:val="0062098B"/>
    <w:rsid w:val="0062779E"/>
    <w:rsid w:val="00631987"/>
    <w:rsid w:val="0065523F"/>
    <w:rsid w:val="0066735D"/>
    <w:rsid w:val="00674F48"/>
    <w:rsid w:val="0069737F"/>
    <w:rsid w:val="006B32E6"/>
    <w:rsid w:val="006C0EA0"/>
    <w:rsid w:val="006C55F9"/>
    <w:rsid w:val="006D50B8"/>
    <w:rsid w:val="00715AAA"/>
    <w:rsid w:val="00727B11"/>
    <w:rsid w:val="0074475E"/>
    <w:rsid w:val="00752F06"/>
    <w:rsid w:val="0076790C"/>
    <w:rsid w:val="00787313"/>
    <w:rsid w:val="007B0EB1"/>
    <w:rsid w:val="007C1099"/>
    <w:rsid w:val="007D67F4"/>
    <w:rsid w:val="007E0D1C"/>
    <w:rsid w:val="007E226C"/>
    <w:rsid w:val="008002F6"/>
    <w:rsid w:val="008009FE"/>
    <w:rsid w:val="00802A30"/>
    <w:rsid w:val="00803AEA"/>
    <w:rsid w:val="008128C0"/>
    <w:rsid w:val="00813BDB"/>
    <w:rsid w:val="00847778"/>
    <w:rsid w:val="0086330E"/>
    <w:rsid w:val="008653B1"/>
    <w:rsid w:val="00891585"/>
    <w:rsid w:val="008B6664"/>
    <w:rsid w:val="008C520F"/>
    <w:rsid w:val="00945D98"/>
    <w:rsid w:val="00960A3A"/>
    <w:rsid w:val="009949A8"/>
    <w:rsid w:val="009A0116"/>
    <w:rsid w:val="009B5A8C"/>
    <w:rsid w:val="009B62DE"/>
    <w:rsid w:val="009D2112"/>
    <w:rsid w:val="009D3603"/>
    <w:rsid w:val="009D4B1F"/>
    <w:rsid w:val="009F0D8B"/>
    <w:rsid w:val="00A00549"/>
    <w:rsid w:val="00A17918"/>
    <w:rsid w:val="00A34820"/>
    <w:rsid w:val="00A453E8"/>
    <w:rsid w:val="00A50E45"/>
    <w:rsid w:val="00A82AD7"/>
    <w:rsid w:val="00A86BDE"/>
    <w:rsid w:val="00AD0D57"/>
    <w:rsid w:val="00AD3C3E"/>
    <w:rsid w:val="00B02298"/>
    <w:rsid w:val="00B11FF8"/>
    <w:rsid w:val="00B2206C"/>
    <w:rsid w:val="00B22A75"/>
    <w:rsid w:val="00B31FE6"/>
    <w:rsid w:val="00B371E7"/>
    <w:rsid w:val="00B61E35"/>
    <w:rsid w:val="00B62615"/>
    <w:rsid w:val="00B71801"/>
    <w:rsid w:val="00BA31A0"/>
    <w:rsid w:val="00BA4CDE"/>
    <w:rsid w:val="00BB2E5B"/>
    <w:rsid w:val="00C045A4"/>
    <w:rsid w:val="00C14F7D"/>
    <w:rsid w:val="00C4432D"/>
    <w:rsid w:val="00C52B07"/>
    <w:rsid w:val="00C66CBA"/>
    <w:rsid w:val="00C723C2"/>
    <w:rsid w:val="00C77005"/>
    <w:rsid w:val="00C824DD"/>
    <w:rsid w:val="00C873B7"/>
    <w:rsid w:val="00C929D5"/>
    <w:rsid w:val="00CB2901"/>
    <w:rsid w:val="00CB3AC6"/>
    <w:rsid w:val="00CC3730"/>
    <w:rsid w:val="00CC6713"/>
    <w:rsid w:val="00CD47F5"/>
    <w:rsid w:val="00CE12D6"/>
    <w:rsid w:val="00CE3854"/>
    <w:rsid w:val="00CF793A"/>
    <w:rsid w:val="00D20FE5"/>
    <w:rsid w:val="00D36129"/>
    <w:rsid w:val="00D434BA"/>
    <w:rsid w:val="00D50CDA"/>
    <w:rsid w:val="00DB0541"/>
    <w:rsid w:val="00DC0181"/>
    <w:rsid w:val="00DC4699"/>
    <w:rsid w:val="00DD51AC"/>
    <w:rsid w:val="00DD710C"/>
    <w:rsid w:val="00DE0B01"/>
    <w:rsid w:val="00E331EB"/>
    <w:rsid w:val="00E756E6"/>
    <w:rsid w:val="00EE0B51"/>
    <w:rsid w:val="00EF7BC2"/>
    <w:rsid w:val="00F355C1"/>
    <w:rsid w:val="00F60803"/>
    <w:rsid w:val="00FD44CA"/>
    <w:rsid w:val="00FF076C"/>
    <w:rsid w:val="00FF17C0"/>
    <w:rsid w:val="00FF287A"/>
    <w:rsid w:val="00FF6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2D"/>
    <w:rPr>
      <w:rFonts w:ascii="Courier" w:hAnsi="Courie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4432D"/>
    <w:pPr>
      <w:tabs>
        <w:tab w:val="left" w:pos="-720"/>
      </w:tabs>
      <w:suppressAutoHyphens/>
    </w:pPr>
  </w:style>
  <w:style w:type="character" w:customStyle="1" w:styleId="EndnoteTextChar">
    <w:name w:val="Endnote Text Char"/>
    <w:basedOn w:val="DefaultParagraphFont"/>
    <w:link w:val="EndnoteText"/>
    <w:uiPriority w:val="99"/>
    <w:semiHidden/>
    <w:locked/>
    <w:rsid w:val="00BA31A0"/>
    <w:rPr>
      <w:rFonts w:ascii="Courier" w:hAnsi="Courier" w:cs="Times New Roman"/>
      <w:sz w:val="20"/>
      <w:szCs w:val="20"/>
    </w:rPr>
  </w:style>
  <w:style w:type="character" w:styleId="EndnoteReference">
    <w:name w:val="endnote reference"/>
    <w:basedOn w:val="DefaultParagraphFont"/>
    <w:uiPriority w:val="99"/>
    <w:semiHidden/>
    <w:rsid w:val="00C4432D"/>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C4432D"/>
    <w:pPr>
      <w:tabs>
        <w:tab w:val="left" w:pos="-720"/>
      </w:tabs>
      <w:suppressAutoHyphens/>
    </w:pPr>
  </w:style>
  <w:style w:type="character" w:customStyle="1" w:styleId="FootnoteTextChar">
    <w:name w:val="Footnote Text Char"/>
    <w:basedOn w:val="DefaultParagraphFont"/>
    <w:link w:val="FootnoteText"/>
    <w:uiPriority w:val="99"/>
    <w:semiHidden/>
    <w:locked/>
    <w:rsid w:val="00BA31A0"/>
    <w:rPr>
      <w:rFonts w:ascii="Courier" w:hAnsi="Courier" w:cs="Times New Roman"/>
      <w:sz w:val="20"/>
      <w:szCs w:val="20"/>
    </w:rPr>
  </w:style>
  <w:style w:type="character" w:styleId="FootnoteReference">
    <w:name w:val="footnote reference"/>
    <w:basedOn w:val="DefaultParagraphFont"/>
    <w:uiPriority w:val="99"/>
    <w:semiHidden/>
    <w:rsid w:val="00C4432D"/>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C4432D"/>
    <w:rPr>
      <w:rFonts w:cs="Times New Roman"/>
    </w:rPr>
  </w:style>
  <w:style w:type="character" w:customStyle="1" w:styleId="EquationCaption">
    <w:name w:val="_Equation Caption"/>
    <w:basedOn w:val="DefaultParagraphFont"/>
    <w:uiPriority w:val="99"/>
    <w:rsid w:val="00C4432D"/>
    <w:rPr>
      <w:rFonts w:cs="Times New Roman"/>
    </w:rPr>
  </w:style>
  <w:style w:type="paragraph" w:styleId="Footer">
    <w:name w:val="footer"/>
    <w:basedOn w:val="Normal"/>
    <w:link w:val="FooterChar"/>
    <w:uiPriority w:val="99"/>
    <w:rsid w:val="00C4432D"/>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BA31A0"/>
    <w:rPr>
      <w:rFonts w:ascii="Courier" w:hAnsi="Courier" w:cs="Times New Roman"/>
      <w:sz w:val="20"/>
      <w:szCs w:val="20"/>
    </w:rPr>
  </w:style>
  <w:style w:type="paragraph" w:styleId="Header">
    <w:name w:val="header"/>
    <w:basedOn w:val="Normal"/>
    <w:link w:val="HeaderChar"/>
    <w:uiPriority w:val="99"/>
    <w:rsid w:val="00C4432D"/>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CE12D6"/>
    <w:rPr>
      <w:rFonts w:ascii="Courier" w:hAnsi="Courier" w:cs="Times New Roman"/>
      <w:sz w:val="24"/>
    </w:rPr>
  </w:style>
  <w:style w:type="character" w:styleId="PageNumber">
    <w:name w:val="page number"/>
    <w:basedOn w:val="DefaultParagraphFont"/>
    <w:uiPriority w:val="99"/>
    <w:rsid w:val="00C4432D"/>
    <w:rPr>
      <w:rFonts w:cs="Times New Roman"/>
    </w:rPr>
  </w:style>
  <w:style w:type="character" w:customStyle="1" w:styleId="EquationCaption1">
    <w:name w:val="_Equation Caption1"/>
    <w:basedOn w:val="DefaultParagraphFont"/>
    <w:uiPriority w:val="99"/>
    <w:rsid w:val="00C4432D"/>
    <w:rPr>
      <w:rFonts w:cs="Times New Roman"/>
    </w:rPr>
  </w:style>
  <w:style w:type="paragraph" w:styleId="TOC1">
    <w:name w:val="toc 1"/>
    <w:basedOn w:val="Normal"/>
    <w:next w:val="Normal"/>
    <w:uiPriority w:val="99"/>
    <w:semiHidden/>
    <w:rsid w:val="00C4432D"/>
    <w:pPr>
      <w:tabs>
        <w:tab w:val="right" w:leader="dot" w:pos="9360"/>
      </w:tabs>
      <w:suppressAutoHyphens/>
      <w:spacing w:before="480"/>
      <w:ind w:left="720" w:right="720" w:hanging="720"/>
    </w:pPr>
  </w:style>
  <w:style w:type="paragraph" w:styleId="TOC2">
    <w:name w:val="toc 2"/>
    <w:basedOn w:val="Normal"/>
    <w:next w:val="Normal"/>
    <w:uiPriority w:val="99"/>
    <w:semiHidden/>
    <w:rsid w:val="00C4432D"/>
    <w:pPr>
      <w:tabs>
        <w:tab w:val="right" w:leader="dot" w:pos="9360"/>
      </w:tabs>
      <w:suppressAutoHyphens/>
      <w:ind w:left="1440" w:right="720" w:hanging="720"/>
    </w:pPr>
  </w:style>
  <w:style w:type="paragraph" w:styleId="TOC3">
    <w:name w:val="toc 3"/>
    <w:basedOn w:val="Normal"/>
    <w:next w:val="Normal"/>
    <w:uiPriority w:val="99"/>
    <w:semiHidden/>
    <w:rsid w:val="00C4432D"/>
    <w:pPr>
      <w:tabs>
        <w:tab w:val="right" w:leader="dot" w:pos="9360"/>
      </w:tabs>
      <w:suppressAutoHyphens/>
      <w:ind w:left="2160" w:right="720" w:hanging="720"/>
    </w:pPr>
  </w:style>
  <w:style w:type="paragraph" w:styleId="TOC4">
    <w:name w:val="toc 4"/>
    <w:basedOn w:val="Normal"/>
    <w:next w:val="Normal"/>
    <w:uiPriority w:val="99"/>
    <w:semiHidden/>
    <w:rsid w:val="00C4432D"/>
    <w:pPr>
      <w:tabs>
        <w:tab w:val="right" w:leader="dot" w:pos="9360"/>
      </w:tabs>
      <w:suppressAutoHyphens/>
      <w:ind w:left="2880" w:right="720" w:hanging="720"/>
    </w:pPr>
  </w:style>
  <w:style w:type="paragraph" w:styleId="TOC5">
    <w:name w:val="toc 5"/>
    <w:basedOn w:val="Normal"/>
    <w:next w:val="Normal"/>
    <w:uiPriority w:val="99"/>
    <w:semiHidden/>
    <w:rsid w:val="00C4432D"/>
    <w:pPr>
      <w:tabs>
        <w:tab w:val="right" w:leader="dot" w:pos="9360"/>
      </w:tabs>
      <w:suppressAutoHyphens/>
      <w:ind w:left="3600" w:right="720" w:hanging="720"/>
    </w:pPr>
  </w:style>
  <w:style w:type="paragraph" w:styleId="TOC6">
    <w:name w:val="toc 6"/>
    <w:basedOn w:val="Normal"/>
    <w:next w:val="Normal"/>
    <w:uiPriority w:val="99"/>
    <w:semiHidden/>
    <w:rsid w:val="00C4432D"/>
    <w:pPr>
      <w:tabs>
        <w:tab w:val="right" w:pos="9360"/>
      </w:tabs>
      <w:suppressAutoHyphens/>
      <w:ind w:left="720" w:hanging="720"/>
    </w:pPr>
  </w:style>
  <w:style w:type="paragraph" w:styleId="TOC7">
    <w:name w:val="toc 7"/>
    <w:basedOn w:val="Normal"/>
    <w:next w:val="Normal"/>
    <w:uiPriority w:val="99"/>
    <w:semiHidden/>
    <w:rsid w:val="00C4432D"/>
    <w:pPr>
      <w:suppressAutoHyphens/>
      <w:ind w:left="720" w:hanging="720"/>
    </w:pPr>
  </w:style>
  <w:style w:type="paragraph" w:styleId="TOC8">
    <w:name w:val="toc 8"/>
    <w:basedOn w:val="Normal"/>
    <w:next w:val="Normal"/>
    <w:uiPriority w:val="99"/>
    <w:semiHidden/>
    <w:rsid w:val="00C4432D"/>
    <w:pPr>
      <w:tabs>
        <w:tab w:val="right" w:pos="9360"/>
      </w:tabs>
      <w:suppressAutoHyphens/>
      <w:ind w:left="720" w:hanging="720"/>
    </w:pPr>
  </w:style>
  <w:style w:type="paragraph" w:styleId="TOC9">
    <w:name w:val="toc 9"/>
    <w:basedOn w:val="Normal"/>
    <w:next w:val="Normal"/>
    <w:uiPriority w:val="99"/>
    <w:semiHidden/>
    <w:rsid w:val="00C4432D"/>
    <w:pPr>
      <w:tabs>
        <w:tab w:val="right" w:leader="dot" w:pos="9360"/>
      </w:tabs>
      <w:suppressAutoHyphens/>
      <w:ind w:left="720" w:hanging="720"/>
    </w:pPr>
  </w:style>
  <w:style w:type="paragraph" w:styleId="Index1">
    <w:name w:val="index 1"/>
    <w:basedOn w:val="Normal"/>
    <w:next w:val="Normal"/>
    <w:uiPriority w:val="99"/>
    <w:semiHidden/>
    <w:rsid w:val="00C4432D"/>
    <w:pPr>
      <w:tabs>
        <w:tab w:val="right" w:leader="dot" w:pos="9360"/>
      </w:tabs>
      <w:suppressAutoHyphens/>
      <w:ind w:left="1440" w:right="720" w:hanging="1440"/>
    </w:pPr>
  </w:style>
  <w:style w:type="paragraph" w:styleId="Index2">
    <w:name w:val="index 2"/>
    <w:basedOn w:val="Normal"/>
    <w:next w:val="Normal"/>
    <w:uiPriority w:val="99"/>
    <w:semiHidden/>
    <w:rsid w:val="00C4432D"/>
    <w:pPr>
      <w:tabs>
        <w:tab w:val="right" w:leader="dot" w:pos="9360"/>
      </w:tabs>
      <w:suppressAutoHyphens/>
      <w:ind w:left="1440" w:right="720" w:hanging="720"/>
    </w:pPr>
  </w:style>
  <w:style w:type="paragraph" w:styleId="TOAHeading">
    <w:name w:val="toa heading"/>
    <w:basedOn w:val="Normal"/>
    <w:next w:val="Normal"/>
    <w:uiPriority w:val="99"/>
    <w:semiHidden/>
    <w:rsid w:val="00C4432D"/>
    <w:pPr>
      <w:tabs>
        <w:tab w:val="right" w:pos="9360"/>
      </w:tabs>
      <w:suppressAutoHyphens/>
    </w:pPr>
  </w:style>
  <w:style w:type="paragraph" w:styleId="Caption">
    <w:name w:val="caption"/>
    <w:basedOn w:val="Normal"/>
    <w:next w:val="Normal"/>
    <w:uiPriority w:val="99"/>
    <w:qFormat/>
    <w:rsid w:val="00C4432D"/>
  </w:style>
  <w:style w:type="character" w:customStyle="1" w:styleId="EquationCaption2">
    <w:name w:val="_Equation Caption2"/>
    <w:basedOn w:val="DefaultParagraphFont"/>
    <w:uiPriority w:val="99"/>
    <w:rsid w:val="00C4432D"/>
    <w:rPr>
      <w:rFonts w:cs="Times New Roman"/>
    </w:rPr>
  </w:style>
  <w:style w:type="character" w:customStyle="1" w:styleId="EquationCaption3">
    <w:name w:val="_Equation Caption3"/>
    <w:uiPriority w:val="99"/>
    <w:rsid w:val="00C4432D"/>
  </w:style>
  <w:style w:type="character" w:customStyle="1" w:styleId="a">
    <w:name w:val="À"/>
    <w:basedOn w:val="DefaultParagraphFont"/>
    <w:uiPriority w:val="99"/>
    <w:rsid w:val="00C4432D"/>
    <w:rPr>
      <w:rFonts w:cs="Times New Roman"/>
    </w:rPr>
  </w:style>
  <w:style w:type="paragraph" w:styleId="Title">
    <w:name w:val="Title"/>
    <w:basedOn w:val="Normal"/>
    <w:link w:val="TitleChar"/>
    <w:uiPriority w:val="99"/>
    <w:qFormat/>
    <w:rsid w:val="00C4432D"/>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BA31A0"/>
    <w:rPr>
      <w:rFonts w:ascii="Cambria" w:hAnsi="Cambria" w:cs="Times New Roman"/>
      <w:b/>
      <w:bCs/>
      <w:kern w:val="28"/>
      <w:sz w:val="32"/>
      <w:szCs w:val="32"/>
    </w:rPr>
  </w:style>
  <w:style w:type="paragraph" w:styleId="BalloonText">
    <w:name w:val="Balloon Text"/>
    <w:basedOn w:val="Normal"/>
    <w:link w:val="BalloonTextChar"/>
    <w:uiPriority w:val="99"/>
    <w:rsid w:val="00CE12D6"/>
    <w:rPr>
      <w:rFonts w:ascii="Tahoma" w:hAnsi="Tahoma" w:cs="Tahoma"/>
      <w:sz w:val="16"/>
      <w:szCs w:val="16"/>
    </w:rPr>
  </w:style>
  <w:style w:type="character" w:customStyle="1" w:styleId="BalloonTextChar">
    <w:name w:val="Balloon Text Char"/>
    <w:basedOn w:val="DefaultParagraphFont"/>
    <w:link w:val="BalloonText"/>
    <w:uiPriority w:val="99"/>
    <w:locked/>
    <w:rsid w:val="00CE12D6"/>
    <w:rPr>
      <w:rFonts w:ascii="Tahoma" w:hAnsi="Tahoma" w:cs="Tahoma"/>
      <w:sz w:val="16"/>
      <w:szCs w:val="16"/>
    </w:rPr>
  </w:style>
  <w:style w:type="paragraph" w:styleId="PlainText">
    <w:name w:val="Plain Text"/>
    <w:basedOn w:val="Normal"/>
    <w:link w:val="PlainTextChar"/>
    <w:uiPriority w:val="99"/>
    <w:rsid w:val="00CE12D6"/>
    <w:rPr>
      <w:rFonts w:ascii="Consolas" w:hAnsi="Consolas"/>
      <w:sz w:val="21"/>
      <w:szCs w:val="21"/>
    </w:rPr>
  </w:style>
  <w:style w:type="character" w:customStyle="1" w:styleId="PlainTextChar">
    <w:name w:val="Plain Text Char"/>
    <w:basedOn w:val="DefaultParagraphFont"/>
    <w:link w:val="PlainText"/>
    <w:uiPriority w:val="99"/>
    <w:locked/>
    <w:rsid w:val="00CE12D6"/>
    <w:rPr>
      <w:rFonts w:ascii="Consolas" w:hAnsi="Consolas" w:cs="Times New Roman"/>
      <w:sz w:val="21"/>
      <w:szCs w:val="21"/>
    </w:rPr>
  </w:style>
  <w:style w:type="paragraph" w:styleId="CommentText">
    <w:name w:val="annotation text"/>
    <w:basedOn w:val="Normal"/>
    <w:link w:val="CommentTextChar"/>
    <w:uiPriority w:val="99"/>
    <w:rsid w:val="00727B11"/>
    <w:rPr>
      <w:rFonts w:ascii="Times New Roman" w:hAnsi="Times New Roman"/>
      <w:sz w:val="20"/>
    </w:rPr>
  </w:style>
  <w:style w:type="character" w:customStyle="1" w:styleId="CommentTextChar">
    <w:name w:val="Comment Text Char"/>
    <w:basedOn w:val="DefaultParagraphFont"/>
    <w:link w:val="CommentText"/>
    <w:uiPriority w:val="99"/>
    <w:locked/>
    <w:rsid w:val="00727B11"/>
    <w:rPr>
      <w:rFonts w:cs="Times New Roman"/>
    </w:rPr>
  </w:style>
  <w:style w:type="character" w:styleId="CommentReference">
    <w:name w:val="annotation reference"/>
    <w:basedOn w:val="DefaultParagraphFont"/>
    <w:uiPriority w:val="99"/>
    <w:rsid w:val="00727B11"/>
    <w:rPr>
      <w:rFonts w:cs="Times New Roman"/>
      <w:sz w:val="16"/>
      <w:szCs w:val="16"/>
    </w:rPr>
  </w:style>
  <w:style w:type="table" w:styleId="TableGrid">
    <w:name w:val="Table Grid"/>
    <w:basedOn w:val="TableNormal"/>
    <w:uiPriority w:val="99"/>
    <w:rsid w:val="001F050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F0502"/>
    <w:pPr>
      <w:spacing w:after="200" w:line="276" w:lineRule="auto"/>
      <w:ind w:left="720"/>
    </w:pPr>
    <w:rPr>
      <w:rFonts w:ascii="Calibri" w:hAnsi="Calibri"/>
      <w:sz w:val="22"/>
      <w:szCs w:val="22"/>
    </w:rPr>
  </w:style>
  <w:style w:type="paragraph" w:styleId="HTMLPreformatted">
    <w:name w:val="HTML Preformatted"/>
    <w:basedOn w:val="Normal"/>
    <w:link w:val="HTMLPreformattedChar"/>
    <w:uiPriority w:val="99"/>
    <w:rsid w:val="00FF2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FF287A"/>
    <w:rPr>
      <w:rFonts w:ascii="Courier New" w:hAnsi="Courier New" w:cs="Courier New"/>
    </w:rPr>
  </w:style>
  <w:style w:type="character" w:styleId="Hyperlink">
    <w:name w:val="Hyperlink"/>
    <w:basedOn w:val="DefaultParagraphFont"/>
    <w:uiPriority w:val="99"/>
    <w:rsid w:val="00C14F7D"/>
    <w:rPr>
      <w:rFonts w:cs="Times New Roman"/>
      <w:color w:val="990000"/>
      <w:u w:val="none"/>
      <w:effect w:val="none"/>
    </w:rPr>
  </w:style>
  <w:style w:type="paragraph" w:styleId="CommentSubject">
    <w:name w:val="annotation subject"/>
    <w:basedOn w:val="CommentText"/>
    <w:next w:val="CommentText"/>
    <w:link w:val="CommentSubjectChar"/>
    <w:uiPriority w:val="99"/>
    <w:semiHidden/>
    <w:rsid w:val="00E331EB"/>
    <w:rPr>
      <w:rFonts w:ascii="Courier" w:hAnsi="Courier"/>
      <w:b/>
      <w:bCs/>
    </w:rPr>
  </w:style>
  <w:style w:type="character" w:customStyle="1" w:styleId="CommentSubjectChar">
    <w:name w:val="Comment Subject Char"/>
    <w:basedOn w:val="CommentTextChar"/>
    <w:link w:val="CommentSubject"/>
    <w:uiPriority w:val="99"/>
    <w:semiHidden/>
    <w:locked/>
    <w:rsid w:val="00E331EB"/>
    <w:rPr>
      <w:rFonts w:ascii="Courier" w:hAnsi="Courier"/>
      <w:b/>
      <w:bCs/>
    </w:rPr>
  </w:style>
  <w:style w:type="paragraph" w:styleId="Revision">
    <w:name w:val="Revision"/>
    <w:hidden/>
    <w:uiPriority w:val="99"/>
    <w:semiHidden/>
    <w:rsid w:val="00E331EB"/>
    <w:rPr>
      <w:rFonts w:ascii="Courier" w:hAnsi="Courier"/>
      <w:sz w:val="24"/>
      <w:szCs w:val="20"/>
    </w:rPr>
  </w:style>
</w:styles>
</file>

<file path=word/webSettings.xml><?xml version="1.0" encoding="utf-8"?>
<w:webSettings xmlns:r="http://schemas.openxmlformats.org/officeDocument/2006/relationships" xmlns:w="http://schemas.openxmlformats.org/wordprocessingml/2006/main">
  <w:divs>
    <w:div w:id="1819611614">
      <w:marLeft w:val="0"/>
      <w:marRight w:val="0"/>
      <w:marTop w:val="0"/>
      <w:marBottom w:val="0"/>
      <w:divBdr>
        <w:top w:val="none" w:sz="0" w:space="0" w:color="auto"/>
        <w:left w:val="none" w:sz="0" w:space="0" w:color="auto"/>
        <w:bottom w:val="none" w:sz="0" w:space="0" w:color="auto"/>
        <w:right w:val="none" w:sz="0" w:space="0" w:color="auto"/>
      </w:divBdr>
    </w:div>
    <w:div w:id="1819611615">
      <w:marLeft w:val="0"/>
      <w:marRight w:val="0"/>
      <w:marTop w:val="0"/>
      <w:marBottom w:val="0"/>
      <w:divBdr>
        <w:top w:val="none" w:sz="0" w:space="0" w:color="auto"/>
        <w:left w:val="none" w:sz="0" w:space="0" w:color="auto"/>
        <w:bottom w:val="none" w:sz="0" w:space="0" w:color="auto"/>
        <w:right w:val="none" w:sz="0" w:space="0" w:color="auto"/>
      </w:divBdr>
    </w:div>
    <w:div w:id="1819611616">
      <w:marLeft w:val="0"/>
      <w:marRight w:val="0"/>
      <w:marTop w:val="0"/>
      <w:marBottom w:val="0"/>
      <w:divBdr>
        <w:top w:val="none" w:sz="0" w:space="0" w:color="auto"/>
        <w:left w:val="none" w:sz="0" w:space="0" w:color="auto"/>
        <w:bottom w:val="none" w:sz="0" w:space="0" w:color="auto"/>
        <w:right w:val="none" w:sz="0" w:space="0" w:color="auto"/>
      </w:divBdr>
    </w:div>
    <w:div w:id="1819611617">
      <w:marLeft w:val="0"/>
      <w:marRight w:val="0"/>
      <w:marTop w:val="0"/>
      <w:marBottom w:val="0"/>
      <w:divBdr>
        <w:top w:val="none" w:sz="0" w:space="0" w:color="auto"/>
        <w:left w:val="none" w:sz="0" w:space="0" w:color="auto"/>
        <w:bottom w:val="none" w:sz="0" w:space="0" w:color="auto"/>
        <w:right w:val="none" w:sz="0" w:space="0" w:color="auto"/>
      </w:divBdr>
    </w:div>
    <w:div w:id="1819611618">
      <w:marLeft w:val="0"/>
      <w:marRight w:val="0"/>
      <w:marTop w:val="0"/>
      <w:marBottom w:val="0"/>
      <w:divBdr>
        <w:top w:val="none" w:sz="0" w:space="0" w:color="auto"/>
        <w:left w:val="none" w:sz="0" w:space="0" w:color="auto"/>
        <w:bottom w:val="none" w:sz="0" w:space="0" w:color="auto"/>
        <w:right w:val="none" w:sz="0" w:space="0" w:color="auto"/>
      </w:divBdr>
    </w:div>
    <w:div w:id="1819611619">
      <w:marLeft w:val="0"/>
      <w:marRight w:val="0"/>
      <w:marTop w:val="0"/>
      <w:marBottom w:val="0"/>
      <w:divBdr>
        <w:top w:val="none" w:sz="0" w:space="0" w:color="auto"/>
        <w:left w:val="none" w:sz="0" w:space="0" w:color="auto"/>
        <w:bottom w:val="none" w:sz="0" w:space="0" w:color="auto"/>
        <w:right w:val="none" w:sz="0" w:space="0" w:color="auto"/>
      </w:divBdr>
    </w:div>
    <w:div w:id="1819611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FSF-AP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2598</Words>
  <Characters>14810</Characters>
  <Application>Microsoft Office Outlook</Application>
  <DocSecurity>0</DocSecurity>
  <Lines>0</Lines>
  <Paragraphs>0</Paragraphs>
  <ScaleCrop>false</ScaleCrop>
  <Company>CSC-SSD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#Administrator</cp:lastModifiedBy>
  <cp:revision>2</cp:revision>
  <cp:lastPrinted>2010-10-29T12:19:00Z</cp:lastPrinted>
  <dcterms:created xsi:type="dcterms:W3CDTF">2010-11-01T13:36:00Z</dcterms:created>
  <dcterms:modified xsi:type="dcterms:W3CDTF">2010-11-01T13:36:00Z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-275128523</vt:i4>
  </property>
</Properties>
</file>