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E7" w:rsidRDefault="003665E7" w:rsidP="003665E7">
      <w:pPr>
        <w:jc w:val="center"/>
        <w:rPr>
          <w:b/>
          <w:i/>
          <w:sz w:val="32"/>
        </w:rPr>
      </w:pPr>
      <w:r>
        <w:rPr>
          <w:b/>
          <w:i/>
          <w:sz w:val="32"/>
        </w:rPr>
        <w:t>Supporting Statement for Paperwork Reduction Act Submission</w:t>
      </w:r>
    </w:p>
    <w:p w:rsidR="00946B55" w:rsidRDefault="00946B55" w:rsidP="00946B55">
      <w:pPr>
        <w:pStyle w:val="Heading1"/>
        <w:jc w:val="center"/>
        <w:rPr>
          <w:b/>
        </w:rPr>
      </w:pPr>
    </w:p>
    <w:p w:rsidR="00946B55" w:rsidRDefault="00946B55" w:rsidP="00946B55">
      <w:pPr>
        <w:pStyle w:val="Heading1"/>
        <w:jc w:val="center"/>
        <w:rPr>
          <w:b/>
        </w:rPr>
      </w:pPr>
      <w:r w:rsidRPr="0095283D">
        <w:rPr>
          <w:b/>
        </w:rPr>
        <w:t xml:space="preserve">Certification Statement for </w:t>
      </w:r>
      <w:r>
        <w:rPr>
          <w:b/>
        </w:rPr>
        <w:t>the Department of Treasury</w:t>
      </w:r>
    </w:p>
    <w:p w:rsidR="000440E8" w:rsidRPr="003665E7" w:rsidRDefault="00F91C03" w:rsidP="00F91C03">
      <w:pPr>
        <w:jc w:val="center"/>
        <w:rPr>
          <w:i/>
        </w:rPr>
      </w:pPr>
      <w:r>
        <w:rPr>
          <w:i/>
        </w:rPr>
        <w:t>Revised</w:t>
      </w:r>
      <w:r w:rsidR="00946B55" w:rsidRPr="003665E7">
        <w:rPr>
          <w:i/>
        </w:rPr>
        <w:t xml:space="preserve"> </w:t>
      </w:r>
      <w:r w:rsidR="000440E8">
        <w:rPr>
          <w:i/>
        </w:rPr>
        <w:t>Sept. 2</w:t>
      </w:r>
      <w:r w:rsidR="009E74A4">
        <w:rPr>
          <w:i/>
        </w:rPr>
        <w:t>9</w:t>
      </w:r>
      <w:r w:rsidR="000440E8">
        <w:rPr>
          <w:i/>
        </w:rPr>
        <w:t>, 2010</w:t>
      </w:r>
    </w:p>
    <w:p w:rsidR="003665E7" w:rsidRDefault="003665E7" w:rsidP="003665E7">
      <w:pPr>
        <w:jc w:val="center"/>
      </w:pPr>
    </w:p>
    <w:p w:rsidR="0029050F" w:rsidRPr="00CE3C52" w:rsidRDefault="0029050F" w:rsidP="0029050F">
      <w:pPr>
        <w:autoSpaceDE w:val="0"/>
        <w:autoSpaceDN w:val="0"/>
        <w:adjustRightInd w:val="0"/>
        <w:rPr>
          <w:b/>
        </w:rPr>
      </w:pPr>
      <w:r w:rsidRPr="00CE3C52">
        <w:rPr>
          <w:b/>
        </w:rPr>
        <w:t>A. Justification</w:t>
      </w:r>
    </w:p>
    <w:p w:rsidR="0029050F" w:rsidRPr="00CE3C52" w:rsidRDefault="0029050F" w:rsidP="0029050F">
      <w:pPr>
        <w:autoSpaceDE w:val="0"/>
        <w:autoSpaceDN w:val="0"/>
        <w:adjustRightInd w:val="0"/>
      </w:pPr>
    </w:p>
    <w:p w:rsidR="0029050F" w:rsidRDefault="0029050F" w:rsidP="0029050F">
      <w:pPr>
        <w:autoSpaceDE w:val="0"/>
        <w:autoSpaceDN w:val="0"/>
        <w:adjustRightInd w:val="0"/>
      </w:pPr>
      <w:r w:rsidRPr="00CE3C52">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09E4" w:rsidRDefault="00DD09E4" w:rsidP="0029050F">
      <w:pPr>
        <w:autoSpaceDE w:val="0"/>
        <w:autoSpaceDN w:val="0"/>
        <w:adjustRightInd w:val="0"/>
      </w:pPr>
    </w:p>
    <w:p w:rsidR="00946B55" w:rsidRPr="00CF4381" w:rsidRDefault="00946B55" w:rsidP="00946B55">
      <w:pPr>
        <w:autoSpaceDE w:val="0"/>
        <w:autoSpaceDN w:val="0"/>
        <w:adjustRightInd w:val="0"/>
        <w:rPr>
          <w:b/>
        </w:rPr>
      </w:pPr>
      <w:r w:rsidRPr="00CF4381">
        <w:rPr>
          <w:b/>
        </w:rPr>
        <w:t>The Department of Treasury’s public-facing, Internet Website is the medium through which the Secretary and the Department communicates with bus</w:t>
      </w:r>
      <w:r w:rsidR="00FB6638">
        <w:rPr>
          <w:b/>
        </w:rPr>
        <w:t xml:space="preserve">iness partners and the public. </w:t>
      </w:r>
      <w:r w:rsidRPr="00CF4381">
        <w:rPr>
          <w:b/>
        </w:rPr>
        <w:t xml:space="preserve">  Currently, the public Website (www.Treasury.gov) is a static Website, its technology architecture is obsolete</w:t>
      </w:r>
      <w:r w:rsidR="00502B08">
        <w:rPr>
          <w:b/>
        </w:rPr>
        <w:t>, and as new content has been added over time the integrity of the original content structure has been compromised.</w:t>
      </w:r>
      <w:r w:rsidRPr="00CF4381">
        <w:rPr>
          <w:b/>
        </w:rPr>
        <w:t xml:space="preserve">   The site is minimally able to support current technologies or those desired by the President’s administration, as exemplified by the White House Website.  </w:t>
      </w:r>
      <w:r w:rsidR="00502B08">
        <w:rPr>
          <w:b/>
        </w:rPr>
        <w:t xml:space="preserve">A new structure that is scalable for the changing and growing Offices, programs, initiatives and other undertakings within the Department of Treasury is essential. </w:t>
      </w:r>
      <w:r w:rsidRPr="00CF4381">
        <w:rPr>
          <w:b/>
        </w:rPr>
        <w:t>Equally important, Treasury is at the forefront of the current US and World economic recovery; and, Treasury.gov is a visible and essential tool kit in this effort.</w:t>
      </w:r>
      <w:r w:rsidR="00502B08">
        <w:rPr>
          <w:b/>
        </w:rPr>
        <w:t xml:space="preserve">  </w:t>
      </w:r>
    </w:p>
    <w:p w:rsidR="00946B55" w:rsidRPr="00CF4381" w:rsidRDefault="00946B55" w:rsidP="00946B55">
      <w:pPr>
        <w:autoSpaceDE w:val="0"/>
        <w:autoSpaceDN w:val="0"/>
        <w:adjustRightInd w:val="0"/>
        <w:rPr>
          <w:b/>
        </w:rPr>
      </w:pPr>
    </w:p>
    <w:p w:rsidR="00946B55" w:rsidRDefault="00946B55" w:rsidP="00946B55">
      <w:pPr>
        <w:autoSpaceDE w:val="0"/>
        <w:autoSpaceDN w:val="0"/>
        <w:adjustRightInd w:val="0"/>
        <w:rPr>
          <w:b/>
        </w:rPr>
      </w:pPr>
      <w:r w:rsidRPr="00CF4381">
        <w:rPr>
          <w:b/>
        </w:rPr>
        <w:t xml:space="preserve">The Department is undergoing a modernization effort to create a new, fresh, meaningful, scalable and useful Treasury.gov site that is designed for optimal constituent use.  This new design will </w:t>
      </w:r>
      <w:r w:rsidR="00CF4381" w:rsidRPr="00CF4381">
        <w:rPr>
          <w:b/>
        </w:rPr>
        <w:t>s</w:t>
      </w:r>
      <w:r w:rsidRPr="00CF4381">
        <w:rPr>
          <w:b/>
        </w:rPr>
        <w:t xml:space="preserve">upport the </w:t>
      </w:r>
      <w:r w:rsidR="00CF4381" w:rsidRPr="00CF4381">
        <w:rPr>
          <w:b/>
        </w:rPr>
        <w:t>c</w:t>
      </w:r>
      <w:r w:rsidRPr="00CF4381">
        <w:rPr>
          <w:b/>
        </w:rPr>
        <w:t xml:space="preserve">ommunications and </w:t>
      </w:r>
      <w:r w:rsidR="00CF4381" w:rsidRPr="00CF4381">
        <w:rPr>
          <w:b/>
        </w:rPr>
        <w:t>p</w:t>
      </w:r>
      <w:r w:rsidRPr="00CF4381">
        <w:rPr>
          <w:b/>
        </w:rPr>
        <w:t xml:space="preserve">ublishing </w:t>
      </w:r>
      <w:r w:rsidR="00CF4381" w:rsidRPr="00CF4381">
        <w:rPr>
          <w:b/>
        </w:rPr>
        <w:t>r</w:t>
      </w:r>
      <w:r w:rsidRPr="00CF4381">
        <w:rPr>
          <w:b/>
        </w:rPr>
        <w:t>equirements of Treasury;</w:t>
      </w:r>
      <w:r w:rsidR="00CF4381" w:rsidRPr="00CF4381">
        <w:rPr>
          <w:b/>
        </w:rPr>
        <w:t xml:space="preserve"> s</w:t>
      </w:r>
      <w:r w:rsidRPr="00CF4381">
        <w:rPr>
          <w:b/>
        </w:rPr>
        <w:t xml:space="preserve">upport the </w:t>
      </w:r>
      <w:r w:rsidR="00CF4381" w:rsidRPr="00CF4381">
        <w:rPr>
          <w:b/>
        </w:rPr>
        <w:t>s</w:t>
      </w:r>
      <w:r w:rsidRPr="00CF4381">
        <w:rPr>
          <w:b/>
        </w:rPr>
        <w:t xml:space="preserve">trategic </w:t>
      </w:r>
      <w:r w:rsidR="00CF4381" w:rsidRPr="00CF4381">
        <w:rPr>
          <w:b/>
        </w:rPr>
        <w:t>i</w:t>
      </w:r>
      <w:r w:rsidRPr="00CF4381">
        <w:rPr>
          <w:b/>
        </w:rPr>
        <w:t>nitiatives of Treasury;</w:t>
      </w:r>
      <w:r w:rsidR="00CF4381" w:rsidRPr="00CF4381">
        <w:rPr>
          <w:b/>
        </w:rPr>
        <w:t xml:space="preserve"> e</w:t>
      </w:r>
      <w:r w:rsidRPr="00CF4381">
        <w:rPr>
          <w:b/>
        </w:rPr>
        <w:t>nable transparency (Open Government OMB Directive M-10-06) and increased access to Treasury resources and assets;</w:t>
      </w:r>
      <w:r w:rsidR="00CF4381" w:rsidRPr="00CF4381">
        <w:rPr>
          <w:b/>
        </w:rPr>
        <w:t xml:space="preserve"> and be user-centric and task-based.</w:t>
      </w:r>
    </w:p>
    <w:p w:rsidR="00CF4381" w:rsidRDefault="00CF4381" w:rsidP="00946B55">
      <w:pPr>
        <w:autoSpaceDE w:val="0"/>
        <w:autoSpaceDN w:val="0"/>
        <w:adjustRightInd w:val="0"/>
        <w:rPr>
          <w:b/>
        </w:rPr>
      </w:pPr>
    </w:p>
    <w:p w:rsidR="00CF4381" w:rsidRPr="00CF4381" w:rsidRDefault="00FB6638" w:rsidP="00946B55">
      <w:pPr>
        <w:autoSpaceDE w:val="0"/>
        <w:autoSpaceDN w:val="0"/>
        <w:adjustRightInd w:val="0"/>
        <w:rPr>
          <w:b/>
        </w:rPr>
      </w:pPr>
      <w:r w:rsidRPr="00FB6638">
        <w:rPr>
          <w:b/>
        </w:rPr>
        <w:t>This modernization effort also includes refreshing the</w:t>
      </w:r>
      <w:r w:rsidR="00CF4381" w:rsidRPr="00FB6638">
        <w:rPr>
          <w:b/>
        </w:rPr>
        <w:t xml:space="preserve"> </w:t>
      </w:r>
      <w:r w:rsidRPr="00FB6638">
        <w:rPr>
          <w:b/>
        </w:rPr>
        <w:t xml:space="preserve">Department’s initiative sites of </w:t>
      </w:r>
      <w:r w:rsidR="001A70F0" w:rsidRPr="00FB6638">
        <w:rPr>
          <w:b/>
        </w:rPr>
        <w:t>FinancialStability.gov</w:t>
      </w:r>
      <w:r w:rsidR="003C398A">
        <w:rPr>
          <w:b/>
        </w:rPr>
        <w:t xml:space="preserve"> and MakingHome</w:t>
      </w:r>
      <w:r w:rsidRPr="00FB6638">
        <w:rPr>
          <w:b/>
        </w:rPr>
        <w:t>Affordable.gov.</w:t>
      </w:r>
    </w:p>
    <w:p w:rsidR="00946B55" w:rsidRDefault="00946B55" w:rsidP="0029050F">
      <w:pPr>
        <w:autoSpaceDE w:val="0"/>
        <w:autoSpaceDN w:val="0"/>
        <w:adjustRightInd w:val="0"/>
      </w:pPr>
    </w:p>
    <w:p w:rsidR="00CF4381" w:rsidRDefault="00CF4381" w:rsidP="00CF4381">
      <w:pPr>
        <w:rPr>
          <w:b/>
        </w:rPr>
      </w:pPr>
      <w:r w:rsidRPr="00DD09E4">
        <w:rPr>
          <w:b/>
        </w:rPr>
        <w:t>To ensure that the revised site</w:t>
      </w:r>
      <w:r w:rsidR="00FB6638">
        <w:rPr>
          <w:b/>
        </w:rPr>
        <w:t>s</w:t>
      </w:r>
      <w:r w:rsidRPr="00DD09E4">
        <w:rPr>
          <w:b/>
        </w:rPr>
        <w:t xml:space="preserve"> deploy features that are more advanced </w:t>
      </w:r>
      <w:r w:rsidR="00194F50">
        <w:rPr>
          <w:b/>
        </w:rPr>
        <w:t xml:space="preserve">and </w:t>
      </w:r>
      <w:r w:rsidRPr="00DD09E4">
        <w:rPr>
          <w:b/>
        </w:rPr>
        <w:t xml:space="preserve">user-friendly, </w:t>
      </w:r>
      <w:r w:rsidRPr="00FB6638">
        <w:rPr>
          <w:b/>
        </w:rPr>
        <w:t xml:space="preserve">Treasury recommends that a series of </w:t>
      </w:r>
      <w:r w:rsidR="00A04EF7">
        <w:rPr>
          <w:b/>
        </w:rPr>
        <w:t>u</w:t>
      </w:r>
      <w:r w:rsidRPr="00FB6638">
        <w:rPr>
          <w:b/>
        </w:rPr>
        <w:t xml:space="preserve">sability </w:t>
      </w:r>
      <w:r w:rsidR="00A04EF7">
        <w:rPr>
          <w:b/>
        </w:rPr>
        <w:t>t</w:t>
      </w:r>
      <w:r w:rsidR="00AA7163">
        <w:rPr>
          <w:b/>
        </w:rPr>
        <w:t xml:space="preserve">esting </w:t>
      </w:r>
      <w:r w:rsidRPr="00FB6638">
        <w:rPr>
          <w:b/>
        </w:rPr>
        <w:t xml:space="preserve">and </w:t>
      </w:r>
      <w:r w:rsidR="00A04EF7">
        <w:rPr>
          <w:b/>
        </w:rPr>
        <w:t>f</w:t>
      </w:r>
      <w:r w:rsidRPr="00FB6638">
        <w:rPr>
          <w:b/>
        </w:rPr>
        <w:t xml:space="preserve">ocus </w:t>
      </w:r>
      <w:r w:rsidR="00A04EF7">
        <w:rPr>
          <w:b/>
        </w:rPr>
        <w:t>g</w:t>
      </w:r>
      <w:r w:rsidRPr="00FB6638">
        <w:rPr>
          <w:b/>
        </w:rPr>
        <w:t xml:space="preserve">roups be conducted </w:t>
      </w:r>
      <w:r w:rsidR="00F40A05">
        <w:rPr>
          <w:b/>
        </w:rPr>
        <w:t>among current and intended users</w:t>
      </w:r>
      <w:r w:rsidRPr="00FB6638">
        <w:rPr>
          <w:b/>
        </w:rPr>
        <w:t xml:space="preserve"> of the </w:t>
      </w:r>
      <w:r w:rsidR="00F40A05">
        <w:rPr>
          <w:b/>
        </w:rPr>
        <w:t>websites including the general public, businesses, academia, etc.</w:t>
      </w:r>
      <w:r w:rsidR="00FB6638">
        <w:rPr>
          <w:b/>
        </w:rPr>
        <w:t>.</w:t>
      </w:r>
    </w:p>
    <w:p w:rsidR="00FB6638" w:rsidRDefault="00FB6638" w:rsidP="00CF4381">
      <w:pPr>
        <w:rPr>
          <w:b/>
        </w:rPr>
      </w:pPr>
    </w:p>
    <w:p w:rsidR="0029050F" w:rsidRDefault="0029050F" w:rsidP="0029050F">
      <w:pPr>
        <w:autoSpaceDE w:val="0"/>
        <w:autoSpaceDN w:val="0"/>
        <w:adjustRightInd w:val="0"/>
      </w:pPr>
      <w:r w:rsidRPr="00CE3C52">
        <w:t>2. Indicate how, by whom, and for what purpose the information is to be used. Except for a new collection, indicate the actual use the agency has made of the information received from the current collection.</w:t>
      </w:r>
    </w:p>
    <w:p w:rsidR="00C42E79" w:rsidRDefault="00C42E79" w:rsidP="0029050F">
      <w:pPr>
        <w:autoSpaceDE w:val="0"/>
        <w:autoSpaceDN w:val="0"/>
        <w:adjustRightInd w:val="0"/>
      </w:pPr>
    </w:p>
    <w:p w:rsidR="00C42E79" w:rsidRPr="00DD09E4" w:rsidRDefault="00C42E79" w:rsidP="00C42E79">
      <w:pPr>
        <w:rPr>
          <w:b/>
        </w:rPr>
      </w:pPr>
      <w:r w:rsidRPr="00DD09E4">
        <w:rPr>
          <w:b/>
        </w:rPr>
        <w:lastRenderedPageBreak/>
        <w:t xml:space="preserve">The </w:t>
      </w:r>
      <w:r w:rsidR="00D67C7D">
        <w:rPr>
          <w:b/>
        </w:rPr>
        <w:t xml:space="preserve">Department of </w:t>
      </w:r>
      <w:r>
        <w:rPr>
          <w:b/>
        </w:rPr>
        <w:t>Treasury</w:t>
      </w:r>
      <w:r w:rsidRPr="00DD09E4">
        <w:rPr>
          <w:b/>
        </w:rPr>
        <w:t xml:space="preserve"> will use the data to </w:t>
      </w:r>
      <w:r w:rsidR="00A04EF7">
        <w:rPr>
          <w:b/>
        </w:rPr>
        <w:t>develop</w:t>
      </w:r>
      <w:r w:rsidRPr="00DD09E4">
        <w:rPr>
          <w:b/>
        </w:rPr>
        <w:t xml:space="preserve"> </w:t>
      </w:r>
      <w:r w:rsidR="00946B55">
        <w:rPr>
          <w:b/>
        </w:rPr>
        <w:t>the modernized version</w:t>
      </w:r>
      <w:r w:rsidRPr="00DD09E4">
        <w:rPr>
          <w:b/>
        </w:rPr>
        <w:t xml:space="preserve"> of the </w:t>
      </w:r>
      <w:r>
        <w:rPr>
          <w:b/>
        </w:rPr>
        <w:t>Treasury</w:t>
      </w:r>
      <w:r w:rsidR="00CE4878">
        <w:rPr>
          <w:b/>
        </w:rPr>
        <w:t>.gov, Financi</w:t>
      </w:r>
      <w:r w:rsidR="003C398A">
        <w:rPr>
          <w:b/>
        </w:rPr>
        <w:t>al Stability.gov and MakingHome</w:t>
      </w:r>
      <w:r w:rsidR="00CE4878">
        <w:rPr>
          <w:b/>
        </w:rPr>
        <w:t xml:space="preserve">Affordable.gov </w:t>
      </w:r>
      <w:r w:rsidRPr="00DD09E4">
        <w:rPr>
          <w:b/>
        </w:rPr>
        <w:t>website</w:t>
      </w:r>
      <w:r w:rsidR="00CE4878">
        <w:rPr>
          <w:b/>
        </w:rPr>
        <w:t>s</w:t>
      </w:r>
      <w:r w:rsidRPr="00DD09E4">
        <w:rPr>
          <w:b/>
        </w:rPr>
        <w:t xml:space="preserve">. All findings from the focus groups and usability testing will be documented and, as appropriate, prioritized for incorporation and roll out in the overall </w:t>
      </w:r>
      <w:r w:rsidR="00A04EF7">
        <w:rPr>
          <w:b/>
        </w:rPr>
        <w:t xml:space="preserve">development and </w:t>
      </w:r>
      <w:r w:rsidRPr="00DD09E4">
        <w:rPr>
          <w:b/>
        </w:rPr>
        <w:t xml:space="preserve">design schedule. </w:t>
      </w:r>
    </w:p>
    <w:p w:rsidR="00DD09E4" w:rsidRDefault="00DD09E4" w:rsidP="0029050F">
      <w:pPr>
        <w:autoSpaceDE w:val="0"/>
        <w:autoSpaceDN w:val="0"/>
        <w:adjustRightInd w:val="0"/>
      </w:pPr>
    </w:p>
    <w:p w:rsidR="0029050F" w:rsidRDefault="0029050F" w:rsidP="0029050F">
      <w:pPr>
        <w:autoSpaceDE w:val="0"/>
        <w:autoSpaceDN w:val="0"/>
        <w:adjustRightInd w:val="0"/>
      </w:pPr>
      <w:r w:rsidRPr="00CE3C52">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42E79" w:rsidRDefault="00C42E79" w:rsidP="0029050F">
      <w:pPr>
        <w:autoSpaceDE w:val="0"/>
        <w:autoSpaceDN w:val="0"/>
        <w:adjustRightInd w:val="0"/>
      </w:pPr>
    </w:p>
    <w:p w:rsidR="00C42E79" w:rsidRPr="00DD09E4" w:rsidRDefault="00C42E79" w:rsidP="00C42E79">
      <w:pPr>
        <w:autoSpaceDE w:val="0"/>
        <w:autoSpaceDN w:val="0"/>
        <w:adjustRightInd w:val="0"/>
        <w:rPr>
          <w:b/>
        </w:rPr>
      </w:pPr>
      <w:r w:rsidRPr="00DD09E4">
        <w:rPr>
          <w:b/>
        </w:rPr>
        <w:t>This study i</w:t>
      </w:r>
      <w:r w:rsidR="00CE4878">
        <w:rPr>
          <w:b/>
        </w:rPr>
        <w:t>s</w:t>
      </w:r>
      <w:r w:rsidRPr="00DD09E4">
        <w:rPr>
          <w:b/>
        </w:rPr>
        <w:t xml:space="preserve"> national in scope and requires national participation to ensure statistical </w:t>
      </w:r>
      <w:r w:rsidR="00A04EF7">
        <w:rPr>
          <w:b/>
        </w:rPr>
        <w:t xml:space="preserve">and representative </w:t>
      </w:r>
      <w:r w:rsidRPr="00DD09E4">
        <w:rPr>
          <w:b/>
        </w:rPr>
        <w:t xml:space="preserve">validity. </w:t>
      </w:r>
      <w:r w:rsidRPr="00502B08">
        <w:rPr>
          <w:b/>
        </w:rPr>
        <w:t>Usability testing will be conducted virtually to eliminate the need for participants to travel to testing facilities, complete survey forms, etc</w:t>
      </w:r>
      <w:r w:rsidRPr="00DD09E4">
        <w:rPr>
          <w:b/>
        </w:rPr>
        <w:t>.</w:t>
      </w:r>
      <w:r>
        <w:rPr>
          <w:b/>
        </w:rPr>
        <w:t xml:space="preserve"> </w:t>
      </w:r>
      <w:r w:rsidR="00A04EF7" w:rsidRPr="00502B08">
        <w:rPr>
          <w:b/>
        </w:rPr>
        <w:t>WebEx</w:t>
      </w:r>
      <w:r w:rsidR="00A04EF7">
        <w:rPr>
          <w:b/>
        </w:rPr>
        <w:t xml:space="preserve"> or similar technology</w:t>
      </w:r>
      <w:r>
        <w:rPr>
          <w:b/>
        </w:rPr>
        <w:t xml:space="preserve"> will be </w:t>
      </w:r>
      <w:r w:rsidR="00A04EF7">
        <w:rPr>
          <w:b/>
        </w:rPr>
        <w:t>used</w:t>
      </w:r>
      <w:r>
        <w:rPr>
          <w:b/>
        </w:rPr>
        <w:t xml:space="preserve"> to </w:t>
      </w:r>
      <w:r w:rsidR="00A04EF7">
        <w:rPr>
          <w:b/>
        </w:rPr>
        <w:t xml:space="preserve">conduct remote testing. </w:t>
      </w:r>
    </w:p>
    <w:p w:rsidR="00C42E79" w:rsidRDefault="00C42E79" w:rsidP="0029050F">
      <w:pPr>
        <w:autoSpaceDE w:val="0"/>
        <w:autoSpaceDN w:val="0"/>
        <w:adjustRightInd w:val="0"/>
      </w:pPr>
    </w:p>
    <w:p w:rsidR="00DD09E4" w:rsidRDefault="00DD09E4" w:rsidP="0029050F">
      <w:pPr>
        <w:autoSpaceDE w:val="0"/>
        <w:autoSpaceDN w:val="0"/>
        <w:adjustRightInd w:val="0"/>
      </w:pPr>
    </w:p>
    <w:p w:rsidR="0029050F" w:rsidRDefault="0029050F" w:rsidP="0029050F">
      <w:pPr>
        <w:autoSpaceDE w:val="0"/>
        <w:autoSpaceDN w:val="0"/>
        <w:adjustRightInd w:val="0"/>
      </w:pPr>
      <w:r w:rsidRPr="00CE3C52">
        <w:t>4. Describe efforts to identify duplication. Show specifically why any similar information already available cannot be used or modified for use for the purposes described in Item 2 above.</w:t>
      </w:r>
    </w:p>
    <w:p w:rsidR="00C42E79" w:rsidRDefault="00C42E79" w:rsidP="0029050F">
      <w:pPr>
        <w:autoSpaceDE w:val="0"/>
        <w:autoSpaceDN w:val="0"/>
        <w:adjustRightInd w:val="0"/>
      </w:pPr>
    </w:p>
    <w:p w:rsidR="00C42E79" w:rsidRDefault="00C42E79" w:rsidP="0029050F">
      <w:pPr>
        <w:autoSpaceDE w:val="0"/>
        <w:autoSpaceDN w:val="0"/>
        <w:adjustRightInd w:val="0"/>
      </w:pPr>
      <w:r w:rsidRPr="005C64C6">
        <w:rPr>
          <w:b/>
        </w:rPr>
        <w:t xml:space="preserve">There is no duplicative information collection instrument or process.   </w:t>
      </w:r>
    </w:p>
    <w:p w:rsidR="00DD09E4" w:rsidRDefault="00DD09E4" w:rsidP="0029050F">
      <w:pPr>
        <w:autoSpaceDE w:val="0"/>
        <w:autoSpaceDN w:val="0"/>
        <w:adjustRightInd w:val="0"/>
      </w:pPr>
    </w:p>
    <w:p w:rsidR="0029050F" w:rsidRDefault="0029050F" w:rsidP="0029050F">
      <w:pPr>
        <w:autoSpaceDE w:val="0"/>
        <w:autoSpaceDN w:val="0"/>
        <w:adjustRightInd w:val="0"/>
      </w:pPr>
      <w:r w:rsidRPr="00CE3C52">
        <w:t>5. If the collection of information impacts small businesses or other small entities</w:t>
      </w:r>
      <w:r w:rsidR="00345435">
        <w:t>,</w:t>
      </w:r>
      <w:r w:rsidR="00345435" w:rsidRPr="00CE3C52">
        <w:t xml:space="preserve"> describe</w:t>
      </w:r>
      <w:r w:rsidRPr="00CE3C52">
        <w:t xml:space="preserve"> any methods used to minimize burden.</w:t>
      </w:r>
      <w:r w:rsidR="00DD09E4">
        <w:t xml:space="preserve"> </w:t>
      </w:r>
    </w:p>
    <w:p w:rsidR="00DD09E4" w:rsidRDefault="00DD09E4" w:rsidP="0029050F">
      <w:pPr>
        <w:autoSpaceDE w:val="0"/>
        <w:autoSpaceDN w:val="0"/>
        <w:adjustRightInd w:val="0"/>
      </w:pPr>
    </w:p>
    <w:p w:rsidR="00C42E79" w:rsidRPr="00DD09E4" w:rsidRDefault="00C42E79" w:rsidP="00C42E79">
      <w:pPr>
        <w:autoSpaceDE w:val="0"/>
        <w:autoSpaceDN w:val="0"/>
        <w:adjustRightInd w:val="0"/>
        <w:rPr>
          <w:b/>
        </w:rPr>
      </w:pPr>
      <w:r w:rsidRPr="008E1C1E">
        <w:rPr>
          <w:b/>
        </w:rPr>
        <w:t>This study requires par</w:t>
      </w:r>
      <w:r w:rsidR="00A07598">
        <w:rPr>
          <w:b/>
        </w:rPr>
        <w:t>ticipation from numerous audience groups</w:t>
      </w:r>
      <w:r w:rsidRPr="008E1C1E">
        <w:rPr>
          <w:b/>
        </w:rPr>
        <w:t xml:space="preserve"> interested in the </w:t>
      </w:r>
      <w:r>
        <w:rPr>
          <w:b/>
        </w:rPr>
        <w:t>Department of Treasury</w:t>
      </w:r>
      <w:r w:rsidR="00CE4878">
        <w:rPr>
          <w:b/>
        </w:rPr>
        <w:t xml:space="preserve"> and its initiatives</w:t>
      </w:r>
      <w:r w:rsidR="00A07598">
        <w:rPr>
          <w:b/>
        </w:rPr>
        <w:t>. S</w:t>
      </w:r>
      <w:r w:rsidRPr="008E1C1E">
        <w:rPr>
          <w:b/>
        </w:rPr>
        <w:t xml:space="preserve">ome participants may be small business entities </w:t>
      </w:r>
      <w:r w:rsidR="0049773C">
        <w:rPr>
          <w:b/>
        </w:rPr>
        <w:t xml:space="preserve">who </w:t>
      </w:r>
      <w:r w:rsidRPr="008E1C1E">
        <w:rPr>
          <w:b/>
        </w:rPr>
        <w:t>will be recruited to participate in this study. In order to minimize their burden, incentives</w:t>
      </w:r>
      <w:r>
        <w:rPr>
          <w:b/>
        </w:rPr>
        <w:t xml:space="preserve"> will be issued to compensate participants for their time.</w:t>
      </w:r>
    </w:p>
    <w:p w:rsidR="00C42E79" w:rsidRDefault="00C42E79" w:rsidP="0029050F">
      <w:pPr>
        <w:autoSpaceDE w:val="0"/>
        <w:autoSpaceDN w:val="0"/>
        <w:adjustRightInd w:val="0"/>
      </w:pPr>
    </w:p>
    <w:p w:rsidR="0029050F" w:rsidRDefault="0029050F" w:rsidP="0029050F">
      <w:pPr>
        <w:autoSpaceDE w:val="0"/>
        <w:autoSpaceDN w:val="0"/>
        <w:adjustRightInd w:val="0"/>
      </w:pPr>
      <w:r w:rsidRPr="00CE3C52">
        <w:t>6. Describe the consequence to Federal program or policy activities if the collection is not conducted or is conducted less frequently, as well as any technical or legal obstacles to reducing burden.</w:t>
      </w:r>
    </w:p>
    <w:p w:rsidR="0029050F" w:rsidRDefault="0029050F" w:rsidP="0029050F">
      <w:pPr>
        <w:autoSpaceDE w:val="0"/>
        <w:autoSpaceDN w:val="0"/>
        <w:adjustRightInd w:val="0"/>
      </w:pPr>
    </w:p>
    <w:p w:rsidR="00193E46" w:rsidRDefault="00193E46" w:rsidP="00193E46">
      <w:pPr>
        <w:autoSpaceDE w:val="0"/>
        <w:autoSpaceDN w:val="0"/>
        <w:adjustRightInd w:val="0"/>
        <w:rPr>
          <w:b/>
        </w:rPr>
      </w:pPr>
      <w:r w:rsidRPr="008138B6">
        <w:rPr>
          <w:b/>
        </w:rPr>
        <w:t xml:space="preserve">The </w:t>
      </w:r>
      <w:r>
        <w:rPr>
          <w:b/>
        </w:rPr>
        <w:t>purpose of the websites is to serve as a primary communication mechanism for the Department to communicate and provide information to the public.  Design, usability and accessibility best practices have been employed in the initial development of the Treasury.gov, FinancialStability.gov and MakingHomeAffordable.gov sites. Validation through comprehensive research is imperative to a successful launch of the new websites.</w:t>
      </w:r>
    </w:p>
    <w:p w:rsidR="00193E46" w:rsidRDefault="00193E46" w:rsidP="00193E46">
      <w:pPr>
        <w:autoSpaceDE w:val="0"/>
        <w:autoSpaceDN w:val="0"/>
        <w:adjustRightInd w:val="0"/>
        <w:rPr>
          <w:b/>
        </w:rPr>
      </w:pPr>
    </w:p>
    <w:p w:rsidR="00193E46" w:rsidRPr="00CE3C52" w:rsidRDefault="00193E46" w:rsidP="00193E46">
      <w:pPr>
        <w:autoSpaceDE w:val="0"/>
        <w:autoSpaceDN w:val="0"/>
        <w:adjustRightInd w:val="0"/>
      </w:pPr>
      <w:r>
        <w:rPr>
          <w:b/>
        </w:rPr>
        <w:t>The participants solicited for this study will only be recruited once.</w:t>
      </w:r>
    </w:p>
    <w:p w:rsidR="00193E46" w:rsidRPr="00CE3C52" w:rsidRDefault="00193E46" w:rsidP="0029050F">
      <w:pPr>
        <w:autoSpaceDE w:val="0"/>
        <w:autoSpaceDN w:val="0"/>
        <w:adjustRightInd w:val="0"/>
      </w:pPr>
    </w:p>
    <w:p w:rsidR="0029050F" w:rsidRPr="00CE3C52" w:rsidRDefault="0029050F" w:rsidP="0029050F">
      <w:pPr>
        <w:autoSpaceDE w:val="0"/>
        <w:autoSpaceDN w:val="0"/>
        <w:adjustRightInd w:val="0"/>
      </w:pPr>
      <w:r w:rsidRPr="00CE3C52">
        <w:lastRenderedPageBreak/>
        <w:t xml:space="preserve">7. Explain any special circumstances that would cause an information collection to be conducted in a manner: </w:t>
      </w:r>
    </w:p>
    <w:p w:rsidR="00943BF1" w:rsidRDefault="00943BF1" w:rsidP="0029050F">
      <w:pPr>
        <w:autoSpaceDE w:val="0"/>
        <w:autoSpaceDN w:val="0"/>
        <w:adjustRightInd w:val="0"/>
      </w:pPr>
    </w:p>
    <w:p w:rsidR="0049773C" w:rsidRPr="0049773C" w:rsidRDefault="0049773C" w:rsidP="0029050F">
      <w:pPr>
        <w:autoSpaceDE w:val="0"/>
        <w:autoSpaceDN w:val="0"/>
        <w:adjustRightInd w:val="0"/>
        <w:rPr>
          <w:b/>
        </w:rPr>
      </w:pPr>
      <w:r>
        <w:rPr>
          <w:b/>
        </w:rPr>
        <w:t>N/A</w:t>
      </w:r>
    </w:p>
    <w:p w:rsidR="0049773C" w:rsidRDefault="0049773C" w:rsidP="0029050F">
      <w:pPr>
        <w:autoSpaceDE w:val="0"/>
        <w:autoSpaceDN w:val="0"/>
        <w:adjustRightInd w:val="0"/>
      </w:pPr>
    </w:p>
    <w:p w:rsidR="0029050F" w:rsidRPr="00CE3C52" w:rsidRDefault="0029050F" w:rsidP="0029050F">
      <w:pPr>
        <w:autoSpaceDE w:val="0"/>
        <w:autoSpaceDN w:val="0"/>
        <w:adjustRightInd w:val="0"/>
      </w:pPr>
      <w:r w:rsidRPr="00CE3C52">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29050F" w:rsidRPr="00CE3C52" w:rsidRDefault="0029050F" w:rsidP="0029050F">
      <w:pPr>
        <w:autoSpaceDE w:val="0"/>
        <w:autoSpaceDN w:val="0"/>
        <w:adjustRightInd w:val="0"/>
      </w:pPr>
      <w:r w:rsidRPr="00CE3C52">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9050F" w:rsidRDefault="0029050F" w:rsidP="0029050F">
      <w:pPr>
        <w:autoSpaceDE w:val="0"/>
        <w:autoSpaceDN w:val="0"/>
        <w:adjustRightInd w:val="0"/>
      </w:pPr>
      <w:r w:rsidRPr="00CE3C52">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564B" w:rsidRPr="00D8564B" w:rsidRDefault="00D8564B" w:rsidP="0029050F">
      <w:pPr>
        <w:autoSpaceDE w:val="0"/>
        <w:autoSpaceDN w:val="0"/>
        <w:adjustRightInd w:val="0"/>
        <w:rPr>
          <w:b/>
        </w:rPr>
      </w:pPr>
    </w:p>
    <w:p w:rsidR="0009394A" w:rsidRPr="00D8564B" w:rsidRDefault="00624562" w:rsidP="0029050F">
      <w:pPr>
        <w:autoSpaceDE w:val="0"/>
        <w:autoSpaceDN w:val="0"/>
        <w:adjustRightInd w:val="0"/>
        <w:rPr>
          <w:b/>
        </w:rPr>
      </w:pPr>
      <w:r>
        <w:rPr>
          <w:b/>
        </w:rPr>
        <w:t>Due to the request for e</w:t>
      </w:r>
      <w:r w:rsidR="00D8564B" w:rsidRPr="00D8564B">
        <w:rPr>
          <w:b/>
        </w:rPr>
        <w:t xml:space="preserve">mergency clearance a copy of the Federal Register notice is not </w:t>
      </w:r>
      <w:r>
        <w:rPr>
          <w:b/>
        </w:rPr>
        <w:t>included</w:t>
      </w:r>
      <w:r w:rsidR="00D8564B" w:rsidRPr="00D8564B">
        <w:rPr>
          <w:b/>
        </w:rPr>
        <w:t xml:space="preserve">.  </w:t>
      </w:r>
    </w:p>
    <w:p w:rsidR="00A04EF7" w:rsidRDefault="00A04EF7" w:rsidP="0029050F">
      <w:pPr>
        <w:autoSpaceDE w:val="0"/>
        <w:autoSpaceDN w:val="0"/>
        <w:adjustRightInd w:val="0"/>
      </w:pPr>
    </w:p>
    <w:p w:rsidR="0029050F" w:rsidRDefault="0029050F" w:rsidP="0029050F">
      <w:pPr>
        <w:autoSpaceDE w:val="0"/>
        <w:autoSpaceDN w:val="0"/>
        <w:adjustRightInd w:val="0"/>
      </w:pPr>
      <w:r w:rsidRPr="00CE3C52">
        <w:t>9. Explain any decision to provide any payment or gift to respondents, other than renumeration of contractors or grantees.</w:t>
      </w:r>
    </w:p>
    <w:p w:rsidR="003C398A" w:rsidRDefault="003C398A" w:rsidP="0029050F">
      <w:pPr>
        <w:autoSpaceDE w:val="0"/>
        <w:autoSpaceDN w:val="0"/>
        <w:adjustRightInd w:val="0"/>
      </w:pPr>
    </w:p>
    <w:p w:rsidR="00A07598" w:rsidRDefault="003C398A" w:rsidP="003C398A">
      <w:pPr>
        <w:autoSpaceDE w:val="0"/>
        <w:autoSpaceDN w:val="0"/>
        <w:adjustRightInd w:val="0"/>
        <w:rPr>
          <w:b/>
        </w:rPr>
      </w:pPr>
      <w:r>
        <w:rPr>
          <w:b/>
        </w:rPr>
        <w:t xml:space="preserve">An </w:t>
      </w:r>
      <w:r w:rsidRPr="0009394A">
        <w:rPr>
          <w:b/>
        </w:rPr>
        <w:t xml:space="preserve">incentive </w:t>
      </w:r>
      <w:r w:rsidRPr="00B5738B">
        <w:rPr>
          <w:b/>
        </w:rPr>
        <w:t>of $</w:t>
      </w:r>
      <w:r w:rsidR="00B5738B" w:rsidRPr="00B5738B">
        <w:rPr>
          <w:b/>
        </w:rPr>
        <w:t>100</w:t>
      </w:r>
      <w:r w:rsidRPr="0009394A">
        <w:rPr>
          <w:b/>
        </w:rPr>
        <w:t xml:space="preserve"> per participant will be provided upon com</w:t>
      </w:r>
      <w:r w:rsidR="00F6790A">
        <w:rPr>
          <w:b/>
        </w:rPr>
        <w:t xml:space="preserve">pletion of the focus groups.  </w:t>
      </w:r>
      <w:r w:rsidR="00A07598">
        <w:rPr>
          <w:b/>
        </w:rPr>
        <w:t>This amount was selected to strike the best balance between ensuring participation by members of specific professional groups, such as compliance officers, and being equitable to all participants.</w:t>
      </w:r>
    </w:p>
    <w:p w:rsidR="00A07598" w:rsidRDefault="00A07598" w:rsidP="003C398A">
      <w:pPr>
        <w:autoSpaceDE w:val="0"/>
        <w:autoSpaceDN w:val="0"/>
        <w:adjustRightInd w:val="0"/>
        <w:rPr>
          <w:b/>
        </w:rPr>
      </w:pPr>
    </w:p>
    <w:p w:rsidR="003C398A" w:rsidRPr="0009394A" w:rsidRDefault="00F6790A" w:rsidP="003C398A">
      <w:pPr>
        <w:autoSpaceDE w:val="0"/>
        <w:autoSpaceDN w:val="0"/>
        <w:adjustRightInd w:val="0"/>
        <w:rPr>
          <w:b/>
        </w:rPr>
      </w:pPr>
      <w:r>
        <w:rPr>
          <w:b/>
        </w:rPr>
        <w:t xml:space="preserve">An incentive of $50 per participant will be provided upon completion of the </w:t>
      </w:r>
      <w:r w:rsidR="003C398A" w:rsidRPr="0009394A">
        <w:rPr>
          <w:b/>
        </w:rPr>
        <w:t>usability sessions. This amount is in line with indust</w:t>
      </w:r>
      <w:r w:rsidR="003C398A">
        <w:rPr>
          <w:b/>
        </w:rPr>
        <w:t>ry standards and promotes optimum show rates required to obtain validity of the information collected.</w:t>
      </w:r>
    </w:p>
    <w:p w:rsidR="0009394A" w:rsidRDefault="0009394A" w:rsidP="0029050F">
      <w:pPr>
        <w:autoSpaceDE w:val="0"/>
        <w:autoSpaceDN w:val="0"/>
        <w:adjustRightInd w:val="0"/>
      </w:pPr>
    </w:p>
    <w:p w:rsidR="0029050F" w:rsidRDefault="0029050F" w:rsidP="0029050F">
      <w:pPr>
        <w:autoSpaceDE w:val="0"/>
        <w:autoSpaceDN w:val="0"/>
        <w:adjustRightInd w:val="0"/>
      </w:pPr>
      <w:r w:rsidRPr="00CE3C52">
        <w:t>10. Describe any assurance of confidentiality provided to respondents and the basis for the assurance in statute, regulation, or agency policy.</w:t>
      </w:r>
    </w:p>
    <w:p w:rsidR="0049773C" w:rsidRDefault="0049773C" w:rsidP="0029050F">
      <w:pPr>
        <w:autoSpaceDE w:val="0"/>
        <w:autoSpaceDN w:val="0"/>
        <w:adjustRightInd w:val="0"/>
      </w:pPr>
    </w:p>
    <w:p w:rsidR="0049773C" w:rsidRPr="00FE75E5" w:rsidRDefault="0049773C" w:rsidP="0049773C">
      <w:pPr>
        <w:autoSpaceDE w:val="0"/>
        <w:autoSpaceDN w:val="0"/>
        <w:adjustRightInd w:val="0"/>
        <w:rPr>
          <w:b/>
        </w:rPr>
      </w:pPr>
      <w:r w:rsidRPr="00FE75E5">
        <w:rPr>
          <w:b/>
        </w:rPr>
        <w:t xml:space="preserve">The study will not be collecting proprietary information. </w:t>
      </w:r>
      <w:r w:rsidR="00A22CD4">
        <w:rPr>
          <w:b/>
        </w:rPr>
        <w:t>There is no guarantee of confidentiality, but the information will be kept private to the extent permitted by law</w:t>
      </w:r>
      <w:r w:rsidR="00FC3C44">
        <w:rPr>
          <w:b/>
        </w:rPr>
        <w:t>.</w:t>
      </w:r>
    </w:p>
    <w:p w:rsidR="00FE75E5" w:rsidRDefault="00FE75E5" w:rsidP="0029050F">
      <w:pPr>
        <w:autoSpaceDE w:val="0"/>
        <w:autoSpaceDN w:val="0"/>
        <w:adjustRightInd w:val="0"/>
      </w:pPr>
    </w:p>
    <w:p w:rsidR="0029050F" w:rsidRDefault="0029050F" w:rsidP="0029050F">
      <w:pPr>
        <w:autoSpaceDE w:val="0"/>
        <w:autoSpaceDN w:val="0"/>
        <w:adjustRightInd w:val="0"/>
      </w:pPr>
      <w:r w:rsidRPr="00CE3C52">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w:t>
      </w:r>
      <w:r w:rsidRPr="00CE3C52">
        <w:lastRenderedPageBreak/>
        <w:t>questions necessary, the specific uses to be made of the information, the explanation to be given to persons from whom the information is requested, and any steps to be taken to obtain their consent.</w:t>
      </w:r>
    </w:p>
    <w:p w:rsidR="0049773C" w:rsidRDefault="0049773C" w:rsidP="0029050F">
      <w:pPr>
        <w:autoSpaceDE w:val="0"/>
        <w:autoSpaceDN w:val="0"/>
        <w:adjustRightInd w:val="0"/>
      </w:pPr>
    </w:p>
    <w:p w:rsidR="0049773C" w:rsidRPr="005C64C6" w:rsidRDefault="0049773C" w:rsidP="004977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C64C6">
        <w:rPr>
          <w:b/>
        </w:rPr>
        <w:t>There are no sensitive questions associated with this collection.</w:t>
      </w:r>
    </w:p>
    <w:p w:rsidR="00FE75E5" w:rsidRDefault="00FE75E5" w:rsidP="0029050F">
      <w:pPr>
        <w:autoSpaceDE w:val="0"/>
        <w:autoSpaceDN w:val="0"/>
        <w:adjustRightInd w:val="0"/>
      </w:pPr>
    </w:p>
    <w:p w:rsidR="0029050F" w:rsidRDefault="0029050F" w:rsidP="0029050F">
      <w:pPr>
        <w:autoSpaceDE w:val="0"/>
        <w:autoSpaceDN w:val="0"/>
        <w:adjustRightInd w:val="0"/>
      </w:pPr>
      <w:r w:rsidRPr="00CE3C52">
        <w:t xml:space="preserve">12. Provide estimates of the hour burden of the collection of information. The statement should: </w:t>
      </w:r>
    </w:p>
    <w:p w:rsidR="009F4A2C" w:rsidRDefault="009F4A2C" w:rsidP="0029050F">
      <w:pPr>
        <w:autoSpaceDE w:val="0"/>
        <w:autoSpaceDN w:val="0"/>
        <w:adjustRightInd w:val="0"/>
      </w:pPr>
    </w:p>
    <w:p w:rsidR="0029050F" w:rsidRPr="00CE3C52" w:rsidRDefault="0029050F" w:rsidP="0029050F">
      <w:pPr>
        <w:autoSpaceDE w:val="0"/>
        <w:autoSpaceDN w:val="0"/>
        <w:adjustRightInd w:val="0"/>
      </w:pPr>
      <w:r w:rsidRPr="00CE3C52">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r w:rsidR="00C10FB8">
        <w:t>.</w:t>
      </w:r>
      <w:r w:rsidRPr="00CE3C52">
        <w:t xml:space="preserve"> </w:t>
      </w:r>
    </w:p>
    <w:p w:rsidR="0029050F" w:rsidRDefault="0029050F" w:rsidP="0029050F">
      <w:pPr>
        <w:autoSpaceDE w:val="0"/>
        <w:autoSpaceDN w:val="0"/>
        <w:adjustRightInd w:val="0"/>
      </w:pPr>
      <w:r w:rsidRPr="00CE3C52">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3D7478">
        <w:t>under item 13.</w:t>
      </w:r>
    </w:p>
    <w:p w:rsidR="00BE2A10" w:rsidRDefault="00BE2A10" w:rsidP="0029050F">
      <w:pPr>
        <w:autoSpaceDE w:val="0"/>
        <w:autoSpaceDN w:val="0"/>
        <w:adjustRightInd w:val="0"/>
      </w:pPr>
    </w:p>
    <w:p w:rsidR="00BE2A10" w:rsidRDefault="00BE2A10" w:rsidP="00BE2A10">
      <w:pPr>
        <w:autoSpaceDE w:val="0"/>
        <w:autoSpaceDN w:val="0"/>
        <w:adjustRightInd w:val="0"/>
        <w:rPr>
          <w:b/>
        </w:rPr>
      </w:pPr>
      <w:r w:rsidRPr="009F4A2C">
        <w:rPr>
          <w:b/>
        </w:rPr>
        <w:t>Focus group participants will be asked to spend two hours in a moderated session at a third party facility. This study will recruit</w:t>
      </w:r>
      <w:r w:rsidR="00354736">
        <w:rPr>
          <w:b/>
        </w:rPr>
        <w:t xml:space="preserve"> a total</w:t>
      </w:r>
      <w:r w:rsidRPr="009F4A2C">
        <w:rPr>
          <w:b/>
        </w:rPr>
        <w:t xml:space="preserve"> </w:t>
      </w:r>
      <w:r w:rsidR="00354736">
        <w:rPr>
          <w:b/>
        </w:rPr>
        <w:t>88</w:t>
      </w:r>
      <w:r w:rsidRPr="009F4A2C">
        <w:rPr>
          <w:b/>
        </w:rPr>
        <w:t xml:space="preserve"> focus groups participants</w:t>
      </w:r>
      <w:r w:rsidR="00354736">
        <w:rPr>
          <w:b/>
        </w:rPr>
        <w:t>; 11 for each of 4 focus groups for financialstability.gov and 4 groups for makinghomeaffordable.gov</w:t>
      </w:r>
      <w:r w:rsidRPr="009F4A2C">
        <w:rPr>
          <w:b/>
        </w:rPr>
        <w:t>.</w:t>
      </w:r>
      <w:r>
        <w:rPr>
          <w:b/>
        </w:rPr>
        <w:t xml:space="preserve"> </w:t>
      </w:r>
    </w:p>
    <w:p w:rsidR="00BE2A10" w:rsidRDefault="00BE2A10" w:rsidP="00BE2A10">
      <w:pPr>
        <w:autoSpaceDE w:val="0"/>
        <w:autoSpaceDN w:val="0"/>
        <w:adjustRightInd w:val="0"/>
        <w:rPr>
          <w:b/>
        </w:rPr>
      </w:pPr>
    </w:p>
    <w:p w:rsidR="00BE2A10" w:rsidRPr="002B739C" w:rsidRDefault="00354736" w:rsidP="00BE2A10">
      <w:pPr>
        <w:autoSpaceDE w:val="0"/>
        <w:autoSpaceDN w:val="0"/>
        <w:adjustRightInd w:val="0"/>
        <w:rPr>
          <w:b/>
        </w:rPr>
      </w:pPr>
      <w:r w:rsidRPr="002B739C">
        <w:rPr>
          <w:b/>
        </w:rPr>
        <w:t>88 participants @ 2 hours each = 176</w:t>
      </w:r>
      <w:r w:rsidR="00BE2A10" w:rsidRPr="002B739C">
        <w:rPr>
          <w:b/>
        </w:rPr>
        <w:t xml:space="preserve"> hours </w:t>
      </w:r>
    </w:p>
    <w:p w:rsidR="00BE2A10" w:rsidRPr="002B739C" w:rsidRDefault="00BE2A10" w:rsidP="00BE2A10">
      <w:pPr>
        <w:autoSpaceDE w:val="0"/>
        <w:autoSpaceDN w:val="0"/>
        <w:adjustRightInd w:val="0"/>
        <w:rPr>
          <w:b/>
        </w:rPr>
      </w:pPr>
    </w:p>
    <w:p w:rsidR="00BE2A10" w:rsidRPr="002B739C" w:rsidRDefault="00BE2A10" w:rsidP="00BE2A10">
      <w:pPr>
        <w:autoSpaceDE w:val="0"/>
        <w:autoSpaceDN w:val="0"/>
        <w:adjustRightInd w:val="0"/>
        <w:rPr>
          <w:b/>
        </w:rPr>
      </w:pPr>
      <w:r w:rsidRPr="002B739C">
        <w:rPr>
          <w:b/>
        </w:rPr>
        <w:t xml:space="preserve">Usability participants will be asked to spend one hour in a virtual moderated session. This study will recruit </w:t>
      </w:r>
      <w:r w:rsidR="00354736" w:rsidRPr="002B739C">
        <w:rPr>
          <w:b/>
        </w:rPr>
        <w:t xml:space="preserve">44 </w:t>
      </w:r>
      <w:r w:rsidRPr="002B739C">
        <w:rPr>
          <w:b/>
        </w:rPr>
        <w:t xml:space="preserve">usability testing participants. </w:t>
      </w:r>
    </w:p>
    <w:p w:rsidR="00BE2A10" w:rsidRPr="002B739C" w:rsidRDefault="00BE2A10" w:rsidP="00BE2A10">
      <w:pPr>
        <w:autoSpaceDE w:val="0"/>
        <w:autoSpaceDN w:val="0"/>
        <w:adjustRightInd w:val="0"/>
        <w:rPr>
          <w:b/>
        </w:rPr>
      </w:pPr>
    </w:p>
    <w:p w:rsidR="00BE2A10" w:rsidRPr="002B739C" w:rsidRDefault="00354736" w:rsidP="00BE2A10">
      <w:pPr>
        <w:autoSpaceDE w:val="0"/>
        <w:autoSpaceDN w:val="0"/>
        <w:adjustRightInd w:val="0"/>
        <w:rPr>
          <w:b/>
        </w:rPr>
      </w:pPr>
      <w:r w:rsidRPr="002B739C">
        <w:rPr>
          <w:b/>
        </w:rPr>
        <w:t>44</w:t>
      </w:r>
      <w:r w:rsidR="00BE2A10" w:rsidRPr="002B739C">
        <w:rPr>
          <w:b/>
        </w:rPr>
        <w:t xml:space="preserve"> participants @ 1 hour each = </w:t>
      </w:r>
      <w:r w:rsidRPr="002B739C">
        <w:rPr>
          <w:b/>
        </w:rPr>
        <w:t>44</w:t>
      </w:r>
      <w:r w:rsidR="00BE2A10" w:rsidRPr="002B739C">
        <w:rPr>
          <w:b/>
        </w:rPr>
        <w:t xml:space="preserve"> hours</w:t>
      </w:r>
    </w:p>
    <w:p w:rsidR="00BE2A10" w:rsidRPr="002B739C" w:rsidRDefault="00BE2A10" w:rsidP="00BE2A10">
      <w:pPr>
        <w:autoSpaceDE w:val="0"/>
        <w:autoSpaceDN w:val="0"/>
        <w:adjustRightInd w:val="0"/>
        <w:rPr>
          <w:b/>
        </w:rPr>
      </w:pPr>
    </w:p>
    <w:p w:rsidR="00BE2A10" w:rsidRDefault="00354736" w:rsidP="00BE2A10">
      <w:pPr>
        <w:autoSpaceDE w:val="0"/>
        <w:autoSpaceDN w:val="0"/>
        <w:adjustRightInd w:val="0"/>
        <w:rPr>
          <w:b/>
        </w:rPr>
      </w:pPr>
      <w:r w:rsidRPr="002B739C">
        <w:rPr>
          <w:b/>
        </w:rPr>
        <w:t>220</w:t>
      </w:r>
      <w:r w:rsidR="00BE2A10" w:rsidRPr="002B739C">
        <w:rPr>
          <w:b/>
        </w:rPr>
        <w:t xml:space="preserve"> hours @ $</w:t>
      </w:r>
      <w:r w:rsidR="00B356F5" w:rsidRPr="002B739C">
        <w:rPr>
          <w:b/>
        </w:rPr>
        <w:t>1</w:t>
      </w:r>
      <w:r w:rsidR="00B356F5">
        <w:rPr>
          <w:b/>
        </w:rPr>
        <w:t>00</w:t>
      </w:r>
      <w:r w:rsidR="00BE2A10" w:rsidRPr="002B739C">
        <w:rPr>
          <w:b/>
        </w:rPr>
        <w:t xml:space="preserve"> per participant = $</w:t>
      </w:r>
      <w:r w:rsidR="00B5738B" w:rsidRPr="002B739C">
        <w:rPr>
          <w:b/>
        </w:rPr>
        <w:t>2</w:t>
      </w:r>
      <w:r w:rsidR="00B5738B">
        <w:rPr>
          <w:b/>
        </w:rPr>
        <w:t>2</w:t>
      </w:r>
      <w:r w:rsidR="00BE2A10" w:rsidRPr="002B739C">
        <w:rPr>
          <w:b/>
        </w:rPr>
        <w:t>,</w:t>
      </w:r>
      <w:r w:rsidR="00B5738B">
        <w:rPr>
          <w:b/>
        </w:rPr>
        <w:t>0</w:t>
      </w:r>
      <w:r w:rsidR="00B5738B" w:rsidRPr="002B739C">
        <w:rPr>
          <w:b/>
        </w:rPr>
        <w:t>00</w:t>
      </w:r>
    </w:p>
    <w:p w:rsidR="00BE2A10" w:rsidRDefault="00BE2A10" w:rsidP="00BE2A10">
      <w:pPr>
        <w:autoSpaceDE w:val="0"/>
        <w:autoSpaceDN w:val="0"/>
        <w:adjustRightInd w:val="0"/>
        <w:rPr>
          <w:b/>
        </w:rPr>
      </w:pPr>
    </w:p>
    <w:p w:rsidR="00BE2A10" w:rsidRPr="009F4A2C" w:rsidRDefault="00BE2A10" w:rsidP="00BE2A10">
      <w:pPr>
        <w:autoSpaceDE w:val="0"/>
        <w:autoSpaceDN w:val="0"/>
        <w:adjustRightInd w:val="0"/>
        <w:rPr>
          <w:b/>
        </w:rPr>
      </w:pPr>
      <w:r>
        <w:rPr>
          <w:b/>
        </w:rPr>
        <w:t>$</w:t>
      </w:r>
      <w:r w:rsidR="00B5738B">
        <w:rPr>
          <w:b/>
        </w:rPr>
        <w:t>100</w:t>
      </w:r>
      <w:r>
        <w:rPr>
          <w:b/>
        </w:rPr>
        <w:t xml:space="preserve"> per participant based on professional wage</w:t>
      </w:r>
    </w:p>
    <w:p w:rsidR="00BE2A10" w:rsidRPr="00CE3C52" w:rsidRDefault="00BE2A10" w:rsidP="0029050F">
      <w:pPr>
        <w:autoSpaceDE w:val="0"/>
        <w:autoSpaceDN w:val="0"/>
        <w:adjustRightInd w:val="0"/>
      </w:pPr>
    </w:p>
    <w:p w:rsidR="00420ED6" w:rsidRDefault="00420ED6" w:rsidP="0029050F">
      <w:pPr>
        <w:autoSpaceDE w:val="0"/>
        <w:autoSpaceDN w:val="0"/>
        <w:adjustRightInd w:val="0"/>
      </w:pPr>
    </w:p>
    <w:p w:rsidR="0029050F" w:rsidRPr="00CE3C52" w:rsidRDefault="0029050F" w:rsidP="0029050F">
      <w:pPr>
        <w:autoSpaceDE w:val="0"/>
        <w:autoSpaceDN w:val="0"/>
        <w:adjustRightInd w:val="0"/>
      </w:pPr>
      <w:r w:rsidRPr="00CE3C52">
        <w:t xml:space="preserve">13. Provide an estimate for the total annual cost burden to respondents or </w:t>
      </w:r>
      <w:r w:rsidR="00345435" w:rsidRPr="00CE3C52">
        <w:t>record keepers</w:t>
      </w:r>
      <w:r w:rsidRPr="00CE3C52">
        <w:t xml:space="preserve"> resulting from the collection of information. (Do not include the cost of any hour burden </w:t>
      </w:r>
      <w:r w:rsidR="00C10FB8">
        <w:t>already reflected on the burden worksheet)</w:t>
      </w:r>
      <w:r w:rsidRPr="00CE3C52">
        <w:t>.</w:t>
      </w:r>
    </w:p>
    <w:p w:rsidR="0029050F" w:rsidRPr="00CE3C52" w:rsidRDefault="0029050F" w:rsidP="0029050F">
      <w:pPr>
        <w:autoSpaceDE w:val="0"/>
        <w:autoSpaceDN w:val="0"/>
        <w:adjustRightInd w:val="0"/>
      </w:pPr>
      <w:r w:rsidRPr="00CE3C52">
        <w:t xml:space="preserve">* The cost estimate should be split into two components: (a) a total capital and start-up cost component (annualized over its expected useful life) and (b) a total operation and </w:t>
      </w:r>
      <w:r w:rsidRPr="00CE3C52">
        <w:lastRenderedPageBreak/>
        <w:t xml:space="preserve">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9050F" w:rsidRPr="00CE3C52" w:rsidRDefault="0029050F" w:rsidP="0029050F">
      <w:pPr>
        <w:autoSpaceDE w:val="0"/>
        <w:autoSpaceDN w:val="0"/>
        <w:adjustRightInd w:val="0"/>
      </w:pPr>
      <w:r w:rsidRPr="00CE3C52">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9050F" w:rsidRDefault="0029050F" w:rsidP="0029050F">
      <w:pPr>
        <w:autoSpaceDE w:val="0"/>
        <w:autoSpaceDN w:val="0"/>
        <w:adjustRightInd w:val="0"/>
      </w:pPr>
      <w:r w:rsidRPr="00CE3C52">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CE3C52">
          <w:t>October 1, 1995</w:t>
        </w:r>
      </w:smartTag>
      <w:r w:rsidRPr="00CE3C52">
        <w:t>, (2) to achieve regulatory compliance with requirements not associated with the information collection, (3) for reasons other than to provide information or keep records for the government, or (4) as part of customary and usual business or private practices.</w:t>
      </w:r>
    </w:p>
    <w:p w:rsidR="0049773C" w:rsidRDefault="0049773C" w:rsidP="0029050F">
      <w:pPr>
        <w:autoSpaceDE w:val="0"/>
        <w:autoSpaceDN w:val="0"/>
        <w:adjustRightInd w:val="0"/>
      </w:pPr>
    </w:p>
    <w:p w:rsidR="0049773C" w:rsidRPr="003A647F" w:rsidRDefault="0049773C" w:rsidP="0049773C">
      <w:pPr>
        <w:autoSpaceDE w:val="0"/>
        <w:autoSpaceDN w:val="0"/>
        <w:adjustRightInd w:val="0"/>
        <w:rPr>
          <w:b/>
        </w:rPr>
      </w:pPr>
      <w:r>
        <w:rPr>
          <w:b/>
        </w:rPr>
        <w:t xml:space="preserve">There are no </w:t>
      </w:r>
      <w:r w:rsidR="002B739C">
        <w:rPr>
          <w:b/>
        </w:rPr>
        <w:t xml:space="preserve">annual </w:t>
      </w:r>
      <w:r>
        <w:rPr>
          <w:b/>
        </w:rPr>
        <w:t>costs associated with this collection.</w:t>
      </w:r>
    </w:p>
    <w:p w:rsidR="003A647F" w:rsidRDefault="003A647F" w:rsidP="0029050F">
      <w:pPr>
        <w:autoSpaceDE w:val="0"/>
        <w:autoSpaceDN w:val="0"/>
        <w:adjustRightInd w:val="0"/>
      </w:pPr>
    </w:p>
    <w:p w:rsidR="00727A85" w:rsidRDefault="0029050F" w:rsidP="0029050F">
      <w:pPr>
        <w:autoSpaceDE w:val="0"/>
        <w:autoSpaceDN w:val="0"/>
        <w:adjustRightInd w:val="0"/>
      </w:pPr>
      <w:r w:rsidRPr="00CE3C52">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3D7478">
        <w:t xml:space="preserve">  Costs to the Federal government for contracting out or paying outside parties for information collection actives should be included here. </w:t>
      </w:r>
    </w:p>
    <w:p w:rsidR="00727A85" w:rsidRDefault="00727A85" w:rsidP="0029050F">
      <w:pPr>
        <w:autoSpaceDE w:val="0"/>
        <w:autoSpaceDN w:val="0"/>
        <w:adjustRightInd w:val="0"/>
      </w:pPr>
    </w:p>
    <w:p w:rsidR="0029050F" w:rsidRDefault="0029050F" w:rsidP="0029050F">
      <w:pPr>
        <w:autoSpaceDE w:val="0"/>
        <w:autoSpaceDN w:val="0"/>
        <w:adjustRightInd w:val="0"/>
      </w:pPr>
      <w:r w:rsidRPr="00727A85">
        <w:t>Agencies may also aggregate cost estimates from Items 12, 13, and 14 in a single table.</w:t>
      </w:r>
    </w:p>
    <w:p w:rsidR="00BE2A10" w:rsidRDefault="00BE2A10" w:rsidP="0029050F">
      <w:pPr>
        <w:autoSpaceDE w:val="0"/>
        <w:autoSpaceDN w:val="0"/>
        <w:adjustRightInd w:val="0"/>
      </w:pPr>
    </w:p>
    <w:p w:rsidR="00BE2A10" w:rsidRDefault="00BE2A10" w:rsidP="00BE2A10">
      <w:pPr>
        <w:autoSpaceDE w:val="0"/>
        <w:autoSpaceDN w:val="0"/>
        <w:adjustRightInd w:val="0"/>
        <w:rPr>
          <w:b/>
        </w:rPr>
      </w:pPr>
      <w:r w:rsidRPr="003A647F">
        <w:rPr>
          <w:b/>
        </w:rPr>
        <w:t xml:space="preserve">The total cost to the government for collecting this research is </w:t>
      </w:r>
      <w:r w:rsidRPr="00D8564B">
        <w:rPr>
          <w:b/>
        </w:rPr>
        <w:t>$</w:t>
      </w:r>
      <w:r w:rsidR="00D8564B" w:rsidRPr="00D8564B">
        <w:rPr>
          <w:b/>
        </w:rPr>
        <w:t>119,906.04</w:t>
      </w:r>
      <w:r w:rsidRPr="003A647F">
        <w:rPr>
          <w:b/>
        </w:rPr>
        <w:t>. This cost includes:</w:t>
      </w:r>
    </w:p>
    <w:p w:rsidR="00BE2A10" w:rsidRDefault="00BE2A10" w:rsidP="00BE2A10">
      <w:pPr>
        <w:numPr>
          <w:ilvl w:val="0"/>
          <w:numId w:val="3"/>
        </w:numPr>
        <w:autoSpaceDE w:val="0"/>
        <w:autoSpaceDN w:val="0"/>
        <w:adjustRightInd w:val="0"/>
        <w:rPr>
          <w:b/>
        </w:rPr>
      </w:pPr>
      <w:r>
        <w:rPr>
          <w:b/>
        </w:rPr>
        <w:t xml:space="preserve">Moderating services </w:t>
      </w:r>
    </w:p>
    <w:p w:rsidR="00BE2A10" w:rsidRDefault="00BE2A10" w:rsidP="00BE2A10">
      <w:pPr>
        <w:numPr>
          <w:ilvl w:val="0"/>
          <w:numId w:val="3"/>
        </w:numPr>
        <w:autoSpaceDE w:val="0"/>
        <w:autoSpaceDN w:val="0"/>
        <w:adjustRightInd w:val="0"/>
        <w:rPr>
          <w:b/>
        </w:rPr>
      </w:pPr>
      <w:r>
        <w:rPr>
          <w:b/>
        </w:rPr>
        <w:t xml:space="preserve">Recruiting services </w:t>
      </w:r>
    </w:p>
    <w:p w:rsidR="00BE2A10" w:rsidRDefault="00BE2A10" w:rsidP="00BE2A10">
      <w:pPr>
        <w:numPr>
          <w:ilvl w:val="0"/>
          <w:numId w:val="3"/>
        </w:numPr>
        <w:autoSpaceDE w:val="0"/>
        <w:autoSpaceDN w:val="0"/>
        <w:adjustRightInd w:val="0"/>
        <w:rPr>
          <w:b/>
        </w:rPr>
      </w:pPr>
      <w:r>
        <w:rPr>
          <w:b/>
        </w:rPr>
        <w:t>Focus group facility rental and stationary video</w:t>
      </w:r>
    </w:p>
    <w:p w:rsidR="00BE2A10" w:rsidRDefault="00BE2A10" w:rsidP="00BE2A10">
      <w:pPr>
        <w:numPr>
          <w:ilvl w:val="0"/>
          <w:numId w:val="3"/>
        </w:numPr>
        <w:autoSpaceDE w:val="0"/>
        <w:autoSpaceDN w:val="0"/>
        <w:adjustRightInd w:val="0"/>
        <w:rPr>
          <w:b/>
        </w:rPr>
      </w:pPr>
      <w:r>
        <w:rPr>
          <w:b/>
        </w:rPr>
        <w:t>Incentives for participants</w:t>
      </w:r>
    </w:p>
    <w:p w:rsidR="00BE2A10" w:rsidRDefault="00BE2A10" w:rsidP="00BE2A10">
      <w:pPr>
        <w:numPr>
          <w:ilvl w:val="0"/>
          <w:numId w:val="3"/>
        </w:numPr>
        <w:autoSpaceDE w:val="0"/>
        <w:autoSpaceDN w:val="0"/>
        <w:adjustRightInd w:val="0"/>
        <w:rPr>
          <w:b/>
        </w:rPr>
      </w:pPr>
      <w:r>
        <w:rPr>
          <w:b/>
        </w:rPr>
        <w:t>Respondent catering</w:t>
      </w:r>
    </w:p>
    <w:p w:rsidR="00BE2A10" w:rsidRDefault="00BE2A10" w:rsidP="00BE2A10">
      <w:pPr>
        <w:numPr>
          <w:ilvl w:val="0"/>
          <w:numId w:val="3"/>
        </w:numPr>
        <w:autoSpaceDE w:val="0"/>
        <w:autoSpaceDN w:val="0"/>
        <w:adjustRightInd w:val="0"/>
        <w:rPr>
          <w:b/>
        </w:rPr>
      </w:pPr>
      <w:r>
        <w:rPr>
          <w:b/>
        </w:rPr>
        <w:t>Moderator travel</w:t>
      </w:r>
    </w:p>
    <w:p w:rsidR="00BE2A10" w:rsidRDefault="00BE2A10" w:rsidP="00BE2A10">
      <w:pPr>
        <w:numPr>
          <w:ilvl w:val="0"/>
          <w:numId w:val="3"/>
        </w:numPr>
        <w:autoSpaceDE w:val="0"/>
        <w:autoSpaceDN w:val="0"/>
        <w:adjustRightInd w:val="0"/>
        <w:rPr>
          <w:b/>
        </w:rPr>
      </w:pPr>
      <w:r>
        <w:rPr>
          <w:b/>
        </w:rPr>
        <w:t>Conference line for virtual usability testing</w:t>
      </w:r>
    </w:p>
    <w:p w:rsidR="00BE2A10" w:rsidRDefault="00BE2A10" w:rsidP="00BE2A10">
      <w:pPr>
        <w:numPr>
          <w:ilvl w:val="0"/>
          <w:numId w:val="3"/>
        </w:numPr>
        <w:autoSpaceDE w:val="0"/>
        <w:autoSpaceDN w:val="0"/>
        <w:adjustRightInd w:val="0"/>
        <w:rPr>
          <w:b/>
        </w:rPr>
      </w:pPr>
      <w:r>
        <w:rPr>
          <w:b/>
        </w:rPr>
        <w:t>Documentation of findings</w:t>
      </w:r>
    </w:p>
    <w:p w:rsidR="00BE2A10" w:rsidRDefault="00BE2A10" w:rsidP="00BE2A10">
      <w:pPr>
        <w:numPr>
          <w:ilvl w:val="0"/>
          <w:numId w:val="3"/>
        </w:numPr>
        <w:autoSpaceDE w:val="0"/>
        <w:autoSpaceDN w:val="0"/>
        <w:adjustRightInd w:val="0"/>
        <w:rPr>
          <w:b/>
        </w:rPr>
      </w:pPr>
      <w:r>
        <w:rPr>
          <w:b/>
        </w:rPr>
        <w:t>Analysis</w:t>
      </w:r>
    </w:p>
    <w:p w:rsidR="00BE2A10" w:rsidRPr="00727A85" w:rsidRDefault="00BE2A10" w:rsidP="0029050F">
      <w:pPr>
        <w:autoSpaceDE w:val="0"/>
        <w:autoSpaceDN w:val="0"/>
        <w:adjustRightInd w:val="0"/>
      </w:pPr>
    </w:p>
    <w:p w:rsidR="0029050F" w:rsidRPr="003A647F" w:rsidRDefault="0029050F" w:rsidP="0029050F">
      <w:pPr>
        <w:autoSpaceDE w:val="0"/>
        <w:autoSpaceDN w:val="0"/>
        <w:adjustRightInd w:val="0"/>
        <w:rPr>
          <w:b/>
        </w:rPr>
      </w:pPr>
    </w:p>
    <w:p w:rsidR="0029050F" w:rsidRDefault="0029050F" w:rsidP="0029050F">
      <w:pPr>
        <w:autoSpaceDE w:val="0"/>
        <w:autoSpaceDN w:val="0"/>
        <w:adjustRightInd w:val="0"/>
      </w:pPr>
      <w:r w:rsidRPr="00CE3C52">
        <w:lastRenderedPageBreak/>
        <w:t xml:space="preserve">15. Explain the reasons for any program changes or adjustments reported </w:t>
      </w:r>
      <w:r w:rsidR="006E6A52">
        <w:t>on the burden worksheet.</w:t>
      </w:r>
    </w:p>
    <w:p w:rsidR="0049773C" w:rsidRDefault="0049773C" w:rsidP="0029050F">
      <w:pPr>
        <w:autoSpaceDE w:val="0"/>
        <w:autoSpaceDN w:val="0"/>
        <w:adjustRightInd w:val="0"/>
      </w:pPr>
    </w:p>
    <w:p w:rsidR="0049773C" w:rsidRPr="0049773C" w:rsidRDefault="0049773C" w:rsidP="0029050F">
      <w:pPr>
        <w:autoSpaceDE w:val="0"/>
        <w:autoSpaceDN w:val="0"/>
        <w:adjustRightInd w:val="0"/>
        <w:rPr>
          <w:b/>
        </w:rPr>
      </w:pPr>
      <w:r>
        <w:rPr>
          <w:b/>
        </w:rPr>
        <w:t>N/A</w:t>
      </w:r>
    </w:p>
    <w:p w:rsidR="00725551" w:rsidRDefault="00725551" w:rsidP="0029050F">
      <w:pPr>
        <w:autoSpaceDE w:val="0"/>
        <w:autoSpaceDN w:val="0"/>
        <w:adjustRightInd w:val="0"/>
      </w:pPr>
    </w:p>
    <w:p w:rsidR="0029050F" w:rsidRDefault="0029050F" w:rsidP="0029050F">
      <w:pPr>
        <w:autoSpaceDE w:val="0"/>
        <w:autoSpaceDN w:val="0"/>
        <w:adjustRightInd w:val="0"/>
      </w:pPr>
      <w:r w:rsidRPr="00CE3C52">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2A10" w:rsidRDefault="00BE2A10" w:rsidP="0029050F">
      <w:pPr>
        <w:autoSpaceDE w:val="0"/>
        <w:autoSpaceDN w:val="0"/>
        <w:adjustRightInd w:val="0"/>
      </w:pPr>
    </w:p>
    <w:p w:rsidR="00BE2A10" w:rsidRPr="00502B08" w:rsidRDefault="00BE2A10" w:rsidP="00BE2A10">
      <w:pPr>
        <w:rPr>
          <w:b/>
        </w:rPr>
      </w:pPr>
      <w:r w:rsidRPr="00502B08">
        <w:rPr>
          <w:b/>
        </w:rPr>
        <w:t>Tabulation plan:</w:t>
      </w:r>
    </w:p>
    <w:p w:rsidR="00BE2A10" w:rsidRPr="00502B08" w:rsidRDefault="00BE2A10" w:rsidP="00BE2A10">
      <w:pPr>
        <w:rPr>
          <w:b/>
        </w:rPr>
      </w:pPr>
      <w:r w:rsidRPr="00502B08">
        <w:rPr>
          <w:b/>
        </w:rPr>
        <w:t>Findings from the focus groups and usability testing will be documented in PPT and be grouped in one of three categories:</w:t>
      </w:r>
    </w:p>
    <w:p w:rsidR="00BE2A10" w:rsidRPr="00502B08" w:rsidRDefault="00BE2A10" w:rsidP="00BE2A10">
      <w:pPr>
        <w:rPr>
          <w:b/>
        </w:rPr>
      </w:pPr>
    </w:p>
    <w:p w:rsidR="00BE2A10" w:rsidRPr="00502B08" w:rsidRDefault="00BE2A10" w:rsidP="00BE2A10">
      <w:pPr>
        <w:rPr>
          <w:b/>
        </w:rPr>
      </w:pPr>
      <w:r w:rsidRPr="00502B08">
        <w:rPr>
          <w:b/>
        </w:rPr>
        <w:t>No adjustments required</w:t>
      </w:r>
    </w:p>
    <w:p w:rsidR="00BE2A10" w:rsidRPr="00502B08" w:rsidRDefault="00BE2A10" w:rsidP="00BE2A10">
      <w:pPr>
        <w:numPr>
          <w:ilvl w:val="0"/>
          <w:numId w:val="4"/>
        </w:numPr>
        <w:rPr>
          <w:b/>
        </w:rPr>
      </w:pPr>
      <w:r w:rsidRPr="00502B08">
        <w:rPr>
          <w:b/>
        </w:rPr>
        <w:t>Users were able to complete task with minimal effort</w:t>
      </w:r>
    </w:p>
    <w:p w:rsidR="00BE2A10" w:rsidRPr="00502B08" w:rsidRDefault="00BE2A10" w:rsidP="00BE2A10">
      <w:pPr>
        <w:numPr>
          <w:ilvl w:val="0"/>
          <w:numId w:val="4"/>
        </w:numPr>
        <w:rPr>
          <w:b/>
        </w:rPr>
      </w:pPr>
      <w:r w:rsidRPr="00502B08">
        <w:rPr>
          <w:b/>
        </w:rPr>
        <w:t>Website fundamentals/attributes were appropriately used including content, functionality, navigation, layout and/or terminology</w:t>
      </w:r>
    </w:p>
    <w:p w:rsidR="00BE2A10" w:rsidRPr="00502B08" w:rsidRDefault="00BE2A10" w:rsidP="00BE2A10">
      <w:pPr>
        <w:numPr>
          <w:ilvl w:val="0"/>
          <w:numId w:val="4"/>
        </w:numPr>
        <w:rPr>
          <w:b/>
        </w:rPr>
      </w:pPr>
      <w:r w:rsidRPr="00502B08">
        <w:rPr>
          <w:b/>
        </w:rPr>
        <w:t xml:space="preserve">High level of user satisfaction </w:t>
      </w:r>
    </w:p>
    <w:p w:rsidR="00BE2A10" w:rsidRPr="00502B08" w:rsidRDefault="00BE2A10" w:rsidP="00BE2A10">
      <w:pPr>
        <w:rPr>
          <w:b/>
        </w:rPr>
      </w:pPr>
    </w:p>
    <w:p w:rsidR="00BE2A10" w:rsidRPr="00502B08" w:rsidRDefault="00BE2A10" w:rsidP="00BE2A10">
      <w:pPr>
        <w:rPr>
          <w:b/>
        </w:rPr>
      </w:pPr>
      <w:r w:rsidRPr="00502B08">
        <w:rPr>
          <w:b/>
        </w:rPr>
        <w:t>Minor adjustments required</w:t>
      </w:r>
    </w:p>
    <w:p w:rsidR="00BE2A10" w:rsidRPr="00502B08" w:rsidRDefault="00BE2A10" w:rsidP="00BE2A10">
      <w:pPr>
        <w:numPr>
          <w:ilvl w:val="0"/>
          <w:numId w:val="5"/>
        </w:numPr>
        <w:rPr>
          <w:b/>
        </w:rPr>
      </w:pPr>
      <w:r w:rsidRPr="00502B08">
        <w:rPr>
          <w:b/>
        </w:rPr>
        <w:t xml:space="preserve">Users did not immediately and instinctively complete task  </w:t>
      </w:r>
    </w:p>
    <w:p w:rsidR="00BE2A10" w:rsidRPr="00502B08" w:rsidRDefault="00BE2A10" w:rsidP="00BE2A10">
      <w:pPr>
        <w:numPr>
          <w:ilvl w:val="0"/>
          <w:numId w:val="5"/>
        </w:numPr>
        <w:rPr>
          <w:b/>
        </w:rPr>
      </w:pPr>
      <w:r w:rsidRPr="00502B08">
        <w:rPr>
          <w:b/>
        </w:rPr>
        <w:t>Website attributes at times unclear, misused or misplaced</w:t>
      </w:r>
    </w:p>
    <w:p w:rsidR="00BE2A10" w:rsidRPr="00502B08" w:rsidRDefault="00BE2A10" w:rsidP="00BE2A10">
      <w:pPr>
        <w:numPr>
          <w:ilvl w:val="0"/>
          <w:numId w:val="5"/>
        </w:numPr>
        <w:rPr>
          <w:b/>
        </w:rPr>
      </w:pPr>
      <w:r w:rsidRPr="00502B08">
        <w:rPr>
          <w:b/>
        </w:rPr>
        <w:t>Moderate level of user satisfaction</w:t>
      </w:r>
    </w:p>
    <w:p w:rsidR="00BE2A10" w:rsidRPr="00502B08" w:rsidRDefault="00BE2A10" w:rsidP="00BE2A10">
      <w:pPr>
        <w:rPr>
          <w:b/>
        </w:rPr>
      </w:pPr>
    </w:p>
    <w:p w:rsidR="00BE2A10" w:rsidRPr="00502B08" w:rsidRDefault="00BE2A10" w:rsidP="00BE2A10">
      <w:pPr>
        <w:rPr>
          <w:b/>
        </w:rPr>
      </w:pPr>
      <w:r w:rsidRPr="00502B08">
        <w:rPr>
          <w:b/>
        </w:rPr>
        <w:t xml:space="preserve">Adjustments required </w:t>
      </w:r>
    </w:p>
    <w:p w:rsidR="00BE2A10" w:rsidRPr="00502B08" w:rsidRDefault="00BE2A10" w:rsidP="00BE2A10">
      <w:pPr>
        <w:numPr>
          <w:ilvl w:val="0"/>
          <w:numId w:val="6"/>
        </w:numPr>
        <w:rPr>
          <w:b/>
        </w:rPr>
      </w:pPr>
      <w:r w:rsidRPr="00502B08">
        <w:rPr>
          <w:b/>
        </w:rPr>
        <w:t xml:space="preserve">Users questioned/expressed concern over aspects of design,    </w:t>
      </w:r>
    </w:p>
    <w:p w:rsidR="00BE2A10" w:rsidRPr="00502B08" w:rsidRDefault="00BE2A10" w:rsidP="00BE2A10">
      <w:pPr>
        <w:rPr>
          <w:b/>
        </w:rPr>
      </w:pPr>
      <w:r w:rsidRPr="00502B08">
        <w:rPr>
          <w:b/>
        </w:rPr>
        <w:t xml:space="preserve">  </w:t>
      </w:r>
      <w:r w:rsidRPr="00502B08">
        <w:rPr>
          <w:b/>
        </w:rPr>
        <w:tab/>
        <w:t>functionality, navigation, layout or terminology</w:t>
      </w:r>
    </w:p>
    <w:p w:rsidR="00BE2A10" w:rsidRPr="00502B08" w:rsidRDefault="00BE2A10" w:rsidP="00BE2A10">
      <w:pPr>
        <w:numPr>
          <w:ilvl w:val="0"/>
          <w:numId w:val="7"/>
        </w:numPr>
        <w:rPr>
          <w:b/>
        </w:rPr>
      </w:pPr>
      <w:r w:rsidRPr="00502B08">
        <w:rPr>
          <w:b/>
        </w:rPr>
        <w:t>Low level of user satisfaction</w:t>
      </w:r>
    </w:p>
    <w:p w:rsidR="00BE2A10" w:rsidRPr="00725551" w:rsidRDefault="00BE2A10" w:rsidP="00BE2A10">
      <w:pPr>
        <w:rPr>
          <w:b/>
        </w:rPr>
      </w:pPr>
    </w:p>
    <w:p w:rsidR="00B356F5" w:rsidRDefault="00BE2A10" w:rsidP="00BE2A10">
      <w:pPr>
        <w:rPr>
          <w:b/>
        </w:rPr>
      </w:pPr>
      <w:r w:rsidRPr="00725551">
        <w:rPr>
          <w:b/>
        </w:rPr>
        <w:t xml:space="preserve">All documented findings will </w:t>
      </w:r>
      <w:r w:rsidR="00D67C7D" w:rsidRPr="00725551">
        <w:rPr>
          <w:b/>
        </w:rPr>
        <w:t xml:space="preserve">be </w:t>
      </w:r>
      <w:r w:rsidR="00D67C7D">
        <w:rPr>
          <w:b/>
        </w:rPr>
        <w:t xml:space="preserve">presented to the key stakeholders </w:t>
      </w:r>
      <w:r w:rsidR="00B356F5">
        <w:rPr>
          <w:b/>
        </w:rPr>
        <w:t>per the following schedule:</w:t>
      </w:r>
    </w:p>
    <w:p w:rsidR="00B356F5" w:rsidRDefault="00B356F5" w:rsidP="00BE2A10">
      <w:pPr>
        <w:rPr>
          <w:b/>
        </w:rPr>
      </w:pPr>
    </w:p>
    <w:tbl>
      <w:tblPr>
        <w:tblStyle w:val="TableGrid"/>
        <w:tblW w:w="0" w:type="auto"/>
        <w:tblLook w:val="04A0"/>
      </w:tblPr>
      <w:tblGrid>
        <w:gridCol w:w="6228"/>
        <w:gridCol w:w="2628"/>
      </w:tblGrid>
      <w:tr w:rsidR="00B356F5" w:rsidTr="00B356F5">
        <w:tc>
          <w:tcPr>
            <w:tcW w:w="6228" w:type="dxa"/>
          </w:tcPr>
          <w:p w:rsidR="00B356F5" w:rsidRDefault="00B356F5" w:rsidP="00B356F5">
            <w:pPr>
              <w:rPr>
                <w:b/>
              </w:rPr>
            </w:pPr>
            <w:r>
              <w:rPr>
                <w:b/>
              </w:rPr>
              <w:t>Treasury.gov paper prototype testing</w:t>
            </w:r>
          </w:p>
        </w:tc>
        <w:tc>
          <w:tcPr>
            <w:tcW w:w="2628" w:type="dxa"/>
          </w:tcPr>
          <w:p w:rsidR="00B356F5" w:rsidRDefault="00A07598" w:rsidP="00BE2A10">
            <w:pPr>
              <w:rPr>
                <w:b/>
              </w:rPr>
            </w:pPr>
            <w:r>
              <w:rPr>
                <w:b/>
              </w:rPr>
              <w:t>September 15</w:t>
            </w:r>
            <w:r w:rsidR="00B356F5">
              <w:rPr>
                <w:b/>
              </w:rPr>
              <w:t>, 2010</w:t>
            </w:r>
          </w:p>
        </w:tc>
      </w:tr>
      <w:tr w:rsidR="00B356F5" w:rsidTr="00B356F5">
        <w:tc>
          <w:tcPr>
            <w:tcW w:w="6228" w:type="dxa"/>
          </w:tcPr>
          <w:p w:rsidR="00B356F5" w:rsidRDefault="00B356F5" w:rsidP="00BE2A10">
            <w:pPr>
              <w:rPr>
                <w:b/>
              </w:rPr>
            </w:pPr>
            <w:r>
              <w:rPr>
                <w:b/>
              </w:rPr>
              <w:t>Treasury.gov usability testing</w:t>
            </w:r>
          </w:p>
        </w:tc>
        <w:tc>
          <w:tcPr>
            <w:tcW w:w="2628" w:type="dxa"/>
          </w:tcPr>
          <w:p w:rsidR="00B356F5" w:rsidRDefault="00B356F5" w:rsidP="00BE2A10">
            <w:pPr>
              <w:rPr>
                <w:b/>
              </w:rPr>
            </w:pPr>
            <w:r>
              <w:rPr>
                <w:b/>
              </w:rPr>
              <w:t>October 1, 2010</w:t>
            </w:r>
          </w:p>
        </w:tc>
      </w:tr>
      <w:tr w:rsidR="00B356F5" w:rsidTr="00B356F5">
        <w:tc>
          <w:tcPr>
            <w:tcW w:w="6228" w:type="dxa"/>
          </w:tcPr>
          <w:p w:rsidR="00B356F5" w:rsidRDefault="00B356F5" w:rsidP="00BE2A10">
            <w:pPr>
              <w:rPr>
                <w:b/>
              </w:rPr>
            </w:pPr>
            <w:r>
              <w:rPr>
                <w:b/>
              </w:rPr>
              <w:t>FinancialStability.gov focus groups</w:t>
            </w:r>
          </w:p>
        </w:tc>
        <w:tc>
          <w:tcPr>
            <w:tcW w:w="2628" w:type="dxa"/>
          </w:tcPr>
          <w:p w:rsidR="00B356F5" w:rsidRDefault="00A07598" w:rsidP="00BE2A10">
            <w:pPr>
              <w:rPr>
                <w:b/>
              </w:rPr>
            </w:pPr>
            <w:r>
              <w:rPr>
                <w:b/>
              </w:rPr>
              <w:t>September 15</w:t>
            </w:r>
            <w:r w:rsidR="00B356F5">
              <w:rPr>
                <w:b/>
              </w:rPr>
              <w:t>, 2010</w:t>
            </w:r>
          </w:p>
        </w:tc>
      </w:tr>
      <w:tr w:rsidR="00B356F5" w:rsidTr="00B356F5">
        <w:tc>
          <w:tcPr>
            <w:tcW w:w="6228" w:type="dxa"/>
          </w:tcPr>
          <w:p w:rsidR="00B356F5" w:rsidRDefault="00B356F5" w:rsidP="00BE2A10">
            <w:pPr>
              <w:rPr>
                <w:b/>
              </w:rPr>
            </w:pPr>
            <w:r>
              <w:rPr>
                <w:b/>
              </w:rPr>
              <w:t>FinancialStability.gov usability testing</w:t>
            </w:r>
          </w:p>
        </w:tc>
        <w:tc>
          <w:tcPr>
            <w:tcW w:w="2628" w:type="dxa"/>
          </w:tcPr>
          <w:p w:rsidR="00B356F5" w:rsidRDefault="00B356F5" w:rsidP="00BE2A10">
            <w:pPr>
              <w:rPr>
                <w:b/>
              </w:rPr>
            </w:pPr>
            <w:r>
              <w:rPr>
                <w:b/>
              </w:rPr>
              <w:t>October 29, 2010</w:t>
            </w:r>
          </w:p>
        </w:tc>
      </w:tr>
      <w:tr w:rsidR="00B356F5" w:rsidTr="00B356F5">
        <w:tc>
          <w:tcPr>
            <w:tcW w:w="6228" w:type="dxa"/>
          </w:tcPr>
          <w:p w:rsidR="00B356F5" w:rsidRDefault="00B356F5" w:rsidP="00BE2A10">
            <w:pPr>
              <w:rPr>
                <w:b/>
              </w:rPr>
            </w:pPr>
            <w:r>
              <w:rPr>
                <w:b/>
              </w:rPr>
              <w:t>MakingHomeAffordable.gov focus groups</w:t>
            </w:r>
          </w:p>
        </w:tc>
        <w:tc>
          <w:tcPr>
            <w:tcW w:w="2628" w:type="dxa"/>
          </w:tcPr>
          <w:p w:rsidR="00B356F5" w:rsidRDefault="00A07598" w:rsidP="00BE2A10">
            <w:pPr>
              <w:rPr>
                <w:b/>
              </w:rPr>
            </w:pPr>
            <w:r>
              <w:rPr>
                <w:b/>
              </w:rPr>
              <w:t>September 15</w:t>
            </w:r>
            <w:r w:rsidR="00B356F5">
              <w:rPr>
                <w:b/>
              </w:rPr>
              <w:t>, 2010</w:t>
            </w:r>
          </w:p>
        </w:tc>
      </w:tr>
      <w:tr w:rsidR="00B356F5" w:rsidTr="00B356F5">
        <w:tc>
          <w:tcPr>
            <w:tcW w:w="6228" w:type="dxa"/>
          </w:tcPr>
          <w:p w:rsidR="00B356F5" w:rsidRDefault="00B356F5" w:rsidP="00BE2A10">
            <w:pPr>
              <w:rPr>
                <w:b/>
              </w:rPr>
            </w:pPr>
            <w:r>
              <w:rPr>
                <w:b/>
              </w:rPr>
              <w:t>MakingHomeAffordable.gov usability testing</w:t>
            </w:r>
          </w:p>
        </w:tc>
        <w:tc>
          <w:tcPr>
            <w:tcW w:w="2628" w:type="dxa"/>
          </w:tcPr>
          <w:p w:rsidR="00B356F5" w:rsidRDefault="00B356F5" w:rsidP="00BE2A10">
            <w:pPr>
              <w:rPr>
                <w:b/>
              </w:rPr>
            </w:pPr>
            <w:r>
              <w:rPr>
                <w:b/>
              </w:rPr>
              <w:t>November 18, 2010</w:t>
            </w:r>
          </w:p>
        </w:tc>
      </w:tr>
    </w:tbl>
    <w:p w:rsidR="00BE2A10" w:rsidRDefault="00BE2A10" w:rsidP="00BE2A10">
      <w:pPr>
        <w:autoSpaceDE w:val="0"/>
        <w:autoSpaceDN w:val="0"/>
        <w:adjustRightInd w:val="0"/>
      </w:pPr>
    </w:p>
    <w:p w:rsidR="00725551" w:rsidRDefault="00725551" w:rsidP="0029050F">
      <w:pPr>
        <w:autoSpaceDE w:val="0"/>
        <w:autoSpaceDN w:val="0"/>
        <w:adjustRightInd w:val="0"/>
      </w:pPr>
    </w:p>
    <w:p w:rsidR="0029050F" w:rsidRPr="00CE3C52" w:rsidRDefault="0029050F" w:rsidP="0029050F">
      <w:pPr>
        <w:autoSpaceDE w:val="0"/>
        <w:autoSpaceDN w:val="0"/>
        <w:adjustRightInd w:val="0"/>
      </w:pPr>
      <w:r w:rsidRPr="00CE3C52">
        <w:t xml:space="preserve">17. If seeking approval to not display the expiration date for OMB approval of the information collection, explain the reasons that display would be inappropriate. </w:t>
      </w:r>
    </w:p>
    <w:p w:rsidR="0029050F" w:rsidRDefault="0029050F" w:rsidP="0029050F">
      <w:pPr>
        <w:autoSpaceDE w:val="0"/>
        <w:autoSpaceDN w:val="0"/>
        <w:adjustRightInd w:val="0"/>
      </w:pPr>
    </w:p>
    <w:p w:rsidR="005C64C6" w:rsidRPr="0049773C" w:rsidRDefault="0049773C" w:rsidP="0029050F">
      <w:pPr>
        <w:autoSpaceDE w:val="0"/>
        <w:autoSpaceDN w:val="0"/>
        <w:adjustRightInd w:val="0"/>
        <w:rPr>
          <w:b/>
        </w:rPr>
      </w:pPr>
      <w:r w:rsidRPr="0049773C">
        <w:rPr>
          <w:b/>
        </w:rPr>
        <w:t>N/A</w:t>
      </w:r>
    </w:p>
    <w:p w:rsidR="0049773C" w:rsidRPr="00CE3C52" w:rsidRDefault="0049773C" w:rsidP="0029050F">
      <w:pPr>
        <w:autoSpaceDE w:val="0"/>
        <w:autoSpaceDN w:val="0"/>
        <w:adjustRightInd w:val="0"/>
      </w:pPr>
    </w:p>
    <w:p w:rsidR="0029050F" w:rsidRDefault="00345435" w:rsidP="0029050F">
      <w:pPr>
        <w:autoSpaceDE w:val="0"/>
        <w:autoSpaceDN w:val="0"/>
        <w:adjustRightInd w:val="0"/>
      </w:pPr>
      <w:r w:rsidRPr="00CE3C52">
        <w:lastRenderedPageBreak/>
        <w:t xml:space="preserve">18. Explain each exception to the </w:t>
      </w:r>
      <w:r>
        <w:t xml:space="preserve">topics of the </w:t>
      </w:r>
      <w:r w:rsidRPr="00CE3C52">
        <w:t>certification statement identified in “Certification for Paperwork Reduction Act Submissions,”</w:t>
      </w:r>
    </w:p>
    <w:p w:rsidR="00BE2A10" w:rsidRDefault="00BE2A10" w:rsidP="0029050F">
      <w:pPr>
        <w:autoSpaceDE w:val="0"/>
        <w:autoSpaceDN w:val="0"/>
        <w:adjustRightInd w:val="0"/>
      </w:pPr>
    </w:p>
    <w:p w:rsidR="00BE2A10" w:rsidRPr="00D767A7" w:rsidRDefault="00BE2A10" w:rsidP="00BE2A10">
      <w:pPr>
        <w:rPr>
          <w:b/>
        </w:rPr>
      </w:pPr>
      <w:r w:rsidRPr="00D767A7">
        <w:rPr>
          <w:b/>
        </w:rPr>
        <w:t>There are no exceptions to item 19 of OMB Form 83-I.</w:t>
      </w:r>
    </w:p>
    <w:p w:rsidR="005C64C6" w:rsidRDefault="005C64C6" w:rsidP="0029050F">
      <w:pPr>
        <w:autoSpaceDE w:val="0"/>
        <w:autoSpaceDN w:val="0"/>
        <w:adjustRightInd w:val="0"/>
      </w:pPr>
    </w:p>
    <w:p w:rsidR="006E6A52" w:rsidRPr="00CE3C52" w:rsidRDefault="006E6A52" w:rsidP="0029050F">
      <w:pPr>
        <w:autoSpaceDE w:val="0"/>
        <w:autoSpaceDN w:val="0"/>
        <w:adjustRightInd w:val="0"/>
      </w:pPr>
    </w:p>
    <w:p w:rsidR="00645C95" w:rsidRDefault="00645C95" w:rsidP="0029050F">
      <w:pPr>
        <w:rPr>
          <w:b/>
        </w:rPr>
      </w:pPr>
    </w:p>
    <w:sectPr w:rsidR="00645C95" w:rsidSect="00A12F0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5CB" w:rsidRDefault="004675CB">
      <w:r>
        <w:separator/>
      </w:r>
    </w:p>
  </w:endnote>
  <w:endnote w:type="continuationSeparator" w:id="0">
    <w:p w:rsidR="004675CB" w:rsidRDefault="00467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D25672">
    <w:pPr>
      <w:pStyle w:val="Footer"/>
      <w:framePr w:wrap="around" w:vAnchor="text" w:hAnchor="margin" w:xAlign="right" w:y="1"/>
      <w:rPr>
        <w:rStyle w:val="PageNumber"/>
      </w:rPr>
    </w:pPr>
    <w:r>
      <w:rPr>
        <w:rStyle w:val="PageNumber"/>
      </w:rPr>
      <w:fldChar w:fldCharType="begin"/>
    </w:r>
    <w:r w:rsidR="00354736">
      <w:rPr>
        <w:rStyle w:val="PageNumber"/>
      </w:rPr>
      <w:instrText xml:space="preserve">PAGE  </w:instrText>
    </w:r>
    <w:r>
      <w:rPr>
        <w:rStyle w:val="PageNumber"/>
      </w:rPr>
      <w:fldChar w:fldCharType="end"/>
    </w:r>
  </w:p>
  <w:p w:rsidR="00354736" w:rsidRDefault="003547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D25672">
    <w:pPr>
      <w:pStyle w:val="Footer"/>
      <w:framePr w:wrap="around" w:vAnchor="text" w:hAnchor="margin" w:xAlign="right" w:y="1"/>
      <w:rPr>
        <w:rStyle w:val="PageNumber"/>
      </w:rPr>
    </w:pPr>
    <w:r>
      <w:rPr>
        <w:rStyle w:val="PageNumber"/>
      </w:rPr>
      <w:fldChar w:fldCharType="begin"/>
    </w:r>
    <w:r w:rsidR="00354736">
      <w:rPr>
        <w:rStyle w:val="PageNumber"/>
      </w:rPr>
      <w:instrText xml:space="preserve">PAGE  </w:instrText>
    </w:r>
    <w:r>
      <w:rPr>
        <w:rStyle w:val="PageNumber"/>
      </w:rPr>
      <w:fldChar w:fldCharType="separate"/>
    </w:r>
    <w:r w:rsidR="00674A37">
      <w:rPr>
        <w:rStyle w:val="PageNumber"/>
        <w:noProof/>
      </w:rPr>
      <w:t>1</w:t>
    </w:r>
    <w:r>
      <w:rPr>
        <w:rStyle w:val="PageNumber"/>
      </w:rPr>
      <w:fldChar w:fldCharType="end"/>
    </w:r>
  </w:p>
  <w:p w:rsidR="00354736" w:rsidRDefault="003547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5CB" w:rsidRDefault="004675CB">
      <w:r>
        <w:separator/>
      </w:r>
    </w:p>
  </w:footnote>
  <w:footnote w:type="continuationSeparator" w:id="0">
    <w:p w:rsidR="004675CB" w:rsidRDefault="00467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33F4"/>
    <w:multiLevelType w:val="hybridMultilevel"/>
    <w:tmpl w:val="C2DC0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B28B0"/>
    <w:multiLevelType w:val="hybridMultilevel"/>
    <w:tmpl w:val="51105A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62827"/>
    <w:multiLevelType w:val="hybridMultilevel"/>
    <w:tmpl w:val="4B881052"/>
    <w:lvl w:ilvl="0" w:tplc="94A62358">
      <w:start w:val="1"/>
      <w:numFmt w:val="bullet"/>
      <w:lvlText w:val="•"/>
      <w:lvlJc w:val="left"/>
      <w:pPr>
        <w:tabs>
          <w:tab w:val="num" w:pos="720"/>
        </w:tabs>
        <w:ind w:left="720" w:hanging="360"/>
      </w:pPr>
      <w:rPr>
        <w:rFonts w:ascii="Times New Roman" w:hAnsi="Times New Roman" w:hint="default"/>
      </w:rPr>
    </w:lvl>
    <w:lvl w:ilvl="1" w:tplc="38DCDA0E" w:tentative="1">
      <w:start w:val="1"/>
      <w:numFmt w:val="bullet"/>
      <w:lvlText w:val="•"/>
      <w:lvlJc w:val="left"/>
      <w:pPr>
        <w:tabs>
          <w:tab w:val="num" w:pos="1440"/>
        </w:tabs>
        <w:ind w:left="1440" w:hanging="360"/>
      </w:pPr>
      <w:rPr>
        <w:rFonts w:ascii="Times New Roman" w:hAnsi="Times New Roman" w:hint="default"/>
      </w:rPr>
    </w:lvl>
    <w:lvl w:ilvl="2" w:tplc="CC88F5A8" w:tentative="1">
      <w:start w:val="1"/>
      <w:numFmt w:val="bullet"/>
      <w:lvlText w:val="•"/>
      <w:lvlJc w:val="left"/>
      <w:pPr>
        <w:tabs>
          <w:tab w:val="num" w:pos="2160"/>
        </w:tabs>
        <w:ind w:left="2160" w:hanging="360"/>
      </w:pPr>
      <w:rPr>
        <w:rFonts w:ascii="Times New Roman" w:hAnsi="Times New Roman" w:hint="default"/>
      </w:rPr>
    </w:lvl>
    <w:lvl w:ilvl="3" w:tplc="B0EAA138" w:tentative="1">
      <w:start w:val="1"/>
      <w:numFmt w:val="bullet"/>
      <w:lvlText w:val="•"/>
      <w:lvlJc w:val="left"/>
      <w:pPr>
        <w:tabs>
          <w:tab w:val="num" w:pos="2880"/>
        </w:tabs>
        <w:ind w:left="2880" w:hanging="360"/>
      </w:pPr>
      <w:rPr>
        <w:rFonts w:ascii="Times New Roman" w:hAnsi="Times New Roman" w:hint="default"/>
      </w:rPr>
    </w:lvl>
    <w:lvl w:ilvl="4" w:tplc="78D4DC48" w:tentative="1">
      <w:start w:val="1"/>
      <w:numFmt w:val="bullet"/>
      <w:lvlText w:val="•"/>
      <w:lvlJc w:val="left"/>
      <w:pPr>
        <w:tabs>
          <w:tab w:val="num" w:pos="3600"/>
        </w:tabs>
        <w:ind w:left="3600" w:hanging="360"/>
      </w:pPr>
      <w:rPr>
        <w:rFonts w:ascii="Times New Roman" w:hAnsi="Times New Roman" w:hint="default"/>
      </w:rPr>
    </w:lvl>
    <w:lvl w:ilvl="5" w:tplc="3D9AA010" w:tentative="1">
      <w:start w:val="1"/>
      <w:numFmt w:val="bullet"/>
      <w:lvlText w:val="•"/>
      <w:lvlJc w:val="left"/>
      <w:pPr>
        <w:tabs>
          <w:tab w:val="num" w:pos="4320"/>
        </w:tabs>
        <w:ind w:left="4320" w:hanging="360"/>
      </w:pPr>
      <w:rPr>
        <w:rFonts w:ascii="Times New Roman" w:hAnsi="Times New Roman" w:hint="default"/>
      </w:rPr>
    </w:lvl>
    <w:lvl w:ilvl="6" w:tplc="01E03FA2" w:tentative="1">
      <w:start w:val="1"/>
      <w:numFmt w:val="bullet"/>
      <w:lvlText w:val="•"/>
      <w:lvlJc w:val="left"/>
      <w:pPr>
        <w:tabs>
          <w:tab w:val="num" w:pos="5040"/>
        </w:tabs>
        <w:ind w:left="5040" w:hanging="360"/>
      </w:pPr>
      <w:rPr>
        <w:rFonts w:ascii="Times New Roman" w:hAnsi="Times New Roman" w:hint="default"/>
      </w:rPr>
    </w:lvl>
    <w:lvl w:ilvl="7" w:tplc="A04E4810" w:tentative="1">
      <w:start w:val="1"/>
      <w:numFmt w:val="bullet"/>
      <w:lvlText w:val="•"/>
      <w:lvlJc w:val="left"/>
      <w:pPr>
        <w:tabs>
          <w:tab w:val="num" w:pos="5760"/>
        </w:tabs>
        <w:ind w:left="5760" w:hanging="360"/>
      </w:pPr>
      <w:rPr>
        <w:rFonts w:ascii="Times New Roman" w:hAnsi="Times New Roman" w:hint="default"/>
      </w:rPr>
    </w:lvl>
    <w:lvl w:ilvl="8" w:tplc="132AA4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DA224E"/>
    <w:multiLevelType w:val="hybridMultilevel"/>
    <w:tmpl w:val="976C83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895C61"/>
    <w:multiLevelType w:val="hybridMultilevel"/>
    <w:tmpl w:val="9654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F62655"/>
    <w:multiLevelType w:val="hybridMultilevel"/>
    <w:tmpl w:val="795A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F5345"/>
    <w:multiLevelType w:val="hybridMultilevel"/>
    <w:tmpl w:val="820EE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073F93"/>
    <w:multiLevelType w:val="hybridMultilevel"/>
    <w:tmpl w:val="58F4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80CD2"/>
    <w:multiLevelType w:val="hybridMultilevel"/>
    <w:tmpl w:val="657A948A"/>
    <w:lvl w:ilvl="0" w:tplc="DCE0F650">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D90A63"/>
    <w:multiLevelType w:val="hybridMultilevel"/>
    <w:tmpl w:val="5E4E6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E853E3E"/>
    <w:multiLevelType w:val="hybridMultilevel"/>
    <w:tmpl w:val="44D61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A72410"/>
    <w:multiLevelType w:val="hybridMultilevel"/>
    <w:tmpl w:val="886CF9E6"/>
    <w:lvl w:ilvl="0" w:tplc="9198E6EA">
      <w:start w:val="1"/>
      <w:numFmt w:val="bullet"/>
      <w:lvlText w:val="•"/>
      <w:lvlJc w:val="left"/>
      <w:pPr>
        <w:tabs>
          <w:tab w:val="num" w:pos="720"/>
        </w:tabs>
        <w:ind w:left="720" w:hanging="360"/>
      </w:pPr>
      <w:rPr>
        <w:rFonts w:ascii="Times New Roman" w:hAnsi="Times New Roman" w:hint="default"/>
      </w:rPr>
    </w:lvl>
    <w:lvl w:ilvl="1" w:tplc="4782B38A" w:tentative="1">
      <w:start w:val="1"/>
      <w:numFmt w:val="bullet"/>
      <w:lvlText w:val="•"/>
      <w:lvlJc w:val="left"/>
      <w:pPr>
        <w:tabs>
          <w:tab w:val="num" w:pos="1440"/>
        </w:tabs>
        <w:ind w:left="1440" w:hanging="360"/>
      </w:pPr>
      <w:rPr>
        <w:rFonts w:ascii="Times New Roman" w:hAnsi="Times New Roman" w:hint="default"/>
      </w:rPr>
    </w:lvl>
    <w:lvl w:ilvl="2" w:tplc="248A2F12" w:tentative="1">
      <w:start w:val="1"/>
      <w:numFmt w:val="bullet"/>
      <w:lvlText w:val="•"/>
      <w:lvlJc w:val="left"/>
      <w:pPr>
        <w:tabs>
          <w:tab w:val="num" w:pos="2160"/>
        </w:tabs>
        <w:ind w:left="2160" w:hanging="360"/>
      </w:pPr>
      <w:rPr>
        <w:rFonts w:ascii="Times New Roman" w:hAnsi="Times New Roman" w:hint="default"/>
      </w:rPr>
    </w:lvl>
    <w:lvl w:ilvl="3" w:tplc="3B34C9E2" w:tentative="1">
      <w:start w:val="1"/>
      <w:numFmt w:val="bullet"/>
      <w:lvlText w:val="•"/>
      <w:lvlJc w:val="left"/>
      <w:pPr>
        <w:tabs>
          <w:tab w:val="num" w:pos="2880"/>
        </w:tabs>
        <w:ind w:left="2880" w:hanging="360"/>
      </w:pPr>
      <w:rPr>
        <w:rFonts w:ascii="Times New Roman" w:hAnsi="Times New Roman" w:hint="default"/>
      </w:rPr>
    </w:lvl>
    <w:lvl w:ilvl="4" w:tplc="7A7666C0" w:tentative="1">
      <w:start w:val="1"/>
      <w:numFmt w:val="bullet"/>
      <w:lvlText w:val="•"/>
      <w:lvlJc w:val="left"/>
      <w:pPr>
        <w:tabs>
          <w:tab w:val="num" w:pos="3600"/>
        </w:tabs>
        <w:ind w:left="3600" w:hanging="360"/>
      </w:pPr>
      <w:rPr>
        <w:rFonts w:ascii="Times New Roman" w:hAnsi="Times New Roman" w:hint="default"/>
      </w:rPr>
    </w:lvl>
    <w:lvl w:ilvl="5" w:tplc="432E8F68" w:tentative="1">
      <w:start w:val="1"/>
      <w:numFmt w:val="bullet"/>
      <w:lvlText w:val="•"/>
      <w:lvlJc w:val="left"/>
      <w:pPr>
        <w:tabs>
          <w:tab w:val="num" w:pos="4320"/>
        </w:tabs>
        <w:ind w:left="4320" w:hanging="360"/>
      </w:pPr>
      <w:rPr>
        <w:rFonts w:ascii="Times New Roman" w:hAnsi="Times New Roman" w:hint="default"/>
      </w:rPr>
    </w:lvl>
    <w:lvl w:ilvl="6" w:tplc="2F88F7DE" w:tentative="1">
      <w:start w:val="1"/>
      <w:numFmt w:val="bullet"/>
      <w:lvlText w:val="•"/>
      <w:lvlJc w:val="left"/>
      <w:pPr>
        <w:tabs>
          <w:tab w:val="num" w:pos="5040"/>
        </w:tabs>
        <w:ind w:left="5040" w:hanging="360"/>
      </w:pPr>
      <w:rPr>
        <w:rFonts w:ascii="Times New Roman" w:hAnsi="Times New Roman" w:hint="default"/>
      </w:rPr>
    </w:lvl>
    <w:lvl w:ilvl="7" w:tplc="9EEEA1F0" w:tentative="1">
      <w:start w:val="1"/>
      <w:numFmt w:val="bullet"/>
      <w:lvlText w:val="•"/>
      <w:lvlJc w:val="left"/>
      <w:pPr>
        <w:tabs>
          <w:tab w:val="num" w:pos="5760"/>
        </w:tabs>
        <w:ind w:left="5760" w:hanging="360"/>
      </w:pPr>
      <w:rPr>
        <w:rFonts w:ascii="Times New Roman" w:hAnsi="Times New Roman" w:hint="default"/>
      </w:rPr>
    </w:lvl>
    <w:lvl w:ilvl="8" w:tplc="EC0E75F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C146178"/>
    <w:multiLevelType w:val="hybridMultilevel"/>
    <w:tmpl w:val="07361300"/>
    <w:lvl w:ilvl="0" w:tplc="6C36D8F8">
      <w:start w:val="1"/>
      <w:numFmt w:val="bullet"/>
      <w:lvlText w:val="•"/>
      <w:lvlJc w:val="left"/>
      <w:pPr>
        <w:tabs>
          <w:tab w:val="num" w:pos="720"/>
        </w:tabs>
        <w:ind w:left="720" w:hanging="360"/>
      </w:pPr>
      <w:rPr>
        <w:rFonts w:ascii="Times New Roman" w:hAnsi="Times New Roman" w:hint="default"/>
      </w:rPr>
    </w:lvl>
    <w:lvl w:ilvl="1" w:tplc="56E2A9C4" w:tentative="1">
      <w:start w:val="1"/>
      <w:numFmt w:val="bullet"/>
      <w:lvlText w:val="•"/>
      <w:lvlJc w:val="left"/>
      <w:pPr>
        <w:tabs>
          <w:tab w:val="num" w:pos="1440"/>
        </w:tabs>
        <w:ind w:left="1440" w:hanging="360"/>
      </w:pPr>
      <w:rPr>
        <w:rFonts w:ascii="Times New Roman" w:hAnsi="Times New Roman" w:hint="default"/>
      </w:rPr>
    </w:lvl>
    <w:lvl w:ilvl="2" w:tplc="3F9A5AF4" w:tentative="1">
      <w:start w:val="1"/>
      <w:numFmt w:val="bullet"/>
      <w:lvlText w:val="•"/>
      <w:lvlJc w:val="left"/>
      <w:pPr>
        <w:tabs>
          <w:tab w:val="num" w:pos="2160"/>
        </w:tabs>
        <w:ind w:left="2160" w:hanging="360"/>
      </w:pPr>
      <w:rPr>
        <w:rFonts w:ascii="Times New Roman" w:hAnsi="Times New Roman" w:hint="default"/>
      </w:rPr>
    </w:lvl>
    <w:lvl w:ilvl="3" w:tplc="CF2C4B80" w:tentative="1">
      <w:start w:val="1"/>
      <w:numFmt w:val="bullet"/>
      <w:lvlText w:val="•"/>
      <w:lvlJc w:val="left"/>
      <w:pPr>
        <w:tabs>
          <w:tab w:val="num" w:pos="2880"/>
        </w:tabs>
        <w:ind w:left="2880" w:hanging="360"/>
      </w:pPr>
      <w:rPr>
        <w:rFonts w:ascii="Times New Roman" w:hAnsi="Times New Roman" w:hint="default"/>
      </w:rPr>
    </w:lvl>
    <w:lvl w:ilvl="4" w:tplc="FA1A6556" w:tentative="1">
      <w:start w:val="1"/>
      <w:numFmt w:val="bullet"/>
      <w:lvlText w:val="•"/>
      <w:lvlJc w:val="left"/>
      <w:pPr>
        <w:tabs>
          <w:tab w:val="num" w:pos="3600"/>
        </w:tabs>
        <w:ind w:left="3600" w:hanging="360"/>
      </w:pPr>
      <w:rPr>
        <w:rFonts w:ascii="Times New Roman" w:hAnsi="Times New Roman" w:hint="default"/>
      </w:rPr>
    </w:lvl>
    <w:lvl w:ilvl="5" w:tplc="2FD6790E" w:tentative="1">
      <w:start w:val="1"/>
      <w:numFmt w:val="bullet"/>
      <w:lvlText w:val="•"/>
      <w:lvlJc w:val="left"/>
      <w:pPr>
        <w:tabs>
          <w:tab w:val="num" w:pos="4320"/>
        </w:tabs>
        <w:ind w:left="4320" w:hanging="360"/>
      </w:pPr>
      <w:rPr>
        <w:rFonts w:ascii="Times New Roman" w:hAnsi="Times New Roman" w:hint="default"/>
      </w:rPr>
    </w:lvl>
    <w:lvl w:ilvl="6" w:tplc="7FE021CE" w:tentative="1">
      <w:start w:val="1"/>
      <w:numFmt w:val="bullet"/>
      <w:lvlText w:val="•"/>
      <w:lvlJc w:val="left"/>
      <w:pPr>
        <w:tabs>
          <w:tab w:val="num" w:pos="5040"/>
        </w:tabs>
        <w:ind w:left="5040" w:hanging="360"/>
      </w:pPr>
      <w:rPr>
        <w:rFonts w:ascii="Times New Roman" w:hAnsi="Times New Roman" w:hint="default"/>
      </w:rPr>
    </w:lvl>
    <w:lvl w:ilvl="7" w:tplc="4C8CED38" w:tentative="1">
      <w:start w:val="1"/>
      <w:numFmt w:val="bullet"/>
      <w:lvlText w:val="•"/>
      <w:lvlJc w:val="left"/>
      <w:pPr>
        <w:tabs>
          <w:tab w:val="num" w:pos="5760"/>
        </w:tabs>
        <w:ind w:left="5760" w:hanging="360"/>
      </w:pPr>
      <w:rPr>
        <w:rFonts w:ascii="Times New Roman" w:hAnsi="Times New Roman" w:hint="default"/>
      </w:rPr>
    </w:lvl>
    <w:lvl w:ilvl="8" w:tplc="1110DBE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D5629A9"/>
    <w:multiLevelType w:val="hybridMultilevel"/>
    <w:tmpl w:val="F4ACE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F1A59E3"/>
    <w:multiLevelType w:val="hybridMultilevel"/>
    <w:tmpl w:val="4AC4C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EF7973"/>
    <w:multiLevelType w:val="hybridMultilevel"/>
    <w:tmpl w:val="B6D6CA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0B3E0A"/>
    <w:multiLevelType w:val="hybridMultilevel"/>
    <w:tmpl w:val="768C6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78020E9"/>
    <w:multiLevelType w:val="hybridMultilevel"/>
    <w:tmpl w:val="6A7EBD0C"/>
    <w:lvl w:ilvl="0" w:tplc="15A81106">
      <w:start w:val="1"/>
      <w:numFmt w:val="bullet"/>
      <w:lvlText w:val="•"/>
      <w:lvlJc w:val="left"/>
      <w:pPr>
        <w:tabs>
          <w:tab w:val="num" w:pos="720"/>
        </w:tabs>
        <w:ind w:left="720" w:hanging="360"/>
      </w:pPr>
      <w:rPr>
        <w:rFonts w:ascii="Times New Roman" w:hAnsi="Times New Roman" w:hint="default"/>
      </w:rPr>
    </w:lvl>
    <w:lvl w:ilvl="1" w:tplc="658C3EC2" w:tentative="1">
      <w:start w:val="1"/>
      <w:numFmt w:val="bullet"/>
      <w:lvlText w:val="•"/>
      <w:lvlJc w:val="left"/>
      <w:pPr>
        <w:tabs>
          <w:tab w:val="num" w:pos="1440"/>
        </w:tabs>
        <w:ind w:left="1440" w:hanging="360"/>
      </w:pPr>
      <w:rPr>
        <w:rFonts w:ascii="Times New Roman" w:hAnsi="Times New Roman" w:hint="default"/>
      </w:rPr>
    </w:lvl>
    <w:lvl w:ilvl="2" w:tplc="24D41C90" w:tentative="1">
      <w:start w:val="1"/>
      <w:numFmt w:val="bullet"/>
      <w:lvlText w:val="•"/>
      <w:lvlJc w:val="left"/>
      <w:pPr>
        <w:tabs>
          <w:tab w:val="num" w:pos="2160"/>
        </w:tabs>
        <w:ind w:left="2160" w:hanging="360"/>
      </w:pPr>
      <w:rPr>
        <w:rFonts w:ascii="Times New Roman" w:hAnsi="Times New Roman" w:hint="default"/>
      </w:rPr>
    </w:lvl>
    <w:lvl w:ilvl="3" w:tplc="0F208772" w:tentative="1">
      <w:start w:val="1"/>
      <w:numFmt w:val="bullet"/>
      <w:lvlText w:val="•"/>
      <w:lvlJc w:val="left"/>
      <w:pPr>
        <w:tabs>
          <w:tab w:val="num" w:pos="2880"/>
        </w:tabs>
        <w:ind w:left="2880" w:hanging="360"/>
      </w:pPr>
      <w:rPr>
        <w:rFonts w:ascii="Times New Roman" w:hAnsi="Times New Roman" w:hint="default"/>
      </w:rPr>
    </w:lvl>
    <w:lvl w:ilvl="4" w:tplc="85F6D29A" w:tentative="1">
      <w:start w:val="1"/>
      <w:numFmt w:val="bullet"/>
      <w:lvlText w:val="•"/>
      <w:lvlJc w:val="left"/>
      <w:pPr>
        <w:tabs>
          <w:tab w:val="num" w:pos="3600"/>
        </w:tabs>
        <w:ind w:left="3600" w:hanging="360"/>
      </w:pPr>
      <w:rPr>
        <w:rFonts w:ascii="Times New Roman" w:hAnsi="Times New Roman" w:hint="default"/>
      </w:rPr>
    </w:lvl>
    <w:lvl w:ilvl="5" w:tplc="13D655C0" w:tentative="1">
      <w:start w:val="1"/>
      <w:numFmt w:val="bullet"/>
      <w:lvlText w:val="•"/>
      <w:lvlJc w:val="left"/>
      <w:pPr>
        <w:tabs>
          <w:tab w:val="num" w:pos="4320"/>
        </w:tabs>
        <w:ind w:left="4320" w:hanging="360"/>
      </w:pPr>
      <w:rPr>
        <w:rFonts w:ascii="Times New Roman" w:hAnsi="Times New Roman" w:hint="default"/>
      </w:rPr>
    </w:lvl>
    <w:lvl w:ilvl="6" w:tplc="20885E88" w:tentative="1">
      <w:start w:val="1"/>
      <w:numFmt w:val="bullet"/>
      <w:lvlText w:val="•"/>
      <w:lvlJc w:val="left"/>
      <w:pPr>
        <w:tabs>
          <w:tab w:val="num" w:pos="5040"/>
        </w:tabs>
        <w:ind w:left="5040" w:hanging="360"/>
      </w:pPr>
      <w:rPr>
        <w:rFonts w:ascii="Times New Roman" w:hAnsi="Times New Roman" w:hint="default"/>
      </w:rPr>
    </w:lvl>
    <w:lvl w:ilvl="7" w:tplc="DF1242CE" w:tentative="1">
      <w:start w:val="1"/>
      <w:numFmt w:val="bullet"/>
      <w:lvlText w:val="•"/>
      <w:lvlJc w:val="left"/>
      <w:pPr>
        <w:tabs>
          <w:tab w:val="num" w:pos="5760"/>
        </w:tabs>
        <w:ind w:left="5760" w:hanging="360"/>
      </w:pPr>
      <w:rPr>
        <w:rFonts w:ascii="Times New Roman" w:hAnsi="Times New Roman" w:hint="default"/>
      </w:rPr>
    </w:lvl>
    <w:lvl w:ilvl="8" w:tplc="374CECF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8D663E8"/>
    <w:multiLevelType w:val="multilevel"/>
    <w:tmpl w:val="931E8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8C42E7"/>
    <w:multiLevelType w:val="hybridMultilevel"/>
    <w:tmpl w:val="B11CF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65253E"/>
    <w:multiLevelType w:val="hybridMultilevel"/>
    <w:tmpl w:val="9702A082"/>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728B190F"/>
    <w:multiLevelType w:val="hybridMultilevel"/>
    <w:tmpl w:val="C7E2E158"/>
    <w:lvl w:ilvl="0" w:tplc="B6FEA97E">
      <w:start w:val="1"/>
      <w:numFmt w:val="lowerLetter"/>
      <w:lvlText w:val="%1."/>
      <w:lvlJc w:val="left"/>
      <w:pPr>
        <w:tabs>
          <w:tab w:val="num" w:pos="1140"/>
        </w:tabs>
        <w:ind w:left="1140" w:hanging="360"/>
      </w:pPr>
      <w:rPr>
        <w:rFonts w:hint="default"/>
      </w:rPr>
    </w:lvl>
    <w:lvl w:ilvl="1" w:tplc="FA68EC7A">
      <w:start w:val="74"/>
      <w:numFmt w:val="decimal"/>
      <w:lvlText w:val="%2."/>
      <w:lvlJc w:val="left"/>
      <w:pPr>
        <w:tabs>
          <w:tab w:val="num" w:pos="360"/>
        </w:tabs>
        <w:ind w:left="36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6A030F7"/>
    <w:multiLevelType w:val="hybridMultilevel"/>
    <w:tmpl w:val="EF52C2AA"/>
    <w:lvl w:ilvl="0" w:tplc="E6304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9"/>
  </w:num>
  <w:num w:numId="3">
    <w:abstractNumId w:val="3"/>
  </w:num>
  <w:num w:numId="4">
    <w:abstractNumId w:val="2"/>
  </w:num>
  <w:num w:numId="5">
    <w:abstractNumId w:val="17"/>
  </w:num>
  <w:num w:numId="6">
    <w:abstractNumId w:val="12"/>
  </w:num>
  <w:num w:numId="7">
    <w:abstractNumId w:val="11"/>
  </w:num>
  <w:num w:numId="8">
    <w:abstractNumId w:val="7"/>
  </w:num>
  <w:num w:numId="9">
    <w:abstractNumId w:val="18"/>
  </w:num>
  <w:num w:numId="10">
    <w:abstractNumId w:val="21"/>
  </w:num>
  <w:num w:numId="11">
    <w:abstractNumId w:val="15"/>
  </w:num>
  <w:num w:numId="12">
    <w:abstractNumId w:val="16"/>
  </w:num>
  <w:num w:numId="13">
    <w:abstractNumId w:val="8"/>
  </w:num>
  <w:num w:numId="14">
    <w:abstractNumId w:val="4"/>
  </w:num>
  <w:num w:numId="15">
    <w:abstractNumId w:val="1"/>
  </w:num>
  <w:num w:numId="16">
    <w:abstractNumId w:val="22"/>
  </w:num>
  <w:num w:numId="17">
    <w:abstractNumId w:val="0"/>
  </w:num>
  <w:num w:numId="18">
    <w:abstractNumId w:val="20"/>
  </w:num>
  <w:num w:numId="19">
    <w:abstractNumId w:val="9"/>
  </w:num>
  <w:num w:numId="20">
    <w:abstractNumId w:val="13"/>
  </w:num>
  <w:num w:numId="21">
    <w:abstractNumId w:val="6"/>
  </w:num>
  <w:num w:numId="22">
    <w:abstractNumId w:val="10"/>
  </w:num>
  <w:num w:numId="23">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055216"/>
    <w:rsid w:val="00017D97"/>
    <w:rsid w:val="000440E8"/>
    <w:rsid w:val="00044580"/>
    <w:rsid w:val="00044813"/>
    <w:rsid w:val="000478A9"/>
    <w:rsid w:val="00053B6F"/>
    <w:rsid w:val="00055216"/>
    <w:rsid w:val="00060707"/>
    <w:rsid w:val="000666B3"/>
    <w:rsid w:val="00066EFC"/>
    <w:rsid w:val="00072AD9"/>
    <w:rsid w:val="00072D12"/>
    <w:rsid w:val="00083E6F"/>
    <w:rsid w:val="00086E26"/>
    <w:rsid w:val="00090B4A"/>
    <w:rsid w:val="0009394A"/>
    <w:rsid w:val="000A67BC"/>
    <w:rsid w:val="000B4101"/>
    <w:rsid w:val="000B5A9E"/>
    <w:rsid w:val="000C037B"/>
    <w:rsid w:val="00101030"/>
    <w:rsid w:val="00103F26"/>
    <w:rsid w:val="00155BFE"/>
    <w:rsid w:val="001618FB"/>
    <w:rsid w:val="0016361C"/>
    <w:rsid w:val="00166606"/>
    <w:rsid w:val="00174C28"/>
    <w:rsid w:val="00184E67"/>
    <w:rsid w:val="001914EF"/>
    <w:rsid w:val="00192BD7"/>
    <w:rsid w:val="00193E46"/>
    <w:rsid w:val="00194F50"/>
    <w:rsid w:val="001967EA"/>
    <w:rsid w:val="001A61B8"/>
    <w:rsid w:val="001A70F0"/>
    <w:rsid w:val="001A7281"/>
    <w:rsid w:val="001B164E"/>
    <w:rsid w:val="001B7DBD"/>
    <w:rsid w:val="001C0153"/>
    <w:rsid w:val="001C4710"/>
    <w:rsid w:val="001C58A4"/>
    <w:rsid w:val="001C64AF"/>
    <w:rsid w:val="001D728F"/>
    <w:rsid w:val="001E24CA"/>
    <w:rsid w:val="001E5A27"/>
    <w:rsid w:val="00210282"/>
    <w:rsid w:val="00211435"/>
    <w:rsid w:val="002246FD"/>
    <w:rsid w:val="00225EB9"/>
    <w:rsid w:val="00242F35"/>
    <w:rsid w:val="00242FE6"/>
    <w:rsid w:val="0024576E"/>
    <w:rsid w:val="00252879"/>
    <w:rsid w:val="00253444"/>
    <w:rsid w:val="002558D2"/>
    <w:rsid w:val="00264600"/>
    <w:rsid w:val="00280236"/>
    <w:rsid w:val="00287D67"/>
    <w:rsid w:val="0029050F"/>
    <w:rsid w:val="00290562"/>
    <w:rsid w:val="002929F7"/>
    <w:rsid w:val="002B543D"/>
    <w:rsid w:val="002B739C"/>
    <w:rsid w:val="002E04AE"/>
    <w:rsid w:val="002E6EAC"/>
    <w:rsid w:val="002F14C2"/>
    <w:rsid w:val="002F4BB1"/>
    <w:rsid w:val="00311AF5"/>
    <w:rsid w:val="00312E17"/>
    <w:rsid w:val="00315124"/>
    <w:rsid w:val="003233ED"/>
    <w:rsid w:val="003321C9"/>
    <w:rsid w:val="003375F0"/>
    <w:rsid w:val="00340AC1"/>
    <w:rsid w:val="00345435"/>
    <w:rsid w:val="00354736"/>
    <w:rsid w:val="003554BA"/>
    <w:rsid w:val="003665E7"/>
    <w:rsid w:val="00374F1C"/>
    <w:rsid w:val="00380057"/>
    <w:rsid w:val="00387644"/>
    <w:rsid w:val="003A430A"/>
    <w:rsid w:val="003A5D86"/>
    <w:rsid w:val="003A647F"/>
    <w:rsid w:val="003C15EF"/>
    <w:rsid w:val="003C398A"/>
    <w:rsid w:val="003D7478"/>
    <w:rsid w:val="003F04AA"/>
    <w:rsid w:val="003F112D"/>
    <w:rsid w:val="003F387E"/>
    <w:rsid w:val="004034A6"/>
    <w:rsid w:val="00420ED6"/>
    <w:rsid w:val="00436ABA"/>
    <w:rsid w:val="00464B24"/>
    <w:rsid w:val="004675CB"/>
    <w:rsid w:val="0049773C"/>
    <w:rsid w:val="004B0495"/>
    <w:rsid w:val="004B3435"/>
    <w:rsid w:val="004B3C9A"/>
    <w:rsid w:val="004B7244"/>
    <w:rsid w:val="004B777F"/>
    <w:rsid w:val="004C05FD"/>
    <w:rsid w:val="004D2892"/>
    <w:rsid w:val="004E1BAD"/>
    <w:rsid w:val="004F100F"/>
    <w:rsid w:val="004F1FC8"/>
    <w:rsid w:val="004F2F85"/>
    <w:rsid w:val="00502B08"/>
    <w:rsid w:val="00530011"/>
    <w:rsid w:val="00532692"/>
    <w:rsid w:val="00560096"/>
    <w:rsid w:val="00566F95"/>
    <w:rsid w:val="005750B2"/>
    <w:rsid w:val="005764E8"/>
    <w:rsid w:val="005863E2"/>
    <w:rsid w:val="005922D3"/>
    <w:rsid w:val="005A7DF8"/>
    <w:rsid w:val="005C64C6"/>
    <w:rsid w:val="005D0C68"/>
    <w:rsid w:val="005E0BCC"/>
    <w:rsid w:val="00624562"/>
    <w:rsid w:val="00645C95"/>
    <w:rsid w:val="006524CF"/>
    <w:rsid w:val="0066129F"/>
    <w:rsid w:val="006627DF"/>
    <w:rsid w:val="00674A37"/>
    <w:rsid w:val="00680F9D"/>
    <w:rsid w:val="00681B4C"/>
    <w:rsid w:val="00685787"/>
    <w:rsid w:val="00690079"/>
    <w:rsid w:val="00692640"/>
    <w:rsid w:val="00697F9E"/>
    <w:rsid w:val="006A6170"/>
    <w:rsid w:val="006B43C3"/>
    <w:rsid w:val="006D0797"/>
    <w:rsid w:val="006E4F93"/>
    <w:rsid w:val="006E6A52"/>
    <w:rsid w:val="006F1507"/>
    <w:rsid w:val="006F6BCC"/>
    <w:rsid w:val="00700242"/>
    <w:rsid w:val="00701B59"/>
    <w:rsid w:val="00704DA9"/>
    <w:rsid w:val="00704DC7"/>
    <w:rsid w:val="00723170"/>
    <w:rsid w:val="00725551"/>
    <w:rsid w:val="00727A85"/>
    <w:rsid w:val="007300BB"/>
    <w:rsid w:val="007330C9"/>
    <w:rsid w:val="00740337"/>
    <w:rsid w:val="007424CC"/>
    <w:rsid w:val="007511D0"/>
    <w:rsid w:val="00766A9F"/>
    <w:rsid w:val="00772A4F"/>
    <w:rsid w:val="0077494A"/>
    <w:rsid w:val="00775440"/>
    <w:rsid w:val="00776B3A"/>
    <w:rsid w:val="00785220"/>
    <w:rsid w:val="007A01BF"/>
    <w:rsid w:val="007A6157"/>
    <w:rsid w:val="007A63B0"/>
    <w:rsid w:val="007B41AE"/>
    <w:rsid w:val="007C2617"/>
    <w:rsid w:val="007E5617"/>
    <w:rsid w:val="007F0525"/>
    <w:rsid w:val="007F1530"/>
    <w:rsid w:val="00804CB3"/>
    <w:rsid w:val="008138B6"/>
    <w:rsid w:val="00817A96"/>
    <w:rsid w:val="0082051E"/>
    <w:rsid w:val="00820FF6"/>
    <w:rsid w:val="00826CFA"/>
    <w:rsid w:val="00832721"/>
    <w:rsid w:val="00843549"/>
    <w:rsid w:val="008556DD"/>
    <w:rsid w:val="00867C43"/>
    <w:rsid w:val="00873F6E"/>
    <w:rsid w:val="00883D72"/>
    <w:rsid w:val="00890FBB"/>
    <w:rsid w:val="008C161A"/>
    <w:rsid w:val="008D4E05"/>
    <w:rsid w:val="008D7E78"/>
    <w:rsid w:val="008E1C1E"/>
    <w:rsid w:val="008E2462"/>
    <w:rsid w:val="008E3B92"/>
    <w:rsid w:val="008E7D58"/>
    <w:rsid w:val="008F304B"/>
    <w:rsid w:val="0090184B"/>
    <w:rsid w:val="009023E7"/>
    <w:rsid w:val="0091117A"/>
    <w:rsid w:val="00917513"/>
    <w:rsid w:val="00935E94"/>
    <w:rsid w:val="00940811"/>
    <w:rsid w:val="00940FB8"/>
    <w:rsid w:val="00943BF1"/>
    <w:rsid w:val="00946B55"/>
    <w:rsid w:val="009515CE"/>
    <w:rsid w:val="00963C4F"/>
    <w:rsid w:val="00965036"/>
    <w:rsid w:val="00974EFA"/>
    <w:rsid w:val="009A3D30"/>
    <w:rsid w:val="009B2973"/>
    <w:rsid w:val="009C1DCD"/>
    <w:rsid w:val="009C1EA5"/>
    <w:rsid w:val="009C5984"/>
    <w:rsid w:val="009C7988"/>
    <w:rsid w:val="009E74A4"/>
    <w:rsid w:val="009F4A2C"/>
    <w:rsid w:val="00A03855"/>
    <w:rsid w:val="00A04EF7"/>
    <w:rsid w:val="00A07598"/>
    <w:rsid w:val="00A07C87"/>
    <w:rsid w:val="00A111DC"/>
    <w:rsid w:val="00A12F07"/>
    <w:rsid w:val="00A22CD4"/>
    <w:rsid w:val="00A2304F"/>
    <w:rsid w:val="00A429F9"/>
    <w:rsid w:val="00A46E57"/>
    <w:rsid w:val="00A61DEA"/>
    <w:rsid w:val="00A62487"/>
    <w:rsid w:val="00A8161A"/>
    <w:rsid w:val="00A81FD1"/>
    <w:rsid w:val="00AA07E8"/>
    <w:rsid w:val="00AA6A05"/>
    <w:rsid w:val="00AA7163"/>
    <w:rsid w:val="00AC2C6C"/>
    <w:rsid w:val="00AC4397"/>
    <w:rsid w:val="00AC5290"/>
    <w:rsid w:val="00AD15FA"/>
    <w:rsid w:val="00AD23A0"/>
    <w:rsid w:val="00AD2DBD"/>
    <w:rsid w:val="00AF136B"/>
    <w:rsid w:val="00AF4B38"/>
    <w:rsid w:val="00B16DEF"/>
    <w:rsid w:val="00B338CA"/>
    <w:rsid w:val="00B356F5"/>
    <w:rsid w:val="00B51C39"/>
    <w:rsid w:val="00B52C36"/>
    <w:rsid w:val="00B5738B"/>
    <w:rsid w:val="00B64442"/>
    <w:rsid w:val="00B66210"/>
    <w:rsid w:val="00B776DF"/>
    <w:rsid w:val="00B84F4F"/>
    <w:rsid w:val="00B85128"/>
    <w:rsid w:val="00B93A61"/>
    <w:rsid w:val="00B96361"/>
    <w:rsid w:val="00BB612C"/>
    <w:rsid w:val="00BC2692"/>
    <w:rsid w:val="00BC2ADA"/>
    <w:rsid w:val="00BC6827"/>
    <w:rsid w:val="00BD5092"/>
    <w:rsid w:val="00BE2A10"/>
    <w:rsid w:val="00BE3102"/>
    <w:rsid w:val="00BE4A4C"/>
    <w:rsid w:val="00BF37A3"/>
    <w:rsid w:val="00BF72EA"/>
    <w:rsid w:val="00C10FB8"/>
    <w:rsid w:val="00C13DBE"/>
    <w:rsid w:val="00C17E43"/>
    <w:rsid w:val="00C20697"/>
    <w:rsid w:val="00C32271"/>
    <w:rsid w:val="00C41556"/>
    <w:rsid w:val="00C4245F"/>
    <w:rsid w:val="00C42E79"/>
    <w:rsid w:val="00C63EB0"/>
    <w:rsid w:val="00C72920"/>
    <w:rsid w:val="00CA0DB2"/>
    <w:rsid w:val="00CA508F"/>
    <w:rsid w:val="00CE2C3A"/>
    <w:rsid w:val="00CE4878"/>
    <w:rsid w:val="00CE5584"/>
    <w:rsid w:val="00CF0C5D"/>
    <w:rsid w:val="00CF4381"/>
    <w:rsid w:val="00D03E23"/>
    <w:rsid w:val="00D0566D"/>
    <w:rsid w:val="00D15D36"/>
    <w:rsid w:val="00D20A84"/>
    <w:rsid w:val="00D22528"/>
    <w:rsid w:val="00D25672"/>
    <w:rsid w:val="00D4173D"/>
    <w:rsid w:val="00D434FC"/>
    <w:rsid w:val="00D546DD"/>
    <w:rsid w:val="00D67C7D"/>
    <w:rsid w:val="00D71602"/>
    <w:rsid w:val="00D75084"/>
    <w:rsid w:val="00D767A7"/>
    <w:rsid w:val="00D8564B"/>
    <w:rsid w:val="00DA370F"/>
    <w:rsid w:val="00DC7BAD"/>
    <w:rsid w:val="00DD09E4"/>
    <w:rsid w:val="00DE0634"/>
    <w:rsid w:val="00DF04DB"/>
    <w:rsid w:val="00DF2CD4"/>
    <w:rsid w:val="00E048CB"/>
    <w:rsid w:val="00E07BB9"/>
    <w:rsid w:val="00E14811"/>
    <w:rsid w:val="00E33DB6"/>
    <w:rsid w:val="00E36E76"/>
    <w:rsid w:val="00E71BF0"/>
    <w:rsid w:val="00E72B8B"/>
    <w:rsid w:val="00E85667"/>
    <w:rsid w:val="00EB1486"/>
    <w:rsid w:val="00EB3DD5"/>
    <w:rsid w:val="00F06D66"/>
    <w:rsid w:val="00F13AD5"/>
    <w:rsid w:val="00F369A4"/>
    <w:rsid w:val="00F36E67"/>
    <w:rsid w:val="00F371A5"/>
    <w:rsid w:val="00F4097A"/>
    <w:rsid w:val="00F40A05"/>
    <w:rsid w:val="00F42C16"/>
    <w:rsid w:val="00F43D94"/>
    <w:rsid w:val="00F602F7"/>
    <w:rsid w:val="00F66BAA"/>
    <w:rsid w:val="00F6790A"/>
    <w:rsid w:val="00F7469A"/>
    <w:rsid w:val="00F84FC7"/>
    <w:rsid w:val="00F91C03"/>
    <w:rsid w:val="00F93CE0"/>
    <w:rsid w:val="00FA2A57"/>
    <w:rsid w:val="00FA53AF"/>
    <w:rsid w:val="00FB5733"/>
    <w:rsid w:val="00FB6080"/>
    <w:rsid w:val="00FB6638"/>
    <w:rsid w:val="00FC3C44"/>
    <w:rsid w:val="00FC4608"/>
    <w:rsid w:val="00FC698C"/>
    <w:rsid w:val="00FD4A6E"/>
    <w:rsid w:val="00FE75E5"/>
    <w:rsid w:val="00FF6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fill="f" fillcolor="white" strokecolor="red">
      <v:fill color="white" on="f"/>
      <v:stroke color="red"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35"/>
    <w:rPr>
      <w:sz w:val="24"/>
      <w:szCs w:val="24"/>
    </w:rPr>
  </w:style>
  <w:style w:type="paragraph" w:styleId="Heading1">
    <w:name w:val="heading 1"/>
    <w:basedOn w:val="Normal"/>
    <w:next w:val="Normal"/>
    <w:qFormat/>
    <w:rsid w:val="00A12F07"/>
    <w:pPr>
      <w:keepNext/>
      <w:outlineLvl w:val="0"/>
    </w:pPr>
    <w:rPr>
      <w:sz w:val="32"/>
    </w:rPr>
  </w:style>
  <w:style w:type="paragraph" w:styleId="Heading3">
    <w:name w:val="heading 3"/>
    <w:basedOn w:val="Normal"/>
    <w:next w:val="Normal"/>
    <w:link w:val="Heading3Char"/>
    <w:qFormat/>
    <w:rsid w:val="00A12F07"/>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2F07"/>
    <w:rPr>
      <w:rFonts w:ascii="Arial" w:hAnsi="Arial" w:cs="Arial" w:hint="default"/>
      <w:color w:val="0000FF"/>
      <w:sz w:val="24"/>
      <w:szCs w:val="24"/>
      <w:u w:val="single"/>
    </w:rPr>
  </w:style>
  <w:style w:type="paragraph" w:customStyle="1" w:styleId="formbuttonsleftjustified">
    <w:name w:val="formbuttonsleftjustified"/>
    <w:basedOn w:val="Normal"/>
    <w:rsid w:val="00A12F07"/>
    <w:pPr>
      <w:spacing w:before="132" w:after="100" w:afterAutospacing="1"/>
    </w:pPr>
    <w:rPr>
      <w:rFonts w:ascii="Arial" w:hAnsi="Arial" w:cs="Arial"/>
    </w:rPr>
  </w:style>
  <w:style w:type="character" w:customStyle="1" w:styleId="Heading3Char">
    <w:name w:val="Heading 3 Char"/>
    <w:basedOn w:val="DefaultParagraphFont"/>
    <w:link w:val="Heading3"/>
    <w:rsid w:val="00A12F07"/>
    <w:rPr>
      <w:b/>
      <w:bCs/>
      <w:sz w:val="24"/>
      <w:szCs w:val="24"/>
      <w:u w:val="single"/>
      <w:lang w:val="en-US" w:eastAsia="en-US" w:bidi="ar-SA"/>
    </w:rPr>
  </w:style>
  <w:style w:type="paragraph" w:styleId="TOC1">
    <w:name w:val="toc 1"/>
    <w:basedOn w:val="Normal"/>
    <w:next w:val="Normal"/>
    <w:autoRedefine/>
    <w:semiHidden/>
    <w:rsid w:val="00A12F07"/>
    <w:pPr>
      <w:spacing w:before="120"/>
    </w:pPr>
    <w:rPr>
      <w:b/>
      <w:bCs/>
      <w:i/>
      <w:iCs/>
    </w:rPr>
  </w:style>
  <w:style w:type="paragraph" w:styleId="TOC3">
    <w:name w:val="toc 3"/>
    <w:basedOn w:val="Normal"/>
    <w:next w:val="Normal"/>
    <w:autoRedefine/>
    <w:semiHidden/>
    <w:rsid w:val="00A12F07"/>
    <w:pPr>
      <w:ind w:left="480"/>
    </w:pPr>
    <w:rPr>
      <w:sz w:val="20"/>
      <w:szCs w:val="20"/>
    </w:rPr>
  </w:style>
  <w:style w:type="paragraph" w:styleId="Footer">
    <w:name w:val="footer"/>
    <w:basedOn w:val="Normal"/>
    <w:rsid w:val="00A12F07"/>
    <w:pPr>
      <w:tabs>
        <w:tab w:val="center" w:pos="4320"/>
        <w:tab w:val="right" w:pos="8640"/>
      </w:tabs>
    </w:pPr>
  </w:style>
  <w:style w:type="character" w:styleId="PageNumber">
    <w:name w:val="page number"/>
    <w:basedOn w:val="DefaultParagraphFont"/>
    <w:rsid w:val="00A12F07"/>
  </w:style>
  <w:style w:type="paragraph" w:styleId="Header">
    <w:name w:val="header"/>
    <w:basedOn w:val="Normal"/>
    <w:rsid w:val="00A12F07"/>
    <w:pPr>
      <w:tabs>
        <w:tab w:val="center" w:pos="4320"/>
        <w:tab w:val="right" w:pos="8640"/>
      </w:tabs>
    </w:pPr>
  </w:style>
  <w:style w:type="paragraph" w:styleId="TOC2">
    <w:name w:val="toc 2"/>
    <w:basedOn w:val="Normal"/>
    <w:next w:val="Normal"/>
    <w:autoRedefine/>
    <w:semiHidden/>
    <w:rsid w:val="00A12F07"/>
    <w:pPr>
      <w:spacing w:before="120"/>
      <w:ind w:left="240"/>
    </w:pPr>
    <w:rPr>
      <w:b/>
      <w:bCs/>
      <w:sz w:val="22"/>
      <w:szCs w:val="22"/>
    </w:rPr>
  </w:style>
  <w:style w:type="paragraph" w:styleId="TOC4">
    <w:name w:val="toc 4"/>
    <w:basedOn w:val="Normal"/>
    <w:next w:val="Normal"/>
    <w:autoRedefine/>
    <w:semiHidden/>
    <w:rsid w:val="00A12F07"/>
    <w:pPr>
      <w:ind w:left="720"/>
    </w:pPr>
    <w:rPr>
      <w:sz w:val="20"/>
      <w:szCs w:val="20"/>
    </w:rPr>
  </w:style>
  <w:style w:type="paragraph" w:styleId="TOC5">
    <w:name w:val="toc 5"/>
    <w:basedOn w:val="Normal"/>
    <w:next w:val="Normal"/>
    <w:autoRedefine/>
    <w:semiHidden/>
    <w:rsid w:val="00A12F07"/>
    <w:pPr>
      <w:ind w:left="960"/>
    </w:pPr>
    <w:rPr>
      <w:sz w:val="20"/>
      <w:szCs w:val="20"/>
    </w:rPr>
  </w:style>
  <w:style w:type="paragraph" w:styleId="TOC6">
    <w:name w:val="toc 6"/>
    <w:basedOn w:val="Normal"/>
    <w:next w:val="Normal"/>
    <w:autoRedefine/>
    <w:semiHidden/>
    <w:rsid w:val="00A12F07"/>
    <w:pPr>
      <w:ind w:left="1200"/>
    </w:pPr>
    <w:rPr>
      <w:sz w:val="20"/>
      <w:szCs w:val="20"/>
    </w:rPr>
  </w:style>
  <w:style w:type="paragraph" w:styleId="TOC7">
    <w:name w:val="toc 7"/>
    <w:basedOn w:val="Normal"/>
    <w:next w:val="Normal"/>
    <w:autoRedefine/>
    <w:semiHidden/>
    <w:rsid w:val="00A12F07"/>
    <w:pPr>
      <w:ind w:left="1440"/>
    </w:pPr>
    <w:rPr>
      <w:sz w:val="20"/>
      <w:szCs w:val="20"/>
    </w:rPr>
  </w:style>
  <w:style w:type="paragraph" w:styleId="TOC8">
    <w:name w:val="toc 8"/>
    <w:basedOn w:val="Normal"/>
    <w:next w:val="Normal"/>
    <w:autoRedefine/>
    <w:semiHidden/>
    <w:rsid w:val="00A12F07"/>
    <w:pPr>
      <w:ind w:left="1680"/>
    </w:pPr>
    <w:rPr>
      <w:sz w:val="20"/>
      <w:szCs w:val="20"/>
    </w:rPr>
  </w:style>
  <w:style w:type="paragraph" w:styleId="TOC9">
    <w:name w:val="toc 9"/>
    <w:basedOn w:val="Normal"/>
    <w:next w:val="Normal"/>
    <w:autoRedefine/>
    <w:semiHidden/>
    <w:rsid w:val="00A12F07"/>
    <w:pPr>
      <w:ind w:left="1920"/>
    </w:pPr>
    <w:rPr>
      <w:sz w:val="20"/>
      <w:szCs w:val="20"/>
    </w:rPr>
  </w:style>
  <w:style w:type="paragraph" w:customStyle="1" w:styleId="Style1">
    <w:name w:val="Style1"/>
    <w:basedOn w:val="Normal"/>
    <w:rsid w:val="00060707"/>
    <w:rPr>
      <w:b/>
      <w:bCs/>
      <w:sz w:val="28"/>
    </w:rPr>
  </w:style>
  <w:style w:type="character" w:styleId="FollowedHyperlink">
    <w:name w:val="FollowedHyperlink"/>
    <w:basedOn w:val="DefaultParagraphFont"/>
    <w:rsid w:val="00CE5584"/>
    <w:rPr>
      <w:color w:val="800080"/>
      <w:u w:val="single"/>
    </w:rPr>
  </w:style>
  <w:style w:type="paragraph" w:styleId="BalloonText">
    <w:name w:val="Balloon Text"/>
    <w:basedOn w:val="Normal"/>
    <w:semiHidden/>
    <w:rsid w:val="00FD4A6E"/>
    <w:rPr>
      <w:rFonts w:ascii="Tahoma" w:hAnsi="Tahoma" w:cs="Tahoma"/>
      <w:sz w:val="16"/>
      <w:szCs w:val="16"/>
    </w:rPr>
  </w:style>
  <w:style w:type="character" w:styleId="CommentReference">
    <w:name w:val="annotation reference"/>
    <w:basedOn w:val="DefaultParagraphFont"/>
    <w:semiHidden/>
    <w:rsid w:val="00FD4A6E"/>
    <w:rPr>
      <w:sz w:val="16"/>
      <w:szCs w:val="16"/>
    </w:rPr>
  </w:style>
  <w:style w:type="paragraph" w:styleId="CommentText">
    <w:name w:val="annotation text"/>
    <w:basedOn w:val="Normal"/>
    <w:semiHidden/>
    <w:rsid w:val="00FD4A6E"/>
    <w:rPr>
      <w:sz w:val="20"/>
      <w:szCs w:val="20"/>
    </w:rPr>
  </w:style>
  <w:style w:type="paragraph" w:styleId="CommentSubject">
    <w:name w:val="annotation subject"/>
    <w:basedOn w:val="CommentText"/>
    <w:next w:val="CommentText"/>
    <w:semiHidden/>
    <w:rsid w:val="00FD4A6E"/>
    <w:rPr>
      <w:b/>
      <w:bCs/>
    </w:rPr>
  </w:style>
  <w:style w:type="paragraph" w:styleId="NormalWeb">
    <w:name w:val="Normal (Web)"/>
    <w:basedOn w:val="Normal"/>
    <w:rsid w:val="00645C95"/>
    <w:pPr>
      <w:spacing w:before="100" w:beforeAutospacing="1" w:after="100" w:afterAutospacing="1"/>
    </w:pPr>
    <w:rPr>
      <w:color w:val="000000"/>
    </w:rPr>
  </w:style>
  <w:style w:type="paragraph" w:styleId="BodyTextIndent">
    <w:name w:val="Body Text Indent"/>
    <w:basedOn w:val="Normal"/>
    <w:rsid w:val="00645C95"/>
    <w:pPr>
      <w:spacing w:after="120"/>
      <w:ind w:left="360"/>
    </w:pPr>
    <w:rPr>
      <w:sz w:val="20"/>
      <w:szCs w:val="20"/>
    </w:rPr>
  </w:style>
  <w:style w:type="character" w:styleId="Emphasis">
    <w:name w:val="Emphasis"/>
    <w:basedOn w:val="DefaultParagraphFont"/>
    <w:qFormat/>
    <w:rsid w:val="00645C95"/>
    <w:rPr>
      <w:i/>
      <w:iCs/>
    </w:rPr>
  </w:style>
  <w:style w:type="paragraph" w:customStyle="1" w:styleId="Body">
    <w:name w:val="Body"/>
    <w:basedOn w:val="Normal"/>
    <w:autoRedefine/>
    <w:rsid w:val="00AC2C6C"/>
    <w:pPr>
      <w:tabs>
        <w:tab w:val="left" w:pos="1170"/>
        <w:tab w:val="num" w:pos="1800"/>
        <w:tab w:val="left" w:pos="9450"/>
      </w:tabs>
      <w:spacing w:after="240"/>
      <w:ind w:left="720" w:right="810"/>
    </w:pPr>
    <w:rPr>
      <w:rFonts w:ascii="Arial Narrow" w:eastAsia="MS Mincho" w:hAnsi="Arial Narrow"/>
    </w:rPr>
  </w:style>
  <w:style w:type="paragraph" w:customStyle="1" w:styleId="Bullets">
    <w:name w:val="Bullets"/>
    <w:basedOn w:val="Body"/>
    <w:autoRedefine/>
    <w:rsid w:val="00AC2C6C"/>
    <w:pPr>
      <w:numPr>
        <w:numId w:val="13"/>
      </w:numPr>
    </w:pPr>
    <w:rPr>
      <w:rFonts w:cs="Arial"/>
    </w:rPr>
  </w:style>
  <w:style w:type="paragraph" w:customStyle="1" w:styleId="Subhead1">
    <w:name w:val="Subhead 1"/>
    <w:basedOn w:val="Normal"/>
    <w:autoRedefine/>
    <w:rsid w:val="00AC2C6C"/>
    <w:pPr>
      <w:tabs>
        <w:tab w:val="left" w:pos="1170"/>
        <w:tab w:val="num" w:pos="1800"/>
        <w:tab w:val="left" w:pos="9450"/>
      </w:tabs>
      <w:spacing w:line="280" w:lineRule="exact"/>
      <w:ind w:left="806" w:right="806"/>
      <w:jc w:val="both"/>
    </w:pPr>
    <w:rPr>
      <w:rFonts w:ascii="Century Gothic" w:eastAsia="MS Mincho" w:hAnsi="Century Gothic"/>
      <w:b/>
      <w:color w:val="000000"/>
    </w:rPr>
  </w:style>
  <w:style w:type="paragraph" w:customStyle="1" w:styleId="SubHead2">
    <w:name w:val="SubHead 2"/>
    <w:basedOn w:val="Normal"/>
    <w:autoRedefine/>
    <w:rsid w:val="00AC2C6C"/>
    <w:pPr>
      <w:tabs>
        <w:tab w:val="left" w:pos="-5580"/>
      </w:tabs>
      <w:spacing w:after="20" w:line="210" w:lineRule="exact"/>
      <w:ind w:left="806" w:right="810"/>
    </w:pPr>
    <w:rPr>
      <w:rFonts w:ascii="Arial Narrow" w:hAnsi="Arial Narrow"/>
      <w:b/>
    </w:rPr>
  </w:style>
  <w:style w:type="paragraph" w:styleId="ListParagraph">
    <w:name w:val="List Paragraph"/>
    <w:basedOn w:val="Normal"/>
    <w:uiPriority w:val="99"/>
    <w:qFormat/>
    <w:rsid w:val="00946B55"/>
    <w:pPr>
      <w:ind w:left="720"/>
    </w:pPr>
    <w:rPr>
      <w:rFonts w:ascii="Verdana" w:hAnsi="Verdana"/>
      <w:sz w:val="20"/>
    </w:rPr>
  </w:style>
  <w:style w:type="table" w:styleId="TableGrid">
    <w:name w:val="Table Grid"/>
    <w:basedOn w:val="TableNormal"/>
    <w:uiPriority w:val="59"/>
    <w:rsid w:val="00F746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F7469A"/>
    <w:rPr>
      <w:sz w:val="24"/>
      <w:szCs w:val="24"/>
    </w:rPr>
  </w:style>
</w:styles>
</file>

<file path=word/webSettings.xml><?xml version="1.0" encoding="utf-8"?>
<w:webSettings xmlns:r="http://schemas.openxmlformats.org/officeDocument/2006/relationships" xmlns:w="http://schemas.openxmlformats.org/wordprocessingml/2006/main">
  <w:divs>
    <w:div w:id="58091898">
      <w:bodyDiv w:val="1"/>
      <w:marLeft w:val="0"/>
      <w:marRight w:val="0"/>
      <w:marTop w:val="0"/>
      <w:marBottom w:val="0"/>
      <w:divBdr>
        <w:top w:val="none" w:sz="0" w:space="0" w:color="auto"/>
        <w:left w:val="none" w:sz="0" w:space="0" w:color="auto"/>
        <w:bottom w:val="none" w:sz="0" w:space="0" w:color="auto"/>
        <w:right w:val="none" w:sz="0" w:space="0" w:color="auto"/>
      </w:divBdr>
    </w:div>
    <w:div w:id="1098646899">
      <w:bodyDiv w:val="1"/>
      <w:marLeft w:val="0"/>
      <w:marRight w:val="0"/>
      <w:marTop w:val="0"/>
      <w:marBottom w:val="0"/>
      <w:divBdr>
        <w:top w:val="none" w:sz="0" w:space="0" w:color="auto"/>
        <w:left w:val="none" w:sz="0" w:space="0" w:color="auto"/>
        <w:bottom w:val="none" w:sz="0" w:space="0" w:color="auto"/>
        <w:right w:val="none" w:sz="0" w:space="0" w:color="auto"/>
      </w:divBdr>
    </w:div>
    <w:div w:id="11896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3FB6-D2E7-4FAF-BB08-9F315F56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Agency Guide for PRA Users</vt:lpstr>
    </vt:vector>
  </TitlesOfParts>
  <Company>GSA</Company>
  <LinksUpToDate>false</LinksUpToDate>
  <CharactersWithSpaces>14571</CharactersWithSpaces>
  <SharedDoc>false</SharedDoc>
  <HLinks>
    <vt:vector size="12" baseType="variant">
      <vt:variant>
        <vt:i4>4522057</vt:i4>
      </vt:variant>
      <vt:variant>
        <vt:i4>3</vt:i4>
      </vt:variant>
      <vt:variant>
        <vt:i4>0</vt:i4>
      </vt:variant>
      <vt:variant>
        <vt:i4>5</vt:i4>
      </vt:variant>
      <vt:variant>
        <vt:lpwstr>http://www.kaiserpermanentejobs.org/</vt:lpwstr>
      </vt:variant>
      <vt:variant>
        <vt:lpwstr/>
      </vt: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Guide for PRA Users</dc:title>
  <dc:subject/>
  <dc:creator>N Bushi</dc:creator>
  <cp:keywords/>
  <dc:description/>
  <cp:lastModifiedBy>US Department of Treasury</cp:lastModifiedBy>
  <cp:revision>2</cp:revision>
  <cp:lastPrinted>2009-08-09T19:26:00Z</cp:lastPrinted>
  <dcterms:created xsi:type="dcterms:W3CDTF">2010-09-29T16:55:00Z</dcterms:created>
  <dcterms:modified xsi:type="dcterms:W3CDTF">2010-09-29T16:55:00Z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