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63" w:rsidRDefault="00124963">
      <w:r>
        <w:t>DATE:</w:t>
      </w:r>
      <w:r>
        <w:tab/>
      </w:r>
      <w:r>
        <w:tab/>
        <w:t xml:space="preserve">August </w:t>
      </w:r>
      <w:r w:rsidR="002D0D30">
        <w:t>5</w:t>
      </w:r>
      <w:r>
        <w:t>, 2010</w:t>
      </w:r>
    </w:p>
    <w:p w:rsidR="00124963" w:rsidRDefault="00124963">
      <w:r>
        <w:t>TO:</w:t>
      </w:r>
      <w:r>
        <w:tab/>
      </w:r>
      <w:r>
        <w:tab/>
        <w:t>Office of Management and Budget</w:t>
      </w:r>
    </w:p>
    <w:p w:rsidR="00124963" w:rsidRDefault="00124963">
      <w:r>
        <w:t>THROUGH:</w:t>
      </w:r>
      <w:r>
        <w:tab/>
        <w:t>NIH Project Clearance Officer, OPERA</w:t>
      </w:r>
    </w:p>
    <w:p w:rsidR="00124963" w:rsidRDefault="00124963" w:rsidP="00124963">
      <w:pPr>
        <w:spacing w:line="240" w:lineRule="auto"/>
      </w:pPr>
      <w:r>
        <w:t>FROM:</w:t>
      </w:r>
      <w:r>
        <w:tab/>
      </w:r>
      <w:r>
        <w:tab/>
        <w:t>Carol Wigglesworth, Grants Policy Analyst</w:t>
      </w:r>
    </w:p>
    <w:p w:rsidR="00124963" w:rsidRDefault="00124963" w:rsidP="00124963">
      <w:pPr>
        <w:spacing w:line="240" w:lineRule="auto"/>
      </w:pPr>
      <w:r>
        <w:tab/>
      </w:r>
      <w:r>
        <w:tab/>
        <w:t>Office of Policy for Extramural Research Administration</w:t>
      </w:r>
    </w:p>
    <w:p w:rsidR="00124963" w:rsidRDefault="00124963" w:rsidP="00124963">
      <w:pPr>
        <w:spacing w:line="240" w:lineRule="auto"/>
      </w:pPr>
      <w:r>
        <w:tab/>
      </w:r>
      <w:r>
        <w:tab/>
        <w:t>Office of Extramural Research, OD, NIH</w:t>
      </w:r>
    </w:p>
    <w:p w:rsidR="00124963" w:rsidRDefault="00124963" w:rsidP="00124963">
      <w:pPr>
        <w:spacing w:line="240" w:lineRule="auto"/>
      </w:pPr>
      <w:r>
        <w:t>SUBJECT:</w:t>
      </w:r>
      <w:r>
        <w:tab/>
        <w:t>Amendment to the PHS 2590 Non-competing Continuation Progress Report Instructions</w:t>
      </w:r>
    </w:p>
    <w:p w:rsidR="00124963" w:rsidRPr="00124963" w:rsidRDefault="00124963" w:rsidP="00124963">
      <w:pPr>
        <w:spacing w:line="240" w:lineRule="auto"/>
      </w:pPr>
      <w:r>
        <w:tab/>
      </w:r>
      <w:r>
        <w:tab/>
      </w:r>
      <w:r w:rsidRPr="00124963">
        <w:t>(</w:t>
      </w:r>
      <w:r w:rsidRPr="00124963">
        <w:rPr>
          <w:b/>
          <w:bCs/>
        </w:rPr>
        <w:t xml:space="preserve">OMB No. 0925-0001, expiration date 6/12/2012) </w:t>
      </w:r>
    </w:p>
    <w:p w:rsidR="00124963" w:rsidRPr="00124963" w:rsidRDefault="00124963" w:rsidP="00124963">
      <w:pPr>
        <w:spacing w:line="240" w:lineRule="auto"/>
      </w:pPr>
      <w:r w:rsidRPr="00124963">
        <w:t>The PHS 2590 is the noncompeting continuation progress report required annually of PHS award recipients.  It is necessary in order to receive continued funding for each noncompeting year of a project.</w:t>
      </w:r>
    </w:p>
    <w:p w:rsidR="00124963" w:rsidRPr="00124963" w:rsidRDefault="00124963" w:rsidP="00124963">
      <w:pPr>
        <w:spacing w:line="240" w:lineRule="auto"/>
      </w:pPr>
      <w:r w:rsidRPr="00124963">
        <w:t xml:space="preserve">NIH developed the Streamlined Noncompeting Award Process (SNAP) in 1995 in order to </w:t>
      </w:r>
      <w:r w:rsidR="002646EB">
        <w:t xml:space="preserve">simplify the </w:t>
      </w:r>
      <w:r w:rsidRPr="00124963">
        <w:t>noncompeting award process</w:t>
      </w:r>
      <w:r>
        <w:t xml:space="preserve"> for </w:t>
      </w:r>
      <w:r w:rsidR="000E5F23">
        <w:t>low-risk awards (primarily awards under $250K per year with carryover authority).</w:t>
      </w:r>
      <w:r w:rsidRPr="00124963">
        <w:t xml:space="preserve">  The </w:t>
      </w:r>
      <w:r w:rsidR="002646EB">
        <w:t xml:space="preserve">streamlined progress reports eliminates the routine submission of detailed budget information and </w:t>
      </w:r>
      <w:r w:rsidR="00223314">
        <w:t xml:space="preserve">requires that </w:t>
      </w:r>
      <w:r w:rsidR="002646EB">
        <w:t>grantees answer</w:t>
      </w:r>
      <w:r w:rsidRPr="00124963">
        <w:t xml:space="preserve"> three “SNAP questions” regarding changes in other support for key personnel, changes in level of effort for key personnel, and </w:t>
      </w:r>
      <w:r>
        <w:t xml:space="preserve">explanation of </w:t>
      </w:r>
      <w:r w:rsidRPr="00124963">
        <w:t>unobligated balances greater than 25%.  SNAP also included business process changes, e.g., providing grantees with an extra two weeks to submit the progress report</w:t>
      </w:r>
      <w:r>
        <w:t>, and replacing the provision of specific Institutional Review Board and Animal Care and Use Committee approval dates with assurance that such review and approval was conducted.</w:t>
      </w:r>
      <w:r w:rsidRPr="00124963">
        <w:t xml:space="preserve">   </w:t>
      </w:r>
      <w:r>
        <w:t xml:space="preserve">Approximately </w:t>
      </w:r>
      <w:r w:rsidR="000E5F23">
        <w:t>95</w:t>
      </w:r>
      <w:r>
        <w:t>% of NIH awards are now issued under the SNAP provisions.</w:t>
      </w:r>
      <w:r w:rsidR="000E5F23">
        <w:t xml:space="preserve">  (Non-SNAP awards are large scale, complex, multi-project grants (often with multiple subprojects), that do not have carryover authority, and require closer monitoring.)</w:t>
      </w:r>
    </w:p>
    <w:p w:rsidR="00136D4F" w:rsidRDefault="00124963" w:rsidP="00124963">
      <w:pPr>
        <w:spacing w:line="240" w:lineRule="auto"/>
      </w:pPr>
      <w:r w:rsidRPr="00124963">
        <w:t>In 2003, NIH created the electronic Streamlined Non-competing Award Process (</w:t>
      </w:r>
      <w:proofErr w:type="spellStart"/>
      <w:r w:rsidRPr="00124963">
        <w:t>eSNAP</w:t>
      </w:r>
      <w:proofErr w:type="spellEnd"/>
      <w:r w:rsidRPr="00124963">
        <w:t xml:space="preserve">), originally pilot tested by members of the Federal Demonstration Partnership (FDP).  </w:t>
      </w:r>
      <w:proofErr w:type="spellStart"/>
      <w:proofErr w:type="gramStart"/>
      <w:r>
        <w:t>eSNAP</w:t>
      </w:r>
      <w:proofErr w:type="spellEnd"/>
      <w:proofErr w:type="gramEnd"/>
      <w:r>
        <w:t xml:space="preserve"> provides </w:t>
      </w:r>
      <w:r w:rsidR="000E5F23">
        <w:t xml:space="preserve">grantees with </w:t>
      </w:r>
      <w:r>
        <w:t>SNAP eligible awards the ability to submit the SNAP</w:t>
      </w:r>
      <w:r w:rsidR="000E5F23">
        <w:t xml:space="preserve"> progress report </w:t>
      </w:r>
      <w:r>
        <w:t xml:space="preserve">electronically using the eRA Commons.  </w:t>
      </w:r>
      <w:r w:rsidRPr="00124963">
        <w:t xml:space="preserve">Use of </w:t>
      </w:r>
      <w:proofErr w:type="spellStart"/>
      <w:r w:rsidRPr="00124963">
        <w:t>eSNAP</w:t>
      </w:r>
      <w:proofErr w:type="spellEnd"/>
      <w:r w:rsidRPr="00124963">
        <w:t xml:space="preserve"> has grown significantly in the ensuing years</w:t>
      </w:r>
      <w:r w:rsidR="000E5F23">
        <w:t xml:space="preserve">, and </w:t>
      </w:r>
      <w:r w:rsidR="00136D4F">
        <w:t xml:space="preserve">NIH estimates that as of June 2010 use of </w:t>
      </w:r>
      <w:proofErr w:type="spellStart"/>
      <w:r w:rsidR="00136D4F">
        <w:t>eSNAP</w:t>
      </w:r>
      <w:proofErr w:type="spellEnd"/>
      <w:r w:rsidR="00136D4F">
        <w:t xml:space="preserve"> was at approximately 80%.</w:t>
      </w:r>
    </w:p>
    <w:p w:rsidR="00124963" w:rsidRPr="00124963" w:rsidRDefault="000E5F23" w:rsidP="00124963">
      <w:pPr>
        <w:spacing w:line="240" w:lineRule="auto"/>
      </w:pPr>
      <w:r>
        <w:t xml:space="preserve"> </w:t>
      </w:r>
      <w:r w:rsidR="00136D4F">
        <w:t xml:space="preserve">Beginning with August 1, 2010, </w:t>
      </w:r>
      <w:r w:rsidR="00124963" w:rsidRPr="00124963">
        <w:t>NIH implement</w:t>
      </w:r>
      <w:r w:rsidR="00124963">
        <w:t>ed</w:t>
      </w:r>
      <w:r w:rsidR="00124963" w:rsidRPr="00124963">
        <w:t xml:space="preserve"> a policy mandating use of </w:t>
      </w:r>
      <w:proofErr w:type="spellStart"/>
      <w:r w:rsidR="00124963" w:rsidRPr="00124963">
        <w:t>eSNAP</w:t>
      </w:r>
      <w:proofErr w:type="spellEnd"/>
      <w:r w:rsidR="00124963" w:rsidRPr="00124963">
        <w:t xml:space="preserve"> for awards that are subject to the SNAP provisions.  This implementation date allow</w:t>
      </w:r>
      <w:r w:rsidR="00124963">
        <w:t>s</w:t>
      </w:r>
      <w:r w:rsidR="00124963" w:rsidRPr="00124963">
        <w:t xml:space="preserve"> NIH to electronically capture all SNAP progress reports eligible for funding in FY 2011, and is another step towards use of electronic systems for all NIH business processes.  NIH’s implementation of the Research Performance Progress Report (RPPR) will build upon the existing infrastructure and functionality of </w:t>
      </w:r>
      <w:proofErr w:type="spellStart"/>
      <w:r w:rsidR="00124963" w:rsidRPr="00124963">
        <w:t>eSNAP</w:t>
      </w:r>
      <w:proofErr w:type="spellEnd"/>
      <w:r w:rsidR="00124963" w:rsidRPr="00124963">
        <w:t xml:space="preserve">. </w:t>
      </w:r>
    </w:p>
    <w:p w:rsidR="00124963" w:rsidRDefault="00124963" w:rsidP="00124963">
      <w:pPr>
        <w:spacing w:line="240" w:lineRule="auto"/>
      </w:pPr>
      <w:r w:rsidRPr="00124963">
        <w:t xml:space="preserve">The required use of </w:t>
      </w:r>
      <w:proofErr w:type="spellStart"/>
      <w:r w:rsidRPr="00124963">
        <w:t>eSNAP</w:t>
      </w:r>
      <w:proofErr w:type="spellEnd"/>
      <w:r w:rsidRPr="00124963">
        <w:t xml:space="preserve"> is cause for clarifications to the PHS 2590 instructions.</w:t>
      </w:r>
      <w:r>
        <w:t xml:space="preserve">  Specifically, now obsolete information concerning </w:t>
      </w:r>
      <w:r w:rsidR="002646EB">
        <w:t xml:space="preserve">paper </w:t>
      </w:r>
      <w:r>
        <w:t xml:space="preserve">SNAP progress reports is deleted, and instructions concerning </w:t>
      </w:r>
      <w:r w:rsidR="002646EB">
        <w:t xml:space="preserve">mandated </w:t>
      </w:r>
      <w:r>
        <w:t xml:space="preserve">use of </w:t>
      </w:r>
      <w:proofErr w:type="spellStart"/>
      <w:r>
        <w:t>eSNAP</w:t>
      </w:r>
      <w:proofErr w:type="spellEnd"/>
      <w:r>
        <w:t xml:space="preserve"> are clarified.</w:t>
      </w:r>
    </w:p>
    <w:p w:rsidR="00E574DD" w:rsidRDefault="00136D4F" w:rsidP="00124963">
      <w:pPr>
        <w:spacing w:line="240" w:lineRule="auto"/>
      </w:pPr>
      <w:r>
        <w:t>The amended instructions also</w:t>
      </w:r>
      <w:r w:rsidR="00E574DD">
        <w:t xml:space="preserve"> include the following routine updates:  accommodation of the integration of a citation management tool (My Bibliography) with eRA Commons, and</w:t>
      </w:r>
      <w:r>
        <w:t xml:space="preserve"> update</w:t>
      </w:r>
      <w:r w:rsidR="00E574DD">
        <w:t>d</w:t>
      </w:r>
      <w:r>
        <w:t xml:space="preserve"> reporting </w:t>
      </w:r>
      <w:r>
        <w:lastRenderedPageBreak/>
        <w:t xml:space="preserve">requirements for institutional training and career development awards in the instruction in the responsible conduct of research.   </w:t>
      </w:r>
    </w:p>
    <w:p w:rsidR="00124963" w:rsidRDefault="00124963" w:rsidP="00124963">
      <w:pPr>
        <w:spacing w:line="240" w:lineRule="auto"/>
      </w:pPr>
      <w:r w:rsidRPr="00124963">
        <w:t>A copy of the revised instructions is attached.  There are no changes to the information collected</w:t>
      </w:r>
      <w:r w:rsidR="000E5F23">
        <w:t xml:space="preserve"> </w:t>
      </w:r>
      <w:r w:rsidRPr="00124963">
        <w:t>and no changes to the total burden hours associated with the PHS 2590, listed below.</w:t>
      </w:r>
      <w:r>
        <w:t xml:space="preserve"> </w:t>
      </w:r>
    </w:p>
    <w:tbl>
      <w:tblPr>
        <w:tblW w:w="9090" w:type="dxa"/>
        <w:tblInd w:w="828" w:type="dxa"/>
        <w:tblCellMar>
          <w:left w:w="0" w:type="dxa"/>
          <w:right w:w="0" w:type="dxa"/>
        </w:tblCellMar>
        <w:tblLook w:val="0000"/>
      </w:tblPr>
      <w:tblGrid>
        <w:gridCol w:w="1755"/>
        <w:gridCol w:w="1796"/>
        <w:gridCol w:w="1762"/>
        <w:gridCol w:w="1971"/>
        <w:gridCol w:w="1806"/>
      </w:tblGrid>
      <w:tr w:rsidR="00EF5E83" w:rsidRPr="0087784A" w:rsidTr="0087784A">
        <w:tc>
          <w:tcPr>
            <w:tcW w:w="9090" w:type="dxa"/>
            <w:gridSpan w:val="5"/>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tcPr>
          <w:p w:rsidR="00EF5E83" w:rsidRPr="0087784A" w:rsidRDefault="00EF5E83" w:rsidP="00EF5E83">
            <w:pPr>
              <w:keepNext/>
              <w:keepLines/>
              <w:tabs>
                <w:tab w:val="left" w:pos="10080"/>
              </w:tabs>
              <w:ind w:right="173"/>
              <w:rPr>
                <w:b/>
              </w:rPr>
            </w:pPr>
            <w:r w:rsidRPr="0087784A">
              <w:rPr>
                <w:b/>
              </w:rPr>
              <w:t>Estimate of Burden</w:t>
            </w:r>
          </w:p>
        </w:tc>
      </w:tr>
      <w:tr w:rsidR="00EF5E83" w:rsidRPr="0087784A" w:rsidTr="0087784A">
        <w:tc>
          <w:tcPr>
            <w:tcW w:w="1755"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tcPr>
          <w:p w:rsidR="00EF5E83" w:rsidRPr="0087784A" w:rsidRDefault="00EF5E83" w:rsidP="0087784A">
            <w:pPr>
              <w:keepNext/>
              <w:keepLines/>
              <w:tabs>
                <w:tab w:val="left" w:pos="10080"/>
              </w:tabs>
              <w:ind w:right="173"/>
              <w:rPr>
                <w:b/>
              </w:rPr>
            </w:pPr>
            <w:r w:rsidRPr="0087784A">
              <w:rPr>
                <w:b/>
              </w:rPr>
              <w:t>Types of Respondents</w:t>
            </w:r>
          </w:p>
        </w:tc>
        <w:tc>
          <w:tcPr>
            <w:tcW w:w="1796"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rsidR="00EF5E83" w:rsidRPr="0087784A" w:rsidRDefault="00EF5E83" w:rsidP="0087784A">
            <w:pPr>
              <w:keepNext/>
              <w:keepLines/>
              <w:tabs>
                <w:tab w:val="left" w:pos="10080"/>
              </w:tabs>
              <w:ind w:right="173"/>
              <w:jc w:val="center"/>
              <w:rPr>
                <w:b/>
              </w:rPr>
            </w:pPr>
            <w:r w:rsidRPr="0087784A">
              <w:rPr>
                <w:b/>
              </w:rPr>
              <w:t>Number of Respondents</w:t>
            </w:r>
          </w:p>
        </w:tc>
        <w:tc>
          <w:tcPr>
            <w:tcW w:w="176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rsidR="00EF5E83" w:rsidRPr="0087784A" w:rsidRDefault="00EF5E83" w:rsidP="0087784A">
            <w:pPr>
              <w:keepNext/>
              <w:keepLines/>
              <w:tabs>
                <w:tab w:val="left" w:pos="10080"/>
              </w:tabs>
              <w:ind w:right="173"/>
              <w:jc w:val="center"/>
              <w:rPr>
                <w:b/>
              </w:rPr>
            </w:pPr>
            <w:r w:rsidRPr="0087784A">
              <w:rPr>
                <w:b/>
              </w:rPr>
              <w:t>Frequency of Response</w:t>
            </w:r>
          </w:p>
        </w:tc>
        <w:tc>
          <w:tcPr>
            <w:tcW w:w="1971"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rsidR="00EF5E83" w:rsidRPr="0087784A" w:rsidRDefault="00EF5E83" w:rsidP="0087784A">
            <w:pPr>
              <w:keepNext/>
              <w:keepLines/>
              <w:tabs>
                <w:tab w:val="left" w:pos="10080"/>
              </w:tabs>
              <w:ind w:right="173"/>
              <w:jc w:val="center"/>
              <w:rPr>
                <w:b/>
              </w:rPr>
            </w:pPr>
            <w:r w:rsidRPr="0087784A">
              <w:rPr>
                <w:b/>
              </w:rPr>
              <w:t>Average Response Time</w:t>
            </w:r>
          </w:p>
        </w:tc>
        <w:tc>
          <w:tcPr>
            <w:tcW w:w="1806" w:type="dxa"/>
            <w:tcBorders>
              <w:top w:val="nil"/>
              <w:left w:val="nil"/>
              <w:bottom w:val="single" w:sz="8" w:space="0" w:color="auto"/>
              <w:right w:val="single" w:sz="8" w:space="0" w:color="auto"/>
            </w:tcBorders>
            <w:shd w:val="clear" w:color="auto" w:fill="FFFF99"/>
            <w:tcMar>
              <w:top w:w="0" w:type="dxa"/>
              <w:left w:w="108" w:type="dxa"/>
              <w:bottom w:w="0" w:type="dxa"/>
              <w:right w:w="108" w:type="dxa"/>
            </w:tcMar>
          </w:tcPr>
          <w:p w:rsidR="00EF5E83" w:rsidRPr="0087784A" w:rsidRDefault="00EF5E83" w:rsidP="0087784A">
            <w:pPr>
              <w:keepNext/>
              <w:keepLines/>
              <w:tabs>
                <w:tab w:val="left" w:pos="10080"/>
              </w:tabs>
              <w:ind w:right="173"/>
              <w:jc w:val="center"/>
              <w:rPr>
                <w:b/>
              </w:rPr>
            </w:pPr>
            <w:r w:rsidRPr="0087784A">
              <w:rPr>
                <w:b/>
              </w:rPr>
              <w:t>Annual Hour Burden</w:t>
            </w:r>
          </w:p>
        </w:tc>
      </w:tr>
      <w:tr w:rsidR="00EF5E83" w:rsidRPr="0087784A" w:rsidTr="0087784A">
        <w:trPr>
          <w:trHeight w:val="475"/>
        </w:trPr>
        <w:tc>
          <w:tcPr>
            <w:tcW w:w="17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F5E83" w:rsidRPr="0087784A" w:rsidRDefault="00EF5E83" w:rsidP="0087784A">
            <w:pPr>
              <w:keepNext/>
              <w:keepLines/>
              <w:tabs>
                <w:tab w:val="left" w:pos="10080"/>
              </w:tabs>
              <w:ind w:right="173"/>
            </w:pPr>
            <w:r w:rsidRPr="0087784A">
              <w:t>NIH Grantees</w:t>
            </w:r>
          </w:p>
        </w:tc>
        <w:tc>
          <w:tcPr>
            <w:tcW w:w="1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F5E83" w:rsidRPr="0087784A" w:rsidRDefault="00EF5E83" w:rsidP="0087784A">
            <w:pPr>
              <w:keepNext/>
              <w:keepLines/>
              <w:tabs>
                <w:tab w:val="left" w:pos="10080"/>
              </w:tabs>
              <w:ind w:right="173"/>
              <w:jc w:val="center"/>
            </w:pPr>
            <w:r w:rsidRPr="0087784A">
              <w:t>37,000</w:t>
            </w:r>
          </w:p>
        </w:tc>
        <w:tc>
          <w:tcPr>
            <w:tcW w:w="1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F5E83" w:rsidRPr="0087784A" w:rsidRDefault="00EF5E83" w:rsidP="0087784A">
            <w:pPr>
              <w:keepNext/>
              <w:keepLines/>
              <w:tabs>
                <w:tab w:val="left" w:pos="10080"/>
              </w:tabs>
              <w:ind w:right="173"/>
              <w:jc w:val="center"/>
            </w:pPr>
            <w:r w:rsidRPr="0087784A">
              <w:t>annually</w:t>
            </w:r>
          </w:p>
        </w:tc>
        <w:tc>
          <w:tcPr>
            <w:tcW w:w="1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F5E83" w:rsidRPr="0087784A" w:rsidRDefault="00EF5E83" w:rsidP="0087784A">
            <w:pPr>
              <w:keepNext/>
              <w:keepLines/>
              <w:tabs>
                <w:tab w:val="left" w:pos="10080"/>
              </w:tabs>
              <w:ind w:right="173"/>
              <w:jc w:val="center"/>
            </w:pPr>
            <w:r w:rsidRPr="0087784A">
              <w:t>15 hours</w:t>
            </w:r>
          </w:p>
        </w:tc>
        <w:tc>
          <w:tcPr>
            <w:tcW w:w="18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F5E83" w:rsidRPr="0087784A" w:rsidRDefault="00EF5E83" w:rsidP="0087784A">
            <w:pPr>
              <w:keepNext/>
              <w:keepLines/>
              <w:tabs>
                <w:tab w:val="left" w:pos="10080"/>
              </w:tabs>
              <w:ind w:right="173"/>
              <w:jc w:val="center"/>
            </w:pPr>
            <w:r w:rsidRPr="0087784A">
              <w:t>555,000</w:t>
            </w:r>
          </w:p>
        </w:tc>
      </w:tr>
    </w:tbl>
    <w:p w:rsidR="00EF5E83" w:rsidRPr="00E91BB8" w:rsidRDefault="00EF5E83" w:rsidP="00EF5E83">
      <w:pPr>
        <w:pStyle w:val="BlockText"/>
        <w:tabs>
          <w:tab w:val="clear" w:pos="1023"/>
          <w:tab w:val="clear" w:pos="9303"/>
          <w:tab w:val="left" w:pos="720"/>
          <w:tab w:val="left" w:pos="1260"/>
          <w:tab w:val="left" w:pos="9630"/>
          <w:tab w:val="left" w:pos="10080"/>
        </w:tabs>
        <w:ind w:left="0" w:right="173"/>
        <w:rPr>
          <w:sz w:val="24"/>
        </w:rPr>
      </w:pPr>
    </w:p>
    <w:p w:rsidR="00EF5E83" w:rsidRPr="00EF5E83" w:rsidRDefault="00EF5E83" w:rsidP="000C16F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r w:rsidRPr="00EF5E83">
        <w:t xml:space="preserve">Thank you for your consideration of this amendment to </w:t>
      </w:r>
      <w:r>
        <w:t>the PHS 2590 Instructions.</w:t>
      </w:r>
    </w:p>
    <w:p w:rsidR="00EF5E83" w:rsidRPr="00EF5E83" w:rsidRDefault="00EF5E83" w:rsidP="000C16F9">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r w:rsidRPr="00EF5E83">
        <w:t xml:space="preserve">Attachment: </w:t>
      </w:r>
      <w:r w:rsidRPr="00EF5E83">
        <w:tab/>
      </w:r>
      <w:r>
        <w:t>PHS 2590 Instructions</w:t>
      </w:r>
    </w:p>
    <w:p w:rsidR="00124963" w:rsidRPr="00EF5E83" w:rsidRDefault="00124963" w:rsidP="000C16F9">
      <w:pPr>
        <w:spacing w:line="240" w:lineRule="auto"/>
      </w:pPr>
    </w:p>
    <w:p w:rsidR="00124963" w:rsidRPr="00EF5E83" w:rsidRDefault="00124963" w:rsidP="00124963">
      <w:pPr>
        <w:spacing w:line="240" w:lineRule="auto"/>
      </w:pPr>
    </w:p>
    <w:p w:rsidR="00124963" w:rsidRPr="00EF5E83" w:rsidRDefault="00124963" w:rsidP="00124963">
      <w:pPr>
        <w:spacing w:line="240" w:lineRule="auto"/>
      </w:pPr>
    </w:p>
    <w:sectPr w:rsidR="00124963" w:rsidRPr="00EF5E83" w:rsidSect="008D5E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24963"/>
    <w:rsid w:val="00013A21"/>
    <w:rsid w:val="000164EA"/>
    <w:rsid w:val="0006144B"/>
    <w:rsid w:val="00065803"/>
    <w:rsid w:val="00087D1F"/>
    <w:rsid w:val="0009120F"/>
    <w:rsid w:val="000A03A2"/>
    <w:rsid w:val="000A0AE8"/>
    <w:rsid w:val="000C0F87"/>
    <w:rsid w:val="000C16F9"/>
    <w:rsid w:val="000C3449"/>
    <w:rsid w:val="000E504E"/>
    <w:rsid w:val="000E5F23"/>
    <w:rsid w:val="000F50D1"/>
    <w:rsid w:val="00124963"/>
    <w:rsid w:val="0013382E"/>
    <w:rsid w:val="00136D4F"/>
    <w:rsid w:val="001525BE"/>
    <w:rsid w:val="00155CE4"/>
    <w:rsid w:val="0018190B"/>
    <w:rsid w:val="001841DD"/>
    <w:rsid w:val="001B768C"/>
    <w:rsid w:val="001C5CED"/>
    <w:rsid w:val="00204076"/>
    <w:rsid w:val="00222E4E"/>
    <w:rsid w:val="00223314"/>
    <w:rsid w:val="00224E0E"/>
    <w:rsid w:val="00240EEE"/>
    <w:rsid w:val="002455AE"/>
    <w:rsid w:val="0025548E"/>
    <w:rsid w:val="00257878"/>
    <w:rsid w:val="002646EB"/>
    <w:rsid w:val="00287C33"/>
    <w:rsid w:val="002A24D2"/>
    <w:rsid w:val="002A46F5"/>
    <w:rsid w:val="002A7EB8"/>
    <w:rsid w:val="002B251D"/>
    <w:rsid w:val="002C1815"/>
    <w:rsid w:val="002D0D30"/>
    <w:rsid w:val="002F3A06"/>
    <w:rsid w:val="003045F8"/>
    <w:rsid w:val="00314061"/>
    <w:rsid w:val="00330CFE"/>
    <w:rsid w:val="00335262"/>
    <w:rsid w:val="0035214B"/>
    <w:rsid w:val="00355E83"/>
    <w:rsid w:val="00363E7A"/>
    <w:rsid w:val="00370A01"/>
    <w:rsid w:val="00373AF0"/>
    <w:rsid w:val="00394B1C"/>
    <w:rsid w:val="00396CFA"/>
    <w:rsid w:val="003D75B1"/>
    <w:rsid w:val="00404900"/>
    <w:rsid w:val="004119EC"/>
    <w:rsid w:val="00425B0B"/>
    <w:rsid w:val="00444338"/>
    <w:rsid w:val="00452A6A"/>
    <w:rsid w:val="0047659E"/>
    <w:rsid w:val="004A1151"/>
    <w:rsid w:val="004C2F24"/>
    <w:rsid w:val="004D517D"/>
    <w:rsid w:val="004E31B0"/>
    <w:rsid w:val="004E6044"/>
    <w:rsid w:val="005169DB"/>
    <w:rsid w:val="005509C2"/>
    <w:rsid w:val="00563839"/>
    <w:rsid w:val="0056613F"/>
    <w:rsid w:val="00580918"/>
    <w:rsid w:val="00593E74"/>
    <w:rsid w:val="005A0664"/>
    <w:rsid w:val="005C0D26"/>
    <w:rsid w:val="005D545E"/>
    <w:rsid w:val="005E4E15"/>
    <w:rsid w:val="005E7A68"/>
    <w:rsid w:val="00614DCF"/>
    <w:rsid w:val="006172E1"/>
    <w:rsid w:val="00620315"/>
    <w:rsid w:val="006262A3"/>
    <w:rsid w:val="00656517"/>
    <w:rsid w:val="006D2B9D"/>
    <w:rsid w:val="006D7C46"/>
    <w:rsid w:val="006E348F"/>
    <w:rsid w:val="006F7A9B"/>
    <w:rsid w:val="00711135"/>
    <w:rsid w:val="007155E0"/>
    <w:rsid w:val="00716332"/>
    <w:rsid w:val="0072299D"/>
    <w:rsid w:val="0073453B"/>
    <w:rsid w:val="00745CBA"/>
    <w:rsid w:val="00767A71"/>
    <w:rsid w:val="0077424D"/>
    <w:rsid w:val="0079094C"/>
    <w:rsid w:val="007A38DF"/>
    <w:rsid w:val="007D0ADA"/>
    <w:rsid w:val="007D42CA"/>
    <w:rsid w:val="007D4D35"/>
    <w:rsid w:val="007F5F90"/>
    <w:rsid w:val="00801A37"/>
    <w:rsid w:val="008421BC"/>
    <w:rsid w:val="008428B7"/>
    <w:rsid w:val="008548FB"/>
    <w:rsid w:val="00875D99"/>
    <w:rsid w:val="00876BDB"/>
    <w:rsid w:val="0087784A"/>
    <w:rsid w:val="008809F5"/>
    <w:rsid w:val="008B13AB"/>
    <w:rsid w:val="008B1ADD"/>
    <w:rsid w:val="008B1CA7"/>
    <w:rsid w:val="008B383C"/>
    <w:rsid w:val="008B3873"/>
    <w:rsid w:val="008B451D"/>
    <w:rsid w:val="008B6B3F"/>
    <w:rsid w:val="008D5EA5"/>
    <w:rsid w:val="008E0E7D"/>
    <w:rsid w:val="009317EA"/>
    <w:rsid w:val="009338E4"/>
    <w:rsid w:val="009407BA"/>
    <w:rsid w:val="00943DB8"/>
    <w:rsid w:val="00971618"/>
    <w:rsid w:val="0098359D"/>
    <w:rsid w:val="0099203D"/>
    <w:rsid w:val="009A1AB2"/>
    <w:rsid w:val="009B642B"/>
    <w:rsid w:val="009C11C4"/>
    <w:rsid w:val="009C17BF"/>
    <w:rsid w:val="009E7C8F"/>
    <w:rsid w:val="00A0310F"/>
    <w:rsid w:val="00A117E0"/>
    <w:rsid w:val="00A22848"/>
    <w:rsid w:val="00A47B0B"/>
    <w:rsid w:val="00A53380"/>
    <w:rsid w:val="00A600F9"/>
    <w:rsid w:val="00A67322"/>
    <w:rsid w:val="00A77771"/>
    <w:rsid w:val="00A856D5"/>
    <w:rsid w:val="00A91CD4"/>
    <w:rsid w:val="00AA72EC"/>
    <w:rsid w:val="00AD5D7A"/>
    <w:rsid w:val="00AE3766"/>
    <w:rsid w:val="00AF1220"/>
    <w:rsid w:val="00AF29A1"/>
    <w:rsid w:val="00B12562"/>
    <w:rsid w:val="00B2268E"/>
    <w:rsid w:val="00B24304"/>
    <w:rsid w:val="00B3676A"/>
    <w:rsid w:val="00B4335F"/>
    <w:rsid w:val="00B54C3A"/>
    <w:rsid w:val="00B679AE"/>
    <w:rsid w:val="00B927FA"/>
    <w:rsid w:val="00B93D15"/>
    <w:rsid w:val="00BA6580"/>
    <w:rsid w:val="00BB03BA"/>
    <w:rsid w:val="00BB2161"/>
    <w:rsid w:val="00BC583F"/>
    <w:rsid w:val="00BC7674"/>
    <w:rsid w:val="00C05E8E"/>
    <w:rsid w:val="00C12D42"/>
    <w:rsid w:val="00C24527"/>
    <w:rsid w:val="00C2635A"/>
    <w:rsid w:val="00C41DDF"/>
    <w:rsid w:val="00C6130C"/>
    <w:rsid w:val="00C626F0"/>
    <w:rsid w:val="00C732EC"/>
    <w:rsid w:val="00C93752"/>
    <w:rsid w:val="00CA5FCF"/>
    <w:rsid w:val="00CA6C85"/>
    <w:rsid w:val="00CC312C"/>
    <w:rsid w:val="00CC7D49"/>
    <w:rsid w:val="00CD52DE"/>
    <w:rsid w:val="00CD5375"/>
    <w:rsid w:val="00CD6DA8"/>
    <w:rsid w:val="00D07142"/>
    <w:rsid w:val="00D16E24"/>
    <w:rsid w:val="00D65435"/>
    <w:rsid w:val="00D70361"/>
    <w:rsid w:val="00D93CB1"/>
    <w:rsid w:val="00DB25C0"/>
    <w:rsid w:val="00DB49A5"/>
    <w:rsid w:val="00DB6EB2"/>
    <w:rsid w:val="00DC0588"/>
    <w:rsid w:val="00DD0AAB"/>
    <w:rsid w:val="00DD7622"/>
    <w:rsid w:val="00E278AD"/>
    <w:rsid w:val="00E372AE"/>
    <w:rsid w:val="00E574DD"/>
    <w:rsid w:val="00E94B4B"/>
    <w:rsid w:val="00EB1049"/>
    <w:rsid w:val="00ED33BE"/>
    <w:rsid w:val="00EF598A"/>
    <w:rsid w:val="00EF5E83"/>
    <w:rsid w:val="00F03323"/>
    <w:rsid w:val="00F14605"/>
    <w:rsid w:val="00F326C3"/>
    <w:rsid w:val="00F32B5B"/>
    <w:rsid w:val="00F34DCB"/>
    <w:rsid w:val="00F75135"/>
    <w:rsid w:val="00FC08A5"/>
    <w:rsid w:val="00FC2103"/>
    <w:rsid w:val="00FC2145"/>
    <w:rsid w:val="00FD73ED"/>
    <w:rsid w:val="00FE2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E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963"/>
    <w:rPr>
      <w:rFonts w:ascii="Times New Roman" w:hAnsi="Times New Roman"/>
      <w:sz w:val="24"/>
      <w:szCs w:val="24"/>
    </w:rPr>
  </w:style>
  <w:style w:type="paragraph" w:styleId="BlockText">
    <w:name w:val="Block Text"/>
    <w:basedOn w:val="Normal"/>
    <w:rsid w:val="00EF5E83"/>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663" w:right="648"/>
    </w:pPr>
    <w:rPr>
      <w:rFonts w:ascii="Times New Roman" w:eastAsia="Times New Roman" w:hAnsi="Times New Roman"/>
      <w:szCs w:val="24"/>
    </w:rPr>
  </w:style>
  <w:style w:type="paragraph" w:customStyle="1" w:styleId="CharCharCharCharCharCharCharCharCharCharCharCharCharCharCharCharCharChar">
    <w:name w:val="Char Char Char Char Char Char Char Char Char Char Char Char Char Char Char Char Char Char"/>
    <w:basedOn w:val="Normal"/>
    <w:semiHidden/>
    <w:rsid w:val="00EF5E83"/>
    <w:pPr>
      <w:widowControl w:val="0"/>
      <w:adjustRightInd w:val="0"/>
      <w:spacing w:before="60" w:after="0" w:line="240" w:lineRule="exact"/>
      <w:jc w:val="both"/>
      <w:textAlignment w:val="baseline"/>
    </w:pPr>
    <w:rPr>
      <w:rFonts w:ascii="Verdana" w:eastAsia="Times New Roman" w:hAnsi="Verdana"/>
      <w:bCs/>
      <w:color w:val="FF00FF"/>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wigglesc</dc:creator>
  <cp:keywords/>
  <dc:description/>
  <cp:lastModifiedBy>wigglesc</cp:lastModifiedBy>
  <cp:revision>2</cp:revision>
  <dcterms:created xsi:type="dcterms:W3CDTF">2010-08-05T12:07:00Z</dcterms:created>
  <dcterms:modified xsi:type="dcterms:W3CDTF">2010-08-05T12:07:00Z</dcterms:modified>
</cp:coreProperties>
</file>