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B4" w:rsidRPr="003E1A46" w:rsidRDefault="00BF3EB4" w:rsidP="00BF3EB4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820AD">
        <w:rPr>
          <w:rFonts w:asciiTheme="minorHAnsi" w:hAnsiTheme="minorHAnsi" w:cstheme="minorHAnsi"/>
          <w:b/>
          <w:sz w:val="28"/>
          <w:szCs w:val="28"/>
        </w:rPr>
        <w:t>Assessing Adoption and Use of the Living a Balanced Life with Diabetes Toolkit</w:t>
      </w:r>
    </w:p>
    <w:p w:rsidR="00BF3EB4" w:rsidRPr="003E1A46" w:rsidRDefault="00BF3EB4" w:rsidP="00BF3EB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F3EB4" w:rsidRPr="00AD1130" w:rsidRDefault="00BF3EB4" w:rsidP="00BF3EB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D1130">
        <w:rPr>
          <w:rFonts w:asciiTheme="minorHAnsi" w:hAnsiTheme="minorHAnsi" w:cstheme="minorHAnsi"/>
          <w:sz w:val="24"/>
          <w:szCs w:val="24"/>
        </w:rPr>
        <w:t xml:space="preserve">Submitted for approval under CDC generic approval #0920-0864, </w:t>
      </w:r>
      <w:proofErr w:type="gramStart"/>
      <w:r w:rsidRPr="00AD1130">
        <w:rPr>
          <w:rFonts w:asciiTheme="minorHAnsi" w:hAnsiTheme="minorHAnsi" w:cstheme="minorHAnsi"/>
          <w:i/>
          <w:sz w:val="24"/>
          <w:szCs w:val="24"/>
        </w:rPr>
        <w:t>Improving</w:t>
      </w:r>
      <w:proofErr w:type="gramEnd"/>
      <w:r w:rsidRPr="00AD1130">
        <w:rPr>
          <w:rFonts w:asciiTheme="minorHAnsi" w:hAnsiTheme="minorHAnsi" w:cstheme="minorHAnsi"/>
          <w:i/>
          <w:sz w:val="24"/>
          <w:szCs w:val="24"/>
        </w:rPr>
        <w:t xml:space="preserve"> the Quality and Delivery of CDC’s Heart Disease and Stroke Prevention Programs</w:t>
      </w:r>
    </w:p>
    <w:p w:rsidR="00BF3EB4" w:rsidRDefault="00BF3EB4" w:rsidP="00BF3EB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BF3EB4" w:rsidRDefault="00BF3EB4" w:rsidP="00BF3EB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color w:val="000000"/>
          <w:sz w:val="24"/>
          <w:szCs w:val="24"/>
        </w:rPr>
        <w:t>OMB-Supporting Statement - Part B.</w:t>
      </w:r>
      <w:proofErr w:type="gramEnd"/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Statistical Methods</w:t>
      </w:r>
    </w:p>
    <w:p w:rsidR="00BF3EB4" w:rsidRPr="00AD1130" w:rsidRDefault="00BF3EB4" w:rsidP="00BF3EB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BF3EB4" w:rsidRPr="00AD1130" w:rsidRDefault="00901318" w:rsidP="00BF3EB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August </w:t>
      </w:r>
      <w:r w:rsidR="00D44F34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BF3EB4">
        <w:rPr>
          <w:rFonts w:asciiTheme="minorHAnsi" w:hAnsiTheme="minorHAnsi" w:cstheme="minorHAnsi"/>
          <w:color w:val="000000"/>
          <w:sz w:val="24"/>
          <w:szCs w:val="24"/>
        </w:rPr>
        <w:t>, 2013</w:t>
      </w:r>
    </w:p>
    <w:p w:rsidR="00BF3EB4" w:rsidRPr="003E1A46" w:rsidRDefault="00BF3EB4" w:rsidP="00BF3EB4">
      <w:pPr>
        <w:spacing w:after="0" w:line="240" w:lineRule="auto"/>
        <w:rPr>
          <w:rFonts w:asciiTheme="minorHAnsi" w:hAnsiTheme="minorHAnsi" w:cstheme="minorHAnsi"/>
          <w:b/>
        </w:rPr>
      </w:pPr>
    </w:p>
    <w:p w:rsidR="00BF3EB4" w:rsidRPr="003E1A46" w:rsidRDefault="00BF3EB4" w:rsidP="00BF3EB4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BF3EB4" w:rsidRPr="003E1A46" w:rsidRDefault="00BF3EB4" w:rsidP="00BF3EB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>_</w:t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  <w:t>____________</w:t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  <w:t>_______________</w:t>
      </w:r>
      <w:r w:rsidRPr="003E1A46">
        <w:rPr>
          <w:rFonts w:asciiTheme="minorHAnsi" w:hAnsiTheme="minorHAnsi" w:cstheme="minorHAnsi"/>
          <w:color w:val="000000"/>
          <w:sz w:val="24"/>
          <w:szCs w:val="24"/>
          <w:u w:val="single"/>
        </w:rPr>
        <w:tab/>
        <w:t>__________</w:t>
      </w:r>
    </w:p>
    <w:p w:rsidR="00BF3EB4" w:rsidRDefault="00BF3EB4" w:rsidP="004158E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158EC" w:rsidRDefault="00BF3EB4" w:rsidP="00D87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Section </w:t>
      </w:r>
      <w:r w:rsidR="004158EC" w:rsidRPr="003E1A46">
        <w:rPr>
          <w:rFonts w:asciiTheme="minorHAnsi" w:hAnsiTheme="minorHAnsi" w:cstheme="minorHAnsi"/>
          <w:b/>
          <w:bCs/>
          <w:sz w:val="24"/>
          <w:szCs w:val="24"/>
        </w:rPr>
        <w:t xml:space="preserve">B. </w:t>
      </w:r>
      <w:r w:rsidR="004158EC" w:rsidRPr="00BF3EB4">
        <w:rPr>
          <w:rFonts w:asciiTheme="minorHAnsi" w:hAnsiTheme="minorHAnsi" w:cstheme="minorHAnsi"/>
          <w:b/>
          <w:bCs/>
          <w:sz w:val="24"/>
          <w:szCs w:val="24"/>
        </w:rPr>
        <w:t>Statistical Methods</w:t>
      </w:r>
    </w:p>
    <w:p w:rsidR="00515367" w:rsidRPr="00BF3EB4" w:rsidRDefault="00515367" w:rsidP="00D87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158EC" w:rsidRDefault="004158EC" w:rsidP="00D87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B.1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Respondent Universe and Sampling Methods</w:t>
      </w:r>
    </w:p>
    <w:p w:rsidR="00515367" w:rsidRPr="003E1A46" w:rsidRDefault="00515367" w:rsidP="00D87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158EC" w:rsidRDefault="004158EC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Health care professionals,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who requested </w:t>
      </w:r>
      <w:r>
        <w:rPr>
          <w:rFonts w:asciiTheme="minorHAnsi" w:hAnsiTheme="minorHAnsi" w:cstheme="minorHAnsi"/>
          <w:bCs/>
          <w:sz w:val="24"/>
          <w:szCs w:val="24"/>
        </w:rPr>
        <w:t>The Toolkit,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will be invited to participate.  No </w:t>
      </w:r>
      <w:r w:rsidR="00755616">
        <w:rPr>
          <w:rFonts w:asciiTheme="minorHAnsi" w:hAnsiTheme="minorHAnsi" w:cstheme="minorHAnsi"/>
          <w:bCs/>
          <w:sz w:val="24"/>
          <w:szCs w:val="24"/>
        </w:rPr>
        <w:t xml:space="preserve">formal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statistical </w:t>
      </w:r>
      <w:r>
        <w:rPr>
          <w:rFonts w:asciiTheme="minorHAnsi" w:hAnsiTheme="minorHAnsi" w:cstheme="minorHAnsi"/>
          <w:bCs/>
          <w:sz w:val="24"/>
          <w:szCs w:val="24"/>
        </w:rPr>
        <w:t xml:space="preserve">sampling </w:t>
      </w:r>
      <w:r w:rsidRPr="003E1A46">
        <w:rPr>
          <w:rFonts w:asciiTheme="minorHAnsi" w:hAnsiTheme="minorHAnsi" w:cstheme="minorHAnsi"/>
          <w:bCs/>
          <w:sz w:val="24"/>
          <w:szCs w:val="24"/>
        </w:rPr>
        <w:t>methods will be used</w:t>
      </w:r>
      <w:r w:rsidR="00755616">
        <w:rPr>
          <w:rFonts w:asciiTheme="minorHAnsi" w:hAnsiTheme="minorHAnsi" w:cstheme="minorHAnsi"/>
          <w:bCs/>
          <w:sz w:val="24"/>
          <w:szCs w:val="24"/>
        </w:rPr>
        <w:t>, nor any analyses beyond basic descriptive statistics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BF3EB4" w:rsidRDefault="00BF3EB4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4158EC" w:rsidRPr="003E1A46" w:rsidRDefault="004158EC" w:rsidP="00D44F3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B.2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Procedures for the Collection of Information</w:t>
      </w:r>
    </w:p>
    <w:p w:rsidR="00BF3EB4" w:rsidRDefault="00BF3EB4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4158EC" w:rsidRDefault="004158EC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bCs/>
          <w:sz w:val="24"/>
          <w:szCs w:val="24"/>
        </w:rPr>
        <w:t xml:space="preserve">The survey will be </w:t>
      </w:r>
      <w:r>
        <w:rPr>
          <w:rFonts w:asciiTheme="minorHAnsi" w:hAnsiTheme="minorHAnsi" w:cstheme="minorHAnsi"/>
          <w:bCs/>
          <w:sz w:val="24"/>
          <w:szCs w:val="24"/>
        </w:rPr>
        <w:t xml:space="preserve">Web-based </w:t>
      </w:r>
      <w:r w:rsidRPr="003E1A46">
        <w:rPr>
          <w:rFonts w:asciiTheme="minorHAnsi" w:hAnsiTheme="minorHAnsi" w:cstheme="minorHAnsi"/>
          <w:bCs/>
          <w:sz w:val="24"/>
          <w:szCs w:val="24"/>
        </w:rPr>
        <w:t>and available for the respondents to complete within a four</w:t>
      </w:r>
      <w:r w:rsidR="00BF3EB4">
        <w:rPr>
          <w:rFonts w:asciiTheme="minorHAnsi" w:hAnsiTheme="minorHAnsi" w:cstheme="minorHAnsi"/>
          <w:bCs/>
          <w:sz w:val="24"/>
          <w:szCs w:val="24"/>
        </w:rPr>
        <w:t>-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to eight</w:t>
      </w:r>
      <w:r w:rsidR="00BF3EB4">
        <w:rPr>
          <w:rFonts w:asciiTheme="minorHAnsi" w:hAnsiTheme="minorHAnsi" w:cstheme="minorHAnsi"/>
          <w:bCs/>
          <w:sz w:val="24"/>
          <w:szCs w:val="24"/>
        </w:rPr>
        <w:t>-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week timeframe.  Links to the survey site will be distributed by </w:t>
      </w:r>
      <w:r>
        <w:rPr>
          <w:rFonts w:asciiTheme="minorHAnsi" w:hAnsiTheme="minorHAnsi" w:cstheme="minorHAnsi"/>
          <w:bCs/>
          <w:sz w:val="24"/>
          <w:szCs w:val="24"/>
        </w:rPr>
        <w:t xml:space="preserve">CDC staff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using a </w:t>
      </w:r>
      <w:proofErr w:type="gramStart"/>
      <w:r w:rsidRPr="003E1A46">
        <w:rPr>
          <w:rFonts w:asciiTheme="minorHAnsi" w:hAnsiTheme="minorHAnsi" w:cstheme="minorHAnsi"/>
          <w:bCs/>
          <w:sz w:val="24"/>
          <w:szCs w:val="24"/>
        </w:rPr>
        <w:t>distribution</w:t>
      </w:r>
      <w:proofErr w:type="gramEnd"/>
      <w:r w:rsidRPr="003E1A46">
        <w:rPr>
          <w:rFonts w:asciiTheme="minorHAnsi" w:hAnsiTheme="minorHAnsi" w:cstheme="minorHAnsi"/>
          <w:bCs/>
          <w:sz w:val="24"/>
          <w:szCs w:val="24"/>
        </w:rPr>
        <w:t xml:space="preserve"> list of </w:t>
      </w:r>
      <w:r>
        <w:rPr>
          <w:rFonts w:asciiTheme="minorHAnsi" w:hAnsiTheme="minorHAnsi" w:cstheme="minorHAnsi"/>
          <w:bCs/>
          <w:sz w:val="24"/>
          <w:szCs w:val="24"/>
        </w:rPr>
        <w:t xml:space="preserve">health care professionals,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who requested </w:t>
      </w:r>
      <w:r>
        <w:rPr>
          <w:rFonts w:asciiTheme="minorHAnsi" w:hAnsiTheme="minorHAnsi" w:cstheme="minorHAnsi"/>
          <w:bCs/>
          <w:sz w:val="24"/>
          <w:szCs w:val="24"/>
        </w:rPr>
        <w:t>The Toolkit.</w:t>
      </w:r>
      <w:r w:rsidR="00BF3EB4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Two weeks prior to data collection, </w:t>
      </w:r>
      <w:r>
        <w:rPr>
          <w:rFonts w:asciiTheme="minorHAnsi" w:hAnsiTheme="minorHAnsi" w:cstheme="minorHAnsi"/>
          <w:bCs/>
          <w:sz w:val="24"/>
          <w:szCs w:val="24"/>
        </w:rPr>
        <w:t>health care professionals,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who requested </w:t>
      </w:r>
      <w:r>
        <w:rPr>
          <w:rFonts w:asciiTheme="minorHAnsi" w:hAnsiTheme="minorHAnsi" w:cstheme="minorHAnsi"/>
          <w:bCs/>
          <w:sz w:val="24"/>
          <w:szCs w:val="24"/>
        </w:rPr>
        <w:t>The Toolkit,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will receive an advance notice e-mail (Attachment 2) informing them of the opportunity to participate in the survey.  </w:t>
      </w:r>
      <w:r>
        <w:rPr>
          <w:rFonts w:asciiTheme="minorHAnsi" w:hAnsiTheme="minorHAnsi" w:cstheme="minorHAnsi"/>
          <w:bCs/>
          <w:sz w:val="24"/>
          <w:szCs w:val="24"/>
        </w:rPr>
        <w:t xml:space="preserve">Approximately 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two weeks </w:t>
      </w:r>
      <w:r>
        <w:rPr>
          <w:rFonts w:asciiTheme="minorHAnsi" w:hAnsiTheme="minorHAnsi" w:cstheme="minorHAnsi"/>
          <w:bCs/>
          <w:sz w:val="24"/>
          <w:szCs w:val="24"/>
        </w:rPr>
        <w:t>after t</w:t>
      </w:r>
      <w:r w:rsidRPr="003E1A46">
        <w:rPr>
          <w:rFonts w:asciiTheme="minorHAnsi" w:hAnsiTheme="minorHAnsi" w:cstheme="minorHAnsi"/>
          <w:bCs/>
          <w:sz w:val="24"/>
          <w:szCs w:val="24"/>
        </w:rPr>
        <w:t>he advance notice email, a follow-up email reminder (see Attachment 3)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1A46">
        <w:rPr>
          <w:rFonts w:asciiTheme="minorHAnsi" w:hAnsiTheme="minorHAnsi" w:cstheme="minorHAnsi"/>
          <w:bCs/>
          <w:sz w:val="24"/>
          <w:szCs w:val="24"/>
        </w:rPr>
        <w:t>will be sent to all potential respondents, with a link to the survey and instructions for completing the survey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BF3EB4" w:rsidRPr="003E1A46" w:rsidRDefault="00BF3EB4" w:rsidP="00D44F3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4158EC" w:rsidRPr="003E1A46" w:rsidRDefault="004158EC" w:rsidP="00D8762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E1A46">
        <w:rPr>
          <w:rFonts w:asciiTheme="minorHAnsi" w:hAnsiTheme="minorHAnsi" w:cstheme="minorHAnsi"/>
          <w:b/>
          <w:sz w:val="24"/>
          <w:szCs w:val="24"/>
        </w:rPr>
        <w:t>B.3</w:t>
      </w:r>
      <w:r w:rsidRPr="003E1A46">
        <w:rPr>
          <w:rFonts w:asciiTheme="minorHAnsi" w:hAnsiTheme="minorHAnsi" w:cstheme="minorHAnsi"/>
          <w:b/>
          <w:sz w:val="24"/>
          <w:szCs w:val="24"/>
        </w:rPr>
        <w:tab/>
        <w:t>Methods to Maximize Response Rates and Deal with Nonresponse</w:t>
      </w:r>
    </w:p>
    <w:p w:rsidR="004158EC" w:rsidRDefault="004158EC" w:rsidP="00D8762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158EC" w:rsidRPr="003E1A46" w:rsidRDefault="004158EC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E1A46">
        <w:rPr>
          <w:rFonts w:asciiTheme="minorHAnsi" w:hAnsiTheme="minorHAnsi" w:cstheme="minorHAnsi"/>
          <w:sz w:val="24"/>
          <w:szCs w:val="24"/>
        </w:rPr>
        <w:t xml:space="preserve">To encourage participation and to remind potential respondents of closing dates for completing the survey, </w:t>
      </w:r>
      <w:r>
        <w:rPr>
          <w:rFonts w:asciiTheme="minorHAnsi" w:hAnsiTheme="minorHAnsi" w:cstheme="minorHAnsi"/>
          <w:sz w:val="24"/>
          <w:szCs w:val="24"/>
        </w:rPr>
        <w:t xml:space="preserve">CDC staff </w:t>
      </w:r>
      <w:r w:rsidRPr="003E1A46">
        <w:rPr>
          <w:rFonts w:asciiTheme="minorHAnsi" w:hAnsiTheme="minorHAnsi" w:cstheme="minorHAnsi"/>
          <w:sz w:val="24"/>
          <w:szCs w:val="24"/>
        </w:rPr>
        <w:t xml:space="preserve">will send a reminder email (see Attachment 3) to the </w:t>
      </w:r>
      <w:r>
        <w:rPr>
          <w:rFonts w:asciiTheme="minorHAnsi" w:hAnsiTheme="minorHAnsi" w:cstheme="minorHAnsi"/>
          <w:sz w:val="24"/>
          <w:szCs w:val="24"/>
        </w:rPr>
        <w:t>health care professionals,</w:t>
      </w:r>
      <w:r w:rsidRPr="003E1A46">
        <w:rPr>
          <w:rFonts w:asciiTheme="minorHAnsi" w:hAnsiTheme="minorHAnsi" w:cstheme="minorHAnsi"/>
          <w:sz w:val="24"/>
          <w:szCs w:val="24"/>
        </w:rPr>
        <w:t xml:space="preserve"> who requested </w:t>
      </w:r>
      <w:r>
        <w:rPr>
          <w:rFonts w:asciiTheme="minorHAnsi" w:hAnsiTheme="minorHAnsi" w:cstheme="minorHAnsi"/>
          <w:sz w:val="24"/>
          <w:szCs w:val="24"/>
        </w:rPr>
        <w:t>The Toolkit.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 This reminder email will be sent </w:t>
      </w:r>
      <w:r>
        <w:rPr>
          <w:rFonts w:asciiTheme="minorHAnsi" w:hAnsiTheme="minorHAnsi" w:cstheme="minorHAnsi"/>
          <w:bCs/>
          <w:sz w:val="24"/>
          <w:szCs w:val="24"/>
        </w:rPr>
        <w:t xml:space="preserve">two </w:t>
      </w:r>
      <w:r w:rsidRPr="003E1A46">
        <w:rPr>
          <w:rFonts w:asciiTheme="minorHAnsi" w:hAnsiTheme="minorHAnsi" w:cstheme="minorHAnsi"/>
          <w:bCs/>
          <w:sz w:val="24"/>
          <w:szCs w:val="24"/>
        </w:rPr>
        <w:t>week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3E1A46">
        <w:rPr>
          <w:rFonts w:asciiTheme="minorHAnsi" w:hAnsiTheme="minorHAnsi" w:cstheme="minorHAnsi"/>
          <w:bCs/>
          <w:sz w:val="24"/>
          <w:szCs w:val="24"/>
        </w:rPr>
        <w:t xml:space="preserve"> after the distribution of the invitational email to all potential respondents.  The reminder email will provide instructions for completing the survey and </w:t>
      </w:r>
      <w:r>
        <w:rPr>
          <w:rFonts w:asciiTheme="minorHAnsi" w:hAnsiTheme="minorHAnsi" w:cstheme="minorHAnsi"/>
          <w:bCs/>
          <w:sz w:val="24"/>
          <w:szCs w:val="24"/>
        </w:rPr>
        <w:t xml:space="preserve">will </w:t>
      </w:r>
      <w:r w:rsidRPr="003E1A46">
        <w:rPr>
          <w:rFonts w:asciiTheme="minorHAnsi" w:hAnsiTheme="minorHAnsi" w:cstheme="minorHAnsi"/>
          <w:bCs/>
          <w:sz w:val="24"/>
          <w:szCs w:val="24"/>
        </w:rPr>
        <w:t>provide a Website link to the survey.</w:t>
      </w:r>
    </w:p>
    <w:p w:rsidR="004158EC" w:rsidRDefault="004158EC" w:rsidP="00D44F3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158EC" w:rsidRPr="003E1A46" w:rsidRDefault="004158EC" w:rsidP="00D87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>B.4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Test of Procedures or Methods to be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Undertaken</w:t>
      </w:r>
      <w:proofErr w:type="gramEnd"/>
    </w:p>
    <w:p w:rsidR="004158EC" w:rsidRPr="003E1A46" w:rsidRDefault="004158EC" w:rsidP="00D87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4158EC" w:rsidRPr="003E1A46" w:rsidRDefault="00011524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Descriptive statistics will be used.</w:t>
      </w:r>
      <w:r w:rsidR="00AD4990">
        <w:rPr>
          <w:rFonts w:asciiTheme="minorHAnsi" w:hAnsiTheme="minorHAnsi" w:cstheme="minorHAnsi"/>
          <w:bCs/>
          <w:sz w:val="24"/>
          <w:szCs w:val="24"/>
        </w:rPr>
        <w:t xml:space="preserve"> No tests of procedures or methods are</w:t>
      </w:r>
      <w:bookmarkStart w:id="0" w:name="_GoBack"/>
      <w:bookmarkEnd w:id="0"/>
      <w:r w:rsidR="00515367">
        <w:rPr>
          <w:rFonts w:asciiTheme="minorHAnsi" w:hAnsiTheme="minorHAnsi" w:cstheme="minorHAnsi"/>
          <w:bCs/>
          <w:sz w:val="24"/>
          <w:szCs w:val="24"/>
        </w:rPr>
        <w:t xml:space="preserve"> planned.</w:t>
      </w:r>
    </w:p>
    <w:p w:rsidR="004158EC" w:rsidRPr="003E1A46" w:rsidRDefault="004158EC" w:rsidP="00D8762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4158EC" w:rsidRPr="003E1A46" w:rsidRDefault="004158EC" w:rsidP="00D87623">
      <w:pPr>
        <w:spacing w:after="0" w:line="240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lastRenderedPageBreak/>
        <w:t>B.5</w:t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  <w:t>Individuals Consulted on Statistical Aspects and Individuals Collecting and/or Analyzing Data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E1A46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="00BF3EB4" w:rsidRDefault="00BF3EB4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  <w:u w:val="single"/>
        </w:rPr>
        <w:t>Statistical/Methodological Consultants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Kai A. Stewart, PhD, MPH, CHES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Centers for Disease Control and Prevention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Health Education Specialist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Division of Diabetes Translation 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4770 Buford Highway, MS F75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Atlanta, GA 30341</w:t>
      </w:r>
    </w:p>
    <w:p w:rsidR="004158EC" w:rsidRDefault="00D87623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hyperlink r:id="rId7" w:history="1">
        <w:r w:rsidR="004158EC" w:rsidRPr="003B701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KAStewart@cdc.gov</w:t>
        </w:r>
      </w:hyperlink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770-488-6659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Judith A. McDivitt, PhD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Centers for Disease Control and Prevention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Health Education Specialist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Division of Diabetes Translation 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4770 Buford Highway, MS F75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Atlanta, GA 30341</w:t>
      </w:r>
    </w:p>
    <w:p w:rsidR="004158EC" w:rsidRDefault="00D87623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hyperlink r:id="rId8" w:history="1">
        <w:r w:rsidR="004158EC" w:rsidRPr="003B701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JMcDivitt@cdc.gov</w:t>
        </w:r>
      </w:hyperlink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770-488-5555</w:t>
      </w:r>
    </w:p>
    <w:p w:rsidR="004158EC" w:rsidRPr="002820AD" w:rsidRDefault="004158EC" w:rsidP="00D87623">
      <w:pPr>
        <w:spacing w:after="0" w:line="240" w:lineRule="auto"/>
        <w:rPr>
          <w:rFonts w:asciiTheme="minorHAnsi" w:eastAsia="BatangChe" w:hAnsiTheme="minorHAnsi"/>
          <w:noProof/>
          <w:color w:val="17365D"/>
          <w:sz w:val="24"/>
          <w:szCs w:val="24"/>
        </w:rPr>
      </w:pPr>
    </w:p>
    <w:p w:rsidR="004158EC" w:rsidRDefault="004158EC" w:rsidP="00D44F34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E1A46">
        <w:rPr>
          <w:rFonts w:asciiTheme="minorHAnsi" w:hAnsiTheme="minorHAnsi" w:cstheme="minorHAnsi"/>
          <w:sz w:val="24"/>
          <w:szCs w:val="24"/>
          <w:u w:val="single"/>
        </w:rPr>
        <w:t>Data Collection</w:t>
      </w:r>
      <w:r w:rsidR="00BF3EB4">
        <w:rPr>
          <w:rFonts w:asciiTheme="minorHAnsi" w:hAnsiTheme="minorHAnsi" w:cstheme="minorHAnsi"/>
          <w:sz w:val="24"/>
          <w:szCs w:val="24"/>
          <w:u w:val="single"/>
        </w:rPr>
        <w:t xml:space="preserve"> and Data Analysis</w:t>
      </w:r>
    </w:p>
    <w:p w:rsidR="004158EC" w:rsidRPr="003E1A46" w:rsidRDefault="004158EC" w:rsidP="00D87623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Kai A. Stewart, PhD, MPH, CHES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Centers for Disease Control and Prevention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Health Education Specialist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Division of Diabetes Translation 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4770 Buford Highway, MS F75</w:t>
      </w:r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Atlanta, GA 30341</w:t>
      </w:r>
    </w:p>
    <w:p w:rsidR="004158EC" w:rsidRDefault="00D87623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hyperlink r:id="rId9" w:history="1">
        <w:r w:rsidR="004158EC" w:rsidRPr="003B7018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KAStewart@cdc.gov</w:t>
        </w:r>
      </w:hyperlink>
    </w:p>
    <w:p w:rsidR="004158EC" w:rsidRDefault="004158EC" w:rsidP="00D87623">
      <w:pPr>
        <w:tabs>
          <w:tab w:val="left" w:pos="1263"/>
        </w:tabs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770-488-6659</w:t>
      </w:r>
    </w:p>
    <w:p w:rsidR="004158EC" w:rsidRDefault="004158EC" w:rsidP="00D87623">
      <w:pPr>
        <w:spacing w:after="0" w:line="240" w:lineRule="auto"/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sectPr w:rsidR="004158EC" w:rsidSect="006622B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08" w:rsidRDefault="00901318">
      <w:pPr>
        <w:spacing w:after="0" w:line="240" w:lineRule="auto"/>
      </w:pPr>
      <w:r>
        <w:separator/>
      </w:r>
    </w:p>
  </w:endnote>
  <w:endnote w:type="continuationSeparator" w:id="0">
    <w:p w:rsidR="00FE4B08" w:rsidRDefault="0090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A3F" w:rsidRDefault="00BF3EB4" w:rsidP="00D40A82">
    <w:pPr>
      <w:pStyle w:val="Footer"/>
      <w:jc w:val="center"/>
    </w:pPr>
    <w:r w:rsidRPr="00BB7601">
      <w:rPr>
        <w:rFonts w:ascii="Arial" w:hAnsi="Arial" w:cs="Arial"/>
      </w:rPr>
      <w:fldChar w:fldCharType="begin"/>
    </w:r>
    <w:r w:rsidRPr="00BB7601">
      <w:rPr>
        <w:rFonts w:ascii="Arial" w:hAnsi="Arial" w:cs="Arial"/>
      </w:rPr>
      <w:instrText xml:space="preserve"> PAGE   \* MERGEFORMAT </w:instrText>
    </w:r>
    <w:r w:rsidRPr="00BB7601">
      <w:rPr>
        <w:rFonts w:ascii="Arial" w:hAnsi="Arial" w:cs="Arial"/>
      </w:rPr>
      <w:fldChar w:fldCharType="separate"/>
    </w:r>
    <w:r w:rsidR="00D87623">
      <w:rPr>
        <w:rFonts w:ascii="Arial" w:hAnsi="Arial" w:cs="Arial"/>
        <w:noProof/>
      </w:rPr>
      <w:t>1</w:t>
    </w:r>
    <w:r w:rsidRPr="00BB760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08" w:rsidRDefault="00901318">
      <w:pPr>
        <w:spacing w:after="0" w:line="240" w:lineRule="auto"/>
      </w:pPr>
      <w:r>
        <w:separator/>
      </w:r>
    </w:p>
  </w:footnote>
  <w:footnote w:type="continuationSeparator" w:id="0">
    <w:p w:rsidR="00FE4B08" w:rsidRDefault="00901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EC"/>
    <w:rsid w:val="00011524"/>
    <w:rsid w:val="000A5475"/>
    <w:rsid w:val="0020011B"/>
    <w:rsid w:val="004158EC"/>
    <w:rsid w:val="00454FCE"/>
    <w:rsid w:val="00515367"/>
    <w:rsid w:val="00755616"/>
    <w:rsid w:val="00795A5E"/>
    <w:rsid w:val="00901318"/>
    <w:rsid w:val="00AD4990"/>
    <w:rsid w:val="00BF3EB4"/>
    <w:rsid w:val="00D44F34"/>
    <w:rsid w:val="00D87623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8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8E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8E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556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5616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55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5616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rsid w:val="0075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8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8E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5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8E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7556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5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5616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755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5616"/>
    <w:rPr>
      <w:rFonts w:ascii="Calibri" w:eastAsia="Calibri" w:hAnsi="Calibri"/>
      <w:b/>
      <w:bCs/>
    </w:rPr>
  </w:style>
  <w:style w:type="paragraph" w:styleId="BalloonText">
    <w:name w:val="Balloon Text"/>
    <w:basedOn w:val="Normal"/>
    <w:link w:val="BalloonTextChar"/>
    <w:rsid w:val="0075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5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ivitt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tewart@cdc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Stewart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2013-08-02T21:42:00Z</dcterms:created>
  <dcterms:modified xsi:type="dcterms:W3CDTF">2013-08-02T21:42:00Z</dcterms:modified>
</cp:coreProperties>
</file>