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39" w:rsidRPr="002A3ECE" w:rsidRDefault="00800739" w:rsidP="00800739">
      <w:pPr>
        <w:pStyle w:val="Title"/>
      </w:pPr>
      <w:r w:rsidRPr="002A3ECE">
        <w:t>PAPERWORK REDUCTION ACT SUBMISSION</w:t>
      </w:r>
    </w:p>
    <w:p w:rsidR="00800739" w:rsidRDefault="00800739" w:rsidP="003B38A1">
      <w:pPr>
        <w:jc w:val="center"/>
        <w:rPr>
          <w:sz w:val="24"/>
          <w:u w:val="single"/>
        </w:rPr>
      </w:pPr>
    </w:p>
    <w:p w:rsidR="003B38A1" w:rsidRDefault="003B38A1" w:rsidP="003B38A1">
      <w:pPr>
        <w:jc w:val="center"/>
        <w:rPr>
          <w:sz w:val="24"/>
          <w:u w:val="single"/>
        </w:rPr>
      </w:pPr>
      <w:r>
        <w:rPr>
          <w:sz w:val="24"/>
          <w:u w:val="single"/>
        </w:rPr>
        <w:t xml:space="preserve">Rule </w:t>
      </w:r>
      <w:r w:rsidR="00F5220F">
        <w:rPr>
          <w:sz w:val="24"/>
          <w:u w:val="single"/>
        </w:rPr>
        <w:t>602 of Regulation NMS</w:t>
      </w:r>
      <w:r w:rsidR="00A66061">
        <w:rPr>
          <w:sz w:val="24"/>
          <w:u w:val="single"/>
        </w:rPr>
        <w:t>:</w:t>
      </w:r>
    </w:p>
    <w:p w:rsidR="00A66061" w:rsidRDefault="00A66061" w:rsidP="003B38A1">
      <w:pPr>
        <w:jc w:val="center"/>
        <w:rPr>
          <w:sz w:val="24"/>
          <w:u w:val="single"/>
        </w:rPr>
      </w:pPr>
      <w:r>
        <w:rPr>
          <w:sz w:val="24"/>
          <w:u w:val="single"/>
        </w:rPr>
        <w:t>Dissemination of Quotations in NMS securities</w:t>
      </w:r>
    </w:p>
    <w:p w:rsidR="003B38A1" w:rsidRDefault="003B38A1" w:rsidP="003B38A1">
      <w:pPr>
        <w:jc w:val="center"/>
        <w:rPr>
          <w:sz w:val="24"/>
          <w:u w:val="single"/>
        </w:rPr>
      </w:pPr>
    </w:p>
    <w:p w:rsidR="003B38A1" w:rsidRDefault="003B38A1" w:rsidP="003B38A1">
      <w:pPr>
        <w:jc w:val="center"/>
        <w:rPr>
          <w:sz w:val="24"/>
          <w:u w:val="single"/>
        </w:rPr>
      </w:pPr>
      <w:r>
        <w:rPr>
          <w:sz w:val="24"/>
          <w:u w:val="single"/>
        </w:rPr>
        <w:t>Supporting Statement</w:t>
      </w:r>
    </w:p>
    <w:p w:rsidR="003B38A1" w:rsidRPr="003B38A1" w:rsidRDefault="003B38A1" w:rsidP="003B38A1">
      <w:pPr>
        <w:jc w:val="center"/>
        <w:rPr>
          <w:sz w:val="24"/>
          <w:u w:val="single"/>
        </w:rPr>
      </w:pPr>
    </w:p>
    <w:p w:rsidR="003B38A1" w:rsidRDefault="003B38A1">
      <w:pPr>
        <w:rPr>
          <w:sz w:val="24"/>
        </w:rPr>
      </w:pPr>
    </w:p>
    <w:p w:rsidR="00622813" w:rsidRDefault="00622813">
      <w:pPr>
        <w:rPr>
          <w:sz w:val="24"/>
        </w:rPr>
      </w:pPr>
      <w:r>
        <w:rPr>
          <w:sz w:val="24"/>
        </w:rPr>
        <w:t>A.</w:t>
      </w:r>
      <w:r>
        <w:rPr>
          <w:sz w:val="24"/>
        </w:rPr>
        <w:tab/>
      </w:r>
      <w:r>
        <w:rPr>
          <w:sz w:val="24"/>
          <w:u w:val="single"/>
        </w:rPr>
        <w:t>Justification</w:t>
      </w:r>
    </w:p>
    <w:p w:rsidR="00622813" w:rsidRDefault="00622813">
      <w:pPr>
        <w:rPr>
          <w:sz w:val="24"/>
        </w:rPr>
      </w:pPr>
    </w:p>
    <w:p w:rsidR="00622813" w:rsidRDefault="00622813">
      <w:pPr>
        <w:rPr>
          <w:sz w:val="24"/>
        </w:rPr>
      </w:pPr>
      <w:r>
        <w:rPr>
          <w:sz w:val="24"/>
        </w:rPr>
        <w:tab/>
        <w:t>1.</w:t>
      </w:r>
      <w:r>
        <w:rPr>
          <w:sz w:val="24"/>
        </w:rPr>
        <w:tab/>
      </w:r>
      <w:r>
        <w:rPr>
          <w:sz w:val="24"/>
          <w:u w:val="single"/>
        </w:rPr>
        <w:t>Necessity of Information Collection</w:t>
      </w:r>
    </w:p>
    <w:p w:rsidR="00622813" w:rsidRDefault="00622813">
      <w:pPr>
        <w:rPr>
          <w:sz w:val="24"/>
        </w:rPr>
      </w:pPr>
    </w:p>
    <w:p w:rsidR="00F5220F" w:rsidRPr="00F5220F" w:rsidRDefault="00622813" w:rsidP="00F5220F">
      <w:pPr>
        <w:rPr>
          <w:sz w:val="24"/>
        </w:rPr>
      </w:pPr>
      <w:r>
        <w:rPr>
          <w:sz w:val="24"/>
        </w:rPr>
        <w:tab/>
      </w:r>
      <w:r w:rsidR="00F5220F" w:rsidRPr="00F5220F">
        <w:rPr>
          <w:sz w:val="24"/>
        </w:rPr>
        <w:t xml:space="preserve">Section 11A(a)(2) of the Securities Exchange Act of 1934 (“Exchange Act”) directs the Securities and Exchange Commission (“Commission”) to use its authority under the </w:t>
      </w:r>
      <w:r w:rsidR="00735EDD">
        <w:rPr>
          <w:sz w:val="24"/>
        </w:rPr>
        <w:t xml:space="preserve">Exchange </w:t>
      </w:r>
      <w:r w:rsidR="00F5220F" w:rsidRPr="00F5220F">
        <w:rPr>
          <w:sz w:val="24"/>
        </w:rPr>
        <w:t xml:space="preserve">Act to facilitate the establishment of a national market system in which, among other things, brokers, dealers, and investors have access to information on securities quotations and transactions.  </w:t>
      </w:r>
      <w:r w:rsidR="00662C62">
        <w:rPr>
          <w:sz w:val="24"/>
        </w:rPr>
        <w:t xml:space="preserve">Moreover, the Commission is authorized, under Sections 11A(c)(1)(B) and (F) of the Exchange Act, to assure the prompt, accurate and reliable distribution of quotation information and to assure the fairness and usefulness of the form and content of such information.  </w:t>
      </w:r>
      <w:r w:rsidR="00BE1164">
        <w:rPr>
          <w:sz w:val="24"/>
        </w:rPr>
        <w:t>To achieve these</w:t>
      </w:r>
      <w:r w:rsidR="002F2141">
        <w:rPr>
          <w:sz w:val="24"/>
        </w:rPr>
        <w:t xml:space="preserve"> statutory </w:t>
      </w:r>
      <w:r w:rsidR="00AB2FAB">
        <w:rPr>
          <w:sz w:val="24"/>
        </w:rPr>
        <w:t>objective</w:t>
      </w:r>
      <w:r w:rsidR="00BE1164">
        <w:rPr>
          <w:sz w:val="24"/>
        </w:rPr>
        <w:t>s</w:t>
      </w:r>
      <w:r w:rsidR="002F2141">
        <w:rPr>
          <w:sz w:val="24"/>
        </w:rPr>
        <w:t xml:space="preserve">, the Commission promulgated Rule 11Ac1-1, currently designated as </w:t>
      </w:r>
      <w:r w:rsidR="002F2141" w:rsidRPr="00F5220F">
        <w:rPr>
          <w:sz w:val="24"/>
        </w:rPr>
        <w:t xml:space="preserve">Rule </w:t>
      </w:r>
      <w:r w:rsidR="002F2141">
        <w:rPr>
          <w:sz w:val="24"/>
        </w:rPr>
        <w:t>602 of Regulation NMS</w:t>
      </w:r>
      <w:r w:rsidR="00346643">
        <w:rPr>
          <w:sz w:val="24"/>
        </w:rPr>
        <w:t>, 17 CFR 242.602</w:t>
      </w:r>
      <w:r w:rsidR="002F2141">
        <w:rPr>
          <w:sz w:val="24"/>
        </w:rPr>
        <w:t>.</w:t>
      </w:r>
      <w:r w:rsidR="00FF4501">
        <w:rPr>
          <w:rStyle w:val="FootnoteReference"/>
          <w:sz w:val="24"/>
        </w:rPr>
        <w:footnoteReference w:id="1"/>
      </w:r>
    </w:p>
    <w:p w:rsidR="00F5220F" w:rsidRPr="00F5220F" w:rsidRDefault="00F5220F" w:rsidP="00F5220F">
      <w:pPr>
        <w:rPr>
          <w:sz w:val="24"/>
        </w:rPr>
      </w:pPr>
    </w:p>
    <w:p w:rsidR="00F5220F" w:rsidRDefault="00F5220F" w:rsidP="00F5220F">
      <w:pPr>
        <w:rPr>
          <w:sz w:val="24"/>
        </w:rPr>
      </w:pPr>
      <w:r w:rsidRPr="00F5220F">
        <w:rPr>
          <w:sz w:val="24"/>
        </w:rPr>
        <w:tab/>
      </w:r>
      <w:r w:rsidR="00035544">
        <w:rPr>
          <w:sz w:val="24"/>
        </w:rPr>
        <w:t>Rule 602</w:t>
      </w:r>
      <w:r w:rsidRPr="00F5220F">
        <w:rPr>
          <w:sz w:val="24"/>
        </w:rPr>
        <w:t xml:space="preserve"> </w:t>
      </w:r>
      <w:r w:rsidR="000713B7">
        <w:rPr>
          <w:sz w:val="24"/>
        </w:rPr>
        <w:t>contains</w:t>
      </w:r>
      <w:r w:rsidR="002F2141">
        <w:rPr>
          <w:sz w:val="24"/>
        </w:rPr>
        <w:t xml:space="preserve"> </w:t>
      </w:r>
      <w:r w:rsidRPr="00F5220F">
        <w:rPr>
          <w:sz w:val="24"/>
        </w:rPr>
        <w:t>two related collections of information</w:t>
      </w:r>
      <w:r w:rsidR="000713B7">
        <w:rPr>
          <w:sz w:val="24"/>
        </w:rPr>
        <w:t xml:space="preserve">.  </w:t>
      </w:r>
      <w:r w:rsidR="00B939D6" w:rsidRPr="00F5220F">
        <w:rPr>
          <w:sz w:val="24"/>
        </w:rPr>
        <w:t xml:space="preserve">The </w:t>
      </w:r>
      <w:r w:rsidR="00B939D6">
        <w:rPr>
          <w:sz w:val="24"/>
        </w:rPr>
        <w:t>first</w:t>
      </w:r>
      <w:r w:rsidR="00B939D6" w:rsidRPr="00F5220F">
        <w:rPr>
          <w:sz w:val="24"/>
        </w:rPr>
        <w:t xml:space="preserve"> collection of information is found in Rule </w:t>
      </w:r>
      <w:r w:rsidR="00B939D6">
        <w:rPr>
          <w:sz w:val="24"/>
        </w:rPr>
        <w:t>602(a).</w:t>
      </w:r>
      <w:r w:rsidR="00B939D6" w:rsidRPr="00F5220F">
        <w:rPr>
          <w:sz w:val="24"/>
        </w:rPr>
        <w:t xml:space="preserve">  This </w:t>
      </w:r>
      <w:r w:rsidR="00832183">
        <w:rPr>
          <w:sz w:val="24"/>
        </w:rPr>
        <w:t>third party disclosure</w:t>
      </w:r>
      <w:r w:rsidR="00B939D6" w:rsidRPr="00F5220F">
        <w:rPr>
          <w:sz w:val="24"/>
        </w:rPr>
        <w:t xml:space="preserve"> requirement obligates each </w:t>
      </w:r>
      <w:r w:rsidR="008F4184">
        <w:rPr>
          <w:sz w:val="24"/>
        </w:rPr>
        <w:t xml:space="preserve">national securities </w:t>
      </w:r>
      <w:r w:rsidR="00B939D6" w:rsidRPr="00F5220F">
        <w:rPr>
          <w:sz w:val="24"/>
        </w:rPr>
        <w:t xml:space="preserve">exchange and </w:t>
      </w:r>
      <w:r w:rsidR="008F4184">
        <w:rPr>
          <w:sz w:val="24"/>
        </w:rPr>
        <w:t xml:space="preserve">national securities </w:t>
      </w:r>
      <w:r w:rsidR="00B939D6" w:rsidRPr="00F5220F">
        <w:rPr>
          <w:sz w:val="24"/>
        </w:rPr>
        <w:t xml:space="preserve">association to make available to quotation vendors for dissemination to the public the best bid, best offer, and aggregate quotation size for each </w:t>
      </w:r>
      <w:r w:rsidR="00380841">
        <w:rPr>
          <w:sz w:val="24"/>
        </w:rPr>
        <w:t>“</w:t>
      </w:r>
      <w:r w:rsidR="00B939D6" w:rsidRPr="00F5220F">
        <w:rPr>
          <w:sz w:val="24"/>
        </w:rPr>
        <w:t>subject security</w:t>
      </w:r>
      <w:r w:rsidR="00380841">
        <w:rPr>
          <w:sz w:val="24"/>
        </w:rPr>
        <w:t>,” as defined under the Rule</w:t>
      </w:r>
      <w:r w:rsidR="00B939D6" w:rsidRPr="00F5220F">
        <w:rPr>
          <w:sz w:val="24"/>
        </w:rPr>
        <w:t xml:space="preserve">.  </w:t>
      </w:r>
      <w:r w:rsidRPr="00F5220F">
        <w:rPr>
          <w:sz w:val="24"/>
        </w:rPr>
        <w:t xml:space="preserve">The </w:t>
      </w:r>
      <w:r w:rsidR="00B939D6">
        <w:rPr>
          <w:sz w:val="24"/>
        </w:rPr>
        <w:t>second</w:t>
      </w:r>
      <w:r w:rsidRPr="00F5220F">
        <w:rPr>
          <w:sz w:val="24"/>
        </w:rPr>
        <w:t xml:space="preserve"> collection of information is found in Rule </w:t>
      </w:r>
      <w:r w:rsidR="00B939D6">
        <w:rPr>
          <w:sz w:val="24"/>
        </w:rPr>
        <w:t>602(b).</w:t>
      </w:r>
      <w:r w:rsidRPr="00F5220F">
        <w:rPr>
          <w:sz w:val="24"/>
        </w:rPr>
        <w:t xml:space="preserve">  This </w:t>
      </w:r>
      <w:r w:rsidR="004921F0">
        <w:rPr>
          <w:sz w:val="24"/>
        </w:rPr>
        <w:t xml:space="preserve">third party disclosure </w:t>
      </w:r>
      <w:r w:rsidRPr="00F5220F">
        <w:rPr>
          <w:sz w:val="24"/>
        </w:rPr>
        <w:t xml:space="preserve">requirement obligates </w:t>
      </w:r>
      <w:r w:rsidR="00380841">
        <w:rPr>
          <w:sz w:val="24"/>
        </w:rPr>
        <w:t>exchange members and over-the-counter (“OTC”) market makers that are a “responsible broker or dealer,” as defined under the Rule, to communicate to an exchange or association their</w:t>
      </w:r>
      <w:r w:rsidRPr="00F5220F">
        <w:rPr>
          <w:sz w:val="24"/>
        </w:rPr>
        <w:t xml:space="preserve"> best </w:t>
      </w:r>
      <w:proofErr w:type="gramStart"/>
      <w:r w:rsidRPr="00F5220F">
        <w:rPr>
          <w:sz w:val="24"/>
        </w:rPr>
        <w:t>bids,</w:t>
      </w:r>
      <w:proofErr w:type="gramEnd"/>
      <w:r w:rsidRPr="00F5220F">
        <w:rPr>
          <w:sz w:val="24"/>
        </w:rPr>
        <w:t xml:space="preserve"> best offers, and quotation sizes for </w:t>
      </w:r>
      <w:r w:rsidR="004703D9">
        <w:rPr>
          <w:sz w:val="24"/>
        </w:rPr>
        <w:t>subject securities.</w:t>
      </w:r>
      <w:r w:rsidR="00662C62" w:rsidRPr="00F5220F">
        <w:rPr>
          <w:sz w:val="24"/>
          <w:vertAlign w:val="superscript"/>
        </w:rPr>
        <w:footnoteReference w:id="2"/>
      </w:r>
    </w:p>
    <w:p w:rsidR="00622813" w:rsidRDefault="00622813">
      <w:pPr>
        <w:rPr>
          <w:sz w:val="24"/>
        </w:rPr>
      </w:pPr>
    </w:p>
    <w:p w:rsidR="00622813" w:rsidRDefault="00622813">
      <w:pPr>
        <w:numPr>
          <w:ilvl w:val="0"/>
          <w:numId w:val="1"/>
        </w:numPr>
        <w:tabs>
          <w:tab w:val="left" w:pos="720"/>
        </w:tabs>
        <w:rPr>
          <w:sz w:val="24"/>
        </w:rPr>
      </w:pPr>
      <w:r>
        <w:rPr>
          <w:sz w:val="24"/>
          <w:u w:val="single"/>
        </w:rPr>
        <w:lastRenderedPageBreak/>
        <w:t>Purposes of, and Consequences of Not Requiring, the Information Collection</w:t>
      </w:r>
    </w:p>
    <w:p w:rsidR="00622813" w:rsidRDefault="00622813">
      <w:pPr>
        <w:tabs>
          <w:tab w:val="left" w:pos="720"/>
        </w:tabs>
        <w:rPr>
          <w:sz w:val="24"/>
        </w:rPr>
      </w:pPr>
    </w:p>
    <w:p w:rsidR="00622813" w:rsidRDefault="00622813">
      <w:pPr>
        <w:pStyle w:val="BodyText"/>
      </w:pPr>
      <w:r>
        <w:tab/>
      </w:r>
      <w:r w:rsidR="000713B7">
        <w:t>Each of the collections is</w:t>
      </w:r>
      <w:r w:rsidR="000713B7" w:rsidRPr="00F5220F">
        <w:t xml:space="preserve"> necessary to </w:t>
      </w:r>
      <w:r w:rsidR="00BE1164">
        <w:t xml:space="preserve">achieve the statutory objective of </w:t>
      </w:r>
      <w:r w:rsidR="000713B7" w:rsidRPr="00F5220F">
        <w:t>dissem</w:t>
      </w:r>
      <w:r w:rsidR="00BE1164">
        <w:t>inating high-quality quotation information to the public.</w:t>
      </w:r>
      <w:r w:rsidR="000713B7" w:rsidRPr="00F5220F">
        <w:t xml:space="preserve">  Brokers, dealers, other market participants, and members of the public rely on </w:t>
      </w:r>
      <w:r w:rsidR="00BE1164">
        <w:t xml:space="preserve">the </w:t>
      </w:r>
      <w:r w:rsidR="000713B7" w:rsidRPr="00F5220F">
        <w:t xml:space="preserve">quotation information </w:t>
      </w:r>
      <w:r w:rsidR="00BE1164">
        <w:t xml:space="preserve">required by Rule </w:t>
      </w:r>
      <w:r w:rsidR="002E4DD9">
        <w:t xml:space="preserve">602 </w:t>
      </w:r>
      <w:r w:rsidR="000713B7" w:rsidRPr="00F5220F">
        <w:t xml:space="preserve">to determine the best price and market for execution of </w:t>
      </w:r>
      <w:r w:rsidR="00BE1164">
        <w:t>investor</w:t>
      </w:r>
      <w:r w:rsidR="000713B7" w:rsidRPr="00F5220F">
        <w:t xml:space="preserve"> orders</w:t>
      </w:r>
      <w:r w:rsidR="000713B7">
        <w:t xml:space="preserve">. </w:t>
      </w:r>
      <w:r w:rsidR="00373E15">
        <w:t xml:space="preserve"> In the absence of these collections of information, investors may not be aware of the best bids and offers available from all significant market </w:t>
      </w:r>
      <w:r w:rsidR="00F22032">
        <w:t>participants</w:t>
      </w:r>
      <w:r w:rsidR="00373E15">
        <w:t xml:space="preserve"> in securities.</w:t>
      </w:r>
      <w:r w:rsidR="00BE1164">
        <w:t xml:space="preserve">  Not requiring the information would impair the opportunity for investors to have their orders executed in the best market, which is another important objective of the national market system set forth in Section 11A(a)(1)(C)(iv) of the Exchange Act.</w:t>
      </w:r>
    </w:p>
    <w:p w:rsidR="00622813" w:rsidRDefault="00622813">
      <w:pPr>
        <w:tabs>
          <w:tab w:val="left" w:pos="720"/>
        </w:tabs>
        <w:rPr>
          <w:sz w:val="24"/>
        </w:rPr>
      </w:pPr>
    </w:p>
    <w:p w:rsidR="00622813" w:rsidRDefault="00622813">
      <w:pPr>
        <w:numPr>
          <w:ilvl w:val="0"/>
          <w:numId w:val="1"/>
        </w:numPr>
        <w:tabs>
          <w:tab w:val="left" w:pos="720"/>
        </w:tabs>
        <w:rPr>
          <w:sz w:val="24"/>
        </w:rPr>
      </w:pPr>
      <w:r>
        <w:rPr>
          <w:sz w:val="24"/>
          <w:u w:val="single"/>
        </w:rPr>
        <w:t>Role of Improved Information Technology and Obstacles to Reducing Burden</w:t>
      </w:r>
    </w:p>
    <w:p w:rsidR="00622813" w:rsidRDefault="00622813">
      <w:pPr>
        <w:tabs>
          <w:tab w:val="left" w:pos="720"/>
        </w:tabs>
        <w:rPr>
          <w:sz w:val="24"/>
        </w:rPr>
      </w:pPr>
    </w:p>
    <w:p w:rsidR="00622813" w:rsidRDefault="00622813" w:rsidP="00DD7920">
      <w:pPr>
        <w:pStyle w:val="BodyText"/>
        <w:tabs>
          <w:tab w:val="clear" w:pos="720"/>
        </w:tabs>
      </w:pPr>
      <w:r>
        <w:tab/>
      </w:r>
      <w:r w:rsidR="00373E15">
        <w:t>Improve</w:t>
      </w:r>
      <w:r w:rsidR="008E1247">
        <w:t>d information technology facilitates the</w:t>
      </w:r>
      <w:r w:rsidR="00373E15">
        <w:t xml:space="preserve"> dissemination of quotation information in</w:t>
      </w:r>
      <w:r w:rsidR="00817E86">
        <w:t xml:space="preserve"> an accurate and timely fashion.  Such technology enables persons subject to R</w:t>
      </w:r>
      <w:r w:rsidR="00373E15">
        <w:t xml:space="preserve">ule </w:t>
      </w:r>
      <w:r w:rsidR="00817E86">
        <w:t xml:space="preserve">602 </w:t>
      </w:r>
      <w:r w:rsidR="00373E15">
        <w:t xml:space="preserve">to collect the required information </w:t>
      </w:r>
      <w:r w:rsidR="000713B7">
        <w:t>electronically</w:t>
      </w:r>
      <w:r w:rsidR="00373E15">
        <w:t xml:space="preserve">.  Thus, </w:t>
      </w:r>
      <w:r w:rsidR="00817E86">
        <w:t xml:space="preserve">the Commission believes that </w:t>
      </w:r>
      <w:r w:rsidR="00373E15">
        <w:t xml:space="preserve">improved technology </w:t>
      </w:r>
      <w:r w:rsidR="00F9144E">
        <w:t>reduces</w:t>
      </w:r>
      <w:r w:rsidR="00373E15">
        <w:t xml:space="preserve"> the burden imposed by these information collections.</w:t>
      </w:r>
    </w:p>
    <w:p w:rsidR="00622813" w:rsidRDefault="00622813">
      <w:pPr>
        <w:tabs>
          <w:tab w:val="left" w:pos="720"/>
        </w:tabs>
        <w:rPr>
          <w:sz w:val="24"/>
        </w:rPr>
      </w:pPr>
    </w:p>
    <w:p w:rsidR="00622813" w:rsidRDefault="00622813">
      <w:pPr>
        <w:numPr>
          <w:ilvl w:val="0"/>
          <w:numId w:val="1"/>
        </w:numPr>
        <w:tabs>
          <w:tab w:val="left" w:pos="720"/>
        </w:tabs>
        <w:rPr>
          <w:sz w:val="24"/>
        </w:rPr>
      </w:pPr>
      <w:r>
        <w:rPr>
          <w:sz w:val="24"/>
          <w:u w:val="single"/>
        </w:rPr>
        <w:t>Efforts to Identify Duplication</w:t>
      </w:r>
    </w:p>
    <w:p w:rsidR="00622813" w:rsidRDefault="00622813">
      <w:pPr>
        <w:tabs>
          <w:tab w:val="left" w:pos="720"/>
        </w:tabs>
        <w:rPr>
          <w:sz w:val="24"/>
        </w:rPr>
      </w:pPr>
    </w:p>
    <w:p w:rsidR="00622813" w:rsidRDefault="00622813" w:rsidP="00893535">
      <w:pPr>
        <w:pStyle w:val="BodyText"/>
        <w:outlineLvl w:val="0"/>
      </w:pPr>
      <w:r>
        <w:tab/>
      </w:r>
      <w:r w:rsidR="00373E15">
        <w:t xml:space="preserve">The </w:t>
      </w:r>
      <w:r w:rsidR="00F22032">
        <w:t>required information is not duplicative of any other information collection</w:t>
      </w:r>
      <w:r w:rsidR="00373E15">
        <w:t>.</w:t>
      </w:r>
    </w:p>
    <w:p w:rsidR="00622813" w:rsidRDefault="00622813">
      <w:pPr>
        <w:tabs>
          <w:tab w:val="left" w:pos="720"/>
        </w:tabs>
        <w:rPr>
          <w:sz w:val="24"/>
        </w:rPr>
      </w:pPr>
    </w:p>
    <w:p w:rsidR="00622813" w:rsidRDefault="00622813">
      <w:pPr>
        <w:numPr>
          <w:ilvl w:val="0"/>
          <w:numId w:val="1"/>
        </w:numPr>
        <w:tabs>
          <w:tab w:val="left" w:pos="720"/>
        </w:tabs>
        <w:rPr>
          <w:sz w:val="24"/>
        </w:rPr>
      </w:pPr>
      <w:r>
        <w:rPr>
          <w:sz w:val="24"/>
          <w:u w:val="single"/>
        </w:rPr>
        <w:t>Effect on Small Entities</w:t>
      </w:r>
    </w:p>
    <w:p w:rsidR="00622813" w:rsidRDefault="00622813">
      <w:pPr>
        <w:tabs>
          <w:tab w:val="left" w:pos="720"/>
        </w:tabs>
        <w:rPr>
          <w:sz w:val="24"/>
        </w:rPr>
      </w:pPr>
    </w:p>
    <w:p w:rsidR="00622813" w:rsidRDefault="00622813" w:rsidP="00893535">
      <w:pPr>
        <w:pStyle w:val="BodyText"/>
        <w:outlineLvl w:val="0"/>
      </w:pPr>
      <w:r>
        <w:tab/>
      </w:r>
      <w:r w:rsidR="00E638A0">
        <w:t>T</w:t>
      </w:r>
      <w:r w:rsidR="00735EDD">
        <w:t xml:space="preserve">he </w:t>
      </w:r>
      <w:r w:rsidR="000E64F1">
        <w:t>fourteen</w:t>
      </w:r>
      <w:r w:rsidR="00735EDD">
        <w:t xml:space="preserve"> national securities exchanges and one national securities association obligated to report under Rule 602(a) are not small entities as defined by Commission rules.  For the reporting obligations under Rule 602(b), only 20 of the </w:t>
      </w:r>
      <w:r w:rsidR="00735EDD">
        <w:rPr>
          <w:szCs w:val="24"/>
        </w:rPr>
        <w:t>1095 exchange members</w:t>
      </w:r>
      <w:r w:rsidR="00735EDD">
        <w:t xml:space="preserve"> are small entities.</w:t>
      </w:r>
      <w:r w:rsidR="009314D5">
        <w:t xml:space="preserve">  </w:t>
      </w:r>
      <w:r w:rsidR="00014624">
        <w:t>In addition, a</w:t>
      </w:r>
      <w:r w:rsidR="009314D5" w:rsidRPr="00BF1CBD">
        <w:t xml:space="preserve">s noted in Section 12 of this submission, </w:t>
      </w:r>
      <w:r w:rsidR="00F0189F">
        <w:t xml:space="preserve">all OTC market makers currently comply with the Rule by providing their quotations to an exchange of which they are a member.  </w:t>
      </w:r>
      <w:r w:rsidR="00735EDD">
        <w:t>Th</w:t>
      </w:r>
      <w:r w:rsidR="0019166A">
        <w:t xml:space="preserve">us, </w:t>
      </w:r>
      <w:r w:rsidR="00784ED3">
        <w:t xml:space="preserve">the </w:t>
      </w:r>
      <w:r w:rsidR="0019166A">
        <w:t xml:space="preserve">proportion of respondents </w:t>
      </w:r>
      <w:r w:rsidR="00A33818">
        <w:t>under Rule 602(b) that</w:t>
      </w:r>
      <w:r w:rsidR="0019166A">
        <w:t xml:space="preserve"> are small entities</w:t>
      </w:r>
      <w:r w:rsidR="00F0189F">
        <w:t xml:space="preserve"> is very low.</w:t>
      </w:r>
      <w:r w:rsidR="00583920">
        <w:t xml:space="preserve">  In addition, </w:t>
      </w:r>
      <w:r w:rsidR="009A56DB">
        <w:t>an</w:t>
      </w:r>
      <w:r w:rsidR="00583920">
        <w:t xml:space="preserve"> OTC market maker </w:t>
      </w:r>
      <w:r w:rsidR="009A56DB">
        <w:t xml:space="preserve">must have an </w:t>
      </w:r>
      <w:r w:rsidR="00583920">
        <w:t xml:space="preserve">executed volume of more than 1% of the aggregate reported volume in an exchange-traded security </w:t>
      </w:r>
      <w:r w:rsidR="009A56DB">
        <w:t>to trigger the quoting requirements of Rule 602(b).  S</w:t>
      </w:r>
      <w:r w:rsidR="00583920">
        <w:t>mall broker-dealers that are OTC market makers</w:t>
      </w:r>
      <w:r w:rsidR="009A56DB">
        <w:t xml:space="preserve"> are likely to cross this</w:t>
      </w:r>
      <w:r w:rsidR="00583920">
        <w:t xml:space="preserve"> 1% reporting threshold in a small number of NMS stocks.  Accordingly, their burden of collection is likely to be significantly less than the average burden of collection for all respondents under Rule 602(b).</w:t>
      </w:r>
    </w:p>
    <w:p w:rsidR="009314D5" w:rsidRPr="00E124BF" w:rsidRDefault="009314D5" w:rsidP="00893535">
      <w:pPr>
        <w:pStyle w:val="BodyText"/>
        <w:outlineLvl w:val="0"/>
      </w:pPr>
    </w:p>
    <w:p w:rsidR="00622813" w:rsidRDefault="00622813">
      <w:pPr>
        <w:pStyle w:val="BodyText"/>
        <w:numPr>
          <w:ilvl w:val="0"/>
          <w:numId w:val="1"/>
        </w:numPr>
      </w:pPr>
      <w:r>
        <w:rPr>
          <w:u w:val="single"/>
        </w:rPr>
        <w:t>Consequences of Less Frequent Collection</w:t>
      </w:r>
    </w:p>
    <w:p w:rsidR="009314D5" w:rsidRDefault="009314D5">
      <w:pPr>
        <w:pStyle w:val="BodyText"/>
      </w:pPr>
    </w:p>
    <w:p w:rsidR="00622813" w:rsidRDefault="009314D5">
      <w:pPr>
        <w:pStyle w:val="BodyText"/>
      </w:pPr>
      <w:r>
        <w:lastRenderedPageBreak/>
        <w:tab/>
      </w:r>
      <w:r w:rsidR="00622813">
        <w:t xml:space="preserve">The information is collected as each </w:t>
      </w:r>
      <w:r w:rsidR="005F604C">
        <w:t>quotation is communicated</w:t>
      </w:r>
      <w:r w:rsidR="002E4DD9">
        <w:t xml:space="preserve">.  Accordingly, </w:t>
      </w:r>
      <w:r w:rsidR="005B494E">
        <w:t xml:space="preserve">any </w:t>
      </w:r>
      <w:r w:rsidR="002E4DD9">
        <w:t xml:space="preserve">less frequent collection would </w:t>
      </w:r>
      <w:r w:rsidR="005B494E">
        <w:t xml:space="preserve">deprive the public of information on the best prices for a security and </w:t>
      </w:r>
      <w:r w:rsidR="00622813">
        <w:t>u</w:t>
      </w:r>
      <w:r w:rsidR="00C25013">
        <w:t>nderm</w:t>
      </w:r>
      <w:r w:rsidR="005B494E">
        <w:t>ine</w:t>
      </w:r>
      <w:r w:rsidR="002E4DD9">
        <w:t xml:space="preserve"> the purposes of </w:t>
      </w:r>
      <w:r w:rsidR="00C25013">
        <w:t>R</w:t>
      </w:r>
      <w:r w:rsidR="00622813">
        <w:t>ule</w:t>
      </w:r>
      <w:r w:rsidR="002E4DD9">
        <w:t xml:space="preserve"> 602</w:t>
      </w:r>
      <w:r w:rsidR="00622813">
        <w:t>.</w:t>
      </w:r>
    </w:p>
    <w:p w:rsidR="00622813" w:rsidRDefault="00622813">
      <w:pPr>
        <w:pStyle w:val="BodyText"/>
      </w:pPr>
    </w:p>
    <w:p w:rsidR="00622813" w:rsidRDefault="00622813">
      <w:pPr>
        <w:pStyle w:val="BodyText"/>
        <w:numPr>
          <w:ilvl w:val="0"/>
          <w:numId w:val="1"/>
        </w:numPr>
      </w:pPr>
      <w:r>
        <w:rPr>
          <w:u w:val="single"/>
        </w:rPr>
        <w:t>Inconsistencies with Guidelines in 5 CFR 1320.5(d)(2)</w:t>
      </w:r>
    </w:p>
    <w:p w:rsidR="00622813" w:rsidRDefault="00622813">
      <w:pPr>
        <w:pStyle w:val="BodyText"/>
      </w:pPr>
    </w:p>
    <w:p w:rsidR="00622813" w:rsidRDefault="00622813">
      <w:pPr>
        <w:pStyle w:val="BodyText"/>
      </w:pPr>
      <w:r>
        <w:tab/>
        <w:t>This information collection is not conducted in a manner that is inconsistent with 5 CFR 1320.5(d)(2).</w:t>
      </w:r>
    </w:p>
    <w:p w:rsidR="00622813" w:rsidRDefault="00622813">
      <w:pPr>
        <w:pStyle w:val="BodyText"/>
      </w:pPr>
    </w:p>
    <w:p w:rsidR="00622813" w:rsidRDefault="00622813">
      <w:pPr>
        <w:pStyle w:val="BodyText"/>
        <w:numPr>
          <w:ilvl w:val="0"/>
          <w:numId w:val="1"/>
        </w:numPr>
      </w:pPr>
      <w:r>
        <w:rPr>
          <w:u w:val="single"/>
        </w:rPr>
        <w:t>Consultations Outside the Agency</w:t>
      </w:r>
    </w:p>
    <w:p w:rsidR="00622813" w:rsidRDefault="00622813">
      <w:pPr>
        <w:pStyle w:val="BodyText"/>
      </w:pPr>
    </w:p>
    <w:p w:rsidR="00622813" w:rsidRPr="004B3C55" w:rsidRDefault="00622813" w:rsidP="00893535">
      <w:pPr>
        <w:pStyle w:val="BodyText"/>
        <w:outlineLvl w:val="0"/>
      </w:pPr>
      <w:r>
        <w:tab/>
      </w:r>
      <w:r w:rsidR="001D7EE3">
        <w:t xml:space="preserve">Rule </w:t>
      </w:r>
      <w:r w:rsidR="005B494E">
        <w:t xml:space="preserve">602 </w:t>
      </w:r>
      <w:r w:rsidR="001D7EE3">
        <w:t xml:space="preserve">was adopted by the Commission after notice and comment, including a request for comments regarding the collections of information in a </w:t>
      </w:r>
      <w:r w:rsidR="004B3C55">
        <w:t>separate</w:t>
      </w:r>
      <w:r w:rsidR="001D7EE3">
        <w:t xml:space="preserve"> </w:t>
      </w:r>
      <w:r w:rsidR="003E167C">
        <w:t>PRA</w:t>
      </w:r>
      <w:r w:rsidR="001D7EE3">
        <w:t xml:space="preserve"> section.</w:t>
      </w:r>
      <w:r w:rsidR="004B3C55">
        <w:t xml:space="preserve">  The Commission also </w:t>
      </w:r>
      <w:r w:rsidR="000E64F1">
        <w:t xml:space="preserve">has </w:t>
      </w:r>
      <w:r w:rsidR="004B3C55">
        <w:t xml:space="preserve">published </w:t>
      </w:r>
      <w:r w:rsidR="000E64F1">
        <w:t>proposed amendments to Rule 602</w:t>
      </w:r>
      <w:r w:rsidR="009314D5">
        <w:t xml:space="preserve"> </w:t>
      </w:r>
      <w:r w:rsidR="004B3C55">
        <w:t>for public notice and comment</w:t>
      </w:r>
      <w:r w:rsidR="00475E49">
        <w:t>.</w:t>
      </w:r>
    </w:p>
    <w:p w:rsidR="00622813" w:rsidRDefault="00622813">
      <w:pPr>
        <w:pStyle w:val="BodyText"/>
      </w:pPr>
    </w:p>
    <w:p w:rsidR="00622813" w:rsidRDefault="00622813" w:rsidP="00373E15">
      <w:pPr>
        <w:pStyle w:val="BodyText"/>
        <w:numPr>
          <w:ilvl w:val="0"/>
          <w:numId w:val="1"/>
        </w:numPr>
        <w:tabs>
          <w:tab w:val="clear" w:pos="720"/>
          <w:tab w:val="clear" w:pos="1500"/>
        </w:tabs>
      </w:pPr>
      <w:r>
        <w:rPr>
          <w:u w:val="single"/>
        </w:rPr>
        <w:t>Payment or Gift to Respondents</w:t>
      </w:r>
    </w:p>
    <w:p w:rsidR="00622813" w:rsidRDefault="00622813">
      <w:pPr>
        <w:pStyle w:val="BodyText"/>
      </w:pPr>
    </w:p>
    <w:p w:rsidR="00622813" w:rsidRDefault="00622813" w:rsidP="00893535">
      <w:pPr>
        <w:pStyle w:val="BodyText"/>
        <w:outlineLvl w:val="0"/>
      </w:pPr>
      <w:r>
        <w:tab/>
        <w:t>Not applicable.</w:t>
      </w:r>
    </w:p>
    <w:p w:rsidR="00622813" w:rsidRDefault="00622813">
      <w:pPr>
        <w:pStyle w:val="BodyText"/>
      </w:pPr>
    </w:p>
    <w:p w:rsidR="00622813" w:rsidRDefault="00622813">
      <w:pPr>
        <w:pStyle w:val="BodyText"/>
        <w:numPr>
          <w:ilvl w:val="0"/>
          <w:numId w:val="1"/>
        </w:numPr>
      </w:pPr>
      <w:r>
        <w:rPr>
          <w:u w:val="single"/>
        </w:rPr>
        <w:t>Assurance of Confidentiality</w:t>
      </w:r>
    </w:p>
    <w:p w:rsidR="00622813" w:rsidRDefault="00622813">
      <w:pPr>
        <w:pStyle w:val="BodyText"/>
      </w:pPr>
    </w:p>
    <w:p w:rsidR="00622813" w:rsidRDefault="00622813" w:rsidP="001D7EE3">
      <w:pPr>
        <w:pStyle w:val="BodyText"/>
        <w:outlineLvl w:val="0"/>
      </w:pPr>
      <w:r>
        <w:tab/>
      </w:r>
      <w:r w:rsidR="001D7EE3">
        <w:t>No assurances of confidentiality are necessary because the information will be made available to the public.</w:t>
      </w:r>
    </w:p>
    <w:p w:rsidR="001D7EE3" w:rsidRDefault="001D7EE3" w:rsidP="001D7EE3">
      <w:pPr>
        <w:pStyle w:val="BodyText"/>
        <w:outlineLvl w:val="0"/>
      </w:pPr>
    </w:p>
    <w:p w:rsidR="00622813" w:rsidRDefault="00622813">
      <w:pPr>
        <w:pStyle w:val="BodyText"/>
        <w:numPr>
          <w:ilvl w:val="0"/>
          <w:numId w:val="1"/>
        </w:numPr>
      </w:pPr>
      <w:r>
        <w:rPr>
          <w:u w:val="single"/>
        </w:rPr>
        <w:t>Sensitive Questions</w:t>
      </w:r>
    </w:p>
    <w:p w:rsidR="00622813" w:rsidRDefault="00622813">
      <w:pPr>
        <w:pStyle w:val="BodyText"/>
      </w:pPr>
      <w:r>
        <w:tab/>
      </w:r>
    </w:p>
    <w:p w:rsidR="00622813" w:rsidRDefault="00AA33ED" w:rsidP="00893535">
      <w:pPr>
        <w:pStyle w:val="BodyText"/>
        <w:outlineLvl w:val="0"/>
      </w:pPr>
      <w:r>
        <w:tab/>
        <w:t xml:space="preserve">Not applicable.  Rule </w:t>
      </w:r>
      <w:r w:rsidR="005B494E">
        <w:t xml:space="preserve">602 </w:t>
      </w:r>
      <w:r>
        <w:t>does not require</w:t>
      </w:r>
      <w:r w:rsidR="00622813">
        <w:t xml:space="preserve"> information of a sensitive na</w:t>
      </w:r>
      <w:r>
        <w:t>ture.</w:t>
      </w:r>
    </w:p>
    <w:p w:rsidR="00622813" w:rsidRDefault="00622813">
      <w:pPr>
        <w:pStyle w:val="BodyText"/>
      </w:pPr>
    </w:p>
    <w:p w:rsidR="00622813" w:rsidRDefault="00622813">
      <w:pPr>
        <w:pStyle w:val="BodyText"/>
        <w:numPr>
          <w:ilvl w:val="0"/>
          <w:numId w:val="1"/>
        </w:numPr>
      </w:pPr>
      <w:r>
        <w:rPr>
          <w:u w:val="single"/>
        </w:rPr>
        <w:t>Estimate of Respondent Reporting Burden</w:t>
      </w:r>
    </w:p>
    <w:p w:rsidR="00622813" w:rsidRDefault="00A803FB">
      <w:pPr>
        <w:pStyle w:val="BodyText"/>
      </w:pPr>
      <w:r>
        <w:tab/>
      </w:r>
    </w:p>
    <w:p w:rsidR="00A803FB" w:rsidRDefault="00A803FB">
      <w:pPr>
        <w:pStyle w:val="BodyText"/>
      </w:pPr>
      <w:r>
        <w:tab/>
        <w:t>The aggregate reporting</w:t>
      </w:r>
      <w:r w:rsidR="00C23061">
        <w:t xml:space="preserve"> burden under Rule 602 is 24,11</w:t>
      </w:r>
      <w:r w:rsidR="00945050">
        <w:t>7</w:t>
      </w:r>
      <w:r>
        <w:t xml:space="preserve"> hours annua</w:t>
      </w:r>
      <w:r w:rsidR="00C23061">
        <w:t>lly, which is comprised of 3,75</w:t>
      </w:r>
      <w:r w:rsidR="00945050">
        <w:t>0</w:t>
      </w:r>
      <w:r>
        <w:t xml:space="preserve"> hours relating to Rule 602(a) and 20,367 hours relating to Rule 602(b), as explained in further detail below. </w:t>
      </w:r>
    </w:p>
    <w:p w:rsidR="00A803FB" w:rsidRDefault="00A803FB" w:rsidP="00AE2F5C">
      <w:pPr>
        <w:pStyle w:val="BodyText"/>
        <w:ind w:left="1500"/>
      </w:pPr>
    </w:p>
    <w:p w:rsidR="00AE2F5C" w:rsidRDefault="00AE2F5C" w:rsidP="00AE2F5C">
      <w:pPr>
        <w:pStyle w:val="BodyText"/>
        <w:ind w:left="1500"/>
      </w:pPr>
      <w:r>
        <w:t>a.</w:t>
      </w:r>
      <w:r>
        <w:tab/>
      </w:r>
      <w:r>
        <w:rPr>
          <w:u w:val="single"/>
        </w:rPr>
        <w:t>Rule 602(a)</w:t>
      </w:r>
    </w:p>
    <w:p w:rsidR="00AE2F5C" w:rsidRPr="00AE2F5C" w:rsidRDefault="00AE2F5C">
      <w:pPr>
        <w:pStyle w:val="BodyText"/>
      </w:pPr>
    </w:p>
    <w:p w:rsidR="00C201F9" w:rsidRDefault="00A66061" w:rsidP="009F033E">
      <w:pPr>
        <w:suppressAutoHyphens/>
        <w:ind w:firstLine="720"/>
        <w:rPr>
          <w:sz w:val="24"/>
          <w:szCs w:val="24"/>
        </w:rPr>
      </w:pPr>
      <w:r w:rsidRPr="00A66061">
        <w:rPr>
          <w:sz w:val="24"/>
          <w:szCs w:val="24"/>
        </w:rPr>
        <w:t xml:space="preserve">For the reporting obligation under Rule </w:t>
      </w:r>
      <w:r>
        <w:rPr>
          <w:sz w:val="24"/>
          <w:szCs w:val="24"/>
        </w:rPr>
        <w:t>602(a),</w:t>
      </w:r>
      <w:r w:rsidRPr="00A66061">
        <w:rPr>
          <w:sz w:val="24"/>
          <w:szCs w:val="24"/>
        </w:rPr>
        <w:t xml:space="preserve"> the respondents are the </w:t>
      </w:r>
      <w:r w:rsidR="00FC531F">
        <w:rPr>
          <w:sz w:val="24"/>
          <w:szCs w:val="24"/>
        </w:rPr>
        <w:t>fourteen</w:t>
      </w:r>
      <w:r w:rsidRPr="00A66061">
        <w:rPr>
          <w:sz w:val="24"/>
          <w:szCs w:val="24"/>
        </w:rPr>
        <w:t xml:space="preserve"> national securities exchanges and one national securities association.</w:t>
      </w:r>
      <w:r w:rsidR="00CA053C">
        <w:rPr>
          <w:rStyle w:val="FootnoteReference"/>
          <w:sz w:val="24"/>
          <w:szCs w:val="24"/>
        </w:rPr>
        <w:footnoteReference w:id="3"/>
      </w:r>
      <w:r w:rsidR="00441766">
        <w:rPr>
          <w:sz w:val="24"/>
          <w:szCs w:val="24"/>
        </w:rPr>
        <w:t xml:space="preserve">  </w:t>
      </w:r>
      <w:r w:rsidR="004A0A95">
        <w:rPr>
          <w:sz w:val="24"/>
          <w:szCs w:val="24"/>
        </w:rPr>
        <w:t xml:space="preserve">The Commission </w:t>
      </w:r>
      <w:r w:rsidR="004A0A95">
        <w:rPr>
          <w:sz w:val="24"/>
          <w:szCs w:val="24"/>
        </w:rPr>
        <w:lastRenderedPageBreak/>
        <w:t>estimates that each exchange or association on average will respond (</w:t>
      </w:r>
      <w:r w:rsidR="004A0A95">
        <w:rPr>
          <w:sz w:val="24"/>
          <w:szCs w:val="24"/>
          <w:u w:val="single"/>
        </w:rPr>
        <w:t>i.e.</w:t>
      </w:r>
      <w:r w:rsidR="004A0A95">
        <w:rPr>
          <w:sz w:val="24"/>
          <w:szCs w:val="24"/>
        </w:rPr>
        <w:t>, disseminate and update bids, offers, and quotation sizes to quotation vendors) approximately 49,408,510,743 times per year.</w:t>
      </w:r>
      <w:r w:rsidR="004A0A95">
        <w:rPr>
          <w:rStyle w:val="FootnoteReference"/>
          <w:sz w:val="24"/>
          <w:szCs w:val="24"/>
        </w:rPr>
        <w:footnoteReference w:id="4"/>
      </w:r>
      <w:r w:rsidR="004A0A95">
        <w:rPr>
          <w:sz w:val="24"/>
          <w:szCs w:val="24"/>
        </w:rPr>
        <w:t xml:space="preserve">  </w:t>
      </w:r>
      <w:r w:rsidR="00441766">
        <w:rPr>
          <w:sz w:val="24"/>
          <w:szCs w:val="24"/>
        </w:rPr>
        <w:t xml:space="preserve">The Commission estimates </w:t>
      </w:r>
      <w:r w:rsidR="00E638A0">
        <w:rPr>
          <w:sz w:val="24"/>
          <w:szCs w:val="24"/>
        </w:rPr>
        <w:t xml:space="preserve">that </w:t>
      </w:r>
      <w:r w:rsidR="00C201F9">
        <w:rPr>
          <w:sz w:val="24"/>
          <w:szCs w:val="24"/>
        </w:rPr>
        <w:t xml:space="preserve">the </w:t>
      </w:r>
      <w:r w:rsidR="00E33339">
        <w:rPr>
          <w:sz w:val="24"/>
          <w:szCs w:val="24"/>
        </w:rPr>
        <w:t xml:space="preserve">average </w:t>
      </w:r>
      <w:r w:rsidR="00C201F9">
        <w:rPr>
          <w:sz w:val="24"/>
          <w:szCs w:val="24"/>
        </w:rPr>
        <w:t>annual time burden for each national securities exchange or national securities association is 250 hours</w:t>
      </w:r>
      <w:r w:rsidR="00C201F9">
        <w:rPr>
          <w:rStyle w:val="FootnoteReference"/>
          <w:sz w:val="24"/>
          <w:szCs w:val="24"/>
        </w:rPr>
        <w:footnoteReference w:id="5"/>
      </w:r>
      <w:r w:rsidR="00322B29">
        <w:rPr>
          <w:sz w:val="24"/>
          <w:szCs w:val="24"/>
        </w:rPr>
        <w:t xml:space="preserve"> which results in an annual aggregate burden for all respondents under Rule 602(a) of 3,750 hours</w:t>
      </w:r>
      <w:r w:rsidR="004F4F68">
        <w:rPr>
          <w:sz w:val="24"/>
          <w:szCs w:val="24"/>
        </w:rPr>
        <w:t>.</w:t>
      </w:r>
      <w:r w:rsidR="00322B29">
        <w:rPr>
          <w:rStyle w:val="FootnoteReference"/>
          <w:sz w:val="24"/>
          <w:szCs w:val="24"/>
        </w:rPr>
        <w:footnoteReference w:id="6"/>
      </w:r>
    </w:p>
    <w:p w:rsidR="00C201F9" w:rsidRDefault="00C201F9" w:rsidP="009F033E">
      <w:pPr>
        <w:suppressAutoHyphens/>
        <w:ind w:firstLine="720"/>
        <w:rPr>
          <w:sz w:val="24"/>
          <w:szCs w:val="24"/>
        </w:rPr>
      </w:pPr>
    </w:p>
    <w:p w:rsidR="00AE2F5C" w:rsidRDefault="00AE2F5C" w:rsidP="00AE2F5C">
      <w:pPr>
        <w:pStyle w:val="BodyText"/>
        <w:ind w:left="1500"/>
      </w:pPr>
      <w:r>
        <w:t>b.</w:t>
      </w:r>
      <w:r>
        <w:tab/>
      </w:r>
      <w:r>
        <w:rPr>
          <w:u w:val="single"/>
        </w:rPr>
        <w:t>Rule 602(b)</w:t>
      </w:r>
    </w:p>
    <w:p w:rsidR="00AE2F5C" w:rsidRDefault="00AE2F5C" w:rsidP="00250D87">
      <w:pPr>
        <w:suppressAutoHyphens/>
        <w:rPr>
          <w:sz w:val="24"/>
          <w:szCs w:val="24"/>
        </w:rPr>
      </w:pPr>
    </w:p>
    <w:p w:rsidR="009A56DB" w:rsidRDefault="00A61C6C" w:rsidP="002B5839">
      <w:pPr>
        <w:ind w:firstLine="720"/>
        <w:rPr>
          <w:sz w:val="24"/>
          <w:szCs w:val="24"/>
        </w:rPr>
      </w:pPr>
      <w:r w:rsidRPr="009F033E">
        <w:rPr>
          <w:sz w:val="24"/>
          <w:szCs w:val="24"/>
        </w:rPr>
        <w:t xml:space="preserve">For the reporting obligation under Rule </w:t>
      </w:r>
      <w:r>
        <w:rPr>
          <w:sz w:val="24"/>
          <w:szCs w:val="24"/>
        </w:rPr>
        <w:t xml:space="preserve">602(b), </w:t>
      </w:r>
      <w:r w:rsidRPr="009F033E">
        <w:rPr>
          <w:sz w:val="24"/>
          <w:szCs w:val="24"/>
        </w:rPr>
        <w:t>the respondents are</w:t>
      </w:r>
      <w:r>
        <w:rPr>
          <w:sz w:val="24"/>
          <w:szCs w:val="24"/>
        </w:rPr>
        <w:t xml:space="preserve"> exchange members and </w:t>
      </w:r>
      <w:r w:rsidRPr="009F033E">
        <w:rPr>
          <w:sz w:val="24"/>
          <w:szCs w:val="24"/>
        </w:rPr>
        <w:t>OTC market makers.</w:t>
      </w:r>
    </w:p>
    <w:p w:rsidR="009A56DB" w:rsidRDefault="009A56DB" w:rsidP="002B5839">
      <w:pPr>
        <w:ind w:firstLine="720"/>
        <w:rPr>
          <w:sz w:val="24"/>
          <w:szCs w:val="24"/>
        </w:rPr>
      </w:pPr>
    </w:p>
    <w:p w:rsidR="00FD5319" w:rsidRPr="00FD5319" w:rsidRDefault="008E1247" w:rsidP="00FD5319">
      <w:pPr>
        <w:ind w:firstLine="720"/>
        <w:rPr>
          <w:sz w:val="24"/>
          <w:szCs w:val="24"/>
        </w:rPr>
      </w:pPr>
      <w:r>
        <w:rPr>
          <w:sz w:val="24"/>
          <w:szCs w:val="24"/>
        </w:rPr>
        <w:t>With respect to exchange members, the</w:t>
      </w:r>
      <w:r w:rsidR="00EF50E6">
        <w:rPr>
          <w:sz w:val="24"/>
          <w:szCs w:val="24"/>
        </w:rPr>
        <w:t xml:space="preserve"> </w:t>
      </w:r>
      <w:r w:rsidR="007411E4">
        <w:rPr>
          <w:sz w:val="24"/>
          <w:szCs w:val="24"/>
        </w:rPr>
        <w:t xml:space="preserve">highly </w:t>
      </w:r>
      <w:r w:rsidR="00DF00A8">
        <w:rPr>
          <w:sz w:val="24"/>
          <w:szCs w:val="24"/>
        </w:rPr>
        <w:t xml:space="preserve">automated </w:t>
      </w:r>
      <w:r w:rsidR="007411E4">
        <w:rPr>
          <w:sz w:val="24"/>
          <w:szCs w:val="24"/>
        </w:rPr>
        <w:t xml:space="preserve">trading </w:t>
      </w:r>
      <w:r w:rsidR="00DF00A8">
        <w:rPr>
          <w:sz w:val="24"/>
          <w:szCs w:val="24"/>
        </w:rPr>
        <w:t>systems</w:t>
      </w:r>
      <w:r w:rsidR="009314D5">
        <w:rPr>
          <w:sz w:val="24"/>
          <w:szCs w:val="24"/>
        </w:rPr>
        <w:t xml:space="preserve"> </w:t>
      </w:r>
      <w:r w:rsidR="00EF50E6">
        <w:rPr>
          <w:sz w:val="24"/>
          <w:szCs w:val="24"/>
        </w:rPr>
        <w:t xml:space="preserve">now operated by </w:t>
      </w:r>
      <w:r w:rsidR="009314D5">
        <w:rPr>
          <w:sz w:val="24"/>
          <w:szCs w:val="24"/>
        </w:rPr>
        <w:t>securities exchanges</w:t>
      </w:r>
      <w:r>
        <w:rPr>
          <w:sz w:val="24"/>
          <w:szCs w:val="24"/>
        </w:rPr>
        <w:t xml:space="preserve"> have transformed the nature of trading and the communication of quotations on an exchange.  E</w:t>
      </w:r>
      <w:r w:rsidR="009A56DB">
        <w:rPr>
          <w:sz w:val="24"/>
          <w:szCs w:val="24"/>
        </w:rPr>
        <w:t>xchange</w:t>
      </w:r>
      <w:r w:rsidR="00DF00A8">
        <w:rPr>
          <w:sz w:val="24"/>
          <w:szCs w:val="24"/>
        </w:rPr>
        <w:t xml:space="preserve"> </w:t>
      </w:r>
      <w:r w:rsidR="00BE1145">
        <w:rPr>
          <w:sz w:val="24"/>
          <w:szCs w:val="24"/>
        </w:rPr>
        <w:t>member</w:t>
      </w:r>
      <w:r w:rsidR="00EF50E6">
        <w:rPr>
          <w:sz w:val="24"/>
          <w:szCs w:val="24"/>
        </w:rPr>
        <w:t xml:space="preserve">s that communicate a quotation on an exchange through its automated </w:t>
      </w:r>
      <w:r w:rsidR="00A71D8F">
        <w:rPr>
          <w:sz w:val="24"/>
          <w:szCs w:val="24"/>
        </w:rPr>
        <w:t>systems</w:t>
      </w:r>
      <w:r>
        <w:rPr>
          <w:sz w:val="24"/>
          <w:szCs w:val="24"/>
        </w:rPr>
        <w:t xml:space="preserve"> necessarily</w:t>
      </w:r>
      <w:r w:rsidR="00A71D8F">
        <w:rPr>
          <w:sz w:val="24"/>
          <w:szCs w:val="24"/>
        </w:rPr>
        <w:t xml:space="preserve"> will also have </w:t>
      </w:r>
      <w:r w:rsidR="00EF50E6">
        <w:rPr>
          <w:sz w:val="24"/>
          <w:szCs w:val="24"/>
        </w:rPr>
        <w:t xml:space="preserve">communicated that quotation to the exchange </w:t>
      </w:r>
      <w:r w:rsidR="007411E4">
        <w:rPr>
          <w:sz w:val="24"/>
          <w:szCs w:val="24"/>
        </w:rPr>
        <w:t xml:space="preserve">in compliance with </w:t>
      </w:r>
      <w:r w:rsidR="00EF691A">
        <w:rPr>
          <w:sz w:val="24"/>
          <w:szCs w:val="24"/>
        </w:rPr>
        <w:t xml:space="preserve">Rule 602(b).  </w:t>
      </w:r>
      <w:r>
        <w:rPr>
          <w:sz w:val="24"/>
          <w:szCs w:val="24"/>
        </w:rPr>
        <w:t>As a result, the communication of</w:t>
      </w:r>
      <w:r w:rsidR="00EF691A">
        <w:rPr>
          <w:sz w:val="24"/>
          <w:szCs w:val="24"/>
        </w:rPr>
        <w:t xml:space="preserve"> quotations through </w:t>
      </w:r>
      <w:r>
        <w:rPr>
          <w:sz w:val="24"/>
          <w:szCs w:val="24"/>
        </w:rPr>
        <w:t>an</w:t>
      </w:r>
      <w:r w:rsidR="00A71D8F">
        <w:rPr>
          <w:sz w:val="24"/>
          <w:szCs w:val="24"/>
        </w:rPr>
        <w:t xml:space="preserve"> exchange’s electronic trading system</w:t>
      </w:r>
      <w:r w:rsidR="00BE1145">
        <w:rPr>
          <w:sz w:val="24"/>
          <w:szCs w:val="24"/>
        </w:rPr>
        <w:t xml:space="preserve"> </w:t>
      </w:r>
      <w:r w:rsidR="001E3B27">
        <w:rPr>
          <w:sz w:val="24"/>
          <w:szCs w:val="24"/>
        </w:rPr>
        <w:t xml:space="preserve">effectively </w:t>
      </w:r>
      <w:r>
        <w:rPr>
          <w:sz w:val="24"/>
          <w:szCs w:val="24"/>
        </w:rPr>
        <w:t xml:space="preserve">means that </w:t>
      </w:r>
      <w:r w:rsidR="009314D5">
        <w:rPr>
          <w:sz w:val="24"/>
          <w:szCs w:val="24"/>
        </w:rPr>
        <w:t>member</w:t>
      </w:r>
      <w:r w:rsidR="00A71D8F">
        <w:rPr>
          <w:sz w:val="24"/>
          <w:szCs w:val="24"/>
        </w:rPr>
        <w:t>s</w:t>
      </w:r>
      <w:r w:rsidR="009314D5">
        <w:rPr>
          <w:sz w:val="24"/>
          <w:szCs w:val="24"/>
        </w:rPr>
        <w:t xml:space="preserve"> </w:t>
      </w:r>
      <w:r w:rsidR="009A56DB">
        <w:rPr>
          <w:sz w:val="24"/>
          <w:szCs w:val="24"/>
        </w:rPr>
        <w:t xml:space="preserve">currently </w:t>
      </w:r>
      <w:r w:rsidR="00E33339">
        <w:rPr>
          <w:sz w:val="24"/>
          <w:szCs w:val="24"/>
        </w:rPr>
        <w:t xml:space="preserve">have </w:t>
      </w:r>
      <w:r w:rsidR="009314D5">
        <w:rPr>
          <w:sz w:val="24"/>
          <w:szCs w:val="24"/>
        </w:rPr>
        <w:t>no reporting burden</w:t>
      </w:r>
      <w:r w:rsidR="00EF50E6">
        <w:rPr>
          <w:sz w:val="24"/>
          <w:szCs w:val="24"/>
        </w:rPr>
        <w:t xml:space="preserve"> </w:t>
      </w:r>
      <w:r w:rsidR="00EF691A">
        <w:rPr>
          <w:sz w:val="24"/>
          <w:szCs w:val="24"/>
        </w:rPr>
        <w:t xml:space="preserve">under Rule 602(b) </w:t>
      </w:r>
      <w:r w:rsidR="00EF50E6">
        <w:rPr>
          <w:sz w:val="24"/>
          <w:szCs w:val="24"/>
        </w:rPr>
        <w:t>for these quotations</w:t>
      </w:r>
      <w:r w:rsidR="00BE1145">
        <w:rPr>
          <w:sz w:val="24"/>
          <w:szCs w:val="24"/>
        </w:rPr>
        <w:t>.</w:t>
      </w:r>
      <w:r w:rsidR="00FD5319">
        <w:rPr>
          <w:sz w:val="24"/>
          <w:szCs w:val="24"/>
        </w:rPr>
        <w:t xml:space="preserve">  While a few exchanges continue to operate manual trading floors in conjunction with their automated trading systems, the Commission believes that these exchanges have provided their floor members with automated means to communicate on the exchange any quotations that would fall within the requirements of Rule 602(b), and that such automated communication on the exchange also would comply with Rule 602(b).  The manual trading floors generally are used for more specialized types of trading services, such as price improvement auctions and various types of facilitation and exposure mechanisms for large orders that do not fall within the requirements of Rule 602(b).</w:t>
      </w:r>
    </w:p>
    <w:p w:rsidR="00FD5319" w:rsidRDefault="00FD5319" w:rsidP="00FD5319">
      <w:pPr>
        <w:rPr>
          <w:sz w:val="24"/>
          <w:szCs w:val="24"/>
        </w:rPr>
      </w:pPr>
    </w:p>
    <w:p w:rsidR="00A61C6C" w:rsidRPr="008E1247" w:rsidRDefault="008E1247" w:rsidP="008E1247">
      <w:pPr>
        <w:ind w:firstLine="720"/>
        <w:rPr>
          <w:sz w:val="24"/>
          <w:szCs w:val="24"/>
        </w:rPr>
      </w:pPr>
      <w:r>
        <w:rPr>
          <w:sz w:val="24"/>
          <w:szCs w:val="24"/>
        </w:rPr>
        <w:lastRenderedPageBreak/>
        <w:t xml:space="preserve">With respect to OTC market makers, Rule 602(b) applies to quotations that are communicated to a broker or dealer or customer otherwise than on an exchange.  </w:t>
      </w:r>
      <w:r w:rsidR="009A56DB">
        <w:rPr>
          <w:sz w:val="24"/>
          <w:szCs w:val="24"/>
        </w:rPr>
        <w:t>T</w:t>
      </w:r>
      <w:r w:rsidR="00A61C6C">
        <w:rPr>
          <w:sz w:val="24"/>
          <w:szCs w:val="24"/>
        </w:rPr>
        <w:t xml:space="preserve">he Commission estimates that </w:t>
      </w:r>
      <w:r w:rsidR="00D453B1">
        <w:rPr>
          <w:sz w:val="24"/>
          <w:szCs w:val="24"/>
        </w:rPr>
        <w:t xml:space="preserve">there </w:t>
      </w:r>
      <w:r>
        <w:rPr>
          <w:sz w:val="24"/>
          <w:szCs w:val="24"/>
        </w:rPr>
        <w:t xml:space="preserve">currently </w:t>
      </w:r>
      <w:r w:rsidR="00D453B1">
        <w:rPr>
          <w:sz w:val="24"/>
          <w:szCs w:val="24"/>
        </w:rPr>
        <w:t>are approximately 130</w:t>
      </w:r>
      <w:r w:rsidR="00A61C6C">
        <w:rPr>
          <w:sz w:val="24"/>
          <w:szCs w:val="24"/>
        </w:rPr>
        <w:t xml:space="preserve"> OTC market makers</w:t>
      </w:r>
      <w:r w:rsidR="00A61C6C" w:rsidRPr="00E303FE">
        <w:rPr>
          <w:sz w:val="24"/>
          <w:szCs w:val="24"/>
        </w:rPr>
        <w:t xml:space="preserve"> </w:t>
      </w:r>
      <w:r w:rsidR="00A61C6C" w:rsidRPr="00482BAC">
        <w:rPr>
          <w:sz w:val="24"/>
          <w:szCs w:val="24"/>
        </w:rPr>
        <w:t>responsible for more tha</w:t>
      </w:r>
      <w:r w:rsidR="009A56DB">
        <w:rPr>
          <w:sz w:val="24"/>
          <w:szCs w:val="24"/>
        </w:rPr>
        <w:t>n 1% of the trading volume in an exchange-traded</w:t>
      </w:r>
      <w:r w:rsidR="00A61C6C" w:rsidRPr="00482BAC">
        <w:rPr>
          <w:sz w:val="24"/>
          <w:szCs w:val="24"/>
        </w:rPr>
        <w:t xml:space="preserve"> security</w:t>
      </w:r>
      <w:r w:rsidR="00A61C6C">
        <w:rPr>
          <w:sz w:val="24"/>
          <w:szCs w:val="24"/>
        </w:rPr>
        <w:t xml:space="preserve">.  </w:t>
      </w:r>
      <w:r w:rsidR="007411E4">
        <w:rPr>
          <w:sz w:val="24"/>
          <w:szCs w:val="24"/>
        </w:rPr>
        <w:t xml:space="preserve">All </w:t>
      </w:r>
      <w:r>
        <w:rPr>
          <w:sz w:val="24"/>
          <w:szCs w:val="24"/>
        </w:rPr>
        <w:t>such OTC market makers</w:t>
      </w:r>
      <w:r w:rsidR="007411E4">
        <w:rPr>
          <w:sz w:val="24"/>
          <w:szCs w:val="24"/>
        </w:rPr>
        <w:t xml:space="preserve"> comply with Rule 602(b) by providing their quotations to an exchange rather than to an association.</w:t>
      </w:r>
      <w:r w:rsidR="007411E4" w:rsidRPr="007411E4">
        <w:rPr>
          <w:rStyle w:val="FootnoteReference"/>
          <w:sz w:val="24"/>
          <w:szCs w:val="24"/>
        </w:rPr>
        <w:t xml:space="preserve"> </w:t>
      </w:r>
      <w:r w:rsidR="007411E4">
        <w:rPr>
          <w:rStyle w:val="FootnoteReference"/>
          <w:sz w:val="24"/>
          <w:szCs w:val="24"/>
        </w:rPr>
        <w:footnoteReference w:id="7"/>
      </w:r>
      <w:r w:rsidR="007411E4">
        <w:rPr>
          <w:sz w:val="24"/>
          <w:szCs w:val="24"/>
        </w:rPr>
        <w:t xml:space="preserve">  </w:t>
      </w:r>
      <w:r w:rsidR="00E3721C">
        <w:rPr>
          <w:sz w:val="24"/>
          <w:szCs w:val="24"/>
        </w:rPr>
        <w:t xml:space="preserve">The Commission estimates that each OTC market maker on average will respond </w:t>
      </w:r>
      <w:r>
        <w:rPr>
          <w:sz w:val="24"/>
          <w:szCs w:val="24"/>
        </w:rPr>
        <w:t>on average 188,0</w:t>
      </w:r>
      <w:r w:rsidR="00A00472">
        <w:rPr>
          <w:sz w:val="24"/>
          <w:szCs w:val="24"/>
        </w:rPr>
        <w:t>00 times per year.  This figure</w:t>
      </w:r>
      <w:r>
        <w:rPr>
          <w:sz w:val="24"/>
          <w:szCs w:val="24"/>
        </w:rPr>
        <w:t xml:space="preserve"> is based on a 252 trading day year.  The total annual time burden for each OTC market maker is estimated to be 156</w:t>
      </w:r>
      <w:r w:rsidR="006879A5">
        <w:rPr>
          <w:sz w:val="24"/>
          <w:szCs w:val="24"/>
        </w:rPr>
        <w:t>.67</w:t>
      </w:r>
      <w:r>
        <w:rPr>
          <w:sz w:val="24"/>
          <w:szCs w:val="24"/>
        </w:rPr>
        <w:t xml:space="preserve"> hours.  These figures are based on an estimate of three seconds per response (</w:t>
      </w:r>
      <w:r w:rsidR="00E3721C">
        <w:rPr>
          <w:sz w:val="24"/>
          <w:szCs w:val="24"/>
          <w:u w:val="single"/>
        </w:rPr>
        <w:t>i.e.</w:t>
      </w:r>
      <w:r w:rsidR="00E3721C">
        <w:rPr>
          <w:sz w:val="24"/>
          <w:szCs w:val="24"/>
        </w:rPr>
        <w:t>,</w:t>
      </w:r>
      <w:r w:rsidR="00A00472">
        <w:rPr>
          <w:sz w:val="24"/>
          <w:szCs w:val="24"/>
        </w:rPr>
        <w:t xml:space="preserve"> the time it takes to update a quote).  The annual aggregate burden for all OTC market makers is estimated to be 20,</w:t>
      </w:r>
      <w:r w:rsidR="006879A5">
        <w:rPr>
          <w:sz w:val="24"/>
          <w:szCs w:val="24"/>
        </w:rPr>
        <w:t>367</w:t>
      </w:r>
      <w:r w:rsidR="00A00472">
        <w:rPr>
          <w:sz w:val="24"/>
          <w:szCs w:val="24"/>
        </w:rPr>
        <w:t xml:space="preserve"> hours.</w:t>
      </w:r>
      <w:r w:rsidR="004F4F68">
        <w:rPr>
          <w:rStyle w:val="FootnoteReference"/>
          <w:sz w:val="24"/>
          <w:szCs w:val="24"/>
        </w:rPr>
        <w:footnoteReference w:id="8"/>
      </w:r>
    </w:p>
    <w:p w:rsidR="00250D87" w:rsidRPr="00250D87" w:rsidRDefault="00250D87" w:rsidP="00A174E3">
      <w:pPr>
        <w:suppressAutoHyphens/>
        <w:ind w:left="720"/>
        <w:rPr>
          <w:sz w:val="24"/>
          <w:szCs w:val="24"/>
        </w:rPr>
      </w:pPr>
    </w:p>
    <w:p w:rsidR="00622813" w:rsidRDefault="00622813">
      <w:pPr>
        <w:pStyle w:val="BodyText"/>
        <w:numPr>
          <w:ilvl w:val="0"/>
          <w:numId w:val="1"/>
        </w:numPr>
      </w:pPr>
      <w:r>
        <w:rPr>
          <w:u w:val="single"/>
        </w:rPr>
        <w:t xml:space="preserve">Estimate of </w:t>
      </w:r>
      <w:r w:rsidR="004B3C55">
        <w:rPr>
          <w:u w:val="single"/>
        </w:rPr>
        <w:t>T</w:t>
      </w:r>
      <w:r>
        <w:rPr>
          <w:u w:val="single"/>
        </w:rPr>
        <w:t xml:space="preserve">otal </w:t>
      </w:r>
      <w:r w:rsidR="004B3C55">
        <w:rPr>
          <w:u w:val="single"/>
        </w:rPr>
        <w:t>A</w:t>
      </w:r>
      <w:r>
        <w:rPr>
          <w:u w:val="single"/>
        </w:rPr>
        <w:t xml:space="preserve">nnualized </w:t>
      </w:r>
      <w:r w:rsidR="004B3C55">
        <w:rPr>
          <w:u w:val="single"/>
        </w:rPr>
        <w:t>C</w:t>
      </w:r>
      <w:r>
        <w:rPr>
          <w:u w:val="single"/>
        </w:rPr>
        <w:t xml:space="preserve">ost </w:t>
      </w:r>
      <w:r w:rsidR="004B3C55">
        <w:rPr>
          <w:u w:val="single"/>
        </w:rPr>
        <w:t>B</w:t>
      </w:r>
      <w:r>
        <w:rPr>
          <w:u w:val="single"/>
        </w:rPr>
        <w:t>urden</w:t>
      </w:r>
    </w:p>
    <w:p w:rsidR="00622813" w:rsidRDefault="00622813">
      <w:pPr>
        <w:pStyle w:val="BodyText"/>
      </w:pPr>
    </w:p>
    <w:p w:rsidR="00622813" w:rsidRPr="003B4329" w:rsidRDefault="00622813">
      <w:pPr>
        <w:pStyle w:val="BodyText"/>
      </w:pPr>
      <w:r w:rsidRPr="003B4329">
        <w:tab/>
      </w:r>
      <w:r w:rsidR="0059143F">
        <w:t>Not Applicable</w:t>
      </w:r>
      <w:r w:rsidRPr="003B4329">
        <w:rPr>
          <w:color w:val="000000"/>
        </w:rPr>
        <w:t>.</w:t>
      </w:r>
    </w:p>
    <w:p w:rsidR="00622813" w:rsidRDefault="00622813">
      <w:pPr>
        <w:pStyle w:val="BodyText"/>
      </w:pPr>
    </w:p>
    <w:p w:rsidR="00622813" w:rsidRDefault="00622813">
      <w:pPr>
        <w:pStyle w:val="BodyText"/>
        <w:numPr>
          <w:ilvl w:val="0"/>
          <w:numId w:val="1"/>
        </w:numPr>
      </w:pPr>
      <w:r>
        <w:rPr>
          <w:u w:val="single"/>
        </w:rPr>
        <w:t>Estimate of Cost to Federal Government</w:t>
      </w:r>
    </w:p>
    <w:p w:rsidR="00622813" w:rsidRDefault="00622813">
      <w:pPr>
        <w:pStyle w:val="BodyText"/>
      </w:pPr>
    </w:p>
    <w:p w:rsidR="00622813" w:rsidRPr="00F77ED9" w:rsidRDefault="00F77ED9">
      <w:pPr>
        <w:pStyle w:val="BodyText"/>
        <w:rPr>
          <w:b/>
        </w:rPr>
      </w:pPr>
      <w:r>
        <w:tab/>
      </w:r>
      <w:r w:rsidR="004B3C55">
        <w:t xml:space="preserve">There is no estimated operation cost </w:t>
      </w:r>
      <w:r w:rsidR="00CA3782">
        <w:t>for the federal government associated with Rule 602</w:t>
      </w:r>
      <w:r w:rsidR="004B3C55">
        <w:t>.</w:t>
      </w:r>
    </w:p>
    <w:p w:rsidR="00622813" w:rsidRDefault="00622813">
      <w:pPr>
        <w:pStyle w:val="BodyText"/>
      </w:pPr>
    </w:p>
    <w:p w:rsidR="00622813" w:rsidRPr="00900EDE" w:rsidRDefault="00622813">
      <w:pPr>
        <w:pStyle w:val="BodyText"/>
        <w:numPr>
          <w:ilvl w:val="0"/>
          <w:numId w:val="1"/>
        </w:numPr>
      </w:pPr>
      <w:r w:rsidRPr="00900EDE">
        <w:rPr>
          <w:u w:val="single"/>
        </w:rPr>
        <w:t>Explanation of Changes in Burden</w:t>
      </w:r>
    </w:p>
    <w:p w:rsidR="00441766" w:rsidRDefault="00441766" w:rsidP="00441766">
      <w:pPr>
        <w:pStyle w:val="BodyText"/>
        <w:ind w:left="720"/>
        <w:rPr>
          <w:u w:val="single"/>
        </w:rPr>
      </w:pPr>
    </w:p>
    <w:p w:rsidR="00D87313" w:rsidRPr="00D87313" w:rsidRDefault="00D87313" w:rsidP="00D87313">
      <w:pPr>
        <w:pStyle w:val="BodyText"/>
        <w:ind w:left="1500"/>
      </w:pPr>
      <w:r>
        <w:t>a.</w:t>
      </w:r>
      <w:r>
        <w:tab/>
      </w:r>
      <w:r>
        <w:rPr>
          <w:u w:val="single"/>
        </w:rPr>
        <w:t>Rule 602(a)</w:t>
      </w:r>
    </w:p>
    <w:p w:rsidR="00D87313" w:rsidRPr="00900EDE" w:rsidRDefault="00D87313" w:rsidP="00441766">
      <w:pPr>
        <w:pStyle w:val="BodyText"/>
        <w:ind w:left="720"/>
        <w:rPr>
          <w:u w:val="single"/>
        </w:rPr>
      </w:pPr>
    </w:p>
    <w:p w:rsidR="00356920" w:rsidRDefault="00441766" w:rsidP="00900EDE">
      <w:pPr>
        <w:pStyle w:val="BodyText"/>
      </w:pPr>
      <w:r w:rsidRPr="00900EDE">
        <w:rPr>
          <w:szCs w:val="24"/>
        </w:rPr>
        <w:tab/>
      </w:r>
      <w:r w:rsidR="00050A97" w:rsidRPr="00900EDE">
        <w:rPr>
          <w:szCs w:val="24"/>
        </w:rPr>
        <w:t xml:space="preserve">No previous estimate was </w:t>
      </w:r>
      <w:r w:rsidR="00DA2EFB" w:rsidRPr="00900EDE">
        <w:rPr>
          <w:szCs w:val="24"/>
        </w:rPr>
        <w:t>provided</w:t>
      </w:r>
      <w:r w:rsidR="00050A97" w:rsidRPr="00900EDE">
        <w:rPr>
          <w:szCs w:val="24"/>
        </w:rPr>
        <w:t xml:space="preserve"> for the reporting obligation</w:t>
      </w:r>
      <w:r w:rsidR="00DA2EFB" w:rsidRPr="00900EDE">
        <w:rPr>
          <w:szCs w:val="24"/>
        </w:rPr>
        <w:t>s</w:t>
      </w:r>
      <w:r w:rsidR="00050A97" w:rsidRPr="00900EDE">
        <w:rPr>
          <w:szCs w:val="24"/>
        </w:rPr>
        <w:t xml:space="preserve"> under Rule 602(a)</w:t>
      </w:r>
      <w:r w:rsidR="00DA2EFB" w:rsidRPr="00900EDE">
        <w:rPr>
          <w:szCs w:val="24"/>
        </w:rPr>
        <w:t xml:space="preserve"> in the Commission’s last information collection submission under OMB Control Number 3235-0461.  </w:t>
      </w:r>
      <w:r w:rsidR="00050A97" w:rsidRPr="00900EDE">
        <w:rPr>
          <w:szCs w:val="24"/>
        </w:rPr>
        <w:t>Under the PRA</w:t>
      </w:r>
      <w:r w:rsidR="00546839" w:rsidRPr="00900EDE">
        <w:rPr>
          <w:szCs w:val="24"/>
        </w:rPr>
        <w:t>,</w:t>
      </w:r>
      <w:r w:rsidR="00050A97" w:rsidRPr="00900EDE">
        <w:rPr>
          <w:szCs w:val="24"/>
        </w:rPr>
        <w:t xml:space="preserve"> the Commission is not required to submit a collection of information to OMB for review unless it applies to ten or more persons.  </w:t>
      </w:r>
      <w:r w:rsidR="00DA2EFB" w:rsidRPr="00900EDE">
        <w:rPr>
          <w:szCs w:val="24"/>
        </w:rPr>
        <w:t>The</w:t>
      </w:r>
      <w:r w:rsidR="00050A97" w:rsidRPr="00900EDE">
        <w:rPr>
          <w:szCs w:val="24"/>
        </w:rPr>
        <w:t xml:space="preserve"> application of Rule 602(a) of Regulation NMS </w:t>
      </w:r>
      <w:r w:rsidR="00DA2EFB" w:rsidRPr="00900EDE">
        <w:rPr>
          <w:szCs w:val="24"/>
        </w:rPr>
        <w:t xml:space="preserve">did not </w:t>
      </w:r>
      <w:r w:rsidR="00050A97" w:rsidRPr="00900EDE">
        <w:rPr>
          <w:szCs w:val="24"/>
        </w:rPr>
        <w:t xml:space="preserve">contain “collection of information requirements” within the meaning of the PRA because fewer than ten exchanges and associations existed.  </w:t>
      </w:r>
      <w:r w:rsidR="00463F2C">
        <w:rPr>
          <w:szCs w:val="24"/>
        </w:rPr>
        <w:t>Currently</w:t>
      </w:r>
      <w:r w:rsidR="000D6F2F">
        <w:rPr>
          <w:szCs w:val="24"/>
        </w:rPr>
        <w:t>, there are</w:t>
      </w:r>
      <w:r w:rsidR="00050A97" w:rsidRPr="00900EDE">
        <w:rPr>
          <w:szCs w:val="24"/>
        </w:rPr>
        <w:t xml:space="preserve"> </w:t>
      </w:r>
      <w:r w:rsidR="00845C88">
        <w:rPr>
          <w:szCs w:val="24"/>
        </w:rPr>
        <w:t>fourteen</w:t>
      </w:r>
      <w:r w:rsidR="00BC575E">
        <w:rPr>
          <w:szCs w:val="24"/>
        </w:rPr>
        <w:t xml:space="preserve"> national securities</w:t>
      </w:r>
      <w:r w:rsidR="00050A97" w:rsidRPr="00900EDE">
        <w:rPr>
          <w:szCs w:val="24"/>
        </w:rPr>
        <w:t xml:space="preserve"> exchanges and one </w:t>
      </w:r>
      <w:r w:rsidR="00BC575E">
        <w:rPr>
          <w:szCs w:val="24"/>
        </w:rPr>
        <w:t xml:space="preserve">national securities </w:t>
      </w:r>
      <w:r w:rsidR="00050A97" w:rsidRPr="00900EDE">
        <w:rPr>
          <w:szCs w:val="24"/>
        </w:rPr>
        <w:t>association.  Accordingly, the Commission updated its overall burden estimate for this collection of</w:t>
      </w:r>
      <w:r w:rsidR="00050A97">
        <w:rPr>
          <w:szCs w:val="24"/>
        </w:rPr>
        <w:t xml:space="preserve"> information to account for an increase in the nu</w:t>
      </w:r>
      <w:r w:rsidR="00CF69A4">
        <w:rPr>
          <w:szCs w:val="24"/>
        </w:rPr>
        <w:t>mber of exchanges subject to</w:t>
      </w:r>
      <w:r w:rsidR="00050A97">
        <w:rPr>
          <w:szCs w:val="24"/>
        </w:rPr>
        <w:t xml:space="preserve"> </w:t>
      </w:r>
      <w:r w:rsidR="00B86E84">
        <w:rPr>
          <w:szCs w:val="24"/>
        </w:rPr>
        <w:t>R</w:t>
      </w:r>
      <w:r w:rsidR="00050A97">
        <w:rPr>
          <w:szCs w:val="24"/>
        </w:rPr>
        <w:t>ule</w:t>
      </w:r>
      <w:r w:rsidR="00CF69A4">
        <w:rPr>
          <w:szCs w:val="24"/>
        </w:rPr>
        <w:t xml:space="preserve"> 602(a)</w:t>
      </w:r>
      <w:r w:rsidR="00050A97">
        <w:rPr>
          <w:szCs w:val="24"/>
        </w:rPr>
        <w:t>.</w:t>
      </w:r>
      <w:r w:rsidR="00145B4E">
        <w:t xml:space="preserve">  </w:t>
      </w:r>
    </w:p>
    <w:p w:rsidR="00356920" w:rsidRDefault="00356920" w:rsidP="00900EDE">
      <w:pPr>
        <w:pStyle w:val="BodyText"/>
      </w:pPr>
    </w:p>
    <w:p w:rsidR="00D87313" w:rsidRDefault="00D87313" w:rsidP="00D87313">
      <w:pPr>
        <w:pStyle w:val="BodyText"/>
        <w:ind w:left="1500"/>
      </w:pPr>
      <w:r>
        <w:t>b.</w:t>
      </w:r>
      <w:r>
        <w:tab/>
      </w:r>
      <w:r>
        <w:rPr>
          <w:u w:val="single"/>
        </w:rPr>
        <w:t>Rule 602(b)</w:t>
      </w:r>
    </w:p>
    <w:p w:rsidR="00D87313" w:rsidRDefault="00D87313" w:rsidP="00900EDE">
      <w:pPr>
        <w:pStyle w:val="BodyText"/>
      </w:pPr>
    </w:p>
    <w:p w:rsidR="00A43907" w:rsidRDefault="005A61E8" w:rsidP="00063CA8">
      <w:pPr>
        <w:pStyle w:val="BodyText"/>
        <w:tabs>
          <w:tab w:val="clear" w:pos="720"/>
        </w:tabs>
      </w:pPr>
      <w:r>
        <w:rPr>
          <w:color w:val="000000"/>
        </w:rPr>
        <w:lastRenderedPageBreak/>
        <w:tab/>
      </w:r>
      <w:r w:rsidR="000D6F2F">
        <w:rPr>
          <w:color w:val="000000"/>
        </w:rPr>
        <w:t>In its last submission</w:t>
      </w:r>
      <w:r w:rsidR="000D6F2F" w:rsidRPr="000D6F2F">
        <w:rPr>
          <w:szCs w:val="24"/>
        </w:rPr>
        <w:t xml:space="preserve"> </w:t>
      </w:r>
      <w:r w:rsidR="000D6F2F" w:rsidRPr="00900EDE">
        <w:rPr>
          <w:szCs w:val="24"/>
        </w:rPr>
        <w:t>under OMB Control Number 3235-0461</w:t>
      </w:r>
      <w:r w:rsidR="000D6F2F">
        <w:rPr>
          <w:color w:val="000000"/>
        </w:rPr>
        <w:t xml:space="preserve">, the Commission estimated that there were 721 respondents under Rule </w:t>
      </w:r>
      <w:r w:rsidR="000D6F2F">
        <w:t>11Ac1-1(c), now designated as Rule 602(b)</w:t>
      </w:r>
      <w:r w:rsidR="009314D5">
        <w:t xml:space="preserve"> of Regulation NMS</w:t>
      </w:r>
      <w:r w:rsidR="000D6F2F">
        <w:t xml:space="preserve">.  </w:t>
      </w:r>
      <w:r w:rsidR="00A43907">
        <w:t>The annual aggregate burden was estimated to be 12</w:t>
      </w:r>
      <w:r w:rsidR="00927A6A">
        <w:t>0,960 hours for exchange specialists</w:t>
      </w:r>
      <w:r w:rsidR="00A43907">
        <w:t>, and 84,396 hours for OTC market makers, for a total of 205,</w:t>
      </w:r>
      <w:r w:rsidR="006879A5">
        <w:t>486</w:t>
      </w:r>
      <w:r w:rsidR="00A43907">
        <w:t xml:space="preserve"> hours.  </w:t>
      </w:r>
    </w:p>
    <w:p w:rsidR="00A43907" w:rsidRDefault="00A43907" w:rsidP="00063CA8">
      <w:pPr>
        <w:pStyle w:val="BodyText"/>
        <w:tabs>
          <w:tab w:val="clear" w:pos="720"/>
        </w:tabs>
      </w:pPr>
    </w:p>
    <w:p w:rsidR="00843821" w:rsidRPr="00843821" w:rsidRDefault="00844524" w:rsidP="00843821">
      <w:pPr>
        <w:pStyle w:val="BodyText"/>
        <w:ind w:firstLine="720"/>
        <w:rPr>
          <w:szCs w:val="24"/>
        </w:rPr>
      </w:pPr>
      <w:r>
        <w:rPr>
          <w:szCs w:val="24"/>
        </w:rPr>
        <w:t xml:space="preserve">The </w:t>
      </w:r>
      <w:r w:rsidR="00817E86">
        <w:rPr>
          <w:szCs w:val="24"/>
        </w:rPr>
        <w:t>Commission’s previous</w:t>
      </w:r>
      <w:r w:rsidR="00C37382">
        <w:rPr>
          <w:szCs w:val="24"/>
        </w:rPr>
        <w:t xml:space="preserve"> estimates of</w:t>
      </w:r>
      <w:r>
        <w:rPr>
          <w:szCs w:val="24"/>
        </w:rPr>
        <w:t xml:space="preserve"> </w:t>
      </w:r>
      <w:r w:rsidR="00C37382">
        <w:rPr>
          <w:szCs w:val="24"/>
        </w:rPr>
        <w:t xml:space="preserve">the </w:t>
      </w:r>
      <w:r>
        <w:rPr>
          <w:szCs w:val="24"/>
        </w:rPr>
        <w:t xml:space="preserve">number of respondents and reporting burden time were based on </w:t>
      </w:r>
      <w:r w:rsidR="00C37382">
        <w:rPr>
          <w:szCs w:val="24"/>
        </w:rPr>
        <w:t xml:space="preserve">the market structure in 1996, when the Commission adopted </w:t>
      </w:r>
      <w:r w:rsidR="00525667">
        <w:rPr>
          <w:szCs w:val="24"/>
        </w:rPr>
        <w:t xml:space="preserve">significant </w:t>
      </w:r>
      <w:r>
        <w:rPr>
          <w:szCs w:val="24"/>
        </w:rPr>
        <w:t>amendments to Rule</w:t>
      </w:r>
      <w:r w:rsidR="00C37382">
        <w:rPr>
          <w:szCs w:val="24"/>
        </w:rPr>
        <w:t xml:space="preserve"> 602 (then Rule 11Ac1-1)</w:t>
      </w:r>
      <w:r>
        <w:rPr>
          <w:szCs w:val="24"/>
        </w:rPr>
        <w:t xml:space="preserve"> that</w:t>
      </w:r>
      <w:r w:rsidR="00525667">
        <w:rPr>
          <w:szCs w:val="24"/>
        </w:rPr>
        <w:t>, among other things,</w:t>
      </w:r>
      <w:r w:rsidRPr="00E80D02">
        <w:rPr>
          <w:szCs w:val="24"/>
        </w:rPr>
        <w:t xml:space="preserve"> require</w:t>
      </w:r>
      <w:r>
        <w:rPr>
          <w:szCs w:val="24"/>
        </w:rPr>
        <w:t>d</w:t>
      </w:r>
      <w:r w:rsidRPr="00E80D02">
        <w:rPr>
          <w:szCs w:val="24"/>
        </w:rPr>
        <w:t xml:space="preserve"> a</w:t>
      </w:r>
      <w:r w:rsidR="00C37382">
        <w:rPr>
          <w:szCs w:val="24"/>
        </w:rPr>
        <w:t>n OTC</w:t>
      </w:r>
      <w:r w:rsidRPr="00E80D02">
        <w:rPr>
          <w:szCs w:val="24"/>
        </w:rPr>
        <w:t xml:space="preserve"> market maker to publish quotations for any </w:t>
      </w:r>
      <w:r w:rsidR="00817E86">
        <w:rPr>
          <w:szCs w:val="24"/>
        </w:rPr>
        <w:t>exchange-traded</w:t>
      </w:r>
      <w:r w:rsidRPr="00E80D02">
        <w:rPr>
          <w:szCs w:val="24"/>
        </w:rPr>
        <w:t xml:space="preserve"> security when it is responsible for more than 1% of the aggregate trading volume for that security and to make publicly avai</w:t>
      </w:r>
      <w:r w:rsidR="00C37382">
        <w:rPr>
          <w:szCs w:val="24"/>
        </w:rPr>
        <w:t>lable any superior prices that the market maker privately quoted</w:t>
      </w:r>
      <w:r w:rsidRPr="00E80D02">
        <w:rPr>
          <w:szCs w:val="24"/>
        </w:rPr>
        <w:t xml:space="preserve"> through certain ECNs.</w:t>
      </w:r>
      <w:r>
        <w:rPr>
          <w:rStyle w:val="FootnoteReference"/>
          <w:szCs w:val="24"/>
        </w:rPr>
        <w:footnoteReference w:id="9"/>
      </w:r>
      <w:r w:rsidR="00C37382">
        <w:rPr>
          <w:szCs w:val="24"/>
        </w:rPr>
        <w:t xml:space="preserve">  </w:t>
      </w:r>
      <w:r w:rsidR="008C243D">
        <w:rPr>
          <w:szCs w:val="24"/>
        </w:rPr>
        <w:t xml:space="preserve">At that time, </w:t>
      </w:r>
      <w:r w:rsidR="00525667">
        <w:rPr>
          <w:szCs w:val="24"/>
        </w:rPr>
        <w:t xml:space="preserve">the majority of exchange trading occurred on manual trading floors.  Since 1996, technology has transformed how quotes are updated and reported.  Securities exchanges now primarily </w:t>
      </w:r>
      <w:r w:rsidR="008C243D">
        <w:rPr>
          <w:szCs w:val="24"/>
        </w:rPr>
        <w:t xml:space="preserve">operate automated systems that </w:t>
      </w:r>
      <w:r w:rsidR="00525667">
        <w:rPr>
          <w:szCs w:val="24"/>
        </w:rPr>
        <w:t xml:space="preserve">update and report </w:t>
      </w:r>
      <w:r w:rsidR="008C243D">
        <w:rPr>
          <w:szCs w:val="24"/>
        </w:rPr>
        <w:t>t</w:t>
      </w:r>
      <w:r w:rsidR="00525667">
        <w:rPr>
          <w:szCs w:val="24"/>
        </w:rPr>
        <w:t>heir quotations electronically.</w:t>
      </w:r>
      <w:r>
        <w:rPr>
          <w:szCs w:val="24"/>
        </w:rPr>
        <w:t xml:space="preserve">  </w:t>
      </w:r>
      <w:r w:rsidR="00C37382">
        <w:rPr>
          <w:szCs w:val="24"/>
        </w:rPr>
        <w:t xml:space="preserve">As discussed in Section 12 of this submission, the </w:t>
      </w:r>
      <w:r w:rsidR="008C243D">
        <w:rPr>
          <w:szCs w:val="24"/>
        </w:rPr>
        <w:t xml:space="preserve">use of </w:t>
      </w:r>
      <w:r w:rsidR="00C37382">
        <w:rPr>
          <w:szCs w:val="24"/>
        </w:rPr>
        <w:t xml:space="preserve">exchanges’ automated trading systems </w:t>
      </w:r>
      <w:r w:rsidR="008C243D">
        <w:rPr>
          <w:szCs w:val="24"/>
        </w:rPr>
        <w:t xml:space="preserve">by exchange members </w:t>
      </w:r>
      <w:r w:rsidR="00C37382">
        <w:rPr>
          <w:szCs w:val="24"/>
        </w:rPr>
        <w:t>effectively result</w:t>
      </w:r>
      <w:r w:rsidR="008C243D">
        <w:rPr>
          <w:szCs w:val="24"/>
        </w:rPr>
        <w:t>s</w:t>
      </w:r>
      <w:r w:rsidR="00C37382">
        <w:rPr>
          <w:szCs w:val="24"/>
        </w:rPr>
        <w:t xml:space="preserve"> in exchange members having no reporting burden under Rule 602(b).</w:t>
      </w:r>
      <w:r w:rsidR="00525667">
        <w:rPr>
          <w:szCs w:val="24"/>
        </w:rPr>
        <w:t xml:space="preserve">  With respect to OTC market makers, the reduction in burden from previous estimates results from the reduction in the estimated number of OTC market makers that cross the 1% volume threshold.  As a result of these changes, the estimated reporting burden of respondents under Rule 602(b) declined significantly to 20,</w:t>
      </w:r>
      <w:r w:rsidR="0056526D">
        <w:rPr>
          <w:szCs w:val="24"/>
        </w:rPr>
        <w:t>367</w:t>
      </w:r>
      <w:r w:rsidR="00525667">
        <w:rPr>
          <w:szCs w:val="24"/>
        </w:rPr>
        <w:t xml:space="preserve"> hours</w:t>
      </w:r>
      <w:r w:rsidR="00A43907">
        <w:rPr>
          <w:szCs w:val="24"/>
        </w:rPr>
        <w:t>.</w:t>
      </w:r>
      <w:r w:rsidR="00843821">
        <w:rPr>
          <w:szCs w:val="24"/>
        </w:rPr>
        <w:t xml:space="preserve">  </w:t>
      </w:r>
      <w:r w:rsidR="00843821">
        <w:t>Additionally, the $66,000 cost reported in the prior submission was reported in error.</w:t>
      </w:r>
    </w:p>
    <w:p w:rsidR="00843821" w:rsidRDefault="00843821" w:rsidP="00FC4D24">
      <w:pPr>
        <w:pStyle w:val="BodyText"/>
      </w:pPr>
    </w:p>
    <w:p w:rsidR="00622813" w:rsidRDefault="00622813">
      <w:pPr>
        <w:pStyle w:val="BodyText"/>
        <w:numPr>
          <w:ilvl w:val="0"/>
          <w:numId w:val="1"/>
        </w:numPr>
      </w:pPr>
      <w:r>
        <w:rPr>
          <w:u w:val="single"/>
        </w:rPr>
        <w:t>Information Collection Planned for Statistical Purposes</w:t>
      </w:r>
    </w:p>
    <w:p w:rsidR="00622813" w:rsidRDefault="00622813">
      <w:pPr>
        <w:pStyle w:val="BodyText"/>
      </w:pPr>
    </w:p>
    <w:p w:rsidR="00622813" w:rsidRDefault="00622813">
      <w:pPr>
        <w:pStyle w:val="BodyText"/>
      </w:pPr>
      <w:r>
        <w:tab/>
        <w:t>Not applicable</w:t>
      </w:r>
      <w:r w:rsidR="0059143F">
        <w:t>.</w:t>
      </w:r>
    </w:p>
    <w:p w:rsidR="00FC20E4" w:rsidRDefault="00FC20E4">
      <w:pPr>
        <w:pStyle w:val="BodyText"/>
      </w:pPr>
    </w:p>
    <w:p w:rsidR="00622813" w:rsidRDefault="00622813">
      <w:pPr>
        <w:pStyle w:val="BodyText"/>
        <w:numPr>
          <w:ilvl w:val="0"/>
          <w:numId w:val="1"/>
        </w:numPr>
      </w:pPr>
      <w:r>
        <w:rPr>
          <w:u w:val="single"/>
        </w:rPr>
        <w:t>Explanation as to Why Expiration Date Will Not be Displayed</w:t>
      </w:r>
    </w:p>
    <w:p w:rsidR="00622813" w:rsidRDefault="00622813">
      <w:pPr>
        <w:pStyle w:val="BodyText"/>
      </w:pPr>
    </w:p>
    <w:p w:rsidR="00622813" w:rsidRDefault="00622813" w:rsidP="00893535">
      <w:pPr>
        <w:pStyle w:val="BodyText"/>
        <w:outlineLvl w:val="0"/>
      </w:pPr>
      <w:r>
        <w:tab/>
        <w:t>Not applicable.</w:t>
      </w:r>
    </w:p>
    <w:p w:rsidR="00622813" w:rsidRDefault="00622813">
      <w:pPr>
        <w:pStyle w:val="BodyText"/>
      </w:pPr>
    </w:p>
    <w:p w:rsidR="004B3C55" w:rsidRDefault="00622813" w:rsidP="004B3C55">
      <w:pPr>
        <w:pStyle w:val="BodyText"/>
        <w:numPr>
          <w:ilvl w:val="0"/>
          <w:numId w:val="1"/>
        </w:numPr>
      </w:pPr>
      <w:r>
        <w:rPr>
          <w:u w:val="single"/>
        </w:rPr>
        <w:t>Exceptions to Certification</w:t>
      </w:r>
    </w:p>
    <w:p w:rsidR="00622813" w:rsidRDefault="00622813">
      <w:pPr>
        <w:pStyle w:val="BodyText"/>
      </w:pPr>
    </w:p>
    <w:p w:rsidR="00622813" w:rsidRDefault="00622813" w:rsidP="00893535">
      <w:pPr>
        <w:pStyle w:val="BodyText"/>
        <w:outlineLvl w:val="0"/>
      </w:pPr>
      <w:r>
        <w:tab/>
        <w:t>Not applicable.</w:t>
      </w:r>
    </w:p>
    <w:p w:rsidR="00622813" w:rsidRDefault="00622813">
      <w:pPr>
        <w:pStyle w:val="BodyText"/>
      </w:pPr>
    </w:p>
    <w:p w:rsidR="004B3C55" w:rsidRPr="004B3C55" w:rsidRDefault="004B3C55" w:rsidP="004B3C55">
      <w:pPr>
        <w:rPr>
          <w:sz w:val="24"/>
          <w:szCs w:val="24"/>
        </w:rPr>
      </w:pPr>
      <w:r w:rsidRPr="004B3C55">
        <w:rPr>
          <w:sz w:val="24"/>
          <w:szCs w:val="24"/>
        </w:rPr>
        <w:t>B.</w:t>
      </w:r>
      <w:r w:rsidRPr="004B3C55">
        <w:rPr>
          <w:sz w:val="24"/>
          <w:szCs w:val="24"/>
        </w:rPr>
        <w:tab/>
      </w:r>
      <w:r w:rsidRPr="004B3C55">
        <w:rPr>
          <w:sz w:val="24"/>
          <w:szCs w:val="24"/>
          <w:u w:val="single"/>
        </w:rPr>
        <w:t>Collections of Information Using Statistical Methods</w:t>
      </w:r>
    </w:p>
    <w:p w:rsidR="004B3C55" w:rsidRPr="004B3C55" w:rsidRDefault="004B3C55" w:rsidP="004B3C55">
      <w:pPr>
        <w:rPr>
          <w:sz w:val="24"/>
          <w:szCs w:val="24"/>
        </w:rPr>
      </w:pPr>
    </w:p>
    <w:p w:rsidR="00622813" w:rsidRPr="004B3C55" w:rsidRDefault="004B3C55" w:rsidP="004B3C55">
      <w:pPr>
        <w:rPr>
          <w:sz w:val="24"/>
          <w:szCs w:val="24"/>
        </w:rPr>
      </w:pPr>
      <w:r w:rsidRPr="004B3C55">
        <w:rPr>
          <w:sz w:val="24"/>
          <w:szCs w:val="24"/>
        </w:rPr>
        <w:tab/>
        <w:t>No statistical methods are employed in connection with the collection of information.</w:t>
      </w:r>
    </w:p>
    <w:sectPr w:rsidR="00622813" w:rsidRPr="004B3C55" w:rsidSect="003B38A1">
      <w:footerReference w:type="even" r:id="rId8"/>
      <w:footerReference w:type="default" r:id="rId9"/>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0D" w:rsidRDefault="00563F0D">
      <w:r>
        <w:separator/>
      </w:r>
    </w:p>
  </w:endnote>
  <w:endnote w:type="continuationSeparator" w:id="0">
    <w:p w:rsidR="00563F0D" w:rsidRDefault="00563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655" w:rsidRDefault="00FD6F3B" w:rsidP="004144CE">
    <w:pPr>
      <w:pStyle w:val="Footer"/>
      <w:framePr w:wrap="around" w:vAnchor="text" w:hAnchor="margin" w:xAlign="center" w:y="1"/>
      <w:rPr>
        <w:rStyle w:val="PageNumber"/>
      </w:rPr>
    </w:pPr>
    <w:r>
      <w:rPr>
        <w:rStyle w:val="PageNumber"/>
      </w:rPr>
      <w:fldChar w:fldCharType="begin"/>
    </w:r>
    <w:r w:rsidR="005A0655">
      <w:rPr>
        <w:rStyle w:val="PageNumber"/>
      </w:rPr>
      <w:instrText xml:space="preserve">PAGE  </w:instrText>
    </w:r>
    <w:r>
      <w:rPr>
        <w:rStyle w:val="PageNumber"/>
      </w:rPr>
      <w:fldChar w:fldCharType="end"/>
    </w:r>
  </w:p>
  <w:p w:rsidR="005A0655" w:rsidRDefault="005A06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655" w:rsidRPr="00050A97" w:rsidRDefault="00FD6F3B" w:rsidP="004144CE">
    <w:pPr>
      <w:pStyle w:val="Footer"/>
      <w:framePr w:wrap="around" w:vAnchor="text" w:hAnchor="margin" w:xAlign="center" w:y="1"/>
      <w:rPr>
        <w:rStyle w:val="PageNumber"/>
        <w:sz w:val="24"/>
        <w:szCs w:val="24"/>
      </w:rPr>
    </w:pPr>
    <w:r w:rsidRPr="00050A97">
      <w:rPr>
        <w:rStyle w:val="PageNumber"/>
        <w:sz w:val="24"/>
        <w:szCs w:val="24"/>
      </w:rPr>
      <w:fldChar w:fldCharType="begin"/>
    </w:r>
    <w:r w:rsidR="005A0655" w:rsidRPr="00050A97">
      <w:rPr>
        <w:rStyle w:val="PageNumber"/>
        <w:sz w:val="24"/>
        <w:szCs w:val="24"/>
      </w:rPr>
      <w:instrText xml:space="preserve">PAGE  </w:instrText>
    </w:r>
    <w:r w:rsidRPr="00050A97">
      <w:rPr>
        <w:rStyle w:val="PageNumber"/>
        <w:sz w:val="24"/>
        <w:szCs w:val="24"/>
      </w:rPr>
      <w:fldChar w:fldCharType="separate"/>
    </w:r>
    <w:r w:rsidR="00945050">
      <w:rPr>
        <w:rStyle w:val="PageNumber"/>
        <w:noProof/>
        <w:sz w:val="24"/>
        <w:szCs w:val="24"/>
      </w:rPr>
      <w:t>3</w:t>
    </w:r>
    <w:r w:rsidRPr="00050A97">
      <w:rPr>
        <w:rStyle w:val="PageNumber"/>
        <w:sz w:val="24"/>
        <w:szCs w:val="24"/>
      </w:rPr>
      <w:fldChar w:fldCharType="end"/>
    </w:r>
  </w:p>
  <w:p w:rsidR="005A0655" w:rsidRDefault="005A0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0D" w:rsidRDefault="00563F0D">
      <w:r>
        <w:separator/>
      </w:r>
    </w:p>
  </w:footnote>
  <w:footnote w:type="continuationSeparator" w:id="0">
    <w:p w:rsidR="00563F0D" w:rsidRDefault="00563F0D">
      <w:r>
        <w:continuationSeparator/>
      </w:r>
    </w:p>
  </w:footnote>
  <w:footnote w:id="1">
    <w:p w:rsidR="005A0655" w:rsidRPr="00BF1CBD" w:rsidRDefault="005A0655" w:rsidP="00BF1CBD">
      <w:pPr>
        <w:pStyle w:val="FootnoteText"/>
        <w:spacing w:after="120"/>
        <w:ind w:left="720" w:hanging="720"/>
        <w:rPr>
          <w:sz w:val="24"/>
          <w:szCs w:val="24"/>
        </w:rPr>
      </w:pPr>
      <w:r w:rsidRPr="00BF1CBD">
        <w:rPr>
          <w:rStyle w:val="FootnoteReference"/>
          <w:sz w:val="24"/>
          <w:szCs w:val="24"/>
        </w:rPr>
        <w:footnoteRef/>
      </w:r>
      <w:r w:rsidRPr="00BF1CBD">
        <w:rPr>
          <w:sz w:val="24"/>
          <w:szCs w:val="24"/>
        </w:rPr>
        <w:t xml:space="preserve"> </w:t>
      </w:r>
      <w:r w:rsidRPr="00BF1CBD">
        <w:rPr>
          <w:sz w:val="24"/>
          <w:szCs w:val="24"/>
        </w:rPr>
        <w:tab/>
        <w:t xml:space="preserve">Regulation NMS </w:t>
      </w:r>
      <w:proofErr w:type="spellStart"/>
      <w:r w:rsidRPr="00BF1CBD">
        <w:rPr>
          <w:sz w:val="24"/>
          <w:szCs w:val="24"/>
        </w:rPr>
        <w:t>redesignated</w:t>
      </w:r>
      <w:proofErr w:type="spellEnd"/>
      <w:r w:rsidRPr="00BF1CBD">
        <w:rPr>
          <w:sz w:val="24"/>
          <w:szCs w:val="24"/>
        </w:rPr>
        <w:t xml:space="preserve"> the national market system rules previously adopted under Section 11A of the Exchange Act.  Securities Exchange Release No. 51808 (June 9, 2005), 70 FR 37496 (June 29, 2005).  </w:t>
      </w:r>
    </w:p>
  </w:footnote>
  <w:footnote w:id="2">
    <w:p w:rsidR="005A0655" w:rsidRPr="00BF1CBD" w:rsidRDefault="005A0655" w:rsidP="00BF1CBD">
      <w:pPr>
        <w:pStyle w:val="FootnoteText"/>
        <w:spacing w:after="120"/>
        <w:ind w:left="720" w:hanging="720"/>
        <w:rPr>
          <w:sz w:val="24"/>
          <w:szCs w:val="24"/>
        </w:rPr>
      </w:pPr>
      <w:r w:rsidRPr="00BF1CBD">
        <w:rPr>
          <w:rStyle w:val="FootnoteReference"/>
          <w:sz w:val="24"/>
          <w:szCs w:val="24"/>
        </w:rPr>
        <w:footnoteRef/>
      </w:r>
      <w:r>
        <w:rPr>
          <w:sz w:val="24"/>
          <w:szCs w:val="24"/>
        </w:rPr>
        <w:t xml:space="preserve"> </w:t>
      </w:r>
      <w:r>
        <w:rPr>
          <w:sz w:val="24"/>
          <w:szCs w:val="24"/>
        </w:rPr>
        <w:tab/>
        <w:t xml:space="preserve">Under Rule 602(b)(5), </w:t>
      </w:r>
      <w:r w:rsidRPr="00BF1CBD">
        <w:rPr>
          <w:sz w:val="24"/>
          <w:szCs w:val="24"/>
        </w:rPr>
        <w:t xml:space="preserve">electronic communications networks (“ECNs”) </w:t>
      </w:r>
      <w:r>
        <w:rPr>
          <w:sz w:val="24"/>
          <w:szCs w:val="24"/>
        </w:rPr>
        <w:t xml:space="preserve">have </w:t>
      </w:r>
      <w:r w:rsidRPr="00BF1CBD">
        <w:rPr>
          <w:sz w:val="24"/>
          <w:szCs w:val="24"/>
        </w:rPr>
        <w:t>the option of reporting to an exchange or association for public dissemination, on behalf of customers that are OTC market makers or exchange market makers, the best-priced orders and the full size for such orders entered by market makers on the ECN, to satisfy such market makers’ reporting obligation under Rule 602(b).  Since this reporting requirement is an alternative method of meeting the market makers’ reporting obligation, and because it is directed to nine or fewer persons (ECNs), this collection of information is not subject to OMB review under the Paperwork Reduction Act (“PRA”).</w:t>
      </w:r>
    </w:p>
  </w:footnote>
  <w:footnote w:id="3">
    <w:p w:rsidR="005A0655" w:rsidRPr="00BF1CBD" w:rsidRDefault="005A0655" w:rsidP="00C201F9">
      <w:pPr>
        <w:pStyle w:val="FootnoteText"/>
        <w:spacing w:after="120"/>
        <w:ind w:left="720" w:hanging="720"/>
        <w:rPr>
          <w:sz w:val="24"/>
          <w:szCs w:val="24"/>
        </w:rPr>
      </w:pPr>
      <w:r w:rsidRPr="00BF1CBD">
        <w:rPr>
          <w:rStyle w:val="FootnoteReference"/>
          <w:sz w:val="24"/>
          <w:szCs w:val="24"/>
        </w:rPr>
        <w:footnoteRef/>
      </w:r>
      <w:r w:rsidRPr="00BF1CBD">
        <w:rPr>
          <w:sz w:val="24"/>
          <w:szCs w:val="24"/>
        </w:rPr>
        <w:t xml:space="preserve"> </w:t>
      </w:r>
      <w:r w:rsidRPr="00BF1CBD">
        <w:rPr>
          <w:sz w:val="24"/>
          <w:szCs w:val="24"/>
        </w:rPr>
        <w:tab/>
        <w:t xml:space="preserve">The </w:t>
      </w:r>
      <w:r>
        <w:rPr>
          <w:sz w:val="24"/>
          <w:szCs w:val="24"/>
        </w:rPr>
        <w:t>fourteen</w:t>
      </w:r>
      <w:r w:rsidRPr="00BF1CBD">
        <w:rPr>
          <w:sz w:val="24"/>
          <w:szCs w:val="24"/>
        </w:rPr>
        <w:t xml:space="preserve"> national securities exchanges registered with the Commission under Section 6(a) of the Exchange </w:t>
      </w:r>
      <w:r>
        <w:rPr>
          <w:sz w:val="24"/>
          <w:szCs w:val="24"/>
        </w:rPr>
        <w:t xml:space="preserve">Act </w:t>
      </w:r>
      <w:r w:rsidRPr="00BF1CBD">
        <w:rPr>
          <w:sz w:val="24"/>
          <w:szCs w:val="24"/>
        </w:rPr>
        <w:t xml:space="preserve">are: </w:t>
      </w:r>
      <w:r>
        <w:rPr>
          <w:sz w:val="24"/>
          <w:szCs w:val="24"/>
        </w:rPr>
        <w:t xml:space="preserve"> </w:t>
      </w:r>
      <w:r w:rsidRPr="00BF1CBD">
        <w:rPr>
          <w:sz w:val="24"/>
          <w:szCs w:val="24"/>
        </w:rPr>
        <w:t xml:space="preserve">BATS Exchange Inc.; Chicago Board Options Exchange, Incorporated; C2 Options Exchange, Incorporated; Chicago Stock Exchange, Inc.; </w:t>
      </w:r>
      <w:r>
        <w:rPr>
          <w:sz w:val="24"/>
          <w:szCs w:val="24"/>
        </w:rPr>
        <w:t xml:space="preserve">EDGA Exchange, Inc.; EDGX Exchange, Inc.; </w:t>
      </w:r>
      <w:r w:rsidRPr="00BF1CBD">
        <w:rPr>
          <w:sz w:val="24"/>
          <w:szCs w:val="24"/>
        </w:rPr>
        <w:t xml:space="preserve">International Securities Exchange LLC; The </w:t>
      </w:r>
      <w:proofErr w:type="spellStart"/>
      <w:r w:rsidRPr="00BF1CBD">
        <w:rPr>
          <w:sz w:val="24"/>
          <w:szCs w:val="24"/>
        </w:rPr>
        <w:t>Nasdaq</w:t>
      </w:r>
      <w:proofErr w:type="spellEnd"/>
      <w:r w:rsidRPr="00BF1CBD">
        <w:rPr>
          <w:sz w:val="24"/>
          <w:szCs w:val="24"/>
        </w:rPr>
        <w:t xml:space="preserve"> Stock Market LLC; NASDAQ OMX BX, Inc.; NASDAQ OMX PHLX, Inc.; National Stock Exchange, Inc.; New York Stock Exchange LLC; NYSE Amex, Inc.; and, NYSE </w:t>
      </w:r>
      <w:proofErr w:type="spellStart"/>
      <w:r w:rsidRPr="00BF1CBD">
        <w:rPr>
          <w:sz w:val="24"/>
          <w:szCs w:val="24"/>
        </w:rPr>
        <w:t>Arca</w:t>
      </w:r>
      <w:proofErr w:type="spellEnd"/>
      <w:r w:rsidRPr="00BF1CBD">
        <w:rPr>
          <w:sz w:val="24"/>
          <w:szCs w:val="24"/>
        </w:rPr>
        <w:t xml:space="preserve">, Inc.  The one national securities association registered with the Commission under Section 15A of the Exchange Act is </w:t>
      </w:r>
      <w:r>
        <w:rPr>
          <w:sz w:val="24"/>
          <w:szCs w:val="24"/>
        </w:rPr>
        <w:t>the Financial Industry Regulatory Authority, Inc. (previously, the National Association of Securities Dealers, Inc.).</w:t>
      </w:r>
    </w:p>
  </w:footnote>
  <w:footnote w:id="4">
    <w:p w:rsidR="005A0655" w:rsidRPr="00BF1CBD" w:rsidRDefault="005A0655" w:rsidP="004A0A95">
      <w:pPr>
        <w:pStyle w:val="FootnoteText"/>
        <w:spacing w:after="120"/>
        <w:ind w:left="720" w:hanging="720"/>
        <w:rPr>
          <w:sz w:val="24"/>
          <w:szCs w:val="24"/>
        </w:rPr>
      </w:pPr>
      <w:r w:rsidRPr="00BF1CBD">
        <w:rPr>
          <w:rStyle w:val="FootnoteReference"/>
          <w:sz w:val="24"/>
          <w:szCs w:val="24"/>
        </w:rPr>
        <w:footnoteRef/>
      </w:r>
      <w:r w:rsidRPr="00BF1CBD">
        <w:rPr>
          <w:sz w:val="24"/>
          <w:szCs w:val="24"/>
        </w:rPr>
        <w:t xml:space="preserve"> </w:t>
      </w:r>
      <w:r w:rsidRPr="00BF1CBD">
        <w:rPr>
          <w:sz w:val="24"/>
          <w:szCs w:val="24"/>
        </w:rPr>
        <w:tab/>
        <w:t>The Commission derived the average number of responses per national securities exchange or national securities association as follows:  741,127,661,148 (total number of responses in 2009) / 1</w:t>
      </w:r>
      <w:r>
        <w:rPr>
          <w:sz w:val="24"/>
          <w:szCs w:val="24"/>
        </w:rPr>
        <w:t>5</w:t>
      </w:r>
      <w:r w:rsidRPr="00BF1CBD">
        <w:rPr>
          <w:sz w:val="24"/>
          <w:szCs w:val="24"/>
        </w:rPr>
        <w:t xml:space="preserve"> (the total number of national securities exchanges and national securities associations in 2010) = </w:t>
      </w:r>
      <w:r>
        <w:rPr>
          <w:sz w:val="24"/>
          <w:szCs w:val="24"/>
        </w:rPr>
        <w:t xml:space="preserve">49,408,510,743 </w:t>
      </w:r>
      <w:r w:rsidRPr="00BF1CBD">
        <w:rPr>
          <w:sz w:val="24"/>
          <w:szCs w:val="24"/>
        </w:rPr>
        <w:t>average annual number of responses per respondent under 602(a).</w:t>
      </w:r>
    </w:p>
  </w:footnote>
  <w:footnote w:id="5">
    <w:p w:rsidR="005A0655" w:rsidRDefault="005A0655" w:rsidP="00C201F9">
      <w:pPr>
        <w:pStyle w:val="FootnoteText"/>
        <w:spacing w:after="120"/>
        <w:ind w:left="720" w:hanging="720"/>
      </w:pPr>
      <w:r w:rsidRPr="009314D5">
        <w:rPr>
          <w:rStyle w:val="FootnoteReference"/>
          <w:sz w:val="24"/>
          <w:szCs w:val="24"/>
        </w:rPr>
        <w:footnoteRef/>
      </w:r>
      <w:r w:rsidRPr="009314D5">
        <w:rPr>
          <w:sz w:val="24"/>
          <w:szCs w:val="24"/>
        </w:rPr>
        <w:t xml:space="preserve"> </w:t>
      </w:r>
      <w:r>
        <w:tab/>
      </w:r>
      <w:r w:rsidRPr="00BF1CBD">
        <w:rPr>
          <w:sz w:val="24"/>
          <w:szCs w:val="24"/>
        </w:rPr>
        <w:t xml:space="preserve">The Commission derived the annual time burden for each national securities exchange or national securities association from the following:  </w:t>
      </w:r>
      <w:r>
        <w:rPr>
          <w:sz w:val="24"/>
          <w:szCs w:val="24"/>
        </w:rPr>
        <w:t xml:space="preserve">3,750 hours </w:t>
      </w:r>
      <w:r w:rsidRPr="00BF1CBD">
        <w:rPr>
          <w:sz w:val="24"/>
          <w:szCs w:val="24"/>
        </w:rPr>
        <w:t>(</w:t>
      </w:r>
      <w:r>
        <w:rPr>
          <w:sz w:val="24"/>
          <w:szCs w:val="24"/>
        </w:rPr>
        <w:t>aggregate burden for all respondents in hours</w:t>
      </w:r>
      <w:r w:rsidRPr="00BF1CBD">
        <w:rPr>
          <w:sz w:val="24"/>
          <w:szCs w:val="24"/>
        </w:rPr>
        <w:t xml:space="preserve">) </w:t>
      </w:r>
      <w:r>
        <w:rPr>
          <w:sz w:val="24"/>
          <w:szCs w:val="24"/>
        </w:rPr>
        <w:t>/</w:t>
      </w:r>
      <w:r w:rsidRPr="00BF1CBD">
        <w:rPr>
          <w:sz w:val="24"/>
          <w:szCs w:val="24"/>
        </w:rPr>
        <w:t xml:space="preserve"> </w:t>
      </w:r>
      <w:r>
        <w:rPr>
          <w:sz w:val="24"/>
          <w:szCs w:val="24"/>
        </w:rPr>
        <w:t>15 (number of respondents) = 250</w:t>
      </w:r>
      <w:r w:rsidRPr="00BF1CBD">
        <w:rPr>
          <w:sz w:val="24"/>
          <w:szCs w:val="24"/>
        </w:rPr>
        <w:t xml:space="preserve"> hours (total annual burden for each respondent in hours).</w:t>
      </w:r>
    </w:p>
  </w:footnote>
  <w:footnote w:id="6">
    <w:p w:rsidR="005A0655" w:rsidRPr="00322B29" w:rsidRDefault="005A0655" w:rsidP="006879A5">
      <w:pPr>
        <w:pStyle w:val="FootnoteText"/>
        <w:ind w:left="720" w:hanging="720"/>
        <w:rPr>
          <w:sz w:val="24"/>
          <w:szCs w:val="24"/>
        </w:rPr>
      </w:pPr>
      <w:r>
        <w:rPr>
          <w:rStyle w:val="FootnoteReference"/>
        </w:rPr>
        <w:footnoteRef/>
      </w:r>
      <w:r>
        <w:t xml:space="preserve"> </w:t>
      </w:r>
      <w:r>
        <w:tab/>
      </w:r>
      <w:r>
        <w:rPr>
          <w:sz w:val="24"/>
          <w:szCs w:val="24"/>
        </w:rPr>
        <w:t xml:space="preserve">Accordingly, the time per response under Rule 602(a) is: 49,408,510,743 annual responses per respondent / 250 annual burden hours per respondent = approximately </w:t>
      </w:r>
      <w:r w:rsidR="00065EBD">
        <w:rPr>
          <w:sz w:val="24"/>
          <w:szCs w:val="24"/>
        </w:rPr>
        <w:t>18.22</w:t>
      </w:r>
      <w:r>
        <w:rPr>
          <w:sz w:val="24"/>
          <w:szCs w:val="24"/>
        </w:rPr>
        <w:t xml:space="preserve"> microseconds per response under Rule 602(a).</w:t>
      </w:r>
    </w:p>
  </w:footnote>
  <w:footnote w:id="7">
    <w:p w:rsidR="005A0655" w:rsidRPr="00BF1CBD" w:rsidRDefault="005A0655" w:rsidP="007411E4">
      <w:pPr>
        <w:pStyle w:val="FootnoteText"/>
        <w:spacing w:after="120"/>
        <w:ind w:left="720" w:hanging="720"/>
        <w:rPr>
          <w:sz w:val="24"/>
        </w:rPr>
      </w:pPr>
      <w:r w:rsidRPr="00BF1CBD">
        <w:rPr>
          <w:rStyle w:val="FootnoteReference"/>
          <w:sz w:val="24"/>
        </w:rPr>
        <w:footnoteRef/>
      </w:r>
      <w:r w:rsidRPr="00BF1CBD">
        <w:rPr>
          <w:sz w:val="24"/>
        </w:rPr>
        <w:t xml:space="preserve"> </w:t>
      </w:r>
      <w:r w:rsidRPr="00BF1CBD">
        <w:rPr>
          <w:sz w:val="24"/>
        </w:rPr>
        <w:tab/>
        <w:t xml:space="preserve">In 2006, the Commission granted an exemption from Rule </w:t>
      </w:r>
      <w:r>
        <w:rPr>
          <w:sz w:val="24"/>
        </w:rPr>
        <w:t xml:space="preserve">602 </w:t>
      </w:r>
      <w:r w:rsidRPr="00BF1CBD">
        <w:rPr>
          <w:sz w:val="24"/>
        </w:rPr>
        <w:t xml:space="preserve">that permits OTC market makers that also are exchange members to provide their best bids and offers to </w:t>
      </w:r>
      <w:r>
        <w:rPr>
          <w:sz w:val="24"/>
        </w:rPr>
        <w:t>an</w:t>
      </w:r>
      <w:r w:rsidRPr="00BF1CBD">
        <w:rPr>
          <w:sz w:val="24"/>
        </w:rPr>
        <w:t xml:space="preserve"> exchange, without the necessity of also providing their best bids and offers to an association.</w:t>
      </w:r>
    </w:p>
  </w:footnote>
  <w:footnote w:id="8">
    <w:p w:rsidR="005A0655" w:rsidRDefault="005A0655" w:rsidP="004F4F68">
      <w:pPr>
        <w:pStyle w:val="FootnoteText"/>
        <w:ind w:left="720" w:hanging="720"/>
      </w:pPr>
      <w:r>
        <w:rPr>
          <w:rStyle w:val="FootnoteReference"/>
        </w:rPr>
        <w:footnoteRef/>
      </w:r>
      <w:r>
        <w:t xml:space="preserve"> </w:t>
      </w:r>
      <w:r>
        <w:tab/>
      </w:r>
      <w:r>
        <w:rPr>
          <w:sz w:val="24"/>
          <w:szCs w:val="24"/>
        </w:rPr>
        <w:t>Accordingly, the time per response under Rule 602(b) is: 188,000 annual responses per respondent / 156.67 annual burden hours per respondent = approximately 3.00 seconds per response under Rule 602(b).</w:t>
      </w:r>
    </w:p>
  </w:footnote>
  <w:footnote w:id="9">
    <w:p w:rsidR="005A0655" w:rsidRPr="00E80D02" w:rsidRDefault="005A0655" w:rsidP="00844524">
      <w:pPr>
        <w:pStyle w:val="FootnoteText"/>
        <w:ind w:left="720" w:hanging="720"/>
      </w:pPr>
      <w:r w:rsidRPr="009314D5">
        <w:rPr>
          <w:rStyle w:val="FootnoteReference"/>
          <w:sz w:val="24"/>
          <w:szCs w:val="24"/>
        </w:rPr>
        <w:footnoteRef/>
      </w:r>
      <w:r w:rsidRPr="009314D5">
        <w:rPr>
          <w:sz w:val="24"/>
          <w:szCs w:val="24"/>
        </w:rPr>
        <w:t xml:space="preserve"> </w:t>
      </w:r>
      <w:r>
        <w:tab/>
      </w:r>
      <w:r w:rsidRPr="00E80D02">
        <w:rPr>
          <w:sz w:val="24"/>
          <w:szCs w:val="24"/>
          <w:u w:val="single"/>
        </w:rPr>
        <w:t>See</w:t>
      </w:r>
      <w:r w:rsidRPr="00E80D02">
        <w:rPr>
          <w:sz w:val="24"/>
          <w:szCs w:val="24"/>
        </w:rPr>
        <w:t xml:space="preserve"> Securities Exchange Act Release No. 37619A (September 6, 1996), 61 FR 48</w:t>
      </w:r>
      <w:r>
        <w:rPr>
          <w:sz w:val="24"/>
          <w:szCs w:val="24"/>
        </w:rPr>
        <w:t>290, 48293 (September 12, 1996).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01886"/>
    <w:multiLevelType w:val="singleLevel"/>
    <w:tmpl w:val="E65E45B0"/>
    <w:lvl w:ilvl="0">
      <w:start w:val="2"/>
      <w:numFmt w:val="decimal"/>
      <w:lvlText w:val="%1."/>
      <w:lvlJc w:val="left"/>
      <w:pPr>
        <w:tabs>
          <w:tab w:val="num" w:pos="1500"/>
        </w:tabs>
        <w:ind w:left="1500" w:hanging="7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93535"/>
    <w:rsid w:val="00007273"/>
    <w:rsid w:val="00013B4B"/>
    <w:rsid w:val="00014624"/>
    <w:rsid w:val="0002413F"/>
    <w:rsid w:val="00035544"/>
    <w:rsid w:val="000438E2"/>
    <w:rsid w:val="00050A97"/>
    <w:rsid w:val="0006253E"/>
    <w:rsid w:val="00063B5D"/>
    <w:rsid w:val="00063CA8"/>
    <w:rsid w:val="00065EBD"/>
    <w:rsid w:val="000713B7"/>
    <w:rsid w:val="00077036"/>
    <w:rsid w:val="00085ADA"/>
    <w:rsid w:val="000A565B"/>
    <w:rsid w:val="000B6944"/>
    <w:rsid w:val="000D6F2F"/>
    <w:rsid w:val="000E0621"/>
    <w:rsid w:val="000E2D35"/>
    <w:rsid w:val="000E505C"/>
    <w:rsid w:val="000E64F1"/>
    <w:rsid w:val="000F0309"/>
    <w:rsid w:val="000F18E6"/>
    <w:rsid w:val="00125202"/>
    <w:rsid w:val="0014570C"/>
    <w:rsid w:val="00145B4E"/>
    <w:rsid w:val="0015636E"/>
    <w:rsid w:val="001656D3"/>
    <w:rsid w:val="0019166A"/>
    <w:rsid w:val="001A4D39"/>
    <w:rsid w:val="001B5A02"/>
    <w:rsid w:val="001D7EE3"/>
    <w:rsid w:val="001E3B27"/>
    <w:rsid w:val="00204820"/>
    <w:rsid w:val="00243764"/>
    <w:rsid w:val="002469D6"/>
    <w:rsid w:val="00250D87"/>
    <w:rsid w:val="00285B80"/>
    <w:rsid w:val="00294404"/>
    <w:rsid w:val="002B00EB"/>
    <w:rsid w:val="002B5839"/>
    <w:rsid w:val="002C2D46"/>
    <w:rsid w:val="002D6CC7"/>
    <w:rsid w:val="002E4DD9"/>
    <w:rsid w:val="002F2141"/>
    <w:rsid w:val="00301315"/>
    <w:rsid w:val="00322870"/>
    <w:rsid w:val="00322B29"/>
    <w:rsid w:val="00335AE8"/>
    <w:rsid w:val="00342B19"/>
    <w:rsid w:val="00346643"/>
    <w:rsid w:val="0035115C"/>
    <w:rsid w:val="00356920"/>
    <w:rsid w:val="0035721A"/>
    <w:rsid w:val="00363411"/>
    <w:rsid w:val="00373E15"/>
    <w:rsid w:val="00380841"/>
    <w:rsid w:val="003822AD"/>
    <w:rsid w:val="003B1A48"/>
    <w:rsid w:val="003B38A1"/>
    <w:rsid w:val="003B4329"/>
    <w:rsid w:val="003B450A"/>
    <w:rsid w:val="003E167C"/>
    <w:rsid w:val="003F1679"/>
    <w:rsid w:val="003F189C"/>
    <w:rsid w:val="003F1AE5"/>
    <w:rsid w:val="003F23E7"/>
    <w:rsid w:val="003F6F88"/>
    <w:rsid w:val="004119DD"/>
    <w:rsid w:val="004144CE"/>
    <w:rsid w:val="0041693A"/>
    <w:rsid w:val="004172A8"/>
    <w:rsid w:val="0042106B"/>
    <w:rsid w:val="00424F51"/>
    <w:rsid w:val="004376AB"/>
    <w:rsid w:val="00441766"/>
    <w:rsid w:val="00460420"/>
    <w:rsid w:val="00460A72"/>
    <w:rsid w:val="00463ED6"/>
    <w:rsid w:val="00463F2C"/>
    <w:rsid w:val="004703D9"/>
    <w:rsid w:val="00475E49"/>
    <w:rsid w:val="00480DD9"/>
    <w:rsid w:val="004859B4"/>
    <w:rsid w:val="004900A6"/>
    <w:rsid w:val="004921F0"/>
    <w:rsid w:val="004A0A95"/>
    <w:rsid w:val="004A1FCB"/>
    <w:rsid w:val="004B3C55"/>
    <w:rsid w:val="004D3D80"/>
    <w:rsid w:val="004D53B7"/>
    <w:rsid w:val="004E2AB7"/>
    <w:rsid w:val="004E4342"/>
    <w:rsid w:val="004F4F68"/>
    <w:rsid w:val="00521856"/>
    <w:rsid w:val="00523070"/>
    <w:rsid w:val="00525667"/>
    <w:rsid w:val="00525FE2"/>
    <w:rsid w:val="00533BEA"/>
    <w:rsid w:val="0053411D"/>
    <w:rsid w:val="00546839"/>
    <w:rsid w:val="00555EE6"/>
    <w:rsid w:val="00563F0D"/>
    <w:rsid w:val="00564666"/>
    <w:rsid w:val="0056526D"/>
    <w:rsid w:val="005763FB"/>
    <w:rsid w:val="00583920"/>
    <w:rsid w:val="0059143F"/>
    <w:rsid w:val="00596AC0"/>
    <w:rsid w:val="00597692"/>
    <w:rsid w:val="005A0655"/>
    <w:rsid w:val="005A61E8"/>
    <w:rsid w:val="005A735D"/>
    <w:rsid w:val="005B11B6"/>
    <w:rsid w:val="005B494E"/>
    <w:rsid w:val="005F341C"/>
    <w:rsid w:val="005F604C"/>
    <w:rsid w:val="0060032E"/>
    <w:rsid w:val="00612E2F"/>
    <w:rsid w:val="00622813"/>
    <w:rsid w:val="0066009F"/>
    <w:rsid w:val="00662C62"/>
    <w:rsid w:val="00686807"/>
    <w:rsid w:val="006879A5"/>
    <w:rsid w:val="006A3F52"/>
    <w:rsid w:val="006B56D1"/>
    <w:rsid w:val="006B600F"/>
    <w:rsid w:val="006D4E9F"/>
    <w:rsid w:val="006E2822"/>
    <w:rsid w:val="006E3D5A"/>
    <w:rsid w:val="006F143E"/>
    <w:rsid w:val="00715C71"/>
    <w:rsid w:val="00717106"/>
    <w:rsid w:val="00717642"/>
    <w:rsid w:val="00735EDD"/>
    <w:rsid w:val="007411E4"/>
    <w:rsid w:val="0074384E"/>
    <w:rsid w:val="007440A1"/>
    <w:rsid w:val="00753ED6"/>
    <w:rsid w:val="00760204"/>
    <w:rsid w:val="00765F63"/>
    <w:rsid w:val="00771A0D"/>
    <w:rsid w:val="00772F1D"/>
    <w:rsid w:val="007847D2"/>
    <w:rsid w:val="00784ED3"/>
    <w:rsid w:val="00785A00"/>
    <w:rsid w:val="0078686B"/>
    <w:rsid w:val="007B027E"/>
    <w:rsid w:val="007B091E"/>
    <w:rsid w:val="007B2B3B"/>
    <w:rsid w:val="007B763A"/>
    <w:rsid w:val="007D7A09"/>
    <w:rsid w:val="007E33AE"/>
    <w:rsid w:val="007F5B8C"/>
    <w:rsid w:val="00800739"/>
    <w:rsid w:val="00817E86"/>
    <w:rsid w:val="00832183"/>
    <w:rsid w:val="00840000"/>
    <w:rsid w:val="0084023E"/>
    <w:rsid w:val="00843821"/>
    <w:rsid w:val="00844524"/>
    <w:rsid w:val="00845C88"/>
    <w:rsid w:val="0085103E"/>
    <w:rsid w:val="00880E5E"/>
    <w:rsid w:val="00881372"/>
    <w:rsid w:val="0089128C"/>
    <w:rsid w:val="00891946"/>
    <w:rsid w:val="00893535"/>
    <w:rsid w:val="008B47DA"/>
    <w:rsid w:val="008B734C"/>
    <w:rsid w:val="008C0D95"/>
    <w:rsid w:val="008C21C1"/>
    <w:rsid w:val="008C243D"/>
    <w:rsid w:val="008C485A"/>
    <w:rsid w:val="008E1247"/>
    <w:rsid w:val="008E2876"/>
    <w:rsid w:val="008F4184"/>
    <w:rsid w:val="008F57D5"/>
    <w:rsid w:val="00900EDE"/>
    <w:rsid w:val="00907C25"/>
    <w:rsid w:val="0091679E"/>
    <w:rsid w:val="00927A6A"/>
    <w:rsid w:val="009314D5"/>
    <w:rsid w:val="009325B1"/>
    <w:rsid w:val="00942F3D"/>
    <w:rsid w:val="00945050"/>
    <w:rsid w:val="00965243"/>
    <w:rsid w:val="009758F5"/>
    <w:rsid w:val="00976AEE"/>
    <w:rsid w:val="009A27A7"/>
    <w:rsid w:val="009A4891"/>
    <w:rsid w:val="009A56DB"/>
    <w:rsid w:val="009B3F8D"/>
    <w:rsid w:val="009C4B4F"/>
    <w:rsid w:val="009D0C47"/>
    <w:rsid w:val="009E7A69"/>
    <w:rsid w:val="009F033E"/>
    <w:rsid w:val="00A00472"/>
    <w:rsid w:val="00A14B31"/>
    <w:rsid w:val="00A174E3"/>
    <w:rsid w:val="00A17BB0"/>
    <w:rsid w:val="00A33818"/>
    <w:rsid w:val="00A43907"/>
    <w:rsid w:val="00A50EDB"/>
    <w:rsid w:val="00A61C6C"/>
    <w:rsid w:val="00A64FE1"/>
    <w:rsid w:val="00A66061"/>
    <w:rsid w:val="00A70519"/>
    <w:rsid w:val="00A71D8F"/>
    <w:rsid w:val="00A726F3"/>
    <w:rsid w:val="00A75E16"/>
    <w:rsid w:val="00A803FB"/>
    <w:rsid w:val="00A94ADE"/>
    <w:rsid w:val="00A972CA"/>
    <w:rsid w:val="00AA33ED"/>
    <w:rsid w:val="00AA342D"/>
    <w:rsid w:val="00AA45EB"/>
    <w:rsid w:val="00AA5205"/>
    <w:rsid w:val="00AB2FAB"/>
    <w:rsid w:val="00AC0240"/>
    <w:rsid w:val="00AC208C"/>
    <w:rsid w:val="00AD1E5B"/>
    <w:rsid w:val="00AD47D3"/>
    <w:rsid w:val="00AD51EE"/>
    <w:rsid w:val="00AD56BF"/>
    <w:rsid w:val="00AD5F80"/>
    <w:rsid w:val="00AE2F5C"/>
    <w:rsid w:val="00B13DEF"/>
    <w:rsid w:val="00B3095E"/>
    <w:rsid w:val="00B33748"/>
    <w:rsid w:val="00B37922"/>
    <w:rsid w:val="00B6172D"/>
    <w:rsid w:val="00B7654D"/>
    <w:rsid w:val="00B86E84"/>
    <w:rsid w:val="00B939D6"/>
    <w:rsid w:val="00B95313"/>
    <w:rsid w:val="00BA1D1C"/>
    <w:rsid w:val="00BA3533"/>
    <w:rsid w:val="00BC575E"/>
    <w:rsid w:val="00BE1145"/>
    <w:rsid w:val="00BE1164"/>
    <w:rsid w:val="00BE4079"/>
    <w:rsid w:val="00BF1CBD"/>
    <w:rsid w:val="00BF7F53"/>
    <w:rsid w:val="00C201F9"/>
    <w:rsid w:val="00C23061"/>
    <w:rsid w:val="00C25013"/>
    <w:rsid w:val="00C320EC"/>
    <w:rsid w:val="00C37382"/>
    <w:rsid w:val="00C37DDB"/>
    <w:rsid w:val="00C57F96"/>
    <w:rsid w:val="00C86035"/>
    <w:rsid w:val="00C91BF1"/>
    <w:rsid w:val="00CA053C"/>
    <w:rsid w:val="00CA3782"/>
    <w:rsid w:val="00CB24BB"/>
    <w:rsid w:val="00CD6028"/>
    <w:rsid w:val="00CE12A8"/>
    <w:rsid w:val="00CF57FB"/>
    <w:rsid w:val="00CF69A4"/>
    <w:rsid w:val="00D227B5"/>
    <w:rsid w:val="00D24A39"/>
    <w:rsid w:val="00D42BF6"/>
    <w:rsid w:val="00D453B1"/>
    <w:rsid w:val="00D87313"/>
    <w:rsid w:val="00DA2EDB"/>
    <w:rsid w:val="00DA2EFB"/>
    <w:rsid w:val="00DA7490"/>
    <w:rsid w:val="00DC7D24"/>
    <w:rsid w:val="00DD24C3"/>
    <w:rsid w:val="00DD7920"/>
    <w:rsid w:val="00DF00A8"/>
    <w:rsid w:val="00E124BF"/>
    <w:rsid w:val="00E33339"/>
    <w:rsid w:val="00E3721C"/>
    <w:rsid w:val="00E4360A"/>
    <w:rsid w:val="00E44316"/>
    <w:rsid w:val="00E533BE"/>
    <w:rsid w:val="00E638A0"/>
    <w:rsid w:val="00E75F3B"/>
    <w:rsid w:val="00E80D02"/>
    <w:rsid w:val="00E84137"/>
    <w:rsid w:val="00E9650E"/>
    <w:rsid w:val="00E97B09"/>
    <w:rsid w:val="00EC153B"/>
    <w:rsid w:val="00EE2FFA"/>
    <w:rsid w:val="00EE30B6"/>
    <w:rsid w:val="00EF50E6"/>
    <w:rsid w:val="00EF691A"/>
    <w:rsid w:val="00F0189F"/>
    <w:rsid w:val="00F04D15"/>
    <w:rsid w:val="00F22032"/>
    <w:rsid w:val="00F24230"/>
    <w:rsid w:val="00F24BB2"/>
    <w:rsid w:val="00F2510C"/>
    <w:rsid w:val="00F3146E"/>
    <w:rsid w:val="00F33D85"/>
    <w:rsid w:val="00F41441"/>
    <w:rsid w:val="00F5220F"/>
    <w:rsid w:val="00F52DE6"/>
    <w:rsid w:val="00F77ED9"/>
    <w:rsid w:val="00F82533"/>
    <w:rsid w:val="00F847B8"/>
    <w:rsid w:val="00F9144E"/>
    <w:rsid w:val="00FA0843"/>
    <w:rsid w:val="00FA62BE"/>
    <w:rsid w:val="00FB4E94"/>
    <w:rsid w:val="00FB4F35"/>
    <w:rsid w:val="00FC20E4"/>
    <w:rsid w:val="00FC4D24"/>
    <w:rsid w:val="00FC531F"/>
    <w:rsid w:val="00FD48C1"/>
    <w:rsid w:val="00FD5319"/>
    <w:rsid w:val="00FD6F3B"/>
    <w:rsid w:val="00FE1946"/>
    <w:rsid w:val="00FF0FD0"/>
    <w:rsid w:val="00FF4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1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1372"/>
    <w:pPr>
      <w:tabs>
        <w:tab w:val="center" w:pos="4320"/>
        <w:tab w:val="right" w:pos="8640"/>
      </w:tabs>
    </w:pPr>
  </w:style>
  <w:style w:type="paragraph" w:styleId="Footer">
    <w:name w:val="footer"/>
    <w:basedOn w:val="Normal"/>
    <w:rsid w:val="00881372"/>
    <w:pPr>
      <w:tabs>
        <w:tab w:val="center" w:pos="4320"/>
        <w:tab w:val="right" w:pos="8640"/>
      </w:tabs>
    </w:pPr>
  </w:style>
  <w:style w:type="paragraph" w:styleId="FootnoteText">
    <w:name w:val="footnote text"/>
    <w:aliases w:val="fn,ft"/>
    <w:basedOn w:val="Normal"/>
    <w:link w:val="FootnoteTextChar"/>
    <w:semiHidden/>
    <w:rsid w:val="00881372"/>
  </w:style>
  <w:style w:type="character" w:styleId="FootnoteReference">
    <w:name w:val="footnote reference"/>
    <w:aliases w:val="fr"/>
    <w:basedOn w:val="DefaultParagraphFont"/>
    <w:semiHidden/>
    <w:rsid w:val="00881372"/>
    <w:rPr>
      <w:vertAlign w:val="superscript"/>
    </w:rPr>
  </w:style>
  <w:style w:type="paragraph" w:styleId="BodyText">
    <w:name w:val="Body Text"/>
    <w:basedOn w:val="Normal"/>
    <w:rsid w:val="00881372"/>
    <w:pPr>
      <w:tabs>
        <w:tab w:val="left" w:pos="720"/>
      </w:tabs>
    </w:pPr>
    <w:rPr>
      <w:sz w:val="24"/>
    </w:rPr>
  </w:style>
  <w:style w:type="paragraph" w:styleId="BodyTextIndent">
    <w:name w:val="Body Text Indent"/>
    <w:basedOn w:val="Normal"/>
    <w:rsid w:val="00881372"/>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customStyle="1" w:styleId="FootnoteTextChar">
    <w:name w:val="Footnote Text Char"/>
    <w:aliases w:val="fn Char,ft Char"/>
    <w:basedOn w:val="DefaultParagraphFont"/>
    <w:link w:val="FootnoteText"/>
    <w:rsid w:val="000E0621"/>
    <w:rPr>
      <w:lang w:val="en-US" w:eastAsia="en-US" w:bidi="ar-SA"/>
    </w:rPr>
  </w:style>
  <w:style w:type="character" w:customStyle="1" w:styleId="fnChar1">
    <w:name w:val="fn Char1"/>
    <w:aliases w:val="ft Char Char"/>
    <w:basedOn w:val="DefaultParagraphFont"/>
    <w:rsid w:val="00F22032"/>
    <w:rPr>
      <w:sz w:val="24"/>
      <w:lang w:val="en-US" w:eastAsia="en-US" w:bidi="ar-SA"/>
    </w:rPr>
  </w:style>
  <w:style w:type="paragraph" w:styleId="BalloonText">
    <w:name w:val="Balloon Text"/>
    <w:basedOn w:val="Normal"/>
    <w:semiHidden/>
    <w:rsid w:val="00521856"/>
    <w:rPr>
      <w:rFonts w:ascii="Tahoma" w:hAnsi="Tahoma" w:cs="Tahoma"/>
      <w:sz w:val="16"/>
      <w:szCs w:val="16"/>
    </w:rPr>
  </w:style>
  <w:style w:type="character" w:customStyle="1" w:styleId="HeaderChar">
    <w:name w:val="Header Char"/>
    <w:basedOn w:val="DefaultParagraphFont"/>
    <w:link w:val="Header"/>
    <w:uiPriority w:val="99"/>
    <w:rsid w:val="00EF691A"/>
  </w:style>
  <w:style w:type="character" w:styleId="CommentReference">
    <w:name w:val="annotation reference"/>
    <w:basedOn w:val="DefaultParagraphFont"/>
    <w:rsid w:val="00E33339"/>
    <w:rPr>
      <w:sz w:val="16"/>
      <w:szCs w:val="16"/>
    </w:rPr>
  </w:style>
  <w:style w:type="paragraph" w:styleId="CommentText">
    <w:name w:val="annotation text"/>
    <w:basedOn w:val="Normal"/>
    <w:link w:val="CommentTextChar"/>
    <w:rsid w:val="00E33339"/>
  </w:style>
  <w:style w:type="character" w:customStyle="1" w:styleId="CommentTextChar">
    <w:name w:val="Comment Text Char"/>
    <w:basedOn w:val="DefaultParagraphFont"/>
    <w:link w:val="CommentText"/>
    <w:rsid w:val="00E33339"/>
  </w:style>
  <w:style w:type="paragraph" w:styleId="CommentSubject">
    <w:name w:val="annotation subject"/>
    <w:basedOn w:val="CommentText"/>
    <w:next w:val="CommentText"/>
    <w:link w:val="CommentSubjectChar"/>
    <w:rsid w:val="00E33339"/>
    <w:rPr>
      <w:b/>
      <w:bCs/>
    </w:rPr>
  </w:style>
  <w:style w:type="character" w:customStyle="1" w:styleId="CommentSubjectChar">
    <w:name w:val="Comment Subject Char"/>
    <w:basedOn w:val="CommentTextChar"/>
    <w:link w:val="CommentSubject"/>
    <w:rsid w:val="00E33339"/>
    <w:rPr>
      <w:b/>
      <w:bCs/>
    </w:rPr>
  </w:style>
</w:styles>
</file>

<file path=word/webSettings.xml><?xml version="1.0" encoding="utf-8"?>
<w:webSettings xmlns:r="http://schemas.openxmlformats.org/officeDocument/2006/relationships" xmlns:w="http://schemas.openxmlformats.org/wordprocessingml/2006/main">
  <w:divs>
    <w:div w:id="398596293">
      <w:bodyDiv w:val="1"/>
      <w:marLeft w:val="0"/>
      <w:marRight w:val="0"/>
      <w:marTop w:val="0"/>
      <w:marBottom w:val="0"/>
      <w:divBdr>
        <w:top w:val="none" w:sz="0" w:space="0" w:color="auto"/>
        <w:left w:val="none" w:sz="0" w:space="0" w:color="auto"/>
        <w:bottom w:val="none" w:sz="0" w:space="0" w:color="auto"/>
        <w:right w:val="none" w:sz="0" w:space="0" w:color="auto"/>
      </w:divBdr>
    </w:div>
    <w:div w:id="1869902263">
      <w:bodyDiv w:val="1"/>
      <w:marLeft w:val="0"/>
      <w:marRight w:val="0"/>
      <w:marTop w:val="0"/>
      <w:marBottom w:val="0"/>
      <w:divBdr>
        <w:top w:val="none" w:sz="0" w:space="0" w:color="auto"/>
        <w:left w:val="none" w:sz="0" w:space="0" w:color="auto"/>
        <w:bottom w:val="none" w:sz="0" w:space="0" w:color="auto"/>
        <w:right w:val="none" w:sz="0" w:space="0" w:color="auto"/>
      </w:divBdr>
    </w:div>
    <w:div w:id="19846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6EFC-34D1-44DC-8E0F-B2574DE1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	Justification</vt:lpstr>
    </vt:vector>
  </TitlesOfParts>
  <Company> </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us</dc:creator>
  <cp:keywords/>
  <cp:lastModifiedBy>pavliksimonr</cp:lastModifiedBy>
  <cp:revision>2</cp:revision>
  <cp:lastPrinted>2010-07-14T16:11:00Z</cp:lastPrinted>
  <dcterms:created xsi:type="dcterms:W3CDTF">2010-11-22T21:55:00Z</dcterms:created>
  <dcterms:modified xsi:type="dcterms:W3CDTF">2010-11-22T21:55:00Z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gFAAXJDLFUo5N7uvxzjAqjZ5isRdgRNOGJcXn5JPZWHLSrmXDY8wMmI+WN0gHXEGSrqjrhox6m/Bphg3
8qUldqWbWnTYWwb2mfjMIAjpekbPkb6BeR4MVN2zxa9xxA9O+RujOrbmbsWyH9038qUldqWbWnTY
Wwb2mfjMIAjpekbPkb6BeR4MVN2zxX4lv1RrJC+8bM4kvn54Z2etOMUqE3yAXiMqaxjqIDZQyZnf
C+LBfRy6oay72t0GQ</vt:lpwstr>
  </property>
  <property fmtid="{D5CDD505-2E9C-101B-9397-08002B2CF9AE}" pid="4" name="MAIL_MSG_ID2">
    <vt:lpwstr>9Gm4ly01bVCP+dMUp41yPU9Fltdygod4x8kerP09w8H0Y8l7HzrHSmWXO97
23pwKRuCVu1BrnhlgehawxtfC6P9CNeR5aihEQ==</vt:lpwstr>
  </property>
  <property fmtid="{D5CDD505-2E9C-101B-9397-08002B2CF9AE}" pid="5" name="RESPONSE_SENDER_NAME">
    <vt:lpwstr>sAAA2RgG6J6jCJ1YJ+Fbx/YsMlmr+hkVQS+SteWx+6/i7fU=</vt:lpwstr>
  </property>
  <property fmtid="{D5CDD505-2E9C-101B-9397-08002B2CF9AE}" pid="6" name="EMAIL_OWNER_ADDRESS">
    <vt:lpwstr>sAAA2RgG6J6jCJ3N6DQU8H4KvBJQvYbzvOCEEPY2hVZkUIM=</vt:lpwstr>
  </property>
  <property fmtid="{D5CDD505-2E9C-101B-9397-08002B2CF9AE}" pid="7" name="WS_SEND_FOR_REVIEW">
    <vt:lpwstr>SendForReview</vt:lpwstr>
  </property>
  <property fmtid="{D5CDD505-2E9C-101B-9397-08002B2CF9AE}" pid="8" name="WS_RTS_TAG">
    <vt:lpwstr>QDAA/ZQ1IW0tm1voJo8bhV1+TJy7yD02t2X/68Iy3s6KYMpGjt2Tu92iLkL+qKqpGdwUffd+ki32agK2
v261dwx9OoC9kyFz/FZDCRUUQlzBIrpRdQnq3VWW4wHSFkpDq3bM+QEP1/LB56BY35wQhWLx/XyS
nuaCNNFVXYr3GsPLw6o/DL74LPy8vA1tWN9ZeFu2zlZzxiNxsS0=</vt:lpwstr>
  </property>
</Properties>
</file>