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E63" w:rsidRDefault="00AC1E63" w:rsidP="00AC1E63">
      <w:pPr>
        <w:rPr>
          <w:rFonts w:ascii="Arial" w:hAnsi="Arial" w:cs="Arial"/>
          <w:sz w:val="24"/>
          <w:szCs w:val="24"/>
        </w:rPr>
      </w:pPr>
      <w:r>
        <w:rPr>
          <w:rFonts w:ascii="Arial" w:hAnsi="Arial" w:cs="Arial"/>
          <w:sz w:val="24"/>
          <w:szCs w:val="24"/>
        </w:rPr>
        <w:t>Estimate of Respondent Burden</w:t>
      </w:r>
    </w:p>
    <w:p w:rsidR="00AC1E63" w:rsidRDefault="00AC1E63" w:rsidP="00AC1E63">
      <w:pPr>
        <w:rPr>
          <w:rFonts w:ascii="Arial" w:hAnsi="Arial" w:cs="Arial"/>
          <w:sz w:val="24"/>
          <w:szCs w:val="24"/>
        </w:rPr>
      </w:pPr>
      <w:r>
        <w:rPr>
          <w:rFonts w:ascii="Arial" w:hAnsi="Arial" w:cs="Arial"/>
          <w:sz w:val="24"/>
          <w:szCs w:val="24"/>
        </w:rPr>
        <w:t xml:space="preserve">The total estimated annual burden for this information collection is 1,080,063 hours, as shown in the table below.  NCUA estimates that there are 23,539 MLOs for credit unions and that it will take each MLO 3.5 hours to register initially and disclose their unique identifier to consumers.  NCUA also estimates that about half of those MLOs, 11,770, will need to update their registration each year and it will take 15 minutes to provide these updates.  Finally, the NCUA estimates that their 2,834 credit unions would take 351 hours to implement policies and procedures, establish tracking and compliance systems, and establish reporting, filing, and information dissemination systems.  Most of the burden will only occur during the first year of implementation. </w:t>
      </w:r>
    </w:p>
    <w:p w:rsidR="00AC1E63" w:rsidRDefault="00AC1E63" w:rsidP="00AC1E63">
      <w:pPr>
        <w:ind w:left="1440" w:firstLine="720"/>
        <w:rPr>
          <w:rFonts w:ascii="Arial" w:hAnsi="Arial" w:cs="Arial"/>
          <w:i/>
          <w:sz w:val="16"/>
          <w:szCs w:val="16"/>
        </w:rPr>
      </w:pPr>
      <w:r>
        <w:rPr>
          <w:rFonts w:ascii="Arial" w:hAnsi="Arial" w:cs="Arial"/>
          <w:i/>
          <w:sz w:val="16"/>
          <w:szCs w:val="16"/>
        </w:rPr>
        <w:t>Number of respondents/ Est. annual frequency/ Est. hrs per response/ Est. annual burden hrs</w:t>
      </w:r>
    </w:p>
    <w:p w:rsidR="00AC1E63" w:rsidRDefault="00AC1E63" w:rsidP="00AC1E63">
      <w:pPr>
        <w:rPr>
          <w:rFonts w:ascii="Arial" w:hAnsi="Arial" w:cs="Arial"/>
          <w:i/>
          <w:sz w:val="16"/>
          <w:szCs w:val="16"/>
        </w:rPr>
      </w:pPr>
      <w:r>
        <w:rPr>
          <w:rFonts w:ascii="Arial" w:hAnsi="Arial" w:cs="Arial"/>
          <w:i/>
          <w:sz w:val="16"/>
          <w:szCs w:val="16"/>
        </w:rPr>
        <w:t>MLOs – initial set up and disclosure:   23,539               1                                    3.5                                   82,386.5</w:t>
      </w:r>
    </w:p>
    <w:p w:rsidR="00AC1E63" w:rsidRDefault="00AC1E63" w:rsidP="00AC1E63">
      <w:pPr>
        <w:rPr>
          <w:rFonts w:ascii="Arial" w:hAnsi="Arial" w:cs="Arial"/>
          <w:i/>
          <w:sz w:val="16"/>
          <w:szCs w:val="16"/>
        </w:rPr>
      </w:pPr>
      <w:r>
        <w:rPr>
          <w:rFonts w:ascii="Arial" w:hAnsi="Arial" w:cs="Arial"/>
          <w:i/>
          <w:sz w:val="16"/>
          <w:szCs w:val="16"/>
        </w:rPr>
        <w:t>MLOs – updates for changes               11,770              1                                     0.25                                  2,942.5</w:t>
      </w:r>
    </w:p>
    <w:p w:rsidR="00AC1E63" w:rsidRDefault="00AC1E63" w:rsidP="00AC1E63">
      <w:pPr>
        <w:rPr>
          <w:rFonts w:ascii="Arial" w:hAnsi="Arial" w:cs="Arial"/>
          <w:i/>
          <w:sz w:val="16"/>
          <w:szCs w:val="16"/>
          <w:u w:val="single"/>
        </w:rPr>
      </w:pPr>
      <w:r>
        <w:rPr>
          <w:rFonts w:ascii="Arial" w:hAnsi="Arial" w:cs="Arial"/>
          <w:i/>
          <w:sz w:val="16"/>
          <w:szCs w:val="16"/>
        </w:rPr>
        <w:t xml:space="preserve">Credit Unions                                        2,834               1                                  351                                  </w:t>
      </w:r>
      <w:r>
        <w:rPr>
          <w:rFonts w:ascii="Arial" w:hAnsi="Arial" w:cs="Arial"/>
          <w:i/>
          <w:sz w:val="16"/>
          <w:szCs w:val="16"/>
          <w:u w:val="single"/>
        </w:rPr>
        <w:t>994,734</w:t>
      </w:r>
    </w:p>
    <w:p w:rsidR="00AC1E63" w:rsidRDefault="00AC1E63" w:rsidP="00AC1E63">
      <w:pPr>
        <w:rPr>
          <w:rFonts w:ascii="Arial" w:hAnsi="Arial" w:cs="Arial"/>
          <w:i/>
          <w:sz w:val="16"/>
          <w:szCs w:val="16"/>
        </w:rPr>
      </w:pPr>
      <w:r>
        <w:rPr>
          <w:rFonts w:ascii="Arial" w:hAnsi="Arial" w:cs="Arial"/>
          <w:i/>
          <w:sz w:val="16"/>
          <w:szCs w:val="16"/>
        </w:rPr>
        <w:t>Total                                                                                                                                                         1,080,063 hours</w:t>
      </w:r>
    </w:p>
    <w:p w:rsidR="00AC1E63" w:rsidRDefault="00AC1E63" w:rsidP="00AC1E63">
      <w:pPr>
        <w:rPr>
          <w:rFonts w:ascii="Arial" w:eastAsia="Calibri" w:hAnsi="Arial" w:cs="Arial"/>
          <w:i/>
          <w:sz w:val="16"/>
          <w:szCs w:val="16"/>
          <w:u w:val="single"/>
        </w:rPr>
      </w:pPr>
      <w:r>
        <w:rPr>
          <w:rFonts w:ascii="Arial" w:eastAsia="Calibri" w:hAnsi="Arial" w:cs="Arial"/>
          <w:i/>
          <w:sz w:val="16"/>
          <w:szCs w:val="16"/>
          <w:u w:val="single"/>
        </w:rPr>
        <w:t>Implementing Policies and Procedures, Maintain Criminal Report Records and Tracking Systems for Compliance</w:t>
      </w:r>
      <w:r>
        <w:rPr>
          <w:rStyle w:val="FootnoteReference"/>
          <w:rFonts w:ascii="Arial" w:eastAsia="Calibri" w:hAnsi="Arial" w:cs="Arial"/>
          <w:i/>
          <w:sz w:val="16"/>
          <w:szCs w:val="16"/>
        </w:rPr>
        <w:footnoteReference w:id="1"/>
      </w:r>
    </w:p>
    <w:p w:rsidR="00AC1E63" w:rsidRDefault="00AC1E63" w:rsidP="00AC1E63">
      <w:pPr>
        <w:rPr>
          <w:rFonts w:ascii="Arial" w:eastAsia="Calibri" w:hAnsi="Arial" w:cs="Arial"/>
          <w:i/>
          <w:sz w:val="16"/>
          <w:szCs w:val="16"/>
        </w:rPr>
      </w:pPr>
      <w:r>
        <w:rPr>
          <w:rFonts w:ascii="Arial" w:eastAsia="Calibri" w:hAnsi="Arial" w:cs="Arial"/>
          <w:i/>
          <w:sz w:val="16"/>
          <w:szCs w:val="16"/>
        </w:rPr>
        <w:t>Support Staff</w:t>
      </w:r>
      <w:r>
        <w:rPr>
          <w:rFonts w:ascii="Arial" w:eastAsia="Calibri" w:hAnsi="Arial" w:cs="Arial"/>
          <w:i/>
          <w:sz w:val="16"/>
          <w:szCs w:val="16"/>
        </w:rPr>
        <w:tab/>
      </w:r>
      <w:r>
        <w:rPr>
          <w:rFonts w:ascii="Arial" w:eastAsia="Calibri" w:hAnsi="Arial" w:cs="Arial"/>
          <w:i/>
          <w:sz w:val="16"/>
          <w:szCs w:val="16"/>
        </w:rPr>
        <w:tab/>
      </w:r>
      <w:r>
        <w:rPr>
          <w:rFonts w:ascii="Arial" w:eastAsia="Calibri" w:hAnsi="Arial" w:cs="Arial"/>
          <w:i/>
          <w:sz w:val="16"/>
          <w:szCs w:val="16"/>
        </w:rPr>
        <w:tab/>
        <w:t>40% x (1,077,120.5) = @ $25 = $10,771,205</w:t>
      </w:r>
    </w:p>
    <w:p w:rsidR="00AC1E63" w:rsidRDefault="00AC1E63" w:rsidP="00AC1E63">
      <w:pPr>
        <w:rPr>
          <w:rFonts w:ascii="Arial" w:eastAsia="Calibri" w:hAnsi="Arial" w:cs="Arial"/>
          <w:i/>
          <w:sz w:val="16"/>
          <w:szCs w:val="16"/>
        </w:rPr>
      </w:pPr>
      <w:r>
        <w:rPr>
          <w:rFonts w:ascii="Arial" w:eastAsia="Calibri" w:hAnsi="Arial" w:cs="Arial"/>
          <w:i/>
          <w:sz w:val="16"/>
          <w:szCs w:val="16"/>
        </w:rPr>
        <w:t>Professional Staff</w:t>
      </w:r>
      <w:r>
        <w:rPr>
          <w:rFonts w:ascii="Arial" w:eastAsia="Calibri" w:hAnsi="Arial" w:cs="Arial"/>
          <w:i/>
          <w:sz w:val="16"/>
          <w:szCs w:val="16"/>
        </w:rPr>
        <w:tab/>
      </w:r>
      <w:r>
        <w:rPr>
          <w:rFonts w:ascii="Arial" w:eastAsia="Calibri" w:hAnsi="Arial" w:cs="Arial"/>
          <w:i/>
          <w:sz w:val="16"/>
          <w:szCs w:val="16"/>
        </w:rPr>
        <w:tab/>
      </w:r>
      <w:r>
        <w:rPr>
          <w:rFonts w:ascii="Arial" w:eastAsia="Calibri" w:hAnsi="Arial" w:cs="Arial"/>
          <w:i/>
          <w:sz w:val="16"/>
          <w:szCs w:val="16"/>
        </w:rPr>
        <w:tab/>
        <w:t>50% x (1,077,120.5) = @$55 = $29,620,813</w:t>
      </w:r>
    </w:p>
    <w:p w:rsidR="00AC1E63" w:rsidRDefault="00AC1E63" w:rsidP="00AC1E63">
      <w:pPr>
        <w:rPr>
          <w:rFonts w:ascii="Arial" w:eastAsia="Calibri" w:hAnsi="Arial" w:cs="Arial"/>
          <w:i/>
          <w:sz w:val="16"/>
          <w:szCs w:val="16"/>
        </w:rPr>
      </w:pPr>
      <w:r>
        <w:rPr>
          <w:rFonts w:ascii="Arial" w:eastAsia="Calibri" w:hAnsi="Arial" w:cs="Arial"/>
          <w:i/>
          <w:sz w:val="16"/>
          <w:szCs w:val="16"/>
        </w:rPr>
        <w:t>Senior Management</w:t>
      </w:r>
      <w:r>
        <w:rPr>
          <w:rFonts w:ascii="Arial" w:eastAsia="Calibri" w:hAnsi="Arial" w:cs="Arial"/>
          <w:i/>
          <w:sz w:val="16"/>
          <w:szCs w:val="16"/>
        </w:rPr>
        <w:tab/>
      </w:r>
      <w:r>
        <w:rPr>
          <w:rFonts w:ascii="Arial" w:eastAsia="Calibri" w:hAnsi="Arial" w:cs="Arial"/>
          <w:i/>
          <w:sz w:val="16"/>
          <w:szCs w:val="16"/>
        </w:rPr>
        <w:tab/>
        <w:t xml:space="preserve">  5% x </w:t>
      </w:r>
      <w:r>
        <w:rPr>
          <w:rFonts w:ascii="Arial" w:eastAsia="Calibri" w:hAnsi="Arial" w:cs="Arial"/>
          <w:i/>
          <w:sz w:val="16"/>
          <w:szCs w:val="16"/>
        </w:rPr>
        <w:tab/>
        <w:t>(1,077,120.5) = @$100 = $5,385,602.50</w:t>
      </w:r>
    </w:p>
    <w:p w:rsidR="00AC1E63" w:rsidRDefault="00AC1E63" w:rsidP="00AC1E63">
      <w:pPr>
        <w:rPr>
          <w:rFonts w:ascii="Arial" w:eastAsia="Calibri" w:hAnsi="Arial" w:cs="Arial"/>
          <w:i/>
          <w:sz w:val="16"/>
          <w:szCs w:val="16"/>
        </w:rPr>
      </w:pPr>
      <w:r>
        <w:rPr>
          <w:rFonts w:ascii="Arial" w:eastAsia="Calibri" w:hAnsi="Arial" w:cs="Arial"/>
          <w:i/>
          <w:sz w:val="16"/>
          <w:szCs w:val="16"/>
        </w:rPr>
        <w:t>Legal Counsel</w:t>
      </w:r>
      <w:r>
        <w:rPr>
          <w:rFonts w:ascii="Arial" w:eastAsia="Calibri" w:hAnsi="Arial" w:cs="Arial"/>
          <w:i/>
          <w:sz w:val="16"/>
          <w:szCs w:val="16"/>
        </w:rPr>
        <w:tab/>
      </w:r>
      <w:r>
        <w:rPr>
          <w:rFonts w:ascii="Arial" w:eastAsia="Calibri" w:hAnsi="Arial" w:cs="Arial"/>
          <w:i/>
          <w:sz w:val="16"/>
          <w:szCs w:val="16"/>
        </w:rPr>
        <w:tab/>
      </w:r>
      <w:r>
        <w:rPr>
          <w:rFonts w:ascii="Arial" w:eastAsia="Calibri" w:hAnsi="Arial" w:cs="Arial"/>
          <w:i/>
          <w:sz w:val="16"/>
          <w:szCs w:val="16"/>
        </w:rPr>
        <w:tab/>
        <w:t xml:space="preserve">  5% x (1,077,120.5) =  @$144 = $7,755,267.60  </w:t>
      </w:r>
    </w:p>
    <w:p w:rsidR="00AC1E63" w:rsidRDefault="00AC1E63" w:rsidP="00AC1E63">
      <w:pPr>
        <w:ind w:left="5760"/>
        <w:rPr>
          <w:rFonts w:ascii="Arial" w:eastAsia="Calibri" w:hAnsi="Arial" w:cs="Arial"/>
          <w:i/>
          <w:sz w:val="16"/>
          <w:szCs w:val="16"/>
        </w:rPr>
      </w:pPr>
      <w:r>
        <w:rPr>
          <w:rFonts w:ascii="Arial" w:eastAsia="Calibri" w:hAnsi="Arial" w:cs="Arial"/>
          <w:i/>
          <w:sz w:val="16"/>
          <w:szCs w:val="16"/>
        </w:rPr>
        <w:t>$53,532,887</w:t>
      </w:r>
    </w:p>
    <w:p w:rsidR="00AC1E63" w:rsidRDefault="00AC1E63" w:rsidP="00AC1E63">
      <w:pPr>
        <w:ind w:left="90"/>
        <w:rPr>
          <w:rFonts w:ascii="Arial" w:eastAsia="Calibri" w:hAnsi="Arial" w:cs="Arial"/>
          <w:i/>
          <w:sz w:val="16"/>
          <w:szCs w:val="16"/>
          <w:u w:val="single"/>
        </w:rPr>
      </w:pPr>
      <w:r>
        <w:rPr>
          <w:rFonts w:ascii="Arial" w:eastAsia="Calibri" w:hAnsi="Arial" w:cs="Arial"/>
          <w:i/>
          <w:sz w:val="16"/>
          <w:szCs w:val="16"/>
          <w:u w:val="single"/>
        </w:rPr>
        <w:t>Mortgage Loan Originator- Registration/Update</w:t>
      </w:r>
    </w:p>
    <w:p w:rsidR="00AC1E63" w:rsidRDefault="00AC1E63" w:rsidP="00AC1E63">
      <w:pPr>
        <w:ind w:left="90"/>
        <w:rPr>
          <w:rFonts w:ascii="Arial" w:eastAsia="Calibri" w:hAnsi="Arial" w:cs="Arial"/>
          <w:i/>
          <w:sz w:val="16"/>
          <w:szCs w:val="16"/>
        </w:rPr>
      </w:pPr>
      <w:r>
        <w:rPr>
          <w:rFonts w:ascii="Arial" w:eastAsia="Calibri" w:hAnsi="Arial" w:cs="Arial"/>
          <w:i/>
          <w:sz w:val="16"/>
          <w:szCs w:val="16"/>
        </w:rPr>
        <w:tab/>
      </w:r>
      <w:r>
        <w:rPr>
          <w:rFonts w:ascii="Arial" w:eastAsia="Calibri" w:hAnsi="Arial" w:cs="Arial"/>
          <w:i/>
          <w:sz w:val="16"/>
          <w:szCs w:val="16"/>
        </w:rPr>
        <w:tab/>
      </w:r>
      <w:r>
        <w:rPr>
          <w:rFonts w:ascii="Arial" w:eastAsia="Calibri" w:hAnsi="Arial" w:cs="Arial"/>
          <w:i/>
          <w:sz w:val="16"/>
          <w:szCs w:val="16"/>
        </w:rPr>
        <w:tab/>
      </w:r>
      <w:r>
        <w:rPr>
          <w:rFonts w:ascii="Arial" w:eastAsia="Calibri" w:hAnsi="Arial" w:cs="Arial"/>
          <w:i/>
          <w:sz w:val="16"/>
          <w:szCs w:val="16"/>
        </w:rPr>
        <w:tab/>
      </w:r>
      <w:r>
        <w:rPr>
          <w:rFonts w:ascii="Arial" w:eastAsia="Calibri" w:hAnsi="Arial" w:cs="Arial"/>
          <w:i/>
          <w:sz w:val="16"/>
          <w:szCs w:val="16"/>
        </w:rPr>
        <w:tab/>
      </w:r>
      <w:r>
        <w:rPr>
          <w:rFonts w:ascii="Arial" w:eastAsia="Calibri" w:hAnsi="Arial" w:cs="Arial"/>
          <w:i/>
          <w:sz w:val="16"/>
          <w:szCs w:val="16"/>
        </w:rPr>
        <w:tab/>
      </w:r>
      <w:r>
        <w:rPr>
          <w:rFonts w:ascii="Arial" w:eastAsia="Calibri" w:hAnsi="Arial" w:cs="Arial"/>
          <w:i/>
          <w:sz w:val="16"/>
          <w:szCs w:val="16"/>
        </w:rPr>
        <w:tab/>
        <w:t>2942.5@$20</w:t>
      </w:r>
      <w:r>
        <w:rPr>
          <w:rStyle w:val="FootnoteReference"/>
          <w:rFonts w:ascii="Arial" w:eastAsia="Calibri" w:hAnsi="Arial" w:cs="Arial"/>
          <w:i/>
          <w:sz w:val="16"/>
          <w:szCs w:val="16"/>
        </w:rPr>
        <w:footnoteReference w:id="2"/>
      </w:r>
      <w:r>
        <w:rPr>
          <w:rFonts w:ascii="Arial" w:eastAsia="Calibri" w:hAnsi="Arial" w:cs="Arial"/>
          <w:i/>
          <w:sz w:val="16"/>
          <w:szCs w:val="16"/>
        </w:rPr>
        <w:t>= $58,850</w:t>
      </w:r>
    </w:p>
    <w:p w:rsidR="00AC1E63" w:rsidRDefault="00AC1E63" w:rsidP="00AC1E63">
      <w:pPr>
        <w:rPr>
          <w:rFonts w:ascii="Arial" w:eastAsia="Calibri" w:hAnsi="Arial" w:cs="Arial"/>
          <w:i/>
          <w:sz w:val="16"/>
          <w:szCs w:val="16"/>
        </w:rPr>
      </w:pPr>
      <w:r>
        <w:rPr>
          <w:rFonts w:ascii="Arial" w:eastAsia="Calibri" w:hAnsi="Arial" w:cs="Arial"/>
          <w:i/>
          <w:sz w:val="16"/>
          <w:szCs w:val="16"/>
        </w:rPr>
        <w:tab/>
      </w:r>
      <w:r>
        <w:rPr>
          <w:rFonts w:ascii="Arial" w:eastAsia="Calibri" w:hAnsi="Arial" w:cs="Arial"/>
          <w:i/>
          <w:sz w:val="16"/>
          <w:szCs w:val="16"/>
        </w:rPr>
        <w:tab/>
      </w:r>
      <w:r>
        <w:rPr>
          <w:rFonts w:ascii="Arial" w:eastAsia="Calibri" w:hAnsi="Arial" w:cs="Arial"/>
          <w:i/>
          <w:sz w:val="16"/>
          <w:szCs w:val="16"/>
        </w:rPr>
        <w:tab/>
      </w:r>
      <w:r>
        <w:rPr>
          <w:rFonts w:ascii="Arial" w:eastAsia="Calibri" w:hAnsi="Arial" w:cs="Arial"/>
          <w:i/>
          <w:sz w:val="16"/>
          <w:szCs w:val="16"/>
        </w:rPr>
        <w:tab/>
      </w:r>
      <w:r>
        <w:rPr>
          <w:rFonts w:ascii="Arial" w:eastAsia="Calibri" w:hAnsi="Arial" w:cs="Arial"/>
          <w:i/>
          <w:sz w:val="16"/>
          <w:szCs w:val="16"/>
        </w:rPr>
        <w:tab/>
      </w:r>
      <w:r>
        <w:rPr>
          <w:rFonts w:ascii="Arial" w:eastAsia="Calibri" w:hAnsi="Arial" w:cs="Arial"/>
          <w:i/>
          <w:sz w:val="16"/>
          <w:szCs w:val="16"/>
        </w:rPr>
        <w:tab/>
      </w:r>
      <w:r>
        <w:rPr>
          <w:rFonts w:ascii="Arial" w:eastAsia="Calibri" w:hAnsi="Arial" w:cs="Arial"/>
          <w:i/>
          <w:sz w:val="16"/>
          <w:szCs w:val="16"/>
        </w:rPr>
        <w:tab/>
        <w:t>Total (est.):    $53,591,737</w:t>
      </w:r>
    </w:p>
    <w:p w:rsidR="00AC1E63" w:rsidRDefault="00AC1E63" w:rsidP="00AC1E63">
      <w:pPr>
        <w:spacing w:after="0"/>
        <w:rPr>
          <w:rFonts w:ascii="Arial" w:hAnsi="Arial" w:cs="Arial"/>
          <w:sz w:val="24"/>
          <w:szCs w:val="24"/>
        </w:rPr>
      </w:pPr>
      <w:r>
        <w:rPr>
          <w:rFonts w:ascii="Arial" w:hAnsi="Arial" w:cs="Arial"/>
          <w:sz w:val="24"/>
          <w:szCs w:val="24"/>
        </w:rPr>
        <w:t>Therefore, the current annual cost to the public of this information collection is estimated to be $53,591,737.</w:t>
      </w:r>
    </w:p>
    <w:p w:rsidR="00AC1E63" w:rsidRDefault="00AC1E63" w:rsidP="00AC1E63">
      <w:pPr>
        <w:spacing w:after="0"/>
        <w:rPr>
          <w:rFonts w:ascii="Arial" w:hAnsi="Arial" w:cs="Arial"/>
          <w:sz w:val="24"/>
          <w:szCs w:val="24"/>
        </w:rPr>
      </w:pPr>
    </w:p>
    <w:p w:rsidR="00AC1E63" w:rsidRDefault="00AC1E63" w:rsidP="00AC1E63">
      <w:pPr>
        <w:rPr>
          <w:rFonts w:ascii="Arial" w:hAnsi="Arial" w:cs="Arial"/>
          <w:sz w:val="24"/>
          <w:szCs w:val="24"/>
        </w:rPr>
      </w:pPr>
      <w:r>
        <w:rPr>
          <w:rFonts w:ascii="Arial" w:hAnsi="Arial" w:cs="Arial"/>
          <w:sz w:val="24"/>
          <w:szCs w:val="24"/>
        </w:rPr>
        <w:t>Estimate of Cost to the NCUA</w:t>
      </w:r>
    </w:p>
    <w:p w:rsidR="00AC1E63" w:rsidRDefault="00AC1E63" w:rsidP="00AC1E63">
      <w:pPr>
        <w:rPr>
          <w:rFonts w:ascii="Arial" w:hAnsi="Arial" w:cs="Arial"/>
          <w:sz w:val="24"/>
          <w:szCs w:val="24"/>
        </w:rPr>
      </w:pPr>
      <w:r>
        <w:rPr>
          <w:rFonts w:ascii="Arial" w:hAnsi="Arial" w:cs="Arial"/>
          <w:sz w:val="24"/>
          <w:szCs w:val="24"/>
        </w:rPr>
        <w:lastRenderedPageBreak/>
        <w:t>NCUA staff would review the information as part of their normal work assignments and there would be no additional staffing costs.</w:t>
      </w:r>
    </w:p>
    <w:sectPr w:rsidR="00AC1E63" w:rsidSect="0033634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EDB" w:rsidRDefault="00E57EDB" w:rsidP="00AC1E63">
      <w:pPr>
        <w:spacing w:after="0" w:line="240" w:lineRule="auto"/>
      </w:pPr>
      <w:r>
        <w:separator/>
      </w:r>
    </w:p>
  </w:endnote>
  <w:endnote w:type="continuationSeparator" w:id="0">
    <w:p w:rsidR="00E57EDB" w:rsidRDefault="00E57EDB" w:rsidP="00AC1E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EDB" w:rsidRDefault="00E57EDB" w:rsidP="00AC1E63">
      <w:pPr>
        <w:spacing w:after="0" w:line="240" w:lineRule="auto"/>
      </w:pPr>
      <w:r>
        <w:separator/>
      </w:r>
    </w:p>
  </w:footnote>
  <w:footnote w:type="continuationSeparator" w:id="0">
    <w:p w:rsidR="00E57EDB" w:rsidRDefault="00E57EDB" w:rsidP="00AC1E63">
      <w:pPr>
        <w:spacing w:after="0" w:line="240" w:lineRule="auto"/>
      </w:pPr>
      <w:r>
        <w:continuationSeparator/>
      </w:r>
    </w:p>
  </w:footnote>
  <w:footnote w:id="1">
    <w:p w:rsidR="00AC1E63" w:rsidRDefault="00AC1E63" w:rsidP="00AC1E63">
      <w:pPr>
        <w:pStyle w:val="FootnoteText"/>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These costs to the public were estimated using the following formula: percent of staff time, multiplied by annual burden hours, multiplied by hourly rate (40% Administrative or Junior Analyst @ $25, 50% Managerial or Technical @ $55, 5% Senior Management @ $100, and 5% Legal Counsel @ $144). Hourly rate estimates for each occupational group are averages using data from the Bureau of Labor and Statistics (BLS), Occupational Employment and Wages.  </w:t>
      </w:r>
    </w:p>
  </w:footnote>
  <w:footnote w:id="2">
    <w:p w:rsidR="00AC1E63" w:rsidRDefault="00AC1E63" w:rsidP="00AC1E63">
      <w:r>
        <w:rPr>
          <w:rStyle w:val="FootnoteReference"/>
          <w:rFonts w:ascii="Arial" w:hAnsi="Arial" w:cs="Arial"/>
          <w:sz w:val="16"/>
          <w:szCs w:val="16"/>
        </w:rPr>
        <w:footnoteRef/>
      </w:r>
      <w:r>
        <w:rPr>
          <w:rFonts w:ascii="Arial" w:hAnsi="Arial" w:cs="Arial"/>
          <w:sz w:val="16"/>
          <w:szCs w:val="16"/>
        </w:rPr>
        <w:t xml:space="preserve"> The average consumer cost of $20 is estimated from the BLS Economic News Release (Table B-3. Average hourly and weekly earnings of production and non-supervisory workers (1) on private non-farm payrolls by industry sector and selected industry detail.)</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C1E63"/>
    <w:rsid w:val="00315C5C"/>
    <w:rsid w:val="00336347"/>
    <w:rsid w:val="00AC1E63"/>
    <w:rsid w:val="00E57EDB"/>
    <w:rsid w:val="00FC6D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E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C1E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1E63"/>
    <w:rPr>
      <w:sz w:val="20"/>
      <w:szCs w:val="20"/>
    </w:rPr>
  </w:style>
  <w:style w:type="character" w:styleId="FootnoteReference">
    <w:name w:val="footnote reference"/>
    <w:basedOn w:val="DefaultParagraphFont"/>
    <w:uiPriority w:val="99"/>
    <w:semiHidden/>
    <w:unhideWhenUsed/>
    <w:rsid w:val="00AC1E63"/>
    <w:rPr>
      <w:vertAlign w:val="superscript"/>
    </w:rPr>
  </w:style>
</w:styles>
</file>

<file path=word/webSettings.xml><?xml version="1.0" encoding="utf-8"?>
<w:webSettings xmlns:r="http://schemas.openxmlformats.org/officeDocument/2006/relationships" xmlns:w="http://schemas.openxmlformats.org/wordprocessingml/2006/main">
  <w:divs>
    <w:div w:id="19427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336</Words>
  <Characters>1919</Characters>
  <Application>Microsoft Office Word</Application>
  <DocSecurity>0</DocSecurity>
  <Lines>15</Lines>
  <Paragraphs>4</Paragraphs>
  <ScaleCrop>false</ScaleCrop>
  <Company>NCUA</Company>
  <LinksUpToDate>false</LinksUpToDate>
  <CharactersWithSpaces>2251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Crews</dc:creator>
  <cp:lastModifiedBy>Tracy Crews</cp:lastModifiedBy>
  <cp:revision>1</cp:revision>
  <dcterms:created xsi:type="dcterms:W3CDTF">2010-08-04T21:52:00Z</dcterms:created>
  <dcterms:modified xsi:type="dcterms:W3CDTF">2010-08-04T21:53:00Z</dcterms:modified>
</cp:coreProperties>
</file>