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F55" w:rsidRPr="00EB0D90" w:rsidRDefault="003A57AF" w:rsidP="00EB0D90">
      <w:pPr>
        <w:tabs>
          <w:tab w:val="center" w:pos="4680"/>
        </w:tabs>
        <w:rPr>
          <w:rFonts w:ascii="Times New Roman" w:hAnsi="Times New Roman"/>
          <w:b/>
          <w:bCs/>
        </w:rPr>
      </w:pPr>
      <w:r w:rsidRPr="00EB0D90">
        <w:rPr>
          <w:rFonts w:ascii="Times New Roman" w:hAnsi="Times New Roman"/>
        </w:rPr>
        <w:tab/>
      </w:r>
      <w:r w:rsidRPr="00EB0D90">
        <w:rPr>
          <w:rFonts w:ascii="Times New Roman" w:hAnsi="Times New Roman"/>
          <w:b/>
          <w:bCs/>
        </w:rPr>
        <w:t xml:space="preserve">Supporting Statement for </w:t>
      </w:r>
    </w:p>
    <w:p w:rsidR="003A57AF" w:rsidRPr="00EB0D90" w:rsidRDefault="003A57AF" w:rsidP="00EB0D90">
      <w:pPr>
        <w:tabs>
          <w:tab w:val="center" w:pos="4680"/>
        </w:tabs>
        <w:jc w:val="center"/>
        <w:rPr>
          <w:rFonts w:ascii="Times New Roman" w:hAnsi="Times New Roman"/>
          <w:b/>
          <w:bCs/>
        </w:rPr>
      </w:pPr>
      <w:r w:rsidRPr="00EB0D90">
        <w:rPr>
          <w:rFonts w:ascii="Times New Roman" w:hAnsi="Times New Roman"/>
          <w:b/>
          <w:bCs/>
        </w:rPr>
        <w:t xml:space="preserve">OMB Control Number </w:t>
      </w:r>
      <w:r w:rsidR="00126E68">
        <w:rPr>
          <w:rFonts w:ascii="Times New Roman" w:hAnsi="Times New Roman"/>
          <w:b/>
          <w:bCs/>
        </w:rPr>
        <w:t>3133</w:t>
      </w:r>
      <w:r w:rsidRPr="00EB0D90">
        <w:rPr>
          <w:rFonts w:ascii="Times New Roman" w:hAnsi="Times New Roman"/>
          <w:b/>
          <w:bCs/>
        </w:rPr>
        <w:t>-</w:t>
      </w:r>
      <w:r w:rsidR="006E7BDD" w:rsidRPr="00EB0D90">
        <w:rPr>
          <w:rFonts w:ascii="Times New Roman" w:hAnsi="Times New Roman"/>
          <w:b/>
          <w:bCs/>
        </w:rPr>
        <w:t>NEW</w:t>
      </w:r>
    </w:p>
    <w:p w:rsidR="00CF73EB" w:rsidRPr="00EB0D90" w:rsidRDefault="003A57AF" w:rsidP="00EB0D90">
      <w:pPr>
        <w:tabs>
          <w:tab w:val="center" w:pos="4680"/>
        </w:tabs>
        <w:rPr>
          <w:rFonts w:ascii="Times New Roman" w:hAnsi="Times New Roman"/>
          <w:b/>
        </w:rPr>
      </w:pPr>
      <w:r w:rsidRPr="00EB0D90">
        <w:rPr>
          <w:rFonts w:ascii="Times New Roman" w:hAnsi="Times New Roman"/>
          <w:b/>
          <w:bCs/>
        </w:rPr>
        <w:tab/>
      </w:r>
      <w:r w:rsidR="00516781" w:rsidRPr="00EB0D90">
        <w:rPr>
          <w:rFonts w:ascii="Times New Roman" w:hAnsi="Times New Roman"/>
          <w:b/>
        </w:rPr>
        <w:t>Registration of Mortgage Loan Originators</w:t>
      </w:r>
    </w:p>
    <w:p w:rsidR="008C5B6A" w:rsidRPr="00EB0D90" w:rsidRDefault="008C5B6A" w:rsidP="00EB0D90">
      <w:pPr>
        <w:ind w:right="-907"/>
        <w:rPr>
          <w:rFonts w:ascii="Times New Roman" w:hAnsi="Times New Roman"/>
        </w:rPr>
      </w:pPr>
    </w:p>
    <w:p w:rsidR="008C5B6A" w:rsidRPr="00EB0D90" w:rsidRDefault="008C5B6A" w:rsidP="00EB0D90">
      <w:pPr>
        <w:ind w:right="-907"/>
        <w:rPr>
          <w:rFonts w:ascii="Times New Roman" w:hAnsi="Times New Roman"/>
        </w:rPr>
      </w:pPr>
    </w:p>
    <w:p w:rsidR="00760A58" w:rsidRPr="00EB0D90" w:rsidRDefault="00760A58" w:rsidP="00EB0D90">
      <w:pPr>
        <w:tabs>
          <w:tab w:val="center" w:pos="4680"/>
        </w:tabs>
        <w:rPr>
          <w:rFonts w:ascii="Times New Roman" w:hAnsi="Times New Roman"/>
        </w:rPr>
      </w:pPr>
    </w:p>
    <w:p w:rsidR="003A57AF" w:rsidRPr="00EB0D90" w:rsidRDefault="003A57AF" w:rsidP="00EB0D90">
      <w:pPr>
        <w:tabs>
          <w:tab w:val="left" w:pos="-1440"/>
        </w:tabs>
        <w:ind w:left="720" w:hanging="720"/>
        <w:rPr>
          <w:rFonts w:ascii="Times New Roman" w:hAnsi="Times New Roman"/>
        </w:rPr>
      </w:pPr>
      <w:r w:rsidRPr="00EB0D90">
        <w:rPr>
          <w:rFonts w:ascii="Times New Roman" w:hAnsi="Times New Roman"/>
        </w:rPr>
        <w:t>A.</w:t>
      </w:r>
      <w:r w:rsidRPr="00EB0D90">
        <w:rPr>
          <w:rFonts w:ascii="Times New Roman" w:hAnsi="Times New Roman"/>
        </w:rPr>
        <w:tab/>
      </w:r>
      <w:r w:rsidRPr="00EB0D90">
        <w:rPr>
          <w:rFonts w:ascii="Times New Roman" w:hAnsi="Times New Roman"/>
          <w:u w:val="single"/>
        </w:rPr>
        <w:t>Justification</w:t>
      </w:r>
    </w:p>
    <w:p w:rsidR="00773400" w:rsidRPr="00EB0D90" w:rsidRDefault="00773400" w:rsidP="00EB0D90">
      <w:pPr>
        <w:tabs>
          <w:tab w:val="left" w:pos="-1440"/>
        </w:tabs>
        <w:ind w:left="360"/>
        <w:rPr>
          <w:rFonts w:ascii="Times New Roman" w:hAnsi="Times New Roman"/>
        </w:rPr>
      </w:pPr>
    </w:p>
    <w:p w:rsidR="003A57AF" w:rsidRPr="00EB0D90" w:rsidRDefault="003A57AF" w:rsidP="00EB0D90">
      <w:pPr>
        <w:numPr>
          <w:ilvl w:val="0"/>
          <w:numId w:val="5"/>
        </w:numPr>
        <w:tabs>
          <w:tab w:val="left" w:pos="-1440"/>
        </w:tabs>
        <w:rPr>
          <w:rFonts w:ascii="Times New Roman" w:hAnsi="Times New Roman"/>
          <w:u w:val="single"/>
        </w:rPr>
      </w:pPr>
      <w:r w:rsidRPr="00EB0D90">
        <w:rPr>
          <w:rFonts w:ascii="Times New Roman" w:hAnsi="Times New Roman"/>
          <w:u w:val="single"/>
        </w:rPr>
        <w:t>Circumstances that make the collection necessary:</w:t>
      </w:r>
    </w:p>
    <w:p w:rsidR="00EB0D90" w:rsidRPr="00EB0D90" w:rsidRDefault="00EB0D90" w:rsidP="00EB0D90">
      <w:pPr>
        <w:tabs>
          <w:tab w:val="left" w:pos="-1440"/>
        </w:tabs>
        <w:ind w:left="360"/>
        <w:rPr>
          <w:rFonts w:ascii="Times New Roman" w:hAnsi="Times New Roman"/>
          <w:u w:val="single"/>
        </w:rPr>
      </w:pPr>
    </w:p>
    <w:p w:rsidR="00EB0D90" w:rsidRPr="00EB0D90" w:rsidRDefault="00AC1B0F" w:rsidP="00EB0D90">
      <w:pPr>
        <w:ind w:firstLine="720"/>
        <w:rPr>
          <w:rFonts w:ascii="Times New Roman" w:hAnsi="Times New Roman"/>
        </w:rPr>
      </w:pPr>
      <w:r>
        <w:rPr>
          <w:rFonts w:ascii="Times New Roman" w:hAnsi="Times New Roman"/>
        </w:rPr>
        <w:t xml:space="preserve">The </w:t>
      </w:r>
      <w:r w:rsidR="004C6039">
        <w:rPr>
          <w:rFonts w:ascii="Times New Roman" w:hAnsi="Times New Roman"/>
        </w:rPr>
        <w:t>NCUA</w:t>
      </w:r>
      <w:r>
        <w:rPr>
          <w:rFonts w:ascii="Times New Roman" w:hAnsi="Times New Roman"/>
        </w:rPr>
        <w:t xml:space="preserve">, </w:t>
      </w:r>
      <w:r w:rsidR="004C6039">
        <w:rPr>
          <w:rFonts w:ascii="Times New Roman" w:hAnsi="Times New Roman"/>
        </w:rPr>
        <w:t xml:space="preserve">OCC, </w:t>
      </w:r>
      <w:r>
        <w:rPr>
          <w:rFonts w:ascii="Times New Roman" w:hAnsi="Times New Roman"/>
        </w:rPr>
        <w:t xml:space="preserve">Federal Reserve, </w:t>
      </w:r>
      <w:r w:rsidRPr="00EB0D90">
        <w:rPr>
          <w:rFonts w:ascii="Times New Roman" w:hAnsi="Times New Roman"/>
        </w:rPr>
        <w:t>FDIC, OTS,</w:t>
      </w:r>
      <w:r>
        <w:rPr>
          <w:rFonts w:ascii="Times New Roman" w:hAnsi="Times New Roman"/>
        </w:rPr>
        <w:t xml:space="preserve"> a</w:t>
      </w:r>
      <w:r w:rsidRPr="00EB0D90">
        <w:rPr>
          <w:rFonts w:ascii="Times New Roman" w:hAnsi="Times New Roman"/>
        </w:rPr>
        <w:t xml:space="preserve">nd the Farm Credit Administration (FCA) </w:t>
      </w:r>
      <w:r>
        <w:rPr>
          <w:rFonts w:ascii="Times New Roman" w:hAnsi="Times New Roman"/>
        </w:rPr>
        <w:t xml:space="preserve">have issued a joint notice of proposed rulemaking to implement </w:t>
      </w:r>
      <w:r w:rsidR="00EB0D90" w:rsidRPr="00EB0D90">
        <w:rPr>
          <w:rFonts w:ascii="Times New Roman" w:hAnsi="Times New Roman"/>
        </w:rPr>
        <w:t>the Secure and Fair Enforcement for Mortgage Licensing Act (the S.A.F.E. Act)</w:t>
      </w:r>
      <w:r>
        <w:rPr>
          <w:rFonts w:ascii="Times New Roman" w:hAnsi="Times New Roman"/>
        </w:rPr>
        <w:t>.</w:t>
      </w:r>
      <w:r w:rsidR="00433C33" w:rsidRPr="00433C33">
        <w:rPr>
          <w:rStyle w:val="FootnoteReference"/>
          <w:rFonts w:ascii="Times New Roman" w:hAnsi="Times New Roman"/>
          <w:vertAlign w:val="superscript"/>
        </w:rPr>
        <w:t xml:space="preserve"> </w:t>
      </w:r>
      <w:r w:rsidR="00433C33" w:rsidRPr="00EB0D90">
        <w:rPr>
          <w:rStyle w:val="FootnoteReference"/>
          <w:rFonts w:ascii="Times New Roman" w:hAnsi="Times New Roman"/>
          <w:vertAlign w:val="superscript"/>
        </w:rPr>
        <w:footnoteReference w:id="1"/>
      </w:r>
      <w:r w:rsidR="00585185">
        <w:rPr>
          <w:rFonts w:ascii="Times New Roman" w:hAnsi="Times New Roman"/>
          <w:vertAlign w:val="superscript"/>
        </w:rPr>
        <w:t xml:space="preserve"> </w:t>
      </w:r>
      <w:r w:rsidR="00EB0D90" w:rsidRPr="00EB0D90">
        <w:rPr>
          <w:rFonts w:ascii="Times New Roman" w:hAnsi="Times New Roman"/>
        </w:rPr>
        <w:t xml:space="preserve"> The S.A.F.E. Act requires an employee of a bank, savings association, or credit union and their subsidiaries regulated by a Federal banking agency or an employee of an institution regulated by the FCA </w:t>
      </w:r>
      <w:r w:rsidR="00915924">
        <w:rPr>
          <w:rFonts w:ascii="Times New Roman" w:hAnsi="Times New Roman"/>
        </w:rPr>
        <w:t>(Agency-regulated institutions)</w:t>
      </w:r>
      <w:r w:rsidR="00EB0D90" w:rsidRPr="00EB0D90">
        <w:rPr>
          <w:rFonts w:ascii="Times New Roman" w:hAnsi="Times New Roman"/>
        </w:rPr>
        <w:t xml:space="preserve"> who engages in the business of a residential mortgage loan originator to register with the Nationwide Mortgage Licensing System and Registry (Registry) and obtain a unique identifier.  The notice of proposed rulemakin</w:t>
      </w:r>
      <w:r w:rsidR="007B2D1E">
        <w:rPr>
          <w:rFonts w:ascii="Times New Roman" w:hAnsi="Times New Roman"/>
        </w:rPr>
        <w:t>g implements these requirements and</w:t>
      </w:r>
      <w:r w:rsidR="00EB0D90" w:rsidRPr="00EB0D90">
        <w:rPr>
          <w:rFonts w:ascii="Times New Roman" w:hAnsi="Times New Roman"/>
        </w:rPr>
        <w:t xml:space="preserve"> </w:t>
      </w:r>
      <w:r w:rsidR="00274CCA">
        <w:rPr>
          <w:rFonts w:ascii="Times New Roman" w:hAnsi="Times New Roman"/>
        </w:rPr>
        <w:t>specifies</w:t>
      </w:r>
      <w:r w:rsidR="00EB0D90" w:rsidRPr="00EB0D90">
        <w:rPr>
          <w:rFonts w:ascii="Times New Roman" w:hAnsi="Times New Roman"/>
        </w:rPr>
        <w:t xml:space="preserve"> that these Agency-regulated institutions must require their employees who act as residential mortgage loan originators to c</w:t>
      </w:r>
      <w:r w:rsidR="007B2D1E">
        <w:rPr>
          <w:rFonts w:ascii="Times New Roman" w:hAnsi="Times New Roman"/>
        </w:rPr>
        <w:t>omply with the</w:t>
      </w:r>
      <w:r w:rsidR="00EB0D90" w:rsidRPr="00EB0D90">
        <w:rPr>
          <w:rFonts w:ascii="Times New Roman" w:hAnsi="Times New Roman"/>
        </w:rPr>
        <w:t xml:space="preserve"> Act’s requirements to register and obtain a unique identifier and must adopt and follow written policies and procedures to assure compliance with these requirements.</w:t>
      </w:r>
    </w:p>
    <w:p w:rsidR="003A57AF" w:rsidRPr="00EB0D90" w:rsidRDefault="009836DA" w:rsidP="00EB0D90">
      <w:pPr>
        <w:rPr>
          <w:rFonts w:ascii="Times New Roman" w:hAnsi="Times New Roman"/>
        </w:rPr>
      </w:pPr>
      <w:r w:rsidRPr="00EB0D90">
        <w:rPr>
          <w:rFonts w:ascii="Times New Roman" w:hAnsi="Times New Roman"/>
          <w:iCs/>
        </w:rPr>
        <w:tab/>
      </w:r>
    </w:p>
    <w:p w:rsidR="003A57AF" w:rsidRPr="00EB0D90" w:rsidRDefault="003A57AF" w:rsidP="00EB0D90">
      <w:pPr>
        <w:tabs>
          <w:tab w:val="left" w:pos="-1440"/>
        </w:tabs>
        <w:ind w:left="720" w:hanging="720"/>
        <w:rPr>
          <w:rFonts w:ascii="Times New Roman" w:hAnsi="Times New Roman"/>
          <w:u w:val="single"/>
        </w:rPr>
      </w:pPr>
      <w:r w:rsidRPr="00EB0D90">
        <w:rPr>
          <w:rFonts w:ascii="Times New Roman" w:hAnsi="Times New Roman"/>
        </w:rPr>
        <w:t>2.</w:t>
      </w:r>
      <w:r w:rsidRPr="00EB0D90">
        <w:rPr>
          <w:rFonts w:ascii="Times New Roman" w:hAnsi="Times New Roman"/>
        </w:rPr>
        <w:tab/>
      </w:r>
      <w:r w:rsidRPr="00EB0D90">
        <w:rPr>
          <w:rFonts w:ascii="Times New Roman" w:hAnsi="Times New Roman"/>
          <w:u w:val="single"/>
        </w:rPr>
        <w:t>Use of the information:</w:t>
      </w:r>
    </w:p>
    <w:p w:rsidR="00E4393B" w:rsidRPr="00EB0D90" w:rsidRDefault="00E4393B" w:rsidP="00EB0D90">
      <w:pPr>
        <w:tabs>
          <w:tab w:val="left" w:pos="-1440"/>
        </w:tabs>
        <w:ind w:left="720" w:hanging="720"/>
        <w:rPr>
          <w:rFonts w:ascii="Times New Roman" w:hAnsi="Times New Roman"/>
          <w:u w:val="single"/>
        </w:rPr>
      </w:pPr>
    </w:p>
    <w:p w:rsidR="00E4393B" w:rsidRPr="00EB0D90" w:rsidRDefault="00943253" w:rsidP="00EB0D90">
      <w:pPr>
        <w:tabs>
          <w:tab w:val="left" w:pos="-1440"/>
        </w:tabs>
        <w:rPr>
          <w:rFonts w:ascii="Times New Roman" w:hAnsi="Times New Roman"/>
        </w:rPr>
      </w:pPr>
      <w:r w:rsidRPr="00EB0D90">
        <w:rPr>
          <w:rFonts w:ascii="Times New Roman" w:hAnsi="Times New Roman"/>
        </w:rPr>
        <w:tab/>
      </w:r>
      <w:r w:rsidR="00AC1B0F">
        <w:rPr>
          <w:rFonts w:ascii="Times New Roman" w:hAnsi="Times New Roman"/>
        </w:rPr>
        <w:t>T</w:t>
      </w:r>
      <w:r w:rsidR="00E4393B" w:rsidRPr="00EB0D90">
        <w:rPr>
          <w:rFonts w:ascii="Times New Roman" w:hAnsi="Times New Roman"/>
        </w:rPr>
        <w:t xml:space="preserve">he objectives of the Registry, among other things, are to aggregate and improve the flow of information to and between regulators; provide increased accountability and tracking of mortgage loan originators; enhance consumer protections; reduce fraud in the residential mortgage loan origination process; and provide consumers with easily accessible information at no charge regarding the employment history of, and </w:t>
      </w:r>
      <w:r w:rsidR="00C34AB0">
        <w:rPr>
          <w:rFonts w:ascii="Times New Roman" w:hAnsi="Times New Roman"/>
        </w:rPr>
        <w:t xml:space="preserve">the </w:t>
      </w:r>
      <w:r w:rsidR="00E4393B" w:rsidRPr="00EB0D90">
        <w:rPr>
          <w:rFonts w:ascii="Times New Roman" w:hAnsi="Times New Roman"/>
        </w:rPr>
        <w:t>publicly adjudicated disciplinary and enforcement actions against, mortgage loan originators.</w:t>
      </w:r>
    </w:p>
    <w:p w:rsidR="00943253" w:rsidRPr="00EB0D90" w:rsidRDefault="00943253" w:rsidP="00EB0D90">
      <w:pPr>
        <w:tabs>
          <w:tab w:val="left" w:pos="-1440"/>
        </w:tabs>
        <w:rPr>
          <w:rFonts w:ascii="Times New Roman" w:hAnsi="Times New Roman"/>
        </w:rPr>
      </w:pPr>
    </w:p>
    <w:p w:rsidR="00943253" w:rsidRPr="00EB0D90" w:rsidRDefault="00167C48" w:rsidP="00EB0D90">
      <w:pPr>
        <w:tabs>
          <w:tab w:val="left" w:pos="-1440"/>
        </w:tabs>
        <w:rPr>
          <w:rFonts w:ascii="Times New Roman" w:hAnsi="Times New Roman"/>
        </w:rPr>
      </w:pPr>
      <w:r w:rsidRPr="00EB0D90">
        <w:rPr>
          <w:rFonts w:ascii="Times New Roman" w:hAnsi="Times New Roman"/>
        </w:rPr>
        <w:tab/>
      </w:r>
      <w:r w:rsidR="00AC1B0F">
        <w:rPr>
          <w:rFonts w:ascii="Times New Roman" w:hAnsi="Times New Roman"/>
        </w:rPr>
        <w:t xml:space="preserve">Under the Act, </w:t>
      </w:r>
      <w:r w:rsidR="00943253" w:rsidRPr="00EB0D90">
        <w:rPr>
          <w:rFonts w:ascii="Times New Roman" w:hAnsi="Times New Roman"/>
        </w:rPr>
        <w:t xml:space="preserve">Agencies </w:t>
      </w:r>
      <w:r w:rsidR="00AC1B0F">
        <w:rPr>
          <w:rFonts w:ascii="Times New Roman" w:hAnsi="Times New Roman"/>
        </w:rPr>
        <w:t xml:space="preserve">must </w:t>
      </w:r>
      <w:r w:rsidR="00943253" w:rsidRPr="00EB0D90">
        <w:rPr>
          <w:rFonts w:ascii="Times New Roman" w:hAnsi="Times New Roman"/>
        </w:rPr>
        <w:t>jointly develop and maintain a system for registering mortgage loan originators employed by Agency-regulated institutions with the Registry.  In connection with this registration, the Agencies at a minimum must furnish or cause to be furnished to the Registry information concerning the loan originator’s identity, including: (1) fingerprints for submission to the Federal Bureau of Investigations (FBI) and any other relevant governmental agency for a State and national criminal background check; and (2) personal history and experience, including authorization for the Registry to obtain information related to any administrative, civil, or criminal findings by any governmental jurisdiction.</w:t>
      </w:r>
    </w:p>
    <w:p w:rsidR="001E05F1" w:rsidRPr="00EB0D90" w:rsidRDefault="001E05F1" w:rsidP="00EB0D90">
      <w:pPr>
        <w:tabs>
          <w:tab w:val="left" w:pos="-1440"/>
        </w:tabs>
        <w:rPr>
          <w:rFonts w:ascii="Times New Roman" w:hAnsi="Times New Roman"/>
        </w:rPr>
      </w:pPr>
    </w:p>
    <w:p w:rsidR="001E05F1" w:rsidRPr="00EB0D90" w:rsidRDefault="001E05F1" w:rsidP="00EB0D90">
      <w:pPr>
        <w:tabs>
          <w:tab w:val="left" w:pos="-1440"/>
        </w:tabs>
        <w:rPr>
          <w:rFonts w:ascii="Times New Roman" w:hAnsi="Times New Roman"/>
        </w:rPr>
      </w:pPr>
      <w:r w:rsidRPr="00EB0D90">
        <w:rPr>
          <w:rStyle w:val="Strong"/>
          <w:rFonts w:ascii="Times New Roman" w:hAnsi="Times New Roman"/>
          <w:b w:val="0"/>
        </w:rPr>
        <w:tab/>
      </w:r>
      <w:r w:rsidR="00E50213">
        <w:rPr>
          <w:rStyle w:val="Strong"/>
          <w:rFonts w:ascii="Times New Roman" w:hAnsi="Times New Roman"/>
          <w:b w:val="0"/>
        </w:rPr>
        <w:t xml:space="preserve">The </w:t>
      </w:r>
      <w:r w:rsidRPr="00EB0D90">
        <w:rPr>
          <w:rStyle w:val="Strong"/>
          <w:rFonts w:ascii="Times New Roman" w:hAnsi="Times New Roman"/>
          <w:b w:val="0"/>
        </w:rPr>
        <w:t>definition</w:t>
      </w:r>
      <w:r w:rsidR="005866BF">
        <w:rPr>
          <w:rStyle w:val="Strong"/>
          <w:rFonts w:ascii="Times New Roman" w:hAnsi="Times New Roman"/>
          <w:b w:val="0"/>
        </w:rPr>
        <w:t>s</w:t>
      </w:r>
      <w:r w:rsidRPr="00EB0D90">
        <w:rPr>
          <w:rStyle w:val="Strong"/>
          <w:rFonts w:ascii="Times New Roman" w:hAnsi="Times New Roman"/>
          <w:b w:val="0"/>
        </w:rPr>
        <w:t xml:space="preserve"> of “</w:t>
      </w:r>
      <w:r w:rsidRPr="00EB0D90">
        <w:rPr>
          <w:rFonts w:ascii="Times New Roman" w:hAnsi="Times New Roman"/>
        </w:rPr>
        <w:t>Nationwide</w:t>
      </w:r>
      <w:r w:rsidR="00E50213">
        <w:rPr>
          <w:rFonts w:ascii="Times New Roman" w:hAnsi="Times New Roman"/>
        </w:rPr>
        <w:t xml:space="preserve"> Mortgage Licensing System and </w:t>
      </w:r>
      <w:r w:rsidRPr="00EB0D90">
        <w:rPr>
          <w:rFonts w:ascii="Times New Roman" w:hAnsi="Times New Roman"/>
        </w:rPr>
        <w:t xml:space="preserve">Registry” or “Registry” </w:t>
      </w:r>
      <w:r w:rsidR="00E50213">
        <w:rPr>
          <w:rStyle w:val="Strong"/>
          <w:rFonts w:ascii="Times New Roman" w:hAnsi="Times New Roman"/>
          <w:b w:val="0"/>
        </w:rPr>
        <w:t>are</w:t>
      </w:r>
      <w:r w:rsidRPr="00EB0D90">
        <w:rPr>
          <w:rStyle w:val="Strong"/>
          <w:rFonts w:ascii="Times New Roman" w:hAnsi="Times New Roman"/>
          <w:b w:val="0"/>
        </w:rPr>
        <w:t xml:space="preserve"> based on the definition included in the S.A.F.E. Act.  </w:t>
      </w:r>
      <w:r w:rsidR="00E50213">
        <w:rPr>
          <w:rStyle w:val="Strong"/>
          <w:rFonts w:ascii="Times New Roman" w:hAnsi="Times New Roman"/>
          <w:b w:val="0"/>
        </w:rPr>
        <w:t>T</w:t>
      </w:r>
      <w:r w:rsidRPr="00EB0D90">
        <w:rPr>
          <w:rStyle w:val="Strong"/>
          <w:rFonts w:ascii="Times New Roman" w:hAnsi="Times New Roman"/>
          <w:b w:val="0"/>
        </w:rPr>
        <w:t xml:space="preserve">hese terms </w:t>
      </w:r>
      <w:r w:rsidR="00C34AB0">
        <w:rPr>
          <w:rStyle w:val="Strong"/>
          <w:rFonts w:ascii="Times New Roman" w:hAnsi="Times New Roman"/>
          <w:b w:val="0"/>
        </w:rPr>
        <w:t>refer to</w:t>
      </w:r>
      <w:r w:rsidRPr="00EB0D90">
        <w:rPr>
          <w:rFonts w:ascii="Times New Roman" w:hAnsi="Times New Roman"/>
        </w:rPr>
        <w:t xml:space="preserve"> the system developed and maintained by the Conference of State Bank Supervisors (CSBS) and the American Association of Residential Mortgage Regulators, as </w:t>
      </w:r>
      <w:r w:rsidRPr="00EB0D90">
        <w:rPr>
          <w:rStyle w:val="Strong"/>
          <w:rFonts w:ascii="Times New Roman" w:hAnsi="Times New Roman"/>
          <w:b w:val="0"/>
        </w:rPr>
        <w:t xml:space="preserve">operated by the State Regulatory </w:t>
      </w:r>
      <w:r w:rsidRPr="00EB0D90">
        <w:rPr>
          <w:rStyle w:val="Strong"/>
          <w:rFonts w:ascii="Times New Roman" w:hAnsi="Times New Roman"/>
          <w:b w:val="0"/>
        </w:rPr>
        <w:lastRenderedPageBreak/>
        <w:t xml:space="preserve">Registry (SRR), a subsidiary of CSBS, </w:t>
      </w:r>
      <w:r w:rsidRPr="00EB0D90">
        <w:rPr>
          <w:rFonts w:ascii="Times New Roman" w:hAnsi="Times New Roman"/>
        </w:rPr>
        <w:t xml:space="preserve">for the State licensing and registration of State-licensed mortgage loan originators and the registration of mortgage loan originators pursuant to section 1507 of the S.A.F.E. Act. </w:t>
      </w:r>
      <w:r w:rsidR="00E50213">
        <w:rPr>
          <w:rFonts w:ascii="Times New Roman" w:hAnsi="Times New Roman"/>
        </w:rPr>
        <w:t xml:space="preserve"> </w:t>
      </w:r>
      <w:r w:rsidRPr="00EB0D90">
        <w:rPr>
          <w:rStyle w:val="Strong"/>
          <w:rFonts w:ascii="Times New Roman" w:hAnsi="Times New Roman"/>
          <w:b w:val="0"/>
        </w:rPr>
        <w:t>The NMLSR currently supports the State licensing and registration of State mortgage loan originators.  The Agencies are working with the CSBS to modify the NMLSR to support for the registration of Federally-registered mortgage loan originators.</w:t>
      </w:r>
      <w:r w:rsidRPr="00EB0D90">
        <w:rPr>
          <w:rFonts w:ascii="Times New Roman" w:hAnsi="Times New Roman"/>
        </w:rPr>
        <w:t xml:space="preserve">  </w:t>
      </w:r>
    </w:p>
    <w:p w:rsidR="000E4CB1" w:rsidRPr="00EB0D90" w:rsidRDefault="000E4CB1" w:rsidP="00EB0D90">
      <w:pPr>
        <w:tabs>
          <w:tab w:val="left" w:pos="-1440"/>
        </w:tabs>
        <w:rPr>
          <w:rFonts w:ascii="Times New Roman" w:hAnsi="Times New Roman"/>
        </w:rPr>
      </w:pPr>
    </w:p>
    <w:p w:rsidR="000E4CB1" w:rsidRPr="00EB0D90" w:rsidRDefault="000E4CB1" w:rsidP="00EB0D90">
      <w:pPr>
        <w:ind w:firstLine="720"/>
        <w:rPr>
          <w:rFonts w:ascii="Times New Roman" w:hAnsi="Times New Roman"/>
        </w:rPr>
      </w:pPr>
      <w:r w:rsidRPr="00EB0D90">
        <w:rPr>
          <w:rFonts w:ascii="Times New Roman" w:hAnsi="Times New Roman"/>
        </w:rPr>
        <w:t xml:space="preserve">When fully operational, mortgage loan originators and their Agency-regulated employing institutions will be able to access the </w:t>
      </w:r>
      <w:r w:rsidR="004A212E">
        <w:rPr>
          <w:rFonts w:ascii="Times New Roman" w:hAnsi="Times New Roman"/>
        </w:rPr>
        <w:t>Registry, seven days a week, to complete</w:t>
      </w:r>
      <w:r w:rsidRPr="00EB0D90">
        <w:rPr>
          <w:rFonts w:ascii="Times New Roman" w:hAnsi="Times New Roman"/>
        </w:rPr>
        <w:t xml:space="preserve"> initial registrations and to update, amend and renew registrations.  CSBS will phase-in system enhancements to provide consumers with access to the Registry in order to obtain information on State-licensed and Federally-registered mortgage loan originators. </w:t>
      </w:r>
    </w:p>
    <w:p w:rsidR="00B1576B" w:rsidRPr="00EB0D90" w:rsidRDefault="00B1576B" w:rsidP="00EB0D90">
      <w:pPr>
        <w:tabs>
          <w:tab w:val="left" w:pos="-1440"/>
        </w:tabs>
        <w:rPr>
          <w:rFonts w:ascii="Times New Roman" w:hAnsi="Times New Roman"/>
          <w:u w:val="single"/>
        </w:rPr>
      </w:pPr>
    </w:p>
    <w:p w:rsidR="003A57AF" w:rsidRPr="00EB0D90" w:rsidRDefault="003A57AF" w:rsidP="00EB0D90">
      <w:pPr>
        <w:tabs>
          <w:tab w:val="left" w:pos="-1440"/>
        </w:tabs>
        <w:ind w:left="720" w:hanging="720"/>
        <w:rPr>
          <w:rFonts w:ascii="Times New Roman" w:hAnsi="Times New Roman"/>
        </w:rPr>
      </w:pPr>
      <w:r w:rsidRPr="00EB0D90">
        <w:rPr>
          <w:rFonts w:ascii="Times New Roman" w:hAnsi="Times New Roman"/>
        </w:rPr>
        <w:t>3.</w:t>
      </w:r>
      <w:r w:rsidRPr="00EB0D90">
        <w:rPr>
          <w:rFonts w:ascii="Times New Roman" w:hAnsi="Times New Roman"/>
        </w:rPr>
        <w:tab/>
      </w:r>
      <w:r w:rsidRPr="00EB0D90">
        <w:rPr>
          <w:rFonts w:ascii="Times New Roman" w:hAnsi="Times New Roman"/>
          <w:u w:val="single"/>
        </w:rPr>
        <w:t>Consideration of the use of improved information technology:</w:t>
      </w:r>
    </w:p>
    <w:p w:rsidR="003A57AF" w:rsidRPr="00EB0D90" w:rsidRDefault="003A57AF" w:rsidP="00EB0D90">
      <w:pPr>
        <w:rPr>
          <w:rFonts w:ascii="Times New Roman" w:hAnsi="Times New Roman"/>
        </w:rPr>
      </w:pPr>
    </w:p>
    <w:p w:rsidR="003A57AF" w:rsidRPr="00EB0D90" w:rsidRDefault="00DC7490" w:rsidP="00EB0D90">
      <w:pPr>
        <w:ind w:firstLine="720"/>
        <w:rPr>
          <w:rFonts w:ascii="Times New Roman" w:hAnsi="Times New Roman"/>
        </w:rPr>
      </w:pPr>
      <w:r>
        <w:rPr>
          <w:rFonts w:ascii="Times New Roman" w:hAnsi="Times New Roman"/>
        </w:rPr>
        <w:t>Credit unions</w:t>
      </w:r>
      <w:r w:rsidR="003A57AF" w:rsidRPr="00EB0D90">
        <w:rPr>
          <w:rFonts w:ascii="Times New Roman" w:hAnsi="Times New Roman"/>
        </w:rPr>
        <w:t xml:space="preserve"> may adopt any existing technology relevant to producing or delivering the information.</w:t>
      </w:r>
      <w:r w:rsidR="008979F6" w:rsidRPr="00EB0D90">
        <w:rPr>
          <w:rFonts w:ascii="Times New Roman" w:hAnsi="Times New Roman"/>
        </w:rPr>
        <w:t xml:space="preserve">  </w:t>
      </w:r>
    </w:p>
    <w:p w:rsidR="003A57AF" w:rsidRPr="00EB0D90" w:rsidRDefault="003A57AF" w:rsidP="00EB0D90">
      <w:pPr>
        <w:rPr>
          <w:rFonts w:ascii="Times New Roman" w:hAnsi="Times New Roman"/>
        </w:rPr>
      </w:pPr>
    </w:p>
    <w:p w:rsidR="003A57AF" w:rsidRPr="00EB0D90" w:rsidRDefault="003A57AF" w:rsidP="00EB0D90">
      <w:pPr>
        <w:tabs>
          <w:tab w:val="left" w:pos="-1440"/>
        </w:tabs>
        <w:ind w:left="720" w:hanging="720"/>
        <w:rPr>
          <w:rFonts w:ascii="Times New Roman" w:hAnsi="Times New Roman"/>
        </w:rPr>
      </w:pPr>
      <w:r w:rsidRPr="00EB0D90">
        <w:rPr>
          <w:rFonts w:ascii="Times New Roman" w:hAnsi="Times New Roman"/>
        </w:rPr>
        <w:t>4.</w:t>
      </w:r>
      <w:r w:rsidRPr="00EB0D90">
        <w:rPr>
          <w:rFonts w:ascii="Times New Roman" w:hAnsi="Times New Roman"/>
        </w:rPr>
        <w:tab/>
      </w:r>
      <w:r w:rsidRPr="00EB0D90">
        <w:rPr>
          <w:rFonts w:ascii="Times New Roman" w:hAnsi="Times New Roman"/>
          <w:u w:val="single"/>
        </w:rPr>
        <w:t>Efforts to identify duplication:</w:t>
      </w:r>
    </w:p>
    <w:p w:rsidR="003A57AF" w:rsidRPr="00EB0D90" w:rsidRDefault="003A57AF" w:rsidP="00EB0D90">
      <w:pPr>
        <w:rPr>
          <w:rFonts w:ascii="Times New Roman" w:hAnsi="Times New Roman"/>
        </w:rPr>
      </w:pPr>
    </w:p>
    <w:p w:rsidR="003A57AF" w:rsidRPr="00EB0D90" w:rsidRDefault="003A57AF" w:rsidP="00EB0D90">
      <w:pPr>
        <w:ind w:firstLine="720"/>
        <w:rPr>
          <w:rFonts w:ascii="Times New Roman" w:hAnsi="Times New Roman"/>
        </w:rPr>
      </w:pPr>
      <w:r w:rsidRPr="00EB0D90">
        <w:rPr>
          <w:rFonts w:ascii="Times New Roman" w:hAnsi="Times New Roman"/>
        </w:rPr>
        <w:t xml:space="preserve">There is no duplication.  </w:t>
      </w:r>
      <w:r w:rsidR="008960F2" w:rsidRPr="00EB0D90">
        <w:rPr>
          <w:rFonts w:ascii="Times New Roman" w:hAnsi="Times New Roman"/>
        </w:rPr>
        <w:t>The information is not available from any other source.</w:t>
      </w:r>
    </w:p>
    <w:p w:rsidR="003A57AF" w:rsidRPr="00EB0D90" w:rsidRDefault="003A57AF" w:rsidP="00EB0D90">
      <w:pPr>
        <w:rPr>
          <w:rFonts w:ascii="Times New Roman" w:hAnsi="Times New Roman"/>
        </w:rPr>
      </w:pPr>
    </w:p>
    <w:p w:rsidR="003A57AF" w:rsidRPr="00EB0D90" w:rsidRDefault="003A57AF" w:rsidP="00EB0D90">
      <w:pPr>
        <w:tabs>
          <w:tab w:val="left" w:pos="-1440"/>
        </w:tabs>
        <w:ind w:left="720" w:hanging="720"/>
        <w:rPr>
          <w:rFonts w:ascii="Times New Roman" w:hAnsi="Times New Roman"/>
        </w:rPr>
      </w:pPr>
      <w:r w:rsidRPr="00EB0D90">
        <w:rPr>
          <w:rFonts w:ascii="Times New Roman" w:hAnsi="Times New Roman"/>
        </w:rPr>
        <w:t>5.</w:t>
      </w:r>
      <w:r w:rsidRPr="00EB0D90">
        <w:rPr>
          <w:rFonts w:ascii="Times New Roman" w:hAnsi="Times New Roman"/>
        </w:rPr>
        <w:tab/>
      </w:r>
      <w:r w:rsidRPr="00EB0D90">
        <w:rPr>
          <w:rFonts w:ascii="Times New Roman" w:hAnsi="Times New Roman"/>
          <w:u w:val="single"/>
        </w:rPr>
        <w:t>Methods used to minimize burden if the collection has a significant impact on substantial number of small entities:</w:t>
      </w:r>
    </w:p>
    <w:p w:rsidR="003A57AF" w:rsidRPr="00EB0D90" w:rsidRDefault="003A57AF" w:rsidP="00EB0D90">
      <w:pPr>
        <w:rPr>
          <w:rFonts w:ascii="Times New Roman" w:hAnsi="Times New Roman"/>
        </w:rPr>
      </w:pPr>
    </w:p>
    <w:p w:rsidR="003A57AF" w:rsidRPr="00EB0D90" w:rsidRDefault="003A57AF" w:rsidP="00EB0D90">
      <w:pPr>
        <w:ind w:firstLine="720"/>
        <w:rPr>
          <w:rFonts w:ascii="Times New Roman" w:hAnsi="Times New Roman"/>
        </w:rPr>
      </w:pPr>
      <w:r w:rsidRPr="00EB0D90">
        <w:rPr>
          <w:rFonts w:ascii="Times New Roman" w:hAnsi="Times New Roman"/>
        </w:rPr>
        <w:t xml:space="preserve">This collection of information imposes on </w:t>
      </w:r>
      <w:r w:rsidR="00DC7490">
        <w:rPr>
          <w:rFonts w:ascii="Times New Roman" w:hAnsi="Times New Roman"/>
        </w:rPr>
        <w:t>credit unions</w:t>
      </w:r>
      <w:r w:rsidRPr="00EB0D90">
        <w:rPr>
          <w:rFonts w:ascii="Times New Roman" w:hAnsi="Times New Roman"/>
        </w:rPr>
        <w:t>, regardless of size, only the minimum burden necessary to accomplish the program objectives discussed in Items 1 and 2.</w:t>
      </w:r>
      <w:r w:rsidR="008A0298" w:rsidRPr="00EB0D90">
        <w:rPr>
          <w:rFonts w:ascii="Times New Roman" w:hAnsi="Times New Roman"/>
        </w:rPr>
        <w:t xml:space="preserve">  The collection </w:t>
      </w:r>
      <w:r w:rsidR="007A62EE" w:rsidRPr="00EB0D90">
        <w:rPr>
          <w:rFonts w:ascii="Times New Roman" w:hAnsi="Times New Roman"/>
        </w:rPr>
        <w:t>does not have a significant imp</w:t>
      </w:r>
      <w:r w:rsidR="008A0298" w:rsidRPr="00EB0D90">
        <w:rPr>
          <w:rFonts w:ascii="Times New Roman" w:hAnsi="Times New Roman"/>
        </w:rPr>
        <w:t>a</w:t>
      </w:r>
      <w:r w:rsidR="007A62EE" w:rsidRPr="00EB0D90">
        <w:rPr>
          <w:rFonts w:ascii="Times New Roman" w:hAnsi="Times New Roman"/>
        </w:rPr>
        <w:t>ct on a substantial number of s</w:t>
      </w:r>
      <w:r w:rsidR="008A0298" w:rsidRPr="00EB0D90">
        <w:rPr>
          <w:rFonts w:ascii="Times New Roman" w:hAnsi="Times New Roman"/>
        </w:rPr>
        <w:t>mall entities.</w:t>
      </w:r>
      <w:r w:rsidR="00915924">
        <w:rPr>
          <w:rFonts w:ascii="Times New Roman" w:hAnsi="Times New Roman"/>
        </w:rPr>
        <w:t xml:space="preserve">  The proposal does, however, provide an exception for originators and </w:t>
      </w:r>
      <w:r w:rsidR="00DC7490">
        <w:rPr>
          <w:rFonts w:ascii="Times New Roman" w:hAnsi="Times New Roman"/>
        </w:rPr>
        <w:t>credit unions</w:t>
      </w:r>
      <w:r w:rsidR="00915924">
        <w:rPr>
          <w:rFonts w:ascii="Times New Roman" w:hAnsi="Times New Roman"/>
        </w:rPr>
        <w:t xml:space="preserve"> who originate a de minimis number (5/25, respectively) of residential loans.</w:t>
      </w:r>
    </w:p>
    <w:p w:rsidR="003A57AF" w:rsidRPr="00EB0D90" w:rsidRDefault="003A57AF" w:rsidP="00EB0D90">
      <w:pPr>
        <w:rPr>
          <w:rFonts w:ascii="Times New Roman" w:hAnsi="Times New Roman"/>
        </w:rPr>
      </w:pPr>
    </w:p>
    <w:p w:rsidR="003A57AF" w:rsidRPr="00EB0D90" w:rsidRDefault="003A57AF" w:rsidP="00EB0D90">
      <w:pPr>
        <w:tabs>
          <w:tab w:val="left" w:pos="-1440"/>
        </w:tabs>
        <w:ind w:left="720" w:hanging="720"/>
        <w:rPr>
          <w:rFonts w:ascii="Times New Roman" w:hAnsi="Times New Roman"/>
        </w:rPr>
      </w:pPr>
      <w:r w:rsidRPr="00EB0D90">
        <w:rPr>
          <w:rFonts w:ascii="Times New Roman" w:hAnsi="Times New Roman"/>
        </w:rPr>
        <w:t>6.</w:t>
      </w:r>
      <w:r w:rsidRPr="00EB0D90">
        <w:rPr>
          <w:rFonts w:ascii="Times New Roman" w:hAnsi="Times New Roman"/>
        </w:rPr>
        <w:tab/>
      </w:r>
      <w:r w:rsidRPr="00EB0D90">
        <w:rPr>
          <w:rFonts w:ascii="Times New Roman" w:hAnsi="Times New Roman"/>
          <w:u w:val="single"/>
        </w:rPr>
        <w:t>Consequences to the Federal program if the collection were conducted less frequently:</w:t>
      </w:r>
    </w:p>
    <w:p w:rsidR="003A57AF" w:rsidRPr="00EB0D90" w:rsidRDefault="003A57AF" w:rsidP="00EB0D90">
      <w:pPr>
        <w:tabs>
          <w:tab w:val="left" w:pos="-1440"/>
        </w:tabs>
        <w:ind w:left="720" w:hanging="720"/>
        <w:rPr>
          <w:rFonts w:ascii="Times New Roman" w:hAnsi="Times New Roman"/>
        </w:rPr>
        <w:sectPr w:rsidR="003A57AF" w:rsidRPr="00EB0D90">
          <w:endnotePr>
            <w:numFmt w:val="decimal"/>
          </w:endnotePr>
          <w:pgSz w:w="12240" w:h="15840"/>
          <w:pgMar w:top="1440" w:right="1440" w:bottom="1440" w:left="1440" w:header="1440" w:footer="1440" w:gutter="0"/>
          <w:cols w:space="720"/>
          <w:noEndnote/>
        </w:sectPr>
      </w:pPr>
    </w:p>
    <w:p w:rsidR="003A57AF" w:rsidRPr="00EB0D90" w:rsidRDefault="003A57AF" w:rsidP="00EB0D90">
      <w:pPr>
        <w:rPr>
          <w:rFonts w:ascii="Times New Roman" w:hAnsi="Times New Roman"/>
        </w:rPr>
      </w:pPr>
    </w:p>
    <w:p w:rsidR="003A57AF" w:rsidRPr="00EB0D90" w:rsidRDefault="008960F2" w:rsidP="00EB0D90">
      <w:pPr>
        <w:ind w:firstLine="720"/>
        <w:rPr>
          <w:rFonts w:ascii="Times New Roman" w:hAnsi="Times New Roman"/>
        </w:rPr>
      </w:pPr>
      <w:r w:rsidRPr="00EB0D90">
        <w:rPr>
          <w:rFonts w:ascii="Times New Roman" w:hAnsi="Times New Roman"/>
        </w:rPr>
        <w:t xml:space="preserve">The Agencies would be unable to </w:t>
      </w:r>
      <w:r w:rsidR="00F33E9A" w:rsidRPr="00EB0D90">
        <w:rPr>
          <w:rFonts w:ascii="Times New Roman" w:hAnsi="Times New Roman"/>
        </w:rPr>
        <w:t>meet the requirements of the</w:t>
      </w:r>
      <w:r w:rsidRPr="00EB0D90">
        <w:rPr>
          <w:rFonts w:ascii="Times New Roman" w:hAnsi="Times New Roman"/>
        </w:rPr>
        <w:t xml:space="preserve"> statute.</w:t>
      </w:r>
    </w:p>
    <w:p w:rsidR="003A57AF" w:rsidRPr="00EB0D90" w:rsidRDefault="003A57AF" w:rsidP="00EB0D90">
      <w:pPr>
        <w:rPr>
          <w:rFonts w:ascii="Times New Roman" w:hAnsi="Times New Roman"/>
        </w:rPr>
      </w:pPr>
    </w:p>
    <w:p w:rsidR="003A57AF" w:rsidRPr="00EB0D90" w:rsidRDefault="003A57AF" w:rsidP="00EB0D90">
      <w:pPr>
        <w:tabs>
          <w:tab w:val="left" w:pos="-1440"/>
        </w:tabs>
        <w:ind w:left="720" w:hanging="720"/>
        <w:rPr>
          <w:rFonts w:ascii="Times New Roman" w:hAnsi="Times New Roman"/>
        </w:rPr>
      </w:pPr>
      <w:r w:rsidRPr="00EB0D90">
        <w:rPr>
          <w:rFonts w:ascii="Times New Roman" w:hAnsi="Times New Roman"/>
        </w:rPr>
        <w:t>7.</w:t>
      </w:r>
      <w:r w:rsidRPr="00EB0D90">
        <w:rPr>
          <w:rFonts w:ascii="Times New Roman" w:hAnsi="Times New Roman"/>
        </w:rPr>
        <w:tab/>
      </w:r>
      <w:r w:rsidRPr="00EB0D90">
        <w:rPr>
          <w:rFonts w:ascii="Times New Roman" w:hAnsi="Times New Roman"/>
          <w:u w:val="single"/>
        </w:rPr>
        <w:t>Special circumstances necessitating collection inconsistent with 5 CFR Part 1320:</w:t>
      </w:r>
    </w:p>
    <w:p w:rsidR="003A57AF" w:rsidRPr="00EB0D90" w:rsidRDefault="003A57AF" w:rsidP="00EB0D90">
      <w:pPr>
        <w:rPr>
          <w:rFonts w:ascii="Times New Roman" w:hAnsi="Times New Roman"/>
        </w:rPr>
      </w:pPr>
    </w:p>
    <w:p w:rsidR="003A57AF" w:rsidRPr="00EB0D90" w:rsidRDefault="003A57AF" w:rsidP="00EB0D90">
      <w:pPr>
        <w:ind w:firstLine="720"/>
        <w:rPr>
          <w:rFonts w:ascii="Times New Roman" w:hAnsi="Times New Roman"/>
        </w:rPr>
      </w:pPr>
      <w:r w:rsidRPr="00EB0D90">
        <w:rPr>
          <w:rFonts w:ascii="Times New Roman" w:hAnsi="Times New Roman"/>
        </w:rPr>
        <w:t xml:space="preserve">Not applicable.  This collection </w:t>
      </w:r>
      <w:r w:rsidR="00EF31E2" w:rsidRPr="00EB0D90">
        <w:rPr>
          <w:rFonts w:ascii="Times New Roman" w:hAnsi="Times New Roman"/>
        </w:rPr>
        <w:t>will be</w:t>
      </w:r>
      <w:r w:rsidRPr="00EB0D90">
        <w:rPr>
          <w:rFonts w:ascii="Times New Roman" w:hAnsi="Times New Roman"/>
        </w:rPr>
        <w:t xml:space="preserve"> conducted consistent with the guidelines in 5 CFR 1320.6.</w:t>
      </w:r>
    </w:p>
    <w:p w:rsidR="003A57AF" w:rsidRPr="00EB0D90" w:rsidRDefault="003A57AF" w:rsidP="00EB0D90">
      <w:pPr>
        <w:rPr>
          <w:rFonts w:ascii="Times New Roman" w:hAnsi="Times New Roman"/>
        </w:rPr>
      </w:pPr>
    </w:p>
    <w:p w:rsidR="003A57AF" w:rsidRPr="00EB0D90" w:rsidRDefault="003A57AF" w:rsidP="00EB0D90">
      <w:pPr>
        <w:tabs>
          <w:tab w:val="left" w:pos="-1440"/>
        </w:tabs>
        <w:ind w:left="720" w:hanging="720"/>
        <w:rPr>
          <w:rFonts w:ascii="Times New Roman" w:hAnsi="Times New Roman"/>
        </w:rPr>
      </w:pPr>
      <w:r w:rsidRPr="00EB0D90">
        <w:rPr>
          <w:rFonts w:ascii="Times New Roman" w:hAnsi="Times New Roman"/>
        </w:rPr>
        <w:t>8.</w:t>
      </w:r>
      <w:r w:rsidRPr="00EB0D90">
        <w:rPr>
          <w:rFonts w:ascii="Times New Roman" w:hAnsi="Times New Roman"/>
        </w:rPr>
        <w:tab/>
      </w:r>
      <w:r w:rsidRPr="00EB0D90">
        <w:rPr>
          <w:rFonts w:ascii="Times New Roman" w:hAnsi="Times New Roman"/>
          <w:u w:val="single"/>
        </w:rPr>
        <w:t>Efforts to consult with persons outside the agency:</w:t>
      </w:r>
    </w:p>
    <w:p w:rsidR="003A57AF" w:rsidRPr="00EB0D90" w:rsidRDefault="003A57AF" w:rsidP="00EB0D90">
      <w:pPr>
        <w:rPr>
          <w:rFonts w:ascii="Times New Roman" w:hAnsi="Times New Roman"/>
        </w:rPr>
      </w:pPr>
    </w:p>
    <w:p w:rsidR="003C2E99" w:rsidRPr="00EB0D90" w:rsidRDefault="00966328" w:rsidP="00EB0D90">
      <w:pPr>
        <w:ind w:firstLine="720"/>
        <w:rPr>
          <w:rFonts w:ascii="Times New Roman" w:hAnsi="Times New Roman"/>
        </w:rPr>
      </w:pPr>
      <w:r w:rsidRPr="00EB0D90">
        <w:rPr>
          <w:rFonts w:ascii="Times New Roman" w:hAnsi="Times New Roman"/>
        </w:rPr>
        <w:t xml:space="preserve">On </w:t>
      </w:r>
      <w:r w:rsidR="005866BF">
        <w:rPr>
          <w:rFonts w:ascii="Times New Roman" w:hAnsi="Times New Roman"/>
        </w:rPr>
        <w:t>June</w:t>
      </w:r>
      <w:r w:rsidR="004A212E">
        <w:rPr>
          <w:rFonts w:ascii="Times New Roman" w:hAnsi="Times New Roman"/>
        </w:rPr>
        <w:t xml:space="preserve"> 9</w:t>
      </w:r>
      <w:r w:rsidR="00516781" w:rsidRPr="00EB0D90">
        <w:rPr>
          <w:rFonts w:ascii="Times New Roman" w:hAnsi="Times New Roman"/>
        </w:rPr>
        <w:t>, 2009</w:t>
      </w:r>
      <w:r w:rsidR="00E22557" w:rsidRPr="00EB0D90">
        <w:rPr>
          <w:rFonts w:ascii="Times New Roman" w:hAnsi="Times New Roman"/>
        </w:rPr>
        <w:t>,</w:t>
      </w:r>
      <w:r w:rsidRPr="00EB0D90">
        <w:rPr>
          <w:rFonts w:ascii="Times New Roman" w:hAnsi="Times New Roman"/>
        </w:rPr>
        <w:t xml:space="preserve"> the Agencies published a </w:t>
      </w:r>
      <w:r w:rsidR="00C13CDA" w:rsidRPr="00EB0D90">
        <w:rPr>
          <w:rFonts w:ascii="Times New Roman" w:hAnsi="Times New Roman"/>
        </w:rPr>
        <w:t xml:space="preserve">notice of </w:t>
      </w:r>
      <w:r w:rsidR="00E22557" w:rsidRPr="00EB0D90">
        <w:rPr>
          <w:rFonts w:ascii="Times New Roman" w:hAnsi="Times New Roman"/>
        </w:rPr>
        <w:t>proposed rule</w:t>
      </w:r>
      <w:r w:rsidR="00C13CDA" w:rsidRPr="00EB0D90">
        <w:rPr>
          <w:rFonts w:ascii="Times New Roman" w:hAnsi="Times New Roman"/>
        </w:rPr>
        <w:t>making</w:t>
      </w:r>
      <w:r w:rsidRPr="00EB0D90">
        <w:rPr>
          <w:rFonts w:ascii="Times New Roman" w:hAnsi="Times New Roman"/>
        </w:rPr>
        <w:t xml:space="preserve"> </w:t>
      </w:r>
      <w:r w:rsidR="006D4DB1" w:rsidRPr="00EB0D90">
        <w:rPr>
          <w:rFonts w:ascii="Times New Roman" w:hAnsi="Times New Roman"/>
        </w:rPr>
        <w:t xml:space="preserve">(NPRM) </w:t>
      </w:r>
      <w:r w:rsidRPr="00EB0D90">
        <w:rPr>
          <w:rFonts w:ascii="Times New Roman" w:hAnsi="Times New Roman"/>
        </w:rPr>
        <w:t xml:space="preserve">in the </w:t>
      </w:r>
      <w:r w:rsidRPr="00EB0D90">
        <w:rPr>
          <w:rFonts w:ascii="Times New Roman" w:hAnsi="Times New Roman"/>
          <w:u w:val="single"/>
        </w:rPr>
        <w:t>Federal Register</w:t>
      </w:r>
      <w:r w:rsidR="00324796" w:rsidRPr="00EB0D90">
        <w:rPr>
          <w:rFonts w:ascii="Times New Roman" w:hAnsi="Times New Roman"/>
        </w:rPr>
        <w:t xml:space="preserve"> (7</w:t>
      </w:r>
      <w:r w:rsidR="00516781" w:rsidRPr="00EB0D90">
        <w:rPr>
          <w:rFonts w:ascii="Times New Roman" w:hAnsi="Times New Roman"/>
        </w:rPr>
        <w:t>4</w:t>
      </w:r>
      <w:r w:rsidR="00324796" w:rsidRPr="00EB0D90">
        <w:rPr>
          <w:rFonts w:ascii="Times New Roman" w:hAnsi="Times New Roman"/>
        </w:rPr>
        <w:t xml:space="preserve"> FR </w:t>
      </w:r>
      <w:r w:rsidR="009A5801">
        <w:rPr>
          <w:rFonts w:ascii="Times New Roman" w:hAnsi="Times New Roman"/>
        </w:rPr>
        <w:t>27386</w:t>
      </w:r>
      <w:r w:rsidRPr="00EB0D90">
        <w:rPr>
          <w:rFonts w:ascii="Times New Roman" w:hAnsi="Times New Roman"/>
        </w:rPr>
        <w:t xml:space="preserve">) requesting public comment </w:t>
      </w:r>
      <w:r w:rsidR="00E22557" w:rsidRPr="00EB0D90">
        <w:rPr>
          <w:rFonts w:ascii="Times New Roman" w:hAnsi="Times New Roman"/>
        </w:rPr>
        <w:t>on the proposed rule and proposed i</w:t>
      </w:r>
      <w:r w:rsidRPr="00EB0D90">
        <w:rPr>
          <w:rFonts w:ascii="Times New Roman" w:hAnsi="Times New Roman"/>
        </w:rPr>
        <w:t>nformation collection</w:t>
      </w:r>
      <w:r w:rsidR="00AC05CB" w:rsidRPr="00EB0D90">
        <w:rPr>
          <w:rFonts w:ascii="Times New Roman" w:hAnsi="Times New Roman"/>
        </w:rPr>
        <w:t>.</w:t>
      </w:r>
      <w:r w:rsidR="00915924">
        <w:rPr>
          <w:rFonts w:ascii="Times New Roman" w:hAnsi="Times New Roman"/>
        </w:rPr>
        <w:t xml:space="preserve">  The Agencies have also been consulting with and obtaining input from CSBS.</w:t>
      </w:r>
    </w:p>
    <w:p w:rsidR="00254363" w:rsidRPr="00EB0D90" w:rsidRDefault="00254363" w:rsidP="00EB0D90">
      <w:pPr>
        <w:pStyle w:val="HTMLPreformatted"/>
        <w:tabs>
          <w:tab w:val="left" w:pos="8640"/>
        </w:tabs>
        <w:ind w:right="-900"/>
        <w:rPr>
          <w:rFonts w:ascii="Times New Roman" w:hAnsi="Times New Roman" w:cs="Times New Roman"/>
          <w:sz w:val="24"/>
          <w:szCs w:val="24"/>
        </w:rPr>
      </w:pPr>
    </w:p>
    <w:p w:rsidR="003A57AF" w:rsidRPr="00EB0D90" w:rsidRDefault="003A57AF" w:rsidP="00EB0D90">
      <w:pPr>
        <w:rPr>
          <w:rFonts w:ascii="Times New Roman" w:hAnsi="Times New Roman"/>
        </w:rPr>
      </w:pPr>
      <w:r w:rsidRPr="00EB0D90">
        <w:rPr>
          <w:rFonts w:ascii="Times New Roman" w:hAnsi="Times New Roman"/>
        </w:rPr>
        <w:lastRenderedPageBreak/>
        <w:t>9.</w:t>
      </w:r>
      <w:r w:rsidRPr="00EB0D90">
        <w:rPr>
          <w:rFonts w:ascii="Times New Roman" w:hAnsi="Times New Roman"/>
        </w:rPr>
        <w:tab/>
      </w:r>
      <w:r w:rsidRPr="00EB0D90">
        <w:rPr>
          <w:rFonts w:ascii="Times New Roman" w:hAnsi="Times New Roman"/>
          <w:u w:val="single"/>
        </w:rPr>
        <w:t>Payment to respondents:</w:t>
      </w:r>
    </w:p>
    <w:p w:rsidR="003A57AF" w:rsidRPr="00EB0D90" w:rsidRDefault="003A57AF" w:rsidP="00EB0D90">
      <w:pPr>
        <w:rPr>
          <w:rFonts w:ascii="Times New Roman" w:hAnsi="Times New Roman"/>
        </w:rPr>
      </w:pPr>
    </w:p>
    <w:p w:rsidR="003A57AF" w:rsidRDefault="00CB469C" w:rsidP="00CB469C">
      <w:pPr>
        <w:ind w:firstLine="720"/>
        <w:rPr>
          <w:rFonts w:ascii="Times New Roman" w:hAnsi="Times New Roman"/>
        </w:rPr>
      </w:pPr>
      <w:r>
        <w:rPr>
          <w:rFonts w:ascii="Times New Roman" w:hAnsi="Times New Roman"/>
        </w:rPr>
        <w:t>There is no payment to respondents.</w:t>
      </w:r>
    </w:p>
    <w:p w:rsidR="00CB469C" w:rsidRPr="00EB0D90" w:rsidRDefault="00CB469C" w:rsidP="00CB469C">
      <w:pPr>
        <w:ind w:firstLine="720"/>
        <w:rPr>
          <w:rFonts w:ascii="Times New Roman" w:hAnsi="Times New Roman"/>
        </w:rPr>
      </w:pPr>
    </w:p>
    <w:p w:rsidR="003A57AF" w:rsidRPr="00EB0D90" w:rsidRDefault="003A57AF" w:rsidP="00EB0D90">
      <w:pPr>
        <w:tabs>
          <w:tab w:val="left" w:pos="-1440"/>
        </w:tabs>
        <w:ind w:left="720" w:hanging="720"/>
        <w:rPr>
          <w:rFonts w:ascii="Times New Roman" w:hAnsi="Times New Roman"/>
        </w:rPr>
      </w:pPr>
      <w:r w:rsidRPr="00EB0D90">
        <w:rPr>
          <w:rFonts w:ascii="Times New Roman" w:hAnsi="Times New Roman"/>
        </w:rPr>
        <w:t>10.</w:t>
      </w:r>
      <w:r w:rsidRPr="00EB0D90">
        <w:rPr>
          <w:rFonts w:ascii="Times New Roman" w:hAnsi="Times New Roman"/>
        </w:rPr>
        <w:tab/>
      </w:r>
      <w:r w:rsidRPr="00EB0D90">
        <w:rPr>
          <w:rFonts w:ascii="Times New Roman" w:hAnsi="Times New Roman"/>
          <w:u w:val="single"/>
        </w:rPr>
        <w:t>Any assurance of confidentiality:</w:t>
      </w:r>
    </w:p>
    <w:p w:rsidR="003A57AF" w:rsidRPr="00EB0D90" w:rsidRDefault="003A57AF" w:rsidP="00EB0D90">
      <w:pPr>
        <w:rPr>
          <w:rFonts w:ascii="Times New Roman" w:hAnsi="Times New Roman"/>
        </w:rPr>
      </w:pPr>
    </w:p>
    <w:p w:rsidR="003A57AF" w:rsidRPr="00EB0D90" w:rsidRDefault="003A57AF" w:rsidP="00EB0D90">
      <w:pPr>
        <w:ind w:firstLine="720"/>
        <w:rPr>
          <w:rFonts w:ascii="Times New Roman" w:hAnsi="Times New Roman"/>
        </w:rPr>
      </w:pPr>
      <w:r w:rsidRPr="00EB0D90">
        <w:rPr>
          <w:rFonts w:ascii="Times New Roman" w:hAnsi="Times New Roman"/>
        </w:rPr>
        <w:t>No assurance of confidentiality is made.</w:t>
      </w:r>
    </w:p>
    <w:p w:rsidR="003A57AF" w:rsidRPr="00EB0D90" w:rsidRDefault="003A57AF" w:rsidP="00EB0D90">
      <w:pPr>
        <w:rPr>
          <w:rFonts w:ascii="Times New Roman" w:hAnsi="Times New Roman"/>
        </w:rPr>
      </w:pPr>
    </w:p>
    <w:p w:rsidR="003A57AF" w:rsidRPr="00EB0D90" w:rsidRDefault="003A57AF" w:rsidP="00EB0D90">
      <w:pPr>
        <w:tabs>
          <w:tab w:val="left" w:pos="-1440"/>
        </w:tabs>
        <w:ind w:left="720" w:hanging="720"/>
        <w:rPr>
          <w:rFonts w:ascii="Times New Roman" w:hAnsi="Times New Roman"/>
        </w:rPr>
      </w:pPr>
      <w:r w:rsidRPr="00EB0D90">
        <w:rPr>
          <w:rFonts w:ascii="Times New Roman" w:hAnsi="Times New Roman"/>
        </w:rPr>
        <w:t>11.</w:t>
      </w:r>
      <w:r w:rsidRPr="00EB0D90">
        <w:rPr>
          <w:rFonts w:ascii="Times New Roman" w:hAnsi="Times New Roman"/>
        </w:rPr>
        <w:tab/>
      </w:r>
      <w:r w:rsidRPr="00EB0D90">
        <w:rPr>
          <w:rFonts w:ascii="Times New Roman" w:hAnsi="Times New Roman"/>
          <w:u w:val="single"/>
        </w:rPr>
        <w:t>Justification for questions of a sensitive nature:</w:t>
      </w:r>
    </w:p>
    <w:p w:rsidR="003A57AF" w:rsidRPr="00EB0D90" w:rsidRDefault="003A57AF" w:rsidP="00EB0D90">
      <w:pPr>
        <w:rPr>
          <w:rFonts w:ascii="Times New Roman" w:hAnsi="Times New Roman"/>
        </w:rPr>
      </w:pPr>
    </w:p>
    <w:p w:rsidR="00B7138F" w:rsidRPr="00EB0D90" w:rsidRDefault="00915924" w:rsidP="00EB0D90">
      <w:pPr>
        <w:ind w:firstLine="720"/>
        <w:rPr>
          <w:rFonts w:ascii="Times New Roman" w:hAnsi="Times New Roman"/>
        </w:rPr>
      </w:pPr>
      <w:r>
        <w:rPr>
          <w:rFonts w:ascii="Times New Roman" w:hAnsi="Times New Roman"/>
        </w:rPr>
        <w:t>Questions of a sensitive nature are required by statute.</w:t>
      </w:r>
    </w:p>
    <w:p w:rsidR="00B7138F" w:rsidRPr="00EB0D90" w:rsidRDefault="00B7138F" w:rsidP="00EB0D90">
      <w:pPr>
        <w:rPr>
          <w:rFonts w:ascii="Times New Roman" w:hAnsi="Times New Roman"/>
        </w:rPr>
      </w:pPr>
    </w:p>
    <w:p w:rsidR="003A57AF" w:rsidRPr="00EB0D90" w:rsidRDefault="003A57AF" w:rsidP="00EB0D90">
      <w:pPr>
        <w:numPr>
          <w:ilvl w:val="0"/>
          <w:numId w:val="6"/>
        </w:numPr>
        <w:rPr>
          <w:rFonts w:ascii="Times New Roman" w:hAnsi="Times New Roman"/>
          <w:u w:val="single"/>
        </w:rPr>
      </w:pPr>
      <w:r w:rsidRPr="00EB0D90">
        <w:rPr>
          <w:rFonts w:ascii="Times New Roman" w:hAnsi="Times New Roman"/>
          <w:u w:val="single"/>
        </w:rPr>
        <w:t>Burden estimate</w:t>
      </w:r>
      <w:r w:rsidR="004827AA" w:rsidRPr="00EB0D90">
        <w:rPr>
          <w:rFonts w:ascii="Times New Roman" w:hAnsi="Times New Roman"/>
          <w:u w:val="single"/>
        </w:rPr>
        <w:t>s</w:t>
      </w:r>
      <w:r w:rsidRPr="00EB0D90">
        <w:rPr>
          <w:rFonts w:ascii="Times New Roman" w:hAnsi="Times New Roman"/>
          <w:u w:val="single"/>
        </w:rPr>
        <w:t>:</w:t>
      </w:r>
    </w:p>
    <w:p w:rsidR="00EB0D90" w:rsidRPr="00EB0D90" w:rsidRDefault="00EB0D90" w:rsidP="00EB0D90">
      <w:pPr>
        <w:rPr>
          <w:rFonts w:ascii="Times New Roman" w:hAnsi="Times New Roman"/>
          <w:u w:val="single"/>
        </w:rPr>
      </w:pPr>
    </w:p>
    <w:p w:rsidR="00DC7490" w:rsidRDefault="00DC7490" w:rsidP="00DC7490">
      <w:pPr>
        <w:rPr>
          <w:rFonts w:ascii="Arial" w:hAnsi="Arial" w:cs="Arial"/>
        </w:rPr>
      </w:pPr>
      <w:r w:rsidRPr="00247001">
        <w:rPr>
          <w:rFonts w:ascii="Arial" w:hAnsi="Arial" w:cs="Arial"/>
        </w:rPr>
        <w:t xml:space="preserve">The total estimated annual burden for this information collection is </w:t>
      </w:r>
      <w:r>
        <w:rPr>
          <w:rFonts w:ascii="Arial" w:hAnsi="Arial" w:cs="Arial"/>
        </w:rPr>
        <w:t xml:space="preserve">1,080,063 </w:t>
      </w:r>
      <w:r w:rsidRPr="00247001">
        <w:rPr>
          <w:rFonts w:ascii="Arial" w:hAnsi="Arial" w:cs="Arial"/>
        </w:rPr>
        <w:t xml:space="preserve">hours, as shown in the table below. </w:t>
      </w:r>
      <w:r>
        <w:rPr>
          <w:rFonts w:ascii="Arial" w:hAnsi="Arial" w:cs="Arial"/>
        </w:rPr>
        <w:t xml:space="preserve"> NCUA</w:t>
      </w:r>
      <w:r w:rsidRPr="00247001">
        <w:rPr>
          <w:rFonts w:ascii="Arial" w:hAnsi="Arial" w:cs="Arial"/>
        </w:rPr>
        <w:t xml:space="preserve"> estimates that there are </w:t>
      </w:r>
      <w:r>
        <w:rPr>
          <w:rFonts w:ascii="Arial" w:hAnsi="Arial" w:cs="Arial"/>
        </w:rPr>
        <w:t xml:space="preserve">23,539 </w:t>
      </w:r>
      <w:r w:rsidRPr="00247001">
        <w:rPr>
          <w:rFonts w:ascii="Arial" w:hAnsi="Arial" w:cs="Arial"/>
        </w:rPr>
        <w:t xml:space="preserve">MLOs for </w:t>
      </w:r>
      <w:r>
        <w:rPr>
          <w:rFonts w:ascii="Arial" w:hAnsi="Arial" w:cs="Arial"/>
        </w:rPr>
        <w:t>credit unions</w:t>
      </w:r>
      <w:r w:rsidRPr="00247001">
        <w:rPr>
          <w:rFonts w:ascii="Arial" w:hAnsi="Arial" w:cs="Arial"/>
        </w:rPr>
        <w:t xml:space="preserve"> and that it will take each MLO 3.5 hours to</w:t>
      </w:r>
      <w:r>
        <w:rPr>
          <w:rFonts w:ascii="Arial" w:hAnsi="Arial" w:cs="Arial"/>
        </w:rPr>
        <w:t xml:space="preserve"> </w:t>
      </w:r>
      <w:r w:rsidRPr="00247001">
        <w:rPr>
          <w:rFonts w:ascii="Arial" w:hAnsi="Arial" w:cs="Arial"/>
        </w:rPr>
        <w:t>register initially and disclose their unique identifier to consumers.</w:t>
      </w:r>
      <w:r>
        <w:rPr>
          <w:rFonts w:ascii="Arial" w:hAnsi="Arial" w:cs="Arial"/>
        </w:rPr>
        <w:t xml:space="preserve"> </w:t>
      </w:r>
      <w:r w:rsidRPr="00247001">
        <w:rPr>
          <w:rFonts w:ascii="Arial" w:hAnsi="Arial" w:cs="Arial"/>
        </w:rPr>
        <w:t xml:space="preserve"> </w:t>
      </w:r>
      <w:r>
        <w:rPr>
          <w:rFonts w:ascii="Arial" w:hAnsi="Arial" w:cs="Arial"/>
        </w:rPr>
        <w:t xml:space="preserve">NCUA </w:t>
      </w:r>
      <w:r w:rsidRPr="00247001">
        <w:rPr>
          <w:rFonts w:ascii="Arial" w:hAnsi="Arial" w:cs="Arial"/>
        </w:rPr>
        <w:t xml:space="preserve">also estimates that </w:t>
      </w:r>
      <w:r>
        <w:rPr>
          <w:rFonts w:ascii="Arial" w:hAnsi="Arial" w:cs="Arial"/>
        </w:rPr>
        <w:t xml:space="preserve">about </w:t>
      </w:r>
      <w:r w:rsidRPr="00247001">
        <w:rPr>
          <w:rFonts w:ascii="Arial" w:hAnsi="Arial" w:cs="Arial"/>
        </w:rPr>
        <w:t>half of those MLOs</w:t>
      </w:r>
      <w:r>
        <w:rPr>
          <w:rFonts w:ascii="Arial" w:hAnsi="Arial" w:cs="Arial"/>
        </w:rPr>
        <w:t>, 11,770,</w:t>
      </w:r>
      <w:r w:rsidRPr="00247001">
        <w:rPr>
          <w:rFonts w:ascii="Arial" w:hAnsi="Arial" w:cs="Arial"/>
        </w:rPr>
        <w:t xml:space="preserve"> will need to update their registration each year and</w:t>
      </w:r>
      <w:r>
        <w:rPr>
          <w:rFonts w:ascii="Arial" w:hAnsi="Arial" w:cs="Arial"/>
        </w:rPr>
        <w:t xml:space="preserve"> </w:t>
      </w:r>
      <w:r w:rsidRPr="00247001">
        <w:rPr>
          <w:rFonts w:ascii="Arial" w:hAnsi="Arial" w:cs="Arial"/>
        </w:rPr>
        <w:t>it will take 15 minutes to provide these updates.</w:t>
      </w:r>
      <w:r>
        <w:rPr>
          <w:rFonts w:ascii="Arial" w:hAnsi="Arial" w:cs="Arial"/>
        </w:rPr>
        <w:t xml:space="preserve"> </w:t>
      </w:r>
      <w:r w:rsidRPr="00247001">
        <w:rPr>
          <w:rFonts w:ascii="Arial" w:hAnsi="Arial" w:cs="Arial"/>
        </w:rPr>
        <w:t xml:space="preserve"> Finally, the </w:t>
      </w:r>
      <w:r>
        <w:rPr>
          <w:rFonts w:ascii="Arial" w:hAnsi="Arial" w:cs="Arial"/>
        </w:rPr>
        <w:t>NCUA</w:t>
      </w:r>
      <w:r w:rsidRPr="00247001">
        <w:rPr>
          <w:rFonts w:ascii="Arial" w:hAnsi="Arial" w:cs="Arial"/>
        </w:rPr>
        <w:t xml:space="preserve"> estimates</w:t>
      </w:r>
      <w:r>
        <w:rPr>
          <w:rFonts w:ascii="Arial" w:hAnsi="Arial" w:cs="Arial"/>
        </w:rPr>
        <w:t xml:space="preserve"> </w:t>
      </w:r>
      <w:r w:rsidRPr="00247001">
        <w:rPr>
          <w:rFonts w:ascii="Arial" w:hAnsi="Arial" w:cs="Arial"/>
        </w:rPr>
        <w:t xml:space="preserve">that their </w:t>
      </w:r>
      <w:r>
        <w:rPr>
          <w:rFonts w:ascii="Arial" w:hAnsi="Arial" w:cs="Arial"/>
        </w:rPr>
        <w:t>2,834</w:t>
      </w:r>
      <w:r w:rsidRPr="00247001">
        <w:rPr>
          <w:rFonts w:ascii="Arial" w:hAnsi="Arial" w:cs="Arial"/>
        </w:rPr>
        <w:t xml:space="preserve"> </w:t>
      </w:r>
      <w:r>
        <w:rPr>
          <w:rFonts w:ascii="Arial" w:hAnsi="Arial" w:cs="Arial"/>
        </w:rPr>
        <w:t>credit unions</w:t>
      </w:r>
      <w:r w:rsidRPr="00247001">
        <w:rPr>
          <w:rFonts w:ascii="Arial" w:hAnsi="Arial" w:cs="Arial"/>
        </w:rPr>
        <w:t xml:space="preserve"> would take </w:t>
      </w:r>
      <w:r>
        <w:rPr>
          <w:rFonts w:ascii="Arial" w:hAnsi="Arial" w:cs="Arial"/>
        </w:rPr>
        <w:t>351</w:t>
      </w:r>
      <w:r w:rsidRPr="00247001">
        <w:rPr>
          <w:rFonts w:ascii="Arial" w:hAnsi="Arial" w:cs="Arial"/>
        </w:rPr>
        <w:t xml:space="preserve"> hours to implement policies and</w:t>
      </w:r>
      <w:r>
        <w:rPr>
          <w:rFonts w:ascii="Arial" w:hAnsi="Arial" w:cs="Arial"/>
        </w:rPr>
        <w:t xml:space="preserve"> </w:t>
      </w:r>
      <w:r w:rsidRPr="00247001">
        <w:rPr>
          <w:rFonts w:ascii="Arial" w:hAnsi="Arial" w:cs="Arial"/>
        </w:rPr>
        <w:t>procedures, establish tracking and compliance systems, and establish reporting, filing,</w:t>
      </w:r>
      <w:r>
        <w:rPr>
          <w:rFonts w:ascii="Arial" w:hAnsi="Arial" w:cs="Arial"/>
        </w:rPr>
        <w:t xml:space="preserve"> </w:t>
      </w:r>
      <w:r w:rsidRPr="00247001">
        <w:rPr>
          <w:rFonts w:ascii="Arial" w:hAnsi="Arial" w:cs="Arial"/>
        </w:rPr>
        <w:t xml:space="preserve">and information dissemination systems. </w:t>
      </w:r>
      <w:r>
        <w:rPr>
          <w:rFonts w:ascii="Arial" w:hAnsi="Arial" w:cs="Arial"/>
        </w:rPr>
        <w:t xml:space="preserve"> </w:t>
      </w:r>
      <w:r w:rsidRPr="00247001">
        <w:rPr>
          <w:rFonts w:ascii="Arial" w:hAnsi="Arial" w:cs="Arial"/>
        </w:rPr>
        <w:t>Most of the burden will only occur during the</w:t>
      </w:r>
      <w:r>
        <w:rPr>
          <w:rFonts w:ascii="Arial" w:hAnsi="Arial" w:cs="Arial"/>
        </w:rPr>
        <w:t xml:space="preserve"> </w:t>
      </w:r>
      <w:r w:rsidRPr="00247001">
        <w:rPr>
          <w:rFonts w:ascii="Arial" w:hAnsi="Arial" w:cs="Arial"/>
        </w:rPr>
        <w:t xml:space="preserve">first year of implementation. </w:t>
      </w:r>
    </w:p>
    <w:p w:rsidR="00DC7490" w:rsidRPr="00440A91" w:rsidRDefault="00DC7490" w:rsidP="00DC7490">
      <w:pPr>
        <w:ind w:left="1440" w:firstLine="720"/>
        <w:rPr>
          <w:rFonts w:ascii="Arial" w:hAnsi="Arial" w:cs="Arial"/>
          <w:i/>
          <w:sz w:val="16"/>
          <w:szCs w:val="16"/>
        </w:rPr>
      </w:pPr>
      <w:r w:rsidRPr="00440A91">
        <w:rPr>
          <w:rFonts w:ascii="Arial" w:hAnsi="Arial" w:cs="Arial"/>
          <w:i/>
          <w:sz w:val="16"/>
          <w:szCs w:val="16"/>
        </w:rPr>
        <w:t>Number of respondents</w:t>
      </w:r>
      <w:r>
        <w:rPr>
          <w:rFonts w:ascii="Arial" w:hAnsi="Arial" w:cs="Arial"/>
          <w:i/>
          <w:sz w:val="16"/>
          <w:szCs w:val="16"/>
        </w:rPr>
        <w:t xml:space="preserve">/ </w:t>
      </w:r>
      <w:r w:rsidRPr="00440A91">
        <w:rPr>
          <w:rFonts w:ascii="Arial" w:hAnsi="Arial" w:cs="Arial"/>
          <w:i/>
          <w:sz w:val="16"/>
          <w:szCs w:val="16"/>
        </w:rPr>
        <w:t>Est</w:t>
      </w:r>
      <w:r>
        <w:rPr>
          <w:rFonts w:ascii="Arial" w:hAnsi="Arial" w:cs="Arial"/>
          <w:i/>
          <w:sz w:val="16"/>
          <w:szCs w:val="16"/>
        </w:rPr>
        <w:t>.</w:t>
      </w:r>
      <w:r w:rsidRPr="00440A91">
        <w:rPr>
          <w:rFonts w:ascii="Arial" w:hAnsi="Arial" w:cs="Arial"/>
          <w:i/>
          <w:sz w:val="16"/>
          <w:szCs w:val="16"/>
        </w:rPr>
        <w:t xml:space="preserve"> annual frequency</w:t>
      </w:r>
      <w:r>
        <w:rPr>
          <w:rFonts w:ascii="Arial" w:hAnsi="Arial" w:cs="Arial"/>
          <w:i/>
          <w:sz w:val="16"/>
          <w:szCs w:val="16"/>
        </w:rPr>
        <w:t xml:space="preserve">/ </w:t>
      </w:r>
      <w:r w:rsidRPr="00440A91">
        <w:rPr>
          <w:rFonts w:ascii="Arial" w:hAnsi="Arial" w:cs="Arial"/>
          <w:i/>
          <w:sz w:val="16"/>
          <w:szCs w:val="16"/>
        </w:rPr>
        <w:t>Est</w:t>
      </w:r>
      <w:r>
        <w:rPr>
          <w:rFonts w:ascii="Arial" w:hAnsi="Arial" w:cs="Arial"/>
          <w:i/>
          <w:sz w:val="16"/>
          <w:szCs w:val="16"/>
        </w:rPr>
        <w:t>.</w:t>
      </w:r>
      <w:r w:rsidRPr="00440A91">
        <w:rPr>
          <w:rFonts w:ascii="Arial" w:hAnsi="Arial" w:cs="Arial"/>
          <w:i/>
          <w:sz w:val="16"/>
          <w:szCs w:val="16"/>
        </w:rPr>
        <w:t xml:space="preserve"> hrs per response</w:t>
      </w:r>
      <w:r>
        <w:rPr>
          <w:rFonts w:ascii="Arial" w:hAnsi="Arial" w:cs="Arial"/>
          <w:i/>
          <w:sz w:val="16"/>
          <w:szCs w:val="16"/>
        </w:rPr>
        <w:t xml:space="preserve">/ </w:t>
      </w:r>
      <w:r w:rsidRPr="00440A91">
        <w:rPr>
          <w:rFonts w:ascii="Arial" w:hAnsi="Arial" w:cs="Arial"/>
          <w:i/>
          <w:sz w:val="16"/>
          <w:szCs w:val="16"/>
        </w:rPr>
        <w:t>Est</w:t>
      </w:r>
      <w:r>
        <w:rPr>
          <w:rFonts w:ascii="Arial" w:hAnsi="Arial" w:cs="Arial"/>
          <w:i/>
          <w:sz w:val="16"/>
          <w:szCs w:val="16"/>
        </w:rPr>
        <w:t>.</w:t>
      </w:r>
      <w:r w:rsidRPr="00440A91">
        <w:rPr>
          <w:rFonts w:ascii="Arial" w:hAnsi="Arial" w:cs="Arial"/>
          <w:i/>
          <w:sz w:val="16"/>
          <w:szCs w:val="16"/>
        </w:rPr>
        <w:t xml:space="preserve"> annual burden h</w:t>
      </w:r>
      <w:r>
        <w:rPr>
          <w:rFonts w:ascii="Arial" w:hAnsi="Arial" w:cs="Arial"/>
          <w:i/>
          <w:sz w:val="16"/>
          <w:szCs w:val="16"/>
        </w:rPr>
        <w:t>rs</w:t>
      </w:r>
    </w:p>
    <w:p w:rsidR="00DC7490" w:rsidRPr="00440A91" w:rsidRDefault="00DC7490" w:rsidP="00DC7490">
      <w:pPr>
        <w:rPr>
          <w:rFonts w:ascii="Arial" w:hAnsi="Arial" w:cs="Arial"/>
          <w:i/>
          <w:sz w:val="16"/>
          <w:szCs w:val="16"/>
        </w:rPr>
      </w:pPr>
      <w:r w:rsidRPr="00440A91">
        <w:rPr>
          <w:rFonts w:ascii="Arial" w:hAnsi="Arial" w:cs="Arial"/>
          <w:i/>
          <w:sz w:val="16"/>
          <w:szCs w:val="16"/>
        </w:rPr>
        <w:t>MLOs – initial set up and disclosure</w:t>
      </w:r>
      <w:r>
        <w:rPr>
          <w:rFonts w:ascii="Arial" w:hAnsi="Arial" w:cs="Arial"/>
          <w:i/>
          <w:sz w:val="16"/>
          <w:szCs w:val="16"/>
        </w:rPr>
        <w:t>:   23,539               1                                    3.5                                   82,386.5</w:t>
      </w:r>
    </w:p>
    <w:p w:rsidR="00DC7490" w:rsidRPr="00440A91" w:rsidRDefault="00DC7490" w:rsidP="00DC7490">
      <w:pPr>
        <w:rPr>
          <w:rFonts w:ascii="Arial" w:hAnsi="Arial" w:cs="Arial"/>
          <w:i/>
          <w:sz w:val="16"/>
          <w:szCs w:val="16"/>
        </w:rPr>
      </w:pPr>
      <w:r w:rsidRPr="00440A91">
        <w:rPr>
          <w:rFonts w:ascii="Arial" w:hAnsi="Arial" w:cs="Arial"/>
          <w:i/>
          <w:sz w:val="16"/>
          <w:szCs w:val="16"/>
        </w:rPr>
        <w:t>MLOs – updates for changes</w:t>
      </w:r>
      <w:r>
        <w:rPr>
          <w:rFonts w:ascii="Arial" w:hAnsi="Arial" w:cs="Arial"/>
          <w:i/>
          <w:sz w:val="16"/>
          <w:szCs w:val="16"/>
        </w:rPr>
        <w:t xml:space="preserve">               11,770              1                                     0.25                                  2,942.5</w:t>
      </w:r>
    </w:p>
    <w:p w:rsidR="00DC7490" w:rsidRPr="00440A91" w:rsidRDefault="00DC7490" w:rsidP="00DC7490">
      <w:pPr>
        <w:rPr>
          <w:rFonts w:ascii="Arial" w:hAnsi="Arial" w:cs="Arial"/>
          <w:i/>
          <w:sz w:val="16"/>
          <w:szCs w:val="16"/>
          <w:u w:val="single"/>
        </w:rPr>
      </w:pPr>
      <w:r>
        <w:rPr>
          <w:rFonts w:ascii="Arial" w:hAnsi="Arial" w:cs="Arial"/>
          <w:i/>
          <w:sz w:val="16"/>
          <w:szCs w:val="16"/>
        </w:rPr>
        <w:t>Credit Unions</w:t>
      </w:r>
      <w:r w:rsidRPr="00440A91">
        <w:rPr>
          <w:rFonts w:ascii="Arial" w:hAnsi="Arial" w:cs="Arial"/>
          <w:i/>
          <w:sz w:val="16"/>
          <w:szCs w:val="16"/>
        </w:rPr>
        <w:t xml:space="preserve"> </w:t>
      </w:r>
      <w:r>
        <w:rPr>
          <w:rFonts w:ascii="Arial" w:hAnsi="Arial" w:cs="Arial"/>
          <w:i/>
          <w:sz w:val="16"/>
          <w:szCs w:val="16"/>
        </w:rPr>
        <w:t xml:space="preserve">                                       2,834               1                                 351                                   </w:t>
      </w:r>
      <w:r w:rsidRPr="00440A91">
        <w:rPr>
          <w:rFonts w:ascii="Arial" w:hAnsi="Arial" w:cs="Arial"/>
          <w:i/>
          <w:sz w:val="16"/>
          <w:szCs w:val="16"/>
          <w:u w:val="single"/>
        </w:rPr>
        <w:t>994,734</w:t>
      </w:r>
    </w:p>
    <w:p w:rsidR="00DC7490" w:rsidRDefault="00DC7490" w:rsidP="00DC7490">
      <w:pPr>
        <w:rPr>
          <w:rFonts w:ascii="Arial" w:hAnsi="Arial" w:cs="Arial"/>
          <w:i/>
          <w:sz w:val="16"/>
          <w:szCs w:val="16"/>
        </w:rPr>
      </w:pPr>
      <w:r w:rsidRPr="00440A91">
        <w:rPr>
          <w:rFonts w:ascii="Arial" w:hAnsi="Arial" w:cs="Arial"/>
          <w:i/>
          <w:sz w:val="16"/>
          <w:szCs w:val="16"/>
        </w:rPr>
        <w:t xml:space="preserve">Total </w:t>
      </w:r>
      <w:r>
        <w:rPr>
          <w:rFonts w:ascii="Arial" w:hAnsi="Arial" w:cs="Arial"/>
          <w:i/>
          <w:sz w:val="16"/>
          <w:szCs w:val="16"/>
        </w:rPr>
        <w:t xml:space="preserve">                                                                                                                                                      1,080,063 hours</w:t>
      </w:r>
    </w:p>
    <w:p w:rsidR="00DC7490" w:rsidRPr="002F1A0B" w:rsidRDefault="00DC7490" w:rsidP="00DC7490">
      <w:pPr>
        <w:rPr>
          <w:rFonts w:ascii="Arial" w:eastAsia="Calibri" w:hAnsi="Arial" w:cs="Arial"/>
          <w:i/>
          <w:sz w:val="16"/>
          <w:szCs w:val="16"/>
          <w:u w:val="single"/>
        </w:rPr>
      </w:pPr>
      <w:r w:rsidRPr="002F1A0B">
        <w:rPr>
          <w:rFonts w:ascii="Arial" w:eastAsia="Calibri" w:hAnsi="Arial" w:cs="Arial"/>
          <w:i/>
          <w:sz w:val="16"/>
          <w:szCs w:val="16"/>
          <w:u w:val="single"/>
        </w:rPr>
        <w:t>Implement</w:t>
      </w:r>
      <w:r>
        <w:rPr>
          <w:rFonts w:ascii="Arial" w:eastAsia="Calibri" w:hAnsi="Arial" w:cs="Arial"/>
          <w:i/>
          <w:sz w:val="16"/>
          <w:szCs w:val="16"/>
          <w:u w:val="single"/>
        </w:rPr>
        <w:t>ing</w:t>
      </w:r>
      <w:r w:rsidRPr="002F1A0B">
        <w:rPr>
          <w:rFonts w:ascii="Arial" w:eastAsia="Calibri" w:hAnsi="Arial" w:cs="Arial"/>
          <w:i/>
          <w:sz w:val="16"/>
          <w:szCs w:val="16"/>
          <w:u w:val="single"/>
        </w:rPr>
        <w:t xml:space="preserve"> Policies and Procedures, Maintain Criminal Report Records and Tracking Systems for Compliance</w:t>
      </w:r>
      <w:r>
        <w:rPr>
          <w:rStyle w:val="FootnoteReference"/>
          <w:rFonts w:ascii="Arial" w:eastAsia="Calibri" w:hAnsi="Arial" w:cs="Arial"/>
          <w:i/>
          <w:sz w:val="16"/>
          <w:szCs w:val="16"/>
        </w:rPr>
        <w:footnoteReference w:id="2"/>
      </w:r>
    </w:p>
    <w:p w:rsidR="00DC7490" w:rsidRPr="0011301A" w:rsidRDefault="00DC7490" w:rsidP="00DC7490">
      <w:pPr>
        <w:rPr>
          <w:rFonts w:ascii="Arial" w:eastAsia="Calibri" w:hAnsi="Arial" w:cs="Arial"/>
          <w:i/>
          <w:sz w:val="16"/>
          <w:szCs w:val="16"/>
        </w:rPr>
      </w:pPr>
      <w:r w:rsidRPr="0011301A">
        <w:rPr>
          <w:rFonts w:ascii="Arial" w:eastAsia="Calibri" w:hAnsi="Arial" w:cs="Arial"/>
          <w:i/>
          <w:sz w:val="16"/>
          <w:szCs w:val="16"/>
        </w:rPr>
        <w:t>Support Staff</w:t>
      </w:r>
      <w:r w:rsidRPr="0011301A">
        <w:rPr>
          <w:rFonts w:ascii="Arial" w:eastAsia="Calibri" w:hAnsi="Arial" w:cs="Arial"/>
          <w:i/>
          <w:sz w:val="16"/>
          <w:szCs w:val="16"/>
        </w:rPr>
        <w:tab/>
      </w:r>
      <w:r w:rsidRPr="0011301A">
        <w:rPr>
          <w:rFonts w:ascii="Arial" w:eastAsia="Calibri" w:hAnsi="Arial" w:cs="Arial"/>
          <w:i/>
          <w:sz w:val="16"/>
          <w:szCs w:val="16"/>
        </w:rPr>
        <w:tab/>
      </w:r>
      <w:r w:rsidRPr="0011301A">
        <w:rPr>
          <w:rFonts w:ascii="Arial" w:eastAsia="Calibri" w:hAnsi="Arial" w:cs="Arial"/>
          <w:i/>
          <w:sz w:val="16"/>
          <w:szCs w:val="16"/>
        </w:rPr>
        <w:tab/>
        <w:t>40% x (1,077,120.5) = @ $25 = $10,771,205</w:t>
      </w:r>
    </w:p>
    <w:p w:rsidR="00DC7490" w:rsidRPr="0011301A" w:rsidRDefault="00DC7490" w:rsidP="00DC7490">
      <w:pPr>
        <w:rPr>
          <w:rFonts w:ascii="Arial" w:eastAsia="Calibri" w:hAnsi="Arial" w:cs="Arial"/>
          <w:i/>
          <w:sz w:val="16"/>
          <w:szCs w:val="16"/>
        </w:rPr>
      </w:pPr>
      <w:r w:rsidRPr="0011301A">
        <w:rPr>
          <w:rFonts w:ascii="Arial" w:eastAsia="Calibri" w:hAnsi="Arial" w:cs="Arial"/>
          <w:i/>
          <w:sz w:val="16"/>
          <w:szCs w:val="16"/>
        </w:rPr>
        <w:t>Professional Staff</w:t>
      </w:r>
      <w:r w:rsidRPr="0011301A">
        <w:rPr>
          <w:rFonts w:ascii="Arial" w:eastAsia="Calibri" w:hAnsi="Arial" w:cs="Arial"/>
          <w:i/>
          <w:sz w:val="16"/>
          <w:szCs w:val="16"/>
        </w:rPr>
        <w:tab/>
      </w:r>
      <w:r w:rsidRPr="0011301A">
        <w:rPr>
          <w:rFonts w:ascii="Arial" w:eastAsia="Calibri" w:hAnsi="Arial" w:cs="Arial"/>
          <w:i/>
          <w:sz w:val="16"/>
          <w:szCs w:val="16"/>
        </w:rPr>
        <w:tab/>
      </w:r>
      <w:r>
        <w:rPr>
          <w:rFonts w:ascii="Arial" w:eastAsia="Calibri" w:hAnsi="Arial" w:cs="Arial"/>
          <w:i/>
          <w:sz w:val="16"/>
          <w:szCs w:val="16"/>
        </w:rPr>
        <w:tab/>
      </w:r>
      <w:r w:rsidRPr="0011301A">
        <w:rPr>
          <w:rFonts w:ascii="Arial" w:eastAsia="Calibri" w:hAnsi="Arial" w:cs="Arial"/>
          <w:i/>
          <w:sz w:val="16"/>
          <w:szCs w:val="16"/>
        </w:rPr>
        <w:t>50% x (1,077,120.5) = @$55 = $29,620,813</w:t>
      </w:r>
    </w:p>
    <w:p w:rsidR="00DC7490" w:rsidRPr="0011301A" w:rsidRDefault="00DC7490" w:rsidP="00DC7490">
      <w:pPr>
        <w:rPr>
          <w:rFonts w:ascii="Arial" w:eastAsia="Calibri" w:hAnsi="Arial" w:cs="Arial"/>
          <w:i/>
          <w:sz w:val="16"/>
          <w:szCs w:val="16"/>
        </w:rPr>
      </w:pPr>
      <w:r w:rsidRPr="0011301A">
        <w:rPr>
          <w:rFonts w:ascii="Arial" w:eastAsia="Calibri" w:hAnsi="Arial" w:cs="Arial"/>
          <w:i/>
          <w:sz w:val="16"/>
          <w:szCs w:val="16"/>
        </w:rPr>
        <w:t>Senior Management</w:t>
      </w:r>
      <w:r w:rsidRPr="0011301A">
        <w:rPr>
          <w:rFonts w:ascii="Arial" w:eastAsia="Calibri" w:hAnsi="Arial" w:cs="Arial"/>
          <w:i/>
          <w:sz w:val="16"/>
          <w:szCs w:val="16"/>
        </w:rPr>
        <w:tab/>
      </w:r>
      <w:r w:rsidRPr="0011301A">
        <w:rPr>
          <w:rFonts w:ascii="Arial" w:eastAsia="Calibri" w:hAnsi="Arial" w:cs="Arial"/>
          <w:i/>
          <w:sz w:val="16"/>
          <w:szCs w:val="16"/>
        </w:rPr>
        <w:tab/>
        <w:t xml:space="preserve">  5% x </w:t>
      </w:r>
      <w:r w:rsidRPr="0011301A">
        <w:rPr>
          <w:rFonts w:ascii="Arial" w:eastAsia="Calibri" w:hAnsi="Arial" w:cs="Arial"/>
          <w:i/>
          <w:sz w:val="16"/>
          <w:szCs w:val="16"/>
        </w:rPr>
        <w:tab/>
        <w:t>(1,077,120.5) = @$100 = $5,385,602.50</w:t>
      </w:r>
    </w:p>
    <w:p w:rsidR="00DC7490" w:rsidRPr="0011301A" w:rsidRDefault="00DC7490" w:rsidP="00DC7490">
      <w:pPr>
        <w:rPr>
          <w:rFonts w:ascii="Arial" w:eastAsia="Calibri" w:hAnsi="Arial" w:cs="Arial"/>
          <w:i/>
          <w:sz w:val="16"/>
          <w:szCs w:val="16"/>
        </w:rPr>
      </w:pPr>
      <w:r w:rsidRPr="0011301A">
        <w:rPr>
          <w:rFonts w:ascii="Arial" w:eastAsia="Calibri" w:hAnsi="Arial" w:cs="Arial"/>
          <w:i/>
          <w:sz w:val="16"/>
          <w:szCs w:val="16"/>
        </w:rPr>
        <w:t>Legal Counsel</w:t>
      </w:r>
      <w:r w:rsidRPr="0011301A">
        <w:rPr>
          <w:rFonts w:ascii="Arial" w:eastAsia="Calibri" w:hAnsi="Arial" w:cs="Arial"/>
          <w:i/>
          <w:sz w:val="16"/>
          <w:szCs w:val="16"/>
        </w:rPr>
        <w:tab/>
      </w:r>
      <w:r w:rsidRPr="0011301A">
        <w:rPr>
          <w:rFonts w:ascii="Arial" w:eastAsia="Calibri" w:hAnsi="Arial" w:cs="Arial"/>
          <w:i/>
          <w:sz w:val="16"/>
          <w:szCs w:val="16"/>
        </w:rPr>
        <w:tab/>
      </w:r>
      <w:r w:rsidRPr="0011301A">
        <w:rPr>
          <w:rFonts w:ascii="Arial" w:eastAsia="Calibri" w:hAnsi="Arial" w:cs="Arial"/>
          <w:i/>
          <w:sz w:val="16"/>
          <w:szCs w:val="16"/>
        </w:rPr>
        <w:tab/>
        <w:t xml:space="preserve">  5% x (1,077,120.5) =  @$144 = $7,755,267.60  </w:t>
      </w:r>
    </w:p>
    <w:p w:rsidR="00DC7490" w:rsidRPr="0011301A" w:rsidRDefault="00DC7490" w:rsidP="00DC7490">
      <w:pPr>
        <w:ind w:left="5760"/>
        <w:rPr>
          <w:rFonts w:ascii="Arial" w:eastAsia="Calibri" w:hAnsi="Arial" w:cs="Arial"/>
          <w:i/>
          <w:sz w:val="16"/>
          <w:szCs w:val="16"/>
        </w:rPr>
      </w:pPr>
      <w:r>
        <w:rPr>
          <w:rFonts w:ascii="Arial" w:eastAsia="Calibri" w:hAnsi="Arial" w:cs="Arial"/>
          <w:i/>
          <w:sz w:val="16"/>
          <w:szCs w:val="16"/>
        </w:rPr>
        <w:t>$</w:t>
      </w:r>
      <w:r w:rsidRPr="0011301A">
        <w:rPr>
          <w:rFonts w:ascii="Arial" w:eastAsia="Calibri" w:hAnsi="Arial" w:cs="Arial"/>
          <w:i/>
          <w:sz w:val="16"/>
          <w:szCs w:val="16"/>
        </w:rPr>
        <w:t>53,532,887</w:t>
      </w:r>
    </w:p>
    <w:p w:rsidR="00DC7490" w:rsidRPr="0011301A" w:rsidRDefault="00DC7490" w:rsidP="00DC7490">
      <w:pPr>
        <w:ind w:left="90"/>
        <w:rPr>
          <w:rFonts w:ascii="Arial" w:eastAsia="Calibri" w:hAnsi="Arial" w:cs="Arial"/>
          <w:i/>
          <w:sz w:val="16"/>
          <w:szCs w:val="16"/>
          <w:u w:val="single"/>
        </w:rPr>
      </w:pPr>
      <w:r w:rsidRPr="0011301A">
        <w:rPr>
          <w:rFonts w:ascii="Arial" w:eastAsia="Calibri" w:hAnsi="Arial" w:cs="Arial"/>
          <w:i/>
          <w:sz w:val="16"/>
          <w:szCs w:val="16"/>
          <w:u w:val="single"/>
        </w:rPr>
        <w:t>Mortgage Loan Originator- Registration/Update</w:t>
      </w:r>
    </w:p>
    <w:p w:rsidR="00DC7490" w:rsidRPr="0011301A" w:rsidRDefault="00DC7490" w:rsidP="00DC7490">
      <w:pPr>
        <w:ind w:left="90"/>
        <w:rPr>
          <w:rFonts w:ascii="Arial" w:eastAsia="Calibri" w:hAnsi="Arial" w:cs="Arial"/>
          <w:i/>
          <w:sz w:val="16"/>
          <w:szCs w:val="16"/>
        </w:rPr>
      </w:pPr>
      <w:r w:rsidRPr="0011301A">
        <w:rPr>
          <w:rFonts w:ascii="Arial" w:eastAsia="Calibri" w:hAnsi="Arial" w:cs="Arial"/>
          <w:i/>
          <w:sz w:val="16"/>
          <w:szCs w:val="16"/>
        </w:rPr>
        <w:tab/>
      </w:r>
      <w:r w:rsidRPr="0011301A">
        <w:rPr>
          <w:rFonts w:ascii="Arial" w:eastAsia="Calibri" w:hAnsi="Arial" w:cs="Arial"/>
          <w:i/>
          <w:sz w:val="16"/>
          <w:szCs w:val="16"/>
        </w:rPr>
        <w:tab/>
      </w:r>
      <w:r w:rsidRPr="0011301A">
        <w:rPr>
          <w:rFonts w:ascii="Arial" w:eastAsia="Calibri" w:hAnsi="Arial" w:cs="Arial"/>
          <w:i/>
          <w:sz w:val="16"/>
          <w:szCs w:val="16"/>
        </w:rPr>
        <w:tab/>
      </w:r>
      <w:r w:rsidRPr="0011301A">
        <w:rPr>
          <w:rFonts w:ascii="Arial" w:eastAsia="Calibri" w:hAnsi="Arial" w:cs="Arial"/>
          <w:i/>
          <w:sz w:val="16"/>
          <w:szCs w:val="16"/>
        </w:rPr>
        <w:tab/>
      </w:r>
      <w:r w:rsidRPr="0011301A">
        <w:rPr>
          <w:rFonts w:ascii="Arial" w:eastAsia="Calibri" w:hAnsi="Arial" w:cs="Arial"/>
          <w:i/>
          <w:sz w:val="16"/>
          <w:szCs w:val="16"/>
        </w:rPr>
        <w:tab/>
      </w:r>
      <w:r w:rsidRPr="0011301A">
        <w:rPr>
          <w:rFonts w:ascii="Arial" w:eastAsia="Calibri" w:hAnsi="Arial" w:cs="Arial"/>
          <w:i/>
          <w:sz w:val="16"/>
          <w:szCs w:val="16"/>
        </w:rPr>
        <w:tab/>
      </w:r>
      <w:r w:rsidRPr="0011301A">
        <w:rPr>
          <w:rFonts w:ascii="Arial" w:eastAsia="Calibri" w:hAnsi="Arial" w:cs="Arial"/>
          <w:i/>
          <w:sz w:val="16"/>
          <w:szCs w:val="16"/>
        </w:rPr>
        <w:tab/>
        <w:t>2942.5@$20</w:t>
      </w:r>
      <w:r>
        <w:rPr>
          <w:rStyle w:val="FootnoteReference"/>
          <w:rFonts w:ascii="Arial" w:eastAsia="Calibri" w:hAnsi="Arial" w:cs="Arial"/>
          <w:i/>
          <w:sz w:val="16"/>
          <w:szCs w:val="16"/>
        </w:rPr>
        <w:footnoteReference w:id="3"/>
      </w:r>
      <w:r w:rsidRPr="0011301A">
        <w:rPr>
          <w:rFonts w:ascii="Arial" w:eastAsia="Calibri" w:hAnsi="Arial" w:cs="Arial"/>
          <w:i/>
          <w:sz w:val="16"/>
          <w:szCs w:val="16"/>
        </w:rPr>
        <w:t>= $58,850</w:t>
      </w:r>
    </w:p>
    <w:p w:rsidR="00DC7490" w:rsidRPr="0011301A" w:rsidRDefault="00DC7490" w:rsidP="00DC7490">
      <w:pPr>
        <w:rPr>
          <w:rFonts w:ascii="Arial" w:eastAsia="Calibri" w:hAnsi="Arial" w:cs="Arial"/>
          <w:i/>
          <w:sz w:val="16"/>
          <w:szCs w:val="16"/>
        </w:rPr>
      </w:pPr>
      <w:r w:rsidRPr="0011301A">
        <w:rPr>
          <w:rFonts w:ascii="Arial" w:eastAsia="Calibri" w:hAnsi="Arial" w:cs="Arial"/>
          <w:i/>
          <w:sz w:val="16"/>
          <w:szCs w:val="16"/>
        </w:rPr>
        <w:tab/>
      </w:r>
      <w:r w:rsidRPr="0011301A">
        <w:rPr>
          <w:rFonts w:ascii="Arial" w:eastAsia="Calibri" w:hAnsi="Arial" w:cs="Arial"/>
          <w:i/>
          <w:sz w:val="16"/>
          <w:szCs w:val="16"/>
        </w:rPr>
        <w:tab/>
      </w:r>
      <w:r w:rsidRPr="0011301A">
        <w:rPr>
          <w:rFonts w:ascii="Arial" w:eastAsia="Calibri" w:hAnsi="Arial" w:cs="Arial"/>
          <w:i/>
          <w:sz w:val="16"/>
          <w:szCs w:val="16"/>
        </w:rPr>
        <w:tab/>
      </w:r>
      <w:r w:rsidRPr="0011301A">
        <w:rPr>
          <w:rFonts w:ascii="Arial" w:eastAsia="Calibri" w:hAnsi="Arial" w:cs="Arial"/>
          <w:i/>
          <w:sz w:val="16"/>
          <w:szCs w:val="16"/>
        </w:rPr>
        <w:tab/>
      </w:r>
      <w:r w:rsidRPr="0011301A">
        <w:rPr>
          <w:rFonts w:ascii="Arial" w:eastAsia="Calibri" w:hAnsi="Arial" w:cs="Arial"/>
          <w:i/>
          <w:sz w:val="16"/>
          <w:szCs w:val="16"/>
        </w:rPr>
        <w:tab/>
      </w:r>
      <w:r w:rsidRPr="0011301A">
        <w:rPr>
          <w:rFonts w:ascii="Arial" w:eastAsia="Calibri" w:hAnsi="Arial" w:cs="Arial"/>
          <w:i/>
          <w:sz w:val="16"/>
          <w:szCs w:val="16"/>
        </w:rPr>
        <w:tab/>
      </w:r>
      <w:r w:rsidRPr="0011301A">
        <w:rPr>
          <w:rFonts w:ascii="Arial" w:eastAsia="Calibri" w:hAnsi="Arial" w:cs="Arial"/>
          <w:i/>
          <w:sz w:val="16"/>
          <w:szCs w:val="16"/>
        </w:rPr>
        <w:tab/>
        <w:t>Total</w:t>
      </w:r>
      <w:r>
        <w:rPr>
          <w:rFonts w:ascii="Arial" w:eastAsia="Calibri" w:hAnsi="Arial" w:cs="Arial"/>
          <w:i/>
          <w:sz w:val="16"/>
          <w:szCs w:val="16"/>
        </w:rPr>
        <w:t xml:space="preserve"> (est.)</w:t>
      </w:r>
      <w:r w:rsidRPr="0011301A">
        <w:rPr>
          <w:rFonts w:ascii="Arial" w:eastAsia="Calibri" w:hAnsi="Arial" w:cs="Arial"/>
          <w:i/>
          <w:sz w:val="16"/>
          <w:szCs w:val="16"/>
        </w:rPr>
        <w:t>:    $53,591,737</w:t>
      </w:r>
    </w:p>
    <w:p w:rsidR="00DC7490" w:rsidRDefault="00DC7490" w:rsidP="00DC7490">
      <w:pPr>
        <w:rPr>
          <w:rFonts w:ascii="Arial" w:hAnsi="Arial" w:cs="Arial"/>
        </w:rPr>
      </w:pPr>
      <w:r>
        <w:rPr>
          <w:rFonts w:ascii="Arial" w:hAnsi="Arial" w:cs="Arial"/>
        </w:rPr>
        <w:t xml:space="preserve">Therefore, </w:t>
      </w:r>
      <w:r w:rsidRPr="00247001">
        <w:rPr>
          <w:rFonts w:ascii="Arial" w:hAnsi="Arial" w:cs="Arial"/>
        </w:rPr>
        <w:t>the current annual cost to the public of this information collection is estimated to be</w:t>
      </w:r>
      <w:r>
        <w:rPr>
          <w:rFonts w:ascii="Arial" w:hAnsi="Arial" w:cs="Arial"/>
        </w:rPr>
        <w:t xml:space="preserve"> </w:t>
      </w:r>
      <w:r w:rsidRPr="0011301A">
        <w:rPr>
          <w:rFonts w:ascii="Arial" w:hAnsi="Arial" w:cs="Arial"/>
        </w:rPr>
        <w:t>$53,591,737</w:t>
      </w:r>
      <w:r>
        <w:rPr>
          <w:rFonts w:ascii="Arial" w:hAnsi="Arial" w:cs="Arial"/>
        </w:rPr>
        <w:t>.</w:t>
      </w:r>
    </w:p>
    <w:p w:rsidR="00DC7490" w:rsidRPr="00247001" w:rsidRDefault="00DC7490" w:rsidP="00DC7490">
      <w:pPr>
        <w:rPr>
          <w:rFonts w:ascii="Arial" w:hAnsi="Arial" w:cs="Arial"/>
        </w:rPr>
      </w:pPr>
    </w:p>
    <w:p w:rsidR="00DC7490" w:rsidRPr="00247001" w:rsidRDefault="00DC7490" w:rsidP="00DC7490">
      <w:pPr>
        <w:rPr>
          <w:rFonts w:ascii="Arial" w:hAnsi="Arial" w:cs="Arial"/>
        </w:rPr>
      </w:pPr>
      <w:r w:rsidRPr="00247001">
        <w:rPr>
          <w:rFonts w:ascii="Arial" w:hAnsi="Arial" w:cs="Arial"/>
        </w:rPr>
        <w:t xml:space="preserve">Estimate of Cost to the </w:t>
      </w:r>
      <w:r>
        <w:rPr>
          <w:rFonts w:ascii="Arial" w:hAnsi="Arial" w:cs="Arial"/>
        </w:rPr>
        <w:t>NCUA</w:t>
      </w:r>
    </w:p>
    <w:p w:rsidR="00DC7490" w:rsidRPr="00247001" w:rsidRDefault="00DC7490" w:rsidP="00DC7490">
      <w:pPr>
        <w:rPr>
          <w:rFonts w:ascii="Arial" w:hAnsi="Arial" w:cs="Arial"/>
        </w:rPr>
      </w:pPr>
      <w:r>
        <w:rPr>
          <w:rFonts w:ascii="Arial" w:hAnsi="Arial" w:cs="Arial"/>
        </w:rPr>
        <w:t xml:space="preserve">NCUA </w:t>
      </w:r>
      <w:r w:rsidRPr="00247001">
        <w:rPr>
          <w:rFonts w:ascii="Arial" w:hAnsi="Arial" w:cs="Arial"/>
        </w:rPr>
        <w:t>staff would review the information as part of</w:t>
      </w:r>
      <w:r>
        <w:rPr>
          <w:rFonts w:ascii="Arial" w:hAnsi="Arial" w:cs="Arial"/>
        </w:rPr>
        <w:t xml:space="preserve"> </w:t>
      </w:r>
      <w:r w:rsidRPr="00247001">
        <w:rPr>
          <w:rFonts w:ascii="Arial" w:hAnsi="Arial" w:cs="Arial"/>
        </w:rPr>
        <w:t>their normal work assignments and there would be no additional staffing costs.</w:t>
      </w:r>
    </w:p>
    <w:p w:rsidR="003A57AF" w:rsidRPr="00EB0D90" w:rsidRDefault="00A60210" w:rsidP="00832BEF">
      <w:pPr>
        <w:ind w:left="720"/>
        <w:rPr>
          <w:rFonts w:ascii="Times New Roman" w:hAnsi="Times New Roman"/>
        </w:rPr>
      </w:pPr>
      <w:r w:rsidRPr="00EB0D90">
        <w:rPr>
          <w:rFonts w:ascii="Times New Roman" w:hAnsi="Times New Roman"/>
        </w:rPr>
        <w:t xml:space="preserve"> </w:t>
      </w:r>
    </w:p>
    <w:p w:rsidR="003A57AF" w:rsidRPr="00EB0D90" w:rsidRDefault="008C38AA" w:rsidP="00832BEF">
      <w:pPr>
        <w:ind w:left="720"/>
        <w:rPr>
          <w:rFonts w:ascii="Times New Roman" w:hAnsi="Times New Roman"/>
        </w:rPr>
      </w:pPr>
      <w:r w:rsidRPr="00EB0D90">
        <w:rPr>
          <w:rFonts w:ascii="Times New Roman" w:hAnsi="Times New Roman"/>
        </w:rPr>
        <w:lastRenderedPageBreak/>
        <w:t xml:space="preserve">                                                            </w:t>
      </w:r>
    </w:p>
    <w:p w:rsidR="003A57AF" w:rsidRPr="00EB0D90" w:rsidRDefault="003A57AF" w:rsidP="00EB0D90">
      <w:pPr>
        <w:tabs>
          <w:tab w:val="left" w:pos="-1440"/>
        </w:tabs>
        <w:ind w:left="720" w:hanging="720"/>
        <w:rPr>
          <w:rFonts w:ascii="Times New Roman" w:hAnsi="Times New Roman"/>
        </w:rPr>
      </w:pPr>
      <w:r w:rsidRPr="00EB0D90">
        <w:rPr>
          <w:rFonts w:ascii="Times New Roman" w:hAnsi="Times New Roman"/>
        </w:rPr>
        <w:t>13.</w:t>
      </w:r>
      <w:r w:rsidRPr="00EB0D90">
        <w:rPr>
          <w:rFonts w:ascii="Times New Roman" w:hAnsi="Times New Roman"/>
        </w:rPr>
        <w:tab/>
      </w:r>
      <w:r w:rsidRPr="00EB0D90">
        <w:rPr>
          <w:rFonts w:ascii="Times New Roman" w:hAnsi="Times New Roman"/>
          <w:u w:val="single"/>
        </w:rPr>
        <w:t>Estimates of annualized costs to respondents:</w:t>
      </w:r>
    </w:p>
    <w:p w:rsidR="003A57AF" w:rsidRPr="00EB0D90" w:rsidRDefault="003A57AF" w:rsidP="00EB0D90">
      <w:pPr>
        <w:rPr>
          <w:rFonts w:ascii="Times New Roman" w:hAnsi="Times New Roman"/>
        </w:rPr>
      </w:pPr>
    </w:p>
    <w:p w:rsidR="003A57AF" w:rsidRPr="00EB0D90" w:rsidRDefault="003A57AF" w:rsidP="00EB0D90">
      <w:pPr>
        <w:ind w:firstLine="720"/>
        <w:rPr>
          <w:rFonts w:ascii="Times New Roman" w:hAnsi="Times New Roman"/>
        </w:rPr>
      </w:pPr>
      <w:r w:rsidRPr="00EB0D90">
        <w:rPr>
          <w:rFonts w:ascii="Times New Roman" w:hAnsi="Times New Roman"/>
        </w:rPr>
        <w:t>Not applicable.</w:t>
      </w:r>
    </w:p>
    <w:p w:rsidR="003A57AF" w:rsidRPr="00EB0D90" w:rsidRDefault="003A57AF" w:rsidP="00EB0D90">
      <w:pPr>
        <w:rPr>
          <w:rFonts w:ascii="Times New Roman" w:hAnsi="Times New Roman"/>
        </w:rPr>
      </w:pPr>
    </w:p>
    <w:p w:rsidR="003A57AF" w:rsidRPr="00EB0D90" w:rsidRDefault="003A57AF" w:rsidP="00EB0D90">
      <w:pPr>
        <w:rPr>
          <w:rFonts w:ascii="Times New Roman" w:hAnsi="Times New Roman"/>
        </w:rPr>
      </w:pPr>
      <w:r w:rsidRPr="00EB0D90">
        <w:rPr>
          <w:rFonts w:ascii="Times New Roman" w:hAnsi="Times New Roman"/>
        </w:rPr>
        <w:t>14.</w:t>
      </w:r>
      <w:r w:rsidRPr="00EB0D90">
        <w:rPr>
          <w:rFonts w:ascii="Times New Roman" w:hAnsi="Times New Roman"/>
        </w:rPr>
        <w:tab/>
      </w:r>
      <w:r w:rsidRPr="00EB0D90">
        <w:rPr>
          <w:rFonts w:ascii="Times New Roman" w:hAnsi="Times New Roman"/>
          <w:u w:val="single"/>
        </w:rPr>
        <w:t xml:space="preserve">Estimate of annualized costs to the </w:t>
      </w:r>
      <w:r w:rsidR="00DC7490">
        <w:rPr>
          <w:rFonts w:ascii="Times New Roman" w:hAnsi="Times New Roman"/>
          <w:u w:val="single"/>
        </w:rPr>
        <w:t>NCUA</w:t>
      </w:r>
      <w:r w:rsidRPr="00EB0D90">
        <w:rPr>
          <w:rFonts w:ascii="Times New Roman" w:hAnsi="Times New Roman"/>
          <w:u w:val="single"/>
        </w:rPr>
        <w:t>:</w:t>
      </w:r>
    </w:p>
    <w:p w:rsidR="003A57AF" w:rsidRPr="00EB0D90" w:rsidRDefault="003A57AF" w:rsidP="00EB0D90">
      <w:pPr>
        <w:rPr>
          <w:rFonts w:ascii="Times New Roman" w:hAnsi="Times New Roman"/>
        </w:rPr>
      </w:pPr>
    </w:p>
    <w:p w:rsidR="00DC7490" w:rsidRPr="00DC7490" w:rsidRDefault="00DC7490" w:rsidP="00DC7490">
      <w:pPr>
        <w:ind w:left="720"/>
        <w:rPr>
          <w:rFonts w:ascii="Times New Roman" w:hAnsi="Times New Roman"/>
        </w:rPr>
      </w:pPr>
      <w:r w:rsidRPr="00DC7490">
        <w:rPr>
          <w:rFonts w:ascii="Times New Roman" w:hAnsi="Times New Roman"/>
        </w:rPr>
        <w:t>NCUA staff would review the information as part of their normal work assignments and there would be no additional staffing costs.</w:t>
      </w:r>
    </w:p>
    <w:p w:rsidR="003A57AF" w:rsidRPr="00DC7490" w:rsidRDefault="003A57AF" w:rsidP="00EB0D90">
      <w:pPr>
        <w:ind w:firstLine="720"/>
        <w:rPr>
          <w:rFonts w:ascii="Times New Roman" w:hAnsi="Times New Roman"/>
        </w:rPr>
      </w:pPr>
      <w:r w:rsidRPr="00DC7490">
        <w:rPr>
          <w:rFonts w:ascii="Times New Roman" w:hAnsi="Times New Roman"/>
        </w:rPr>
        <w:t>.</w:t>
      </w:r>
    </w:p>
    <w:p w:rsidR="003A57AF" w:rsidRPr="00EB0D90" w:rsidRDefault="003A57AF" w:rsidP="00EB0D90">
      <w:pPr>
        <w:rPr>
          <w:rFonts w:ascii="Times New Roman" w:hAnsi="Times New Roman"/>
        </w:rPr>
      </w:pPr>
    </w:p>
    <w:p w:rsidR="003A57AF" w:rsidRPr="00EB0D90" w:rsidRDefault="003A57AF" w:rsidP="00EB0D90">
      <w:pPr>
        <w:tabs>
          <w:tab w:val="left" w:pos="-1440"/>
        </w:tabs>
        <w:ind w:left="720" w:hanging="720"/>
        <w:rPr>
          <w:rFonts w:ascii="Times New Roman" w:hAnsi="Times New Roman"/>
        </w:rPr>
      </w:pPr>
      <w:r w:rsidRPr="00EB0D90">
        <w:rPr>
          <w:rFonts w:ascii="Times New Roman" w:hAnsi="Times New Roman"/>
        </w:rPr>
        <w:t>15.</w:t>
      </w:r>
      <w:r w:rsidRPr="00EB0D90">
        <w:rPr>
          <w:rFonts w:ascii="Times New Roman" w:hAnsi="Times New Roman"/>
        </w:rPr>
        <w:tab/>
      </w:r>
      <w:r w:rsidRPr="00EB0D90">
        <w:rPr>
          <w:rFonts w:ascii="Times New Roman" w:hAnsi="Times New Roman"/>
          <w:u w:val="single"/>
        </w:rPr>
        <w:t>Change in burden:</w:t>
      </w:r>
    </w:p>
    <w:p w:rsidR="00182635" w:rsidRPr="00EB0D90" w:rsidRDefault="00182635" w:rsidP="00EB0D90">
      <w:pPr>
        <w:rPr>
          <w:rFonts w:ascii="Times New Roman" w:hAnsi="Times New Roman"/>
        </w:rPr>
      </w:pPr>
    </w:p>
    <w:p w:rsidR="00B67994" w:rsidRPr="00EB0D90" w:rsidRDefault="00B67994" w:rsidP="00EB0D90">
      <w:pPr>
        <w:rPr>
          <w:rFonts w:ascii="Times New Roman" w:hAnsi="Times New Roman"/>
        </w:rPr>
      </w:pPr>
      <w:r w:rsidRPr="00EB0D90">
        <w:rPr>
          <w:rFonts w:ascii="Times New Roman" w:hAnsi="Times New Roman"/>
        </w:rPr>
        <w:tab/>
      </w:r>
      <w:r w:rsidR="00182635" w:rsidRPr="00EB0D90">
        <w:rPr>
          <w:rFonts w:ascii="Times New Roman" w:hAnsi="Times New Roman"/>
        </w:rPr>
        <w:t>The increase in burden is due to the fact that this is a new collection.</w:t>
      </w:r>
    </w:p>
    <w:p w:rsidR="003A57AF" w:rsidRPr="00EB0D90" w:rsidRDefault="003A57AF" w:rsidP="00EB0D90">
      <w:pPr>
        <w:rPr>
          <w:rFonts w:ascii="Times New Roman" w:hAnsi="Times New Roman"/>
        </w:rPr>
      </w:pPr>
    </w:p>
    <w:p w:rsidR="00FB71EB" w:rsidRDefault="00FB71EB" w:rsidP="00EB0D90">
      <w:pPr>
        <w:tabs>
          <w:tab w:val="left" w:pos="-1440"/>
        </w:tabs>
        <w:ind w:left="720" w:hanging="720"/>
        <w:rPr>
          <w:rFonts w:ascii="Times New Roman" w:hAnsi="Times New Roman"/>
        </w:rPr>
      </w:pPr>
    </w:p>
    <w:p w:rsidR="003A57AF" w:rsidRPr="00EB0D90" w:rsidRDefault="003A57AF" w:rsidP="00EB0D90">
      <w:pPr>
        <w:tabs>
          <w:tab w:val="left" w:pos="-1440"/>
        </w:tabs>
        <w:ind w:left="720" w:hanging="720"/>
        <w:rPr>
          <w:rFonts w:ascii="Times New Roman" w:hAnsi="Times New Roman"/>
        </w:rPr>
      </w:pPr>
      <w:r w:rsidRPr="00EB0D90">
        <w:rPr>
          <w:rFonts w:ascii="Times New Roman" w:hAnsi="Times New Roman"/>
        </w:rPr>
        <w:t>16.</w:t>
      </w:r>
      <w:r w:rsidRPr="00EB0D90">
        <w:rPr>
          <w:rFonts w:ascii="Times New Roman" w:hAnsi="Times New Roman"/>
        </w:rPr>
        <w:tab/>
      </w:r>
      <w:r w:rsidRPr="00EB0D90">
        <w:rPr>
          <w:rFonts w:ascii="Times New Roman" w:hAnsi="Times New Roman"/>
          <w:u w:val="single"/>
        </w:rPr>
        <w:t>Information regarding collections whose results are planned to be published for statistical use:</w:t>
      </w:r>
    </w:p>
    <w:p w:rsidR="003A57AF" w:rsidRPr="00EB0D90" w:rsidRDefault="003A57AF" w:rsidP="00EB0D90">
      <w:pPr>
        <w:rPr>
          <w:rFonts w:ascii="Times New Roman" w:hAnsi="Times New Roman"/>
        </w:rPr>
      </w:pPr>
      <w:r w:rsidRPr="00EB0D90">
        <w:rPr>
          <w:rFonts w:ascii="Times New Roman" w:hAnsi="Times New Roman"/>
        </w:rPr>
        <w:t xml:space="preserve"> </w:t>
      </w:r>
    </w:p>
    <w:p w:rsidR="003A57AF" w:rsidRPr="00EB0D90" w:rsidRDefault="003A57AF" w:rsidP="00EB0D90">
      <w:pPr>
        <w:ind w:firstLine="720"/>
        <w:rPr>
          <w:rFonts w:ascii="Times New Roman" w:hAnsi="Times New Roman"/>
        </w:rPr>
      </w:pPr>
      <w:r w:rsidRPr="00EB0D90">
        <w:rPr>
          <w:rFonts w:ascii="Times New Roman" w:hAnsi="Times New Roman"/>
        </w:rPr>
        <w:t xml:space="preserve">The </w:t>
      </w:r>
      <w:r w:rsidR="00DC7490">
        <w:rPr>
          <w:rFonts w:ascii="Times New Roman" w:hAnsi="Times New Roman"/>
        </w:rPr>
        <w:t>NCUA</w:t>
      </w:r>
      <w:r w:rsidRPr="00EB0D90">
        <w:rPr>
          <w:rFonts w:ascii="Times New Roman" w:hAnsi="Times New Roman"/>
        </w:rPr>
        <w:t xml:space="preserve"> has no plans to publish the data for statistical purposes.</w:t>
      </w:r>
    </w:p>
    <w:p w:rsidR="003A57AF" w:rsidRPr="00EB0D90" w:rsidRDefault="003A57AF" w:rsidP="00EB0D90">
      <w:pPr>
        <w:rPr>
          <w:rFonts w:ascii="Times New Roman" w:hAnsi="Times New Roman"/>
        </w:rPr>
      </w:pPr>
    </w:p>
    <w:p w:rsidR="003A57AF" w:rsidRPr="00EB0D90" w:rsidRDefault="003A57AF" w:rsidP="00EB0D90">
      <w:pPr>
        <w:rPr>
          <w:rFonts w:ascii="Times New Roman" w:hAnsi="Times New Roman"/>
        </w:rPr>
      </w:pPr>
      <w:r w:rsidRPr="00EB0D90">
        <w:rPr>
          <w:rFonts w:ascii="Times New Roman" w:hAnsi="Times New Roman"/>
        </w:rPr>
        <w:t>17.</w:t>
      </w:r>
      <w:r w:rsidRPr="00EB0D90">
        <w:rPr>
          <w:rFonts w:ascii="Times New Roman" w:hAnsi="Times New Roman"/>
        </w:rPr>
        <w:tab/>
      </w:r>
      <w:r w:rsidRPr="00EB0D90">
        <w:rPr>
          <w:rFonts w:ascii="Times New Roman" w:hAnsi="Times New Roman"/>
          <w:u w:val="single"/>
        </w:rPr>
        <w:t>Display of expiration date:</w:t>
      </w:r>
    </w:p>
    <w:p w:rsidR="003A57AF" w:rsidRPr="00EB0D90" w:rsidRDefault="003A57AF" w:rsidP="00EB0D90">
      <w:pPr>
        <w:rPr>
          <w:rFonts w:ascii="Times New Roman" w:hAnsi="Times New Roman"/>
        </w:rPr>
      </w:pPr>
    </w:p>
    <w:p w:rsidR="003A57AF" w:rsidRPr="00EB0D90" w:rsidRDefault="003A57AF" w:rsidP="00EB0D90">
      <w:pPr>
        <w:ind w:firstLine="720"/>
        <w:rPr>
          <w:rFonts w:ascii="Times New Roman" w:hAnsi="Times New Roman"/>
        </w:rPr>
      </w:pPr>
      <w:r w:rsidRPr="00EB0D90">
        <w:rPr>
          <w:rFonts w:ascii="Times New Roman" w:hAnsi="Times New Roman"/>
        </w:rPr>
        <w:t>Not applicable.</w:t>
      </w:r>
    </w:p>
    <w:p w:rsidR="00673F5C" w:rsidRPr="00EB0D90" w:rsidRDefault="00673F5C" w:rsidP="00EB0D90">
      <w:pPr>
        <w:rPr>
          <w:rFonts w:ascii="Times New Roman" w:hAnsi="Times New Roman"/>
        </w:rPr>
      </w:pPr>
    </w:p>
    <w:p w:rsidR="003A57AF" w:rsidRPr="00EB0D90" w:rsidRDefault="003A57AF" w:rsidP="00EB0D90">
      <w:pPr>
        <w:rPr>
          <w:rFonts w:ascii="Times New Roman" w:hAnsi="Times New Roman"/>
        </w:rPr>
      </w:pPr>
      <w:r w:rsidRPr="00EB0D90">
        <w:rPr>
          <w:rFonts w:ascii="Times New Roman" w:hAnsi="Times New Roman"/>
        </w:rPr>
        <w:t>18.</w:t>
      </w:r>
      <w:r w:rsidRPr="00EB0D90">
        <w:rPr>
          <w:rFonts w:ascii="Times New Roman" w:hAnsi="Times New Roman"/>
        </w:rPr>
        <w:tab/>
      </w:r>
      <w:r w:rsidRPr="00EB0D90">
        <w:rPr>
          <w:rFonts w:ascii="Times New Roman" w:hAnsi="Times New Roman"/>
          <w:u w:val="single"/>
        </w:rPr>
        <w:t>Exceptions to certification statement:</w:t>
      </w:r>
    </w:p>
    <w:p w:rsidR="003A57AF" w:rsidRPr="00EB0D90" w:rsidRDefault="003A57AF" w:rsidP="00EB0D90">
      <w:pPr>
        <w:rPr>
          <w:rFonts w:ascii="Times New Roman" w:hAnsi="Times New Roman"/>
        </w:rPr>
      </w:pPr>
    </w:p>
    <w:p w:rsidR="003A57AF" w:rsidRPr="00EB0D90" w:rsidRDefault="00CB469C" w:rsidP="00EB0D90">
      <w:pPr>
        <w:ind w:firstLine="720"/>
        <w:rPr>
          <w:rFonts w:ascii="Times New Roman" w:hAnsi="Times New Roman"/>
        </w:rPr>
      </w:pPr>
      <w:r>
        <w:rPr>
          <w:rFonts w:ascii="Times New Roman" w:hAnsi="Times New Roman"/>
        </w:rPr>
        <w:t>There are no exceptions to the certification statement</w:t>
      </w:r>
      <w:r w:rsidR="007D47D0" w:rsidRPr="00EB0D90">
        <w:rPr>
          <w:rFonts w:ascii="Times New Roman" w:hAnsi="Times New Roman"/>
        </w:rPr>
        <w:t>.</w:t>
      </w:r>
    </w:p>
    <w:p w:rsidR="003A57AF" w:rsidRPr="00EB0D90" w:rsidRDefault="003A57AF" w:rsidP="00EB0D90">
      <w:pPr>
        <w:rPr>
          <w:rFonts w:ascii="Times New Roman" w:hAnsi="Times New Roman"/>
        </w:rPr>
      </w:pPr>
    </w:p>
    <w:p w:rsidR="003A57AF" w:rsidRPr="00EB0D90" w:rsidRDefault="007D47D0" w:rsidP="00EB0D90">
      <w:pPr>
        <w:rPr>
          <w:rFonts w:ascii="Times New Roman" w:hAnsi="Times New Roman"/>
        </w:rPr>
      </w:pPr>
      <w:r w:rsidRPr="00EB0D90">
        <w:rPr>
          <w:rFonts w:ascii="Times New Roman" w:hAnsi="Times New Roman"/>
        </w:rPr>
        <w:t xml:space="preserve"> </w:t>
      </w:r>
      <w:r w:rsidR="003A57AF" w:rsidRPr="00EB0D90">
        <w:rPr>
          <w:rFonts w:ascii="Times New Roman" w:hAnsi="Times New Roman"/>
        </w:rPr>
        <w:t>B.</w:t>
      </w:r>
      <w:r w:rsidR="003A57AF" w:rsidRPr="00EB0D90">
        <w:rPr>
          <w:rFonts w:ascii="Times New Roman" w:hAnsi="Times New Roman"/>
        </w:rPr>
        <w:tab/>
      </w:r>
      <w:r w:rsidR="003A57AF" w:rsidRPr="00EB0D90">
        <w:rPr>
          <w:rFonts w:ascii="Times New Roman" w:hAnsi="Times New Roman"/>
          <w:u w:val="single"/>
        </w:rPr>
        <w:t>Collections of Information Employing Statistical Methods</w:t>
      </w:r>
    </w:p>
    <w:p w:rsidR="003A57AF" w:rsidRPr="00EB0D90" w:rsidRDefault="003A57AF" w:rsidP="00EB0D90">
      <w:pPr>
        <w:rPr>
          <w:rFonts w:ascii="Times New Roman" w:hAnsi="Times New Roman"/>
        </w:rPr>
      </w:pPr>
    </w:p>
    <w:p w:rsidR="003A57AF" w:rsidRPr="00EB0D90" w:rsidRDefault="00CB469C" w:rsidP="00EB0D90">
      <w:pPr>
        <w:ind w:firstLine="720"/>
        <w:rPr>
          <w:rFonts w:ascii="Times New Roman" w:hAnsi="Times New Roman"/>
        </w:rPr>
      </w:pPr>
      <w:r>
        <w:rPr>
          <w:rFonts w:ascii="Times New Roman" w:hAnsi="Times New Roman"/>
        </w:rPr>
        <w:t>This collection of information does not employ statistical methods.</w:t>
      </w:r>
    </w:p>
    <w:sectPr w:rsidR="003A57AF" w:rsidRPr="00EB0D90" w:rsidSect="00233AE9">
      <w:head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EF5" w:rsidRDefault="006F7EF5">
      <w:r>
        <w:separator/>
      </w:r>
    </w:p>
  </w:endnote>
  <w:endnote w:type="continuationSeparator" w:id="0">
    <w:p w:rsidR="006F7EF5" w:rsidRDefault="006F7E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EF5" w:rsidRDefault="006F7EF5">
      <w:r>
        <w:separator/>
      </w:r>
    </w:p>
  </w:footnote>
  <w:footnote w:type="continuationSeparator" w:id="0">
    <w:p w:rsidR="006F7EF5" w:rsidRDefault="006F7EF5">
      <w:r>
        <w:continuationSeparator/>
      </w:r>
    </w:p>
  </w:footnote>
  <w:footnote w:id="1">
    <w:p w:rsidR="00DC7490" w:rsidRDefault="00DC7490" w:rsidP="00433C33">
      <w:pPr>
        <w:pStyle w:val="FootnoteText"/>
      </w:pPr>
      <w:r w:rsidRPr="00943253">
        <w:rPr>
          <w:rStyle w:val="FootnoteReference"/>
          <w:vertAlign w:val="superscript"/>
        </w:rPr>
        <w:footnoteRef/>
      </w:r>
      <w:r>
        <w:t xml:space="preserve"> </w:t>
      </w:r>
      <w:r w:rsidRPr="00EB0D90">
        <w:t>Title V of the Housing and Economic Recovery Act of 2008</w:t>
      </w:r>
      <w:r>
        <w:t xml:space="preserve">, </w:t>
      </w:r>
      <w:r w:rsidRPr="00655173">
        <w:t xml:space="preserve">Pub. L. </w:t>
      </w:r>
      <w:r w:rsidRPr="00655173">
        <w:rPr>
          <w:color w:val="333333"/>
        </w:rPr>
        <w:t>110-289</w:t>
      </w:r>
      <w:r>
        <w:t>.</w:t>
      </w:r>
    </w:p>
  </w:footnote>
  <w:footnote w:id="2">
    <w:p w:rsidR="00DC7490" w:rsidRPr="00471074" w:rsidRDefault="00DC7490" w:rsidP="00DC7490">
      <w:pPr>
        <w:pStyle w:val="FootnoteText"/>
        <w:rPr>
          <w:rFonts w:ascii="Arial" w:hAnsi="Arial" w:cs="Arial"/>
          <w:sz w:val="16"/>
          <w:szCs w:val="16"/>
        </w:rPr>
      </w:pPr>
      <w:r w:rsidRPr="00471074">
        <w:rPr>
          <w:rStyle w:val="FootnoteReference"/>
          <w:rFonts w:ascii="Arial" w:hAnsi="Arial" w:cs="Arial"/>
          <w:sz w:val="16"/>
          <w:szCs w:val="16"/>
        </w:rPr>
        <w:footnoteRef/>
      </w:r>
      <w:r w:rsidRPr="00471074">
        <w:rPr>
          <w:rFonts w:ascii="Arial" w:hAnsi="Arial" w:cs="Arial"/>
          <w:sz w:val="16"/>
          <w:szCs w:val="16"/>
        </w:rPr>
        <w:t xml:space="preserve"> These costs to the public were estimated using the following formula: percent of staff time, multiplied by annual burden hours, multiplied by hourly rate (40% Administrative or Junior Analyst @ $25, 50% Managerial or Technical @ $55, 5% Senior Management @ $100, and 5% Legal Counsel @ $144). Hourly rate estimates for each occupational group are averages using data from the Bureau of Labor and Statistics (BLS), Occupational Employment and Wages.  </w:t>
      </w:r>
    </w:p>
  </w:footnote>
  <w:footnote w:id="3">
    <w:p w:rsidR="00DC7490" w:rsidRDefault="00DC7490" w:rsidP="00DC7490">
      <w:r w:rsidRPr="00471074">
        <w:rPr>
          <w:rStyle w:val="FootnoteReference"/>
          <w:rFonts w:ascii="Arial" w:hAnsi="Arial" w:cs="Arial"/>
          <w:sz w:val="16"/>
          <w:szCs w:val="16"/>
        </w:rPr>
        <w:footnoteRef/>
      </w:r>
      <w:r w:rsidRPr="00471074">
        <w:rPr>
          <w:rFonts w:ascii="Arial" w:hAnsi="Arial" w:cs="Arial"/>
          <w:sz w:val="16"/>
          <w:szCs w:val="16"/>
        </w:rPr>
        <w:t xml:space="preserve"> The average consumer cost of $20 is estimated from the BLS Economic News Release (Table B-3. Average hourly and weekly earnings of production and non-supervisory workers (1) on private non-farm payrolls by industry sector and selected industry detail.)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490" w:rsidRDefault="00040C32">
    <w:pPr>
      <w:framePr w:w="9361" w:wrap="notBeside" w:vAnchor="text" w:hAnchor="text" w:x="1" w:y="1"/>
      <w:jc w:val="center"/>
      <w:rPr>
        <w:rFonts w:ascii="CG Times" w:hAnsi="CG Times"/>
      </w:rPr>
    </w:pPr>
    <w:r>
      <w:rPr>
        <w:rFonts w:ascii="CG Times" w:hAnsi="CG Times"/>
      </w:rPr>
      <w:fldChar w:fldCharType="begin"/>
    </w:r>
    <w:r w:rsidR="00DC7490">
      <w:rPr>
        <w:rFonts w:ascii="CG Times" w:hAnsi="CG Times"/>
      </w:rPr>
      <w:instrText xml:space="preserve">PAGE </w:instrText>
    </w:r>
    <w:r>
      <w:rPr>
        <w:rFonts w:ascii="CG Times" w:hAnsi="CG Times"/>
      </w:rPr>
      <w:fldChar w:fldCharType="separate"/>
    </w:r>
    <w:r w:rsidR="00A57752">
      <w:rPr>
        <w:rFonts w:ascii="CG Times" w:hAnsi="CG Times"/>
        <w:noProof/>
      </w:rPr>
      <w:t>4</w:t>
    </w:r>
    <w:r>
      <w:rPr>
        <w:rFonts w:ascii="CG Times" w:hAnsi="CG Times"/>
      </w:rPr>
      <w:fldChar w:fldCharType="end"/>
    </w:r>
  </w:p>
  <w:p w:rsidR="00DC7490" w:rsidRDefault="00DC7490"/>
  <w:p w:rsidR="00DC7490" w:rsidRDefault="00DC7490">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4AE0"/>
    <w:multiLevelType w:val="hybridMultilevel"/>
    <w:tmpl w:val="620A74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21A2A9B"/>
    <w:multiLevelType w:val="hybridMultilevel"/>
    <w:tmpl w:val="A33E182C"/>
    <w:lvl w:ilvl="0" w:tplc="7FF8B44E">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3D1EC4"/>
    <w:multiLevelType w:val="hybridMultilevel"/>
    <w:tmpl w:val="9BFCA4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341843DF"/>
    <w:multiLevelType w:val="hybridMultilevel"/>
    <w:tmpl w:val="009CDFAC"/>
    <w:lvl w:ilvl="0" w:tplc="117AC18E">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20307C"/>
    <w:multiLevelType w:val="hybridMultilevel"/>
    <w:tmpl w:val="7FCC5C1A"/>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80376BF"/>
    <w:multiLevelType w:val="hybridMultilevel"/>
    <w:tmpl w:val="4B06A074"/>
    <w:lvl w:ilvl="0" w:tplc="9ADC7962">
      <w:start w:val="27"/>
      <w:numFmt w:val="low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D4D44E8"/>
    <w:multiLevelType w:val="hybridMultilevel"/>
    <w:tmpl w:val="7922844A"/>
    <w:lvl w:ilvl="0" w:tplc="C5C6DCA0">
      <w:start w:val="1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E55FF"/>
    <w:rsid w:val="000007A9"/>
    <w:rsid w:val="00007533"/>
    <w:rsid w:val="00015FFE"/>
    <w:rsid w:val="00016B1C"/>
    <w:rsid w:val="00030050"/>
    <w:rsid w:val="0004025E"/>
    <w:rsid w:val="00040C32"/>
    <w:rsid w:val="00041805"/>
    <w:rsid w:val="00042321"/>
    <w:rsid w:val="00050096"/>
    <w:rsid w:val="00061294"/>
    <w:rsid w:val="0006143D"/>
    <w:rsid w:val="000830FE"/>
    <w:rsid w:val="000902D0"/>
    <w:rsid w:val="000C57BE"/>
    <w:rsid w:val="000D76D8"/>
    <w:rsid w:val="000D7CE3"/>
    <w:rsid w:val="000E4CB1"/>
    <w:rsid w:val="000F3904"/>
    <w:rsid w:val="000F6437"/>
    <w:rsid w:val="000F777F"/>
    <w:rsid w:val="00120250"/>
    <w:rsid w:val="00125AC5"/>
    <w:rsid w:val="00126E68"/>
    <w:rsid w:val="00130ABE"/>
    <w:rsid w:val="001449EF"/>
    <w:rsid w:val="00167C48"/>
    <w:rsid w:val="00182635"/>
    <w:rsid w:val="0018303C"/>
    <w:rsid w:val="00183C6D"/>
    <w:rsid w:val="001926DD"/>
    <w:rsid w:val="001C43C7"/>
    <w:rsid w:val="001C4F48"/>
    <w:rsid w:val="001C7862"/>
    <w:rsid w:val="001E05F1"/>
    <w:rsid w:val="001F0B80"/>
    <w:rsid w:val="001F1FA9"/>
    <w:rsid w:val="00227810"/>
    <w:rsid w:val="00233AE9"/>
    <w:rsid w:val="002424DF"/>
    <w:rsid w:val="00243A84"/>
    <w:rsid w:val="0024442C"/>
    <w:rsid w:val="002447FF"/>
    <w:rsid w:val="00253AE8"/>
    <w:rsid w:val="00254363"/>
    <w:rsid w:val="00257411"/>
    <w:rsid w:val="002644A4"/>
    <w:rsid w:val="002719DC"/>
    <w:rsid w:val="00274CCA"/>
    <w:rsid w:val="00276571"/>
    <w:rsid w:val="002F046A"/>
    <w:rsid w:val="002F51EC"/>
    <w:rsid w:val="003118A7"/>
    <w:rsid w:val="00324796"/>
    <w:rsid w:val="00331F73"/>
    <w:rsid w:val="00337A6C"/>
    <w:rsid w:val="00346F79"/>
    <w:rsid w:val="00354F9D"/>
    <w:rsid w:val="00362099"/>
    <w:rsid w:val="00367854"/>
    <w:rsid w:val="00372F55"/>
    <w:rsid w:val="00377F45"/>
    <w:rsid w:val="00384902"/>
    <w:rsid w:val="003A0978"/>
    <w:rsid w:val="003A57AF"/>
    <w:rsid w:val="003C2E99"/>
    <w:rsid w:val="003C4E14"/>
    <w:rsid w:val="003C69C0"/>
    <w:rsid w:val="003D6824"/>
    <w:rsid w:val="003E6A57"/>
    <w:rsid w:val="003F0A8F"/>
    <w:rsid w:val="003F3516"/>
    <w:rsid w:val="003F40ED"/>
    <w:rsid w:val="003F6C42"/>
    <w:rsid w:val="004025DB"/>
    <w:rsid w:val="00433C33"/>
    <w:rsid w:val="0044100B"/>
    <w:rsid w:val="004619D0"/>
    <w:rsid w:val="00477632"/>
    <w:rsid w:val="004827AA"/>
    <w:rsid w:val="0048557E"/>
    <w:rsid w:val="004A212E"/>
    <w:rsid w:val="004A6473"/>
    <w:rsid w:val="004B2773"/>
    <w:rsid w:val="004B3B30"/>
    <w:rsid w:val="004B729D"/>
    <w:rsid w:val="004C6039"/>
    <w:rsid w:val="004D234D"/>
    <w:rsid w:val="00502237"/>
    <w:rsid w:val="0050315D"/>
    <w:rsid w:val="00516781"/>
    <w:rsid w:val="00527A37"/>
    <w:rsid w:val="005354B4"/>
    <w:rsid w:val="00541C98"/>
    <w:rsid w:val="00544547"/>
    <w:rsid w:val="00546B8B"/>
    <w:rsid w:val="00564F55"/>
    <w:rsid w:val="00585185"/>
    <w:rsid w:val="005866BF"/>
    <w:rsid w:val="00592EC3"/>
    <w:rsid w:val="0059733C"/>
    <w:rsid w:val="005A158E"/>
    <w:rsid w:val="005A6FA4"/>
    <w:rsid w:val="005B31A3"/>
    <w:rsid w:val="005B672E"/>
    <w:rsid w:val="005B6FAF"/>
    <w:rsid w:val="005E3E4F"/>
    <w:rsid w:val="006268FE"/>
    <w:rsid w:val="0063000D"/>
    <w:rsid w:val="00634906"/>
    <w:rsid w:val="00636B49"/>
    <w:rsid w:val="00637734"/>
    <w:rsid w:val="00654326"/>
    <w:rsid w:val="00655173"/>
    <w:rsid w:val="00656346"/>
    <w:rsid w:val="00673F5C"/>
    <w:rsid w:val="00681769"/>
    <w:rsid w:val="0068299D"/>
    <w:rsid w:val="006952A8"/>
    <w:rsid w:val="0069751B"/>
    <w:rsid w:val="006A2892"/>
    <w:rsid w:val="006A3817"/>
    <w:rsid w:val="006A4241"/>
    <w:rsid w:val="006B1A74"/>
    <w:rsid w:val="006C667E"/>
    <w:rsid w:val="006D4DB1"/>
    <w:rsid w:val="006E7BDD"/>
    <w:rsid w:val="006E7C32"/>
    <w:rsid w:val="006F50CE"/>
    <w:rsid w:val="006F7EF5"/>
    <w:rsid w:val="007065E3"/>
    <w:rsid w:val="00706BA7"/>
    <w:rsid w:val="00731447"/>
    <w:rsid w:val="00733774"/>
    <w:rsid w:val="00737255"/>
    <w:rsid w:val="00744C9B"/>
    <w:rsid w:val="0075278C"/>
    <w:rsid w:val="00754BF8"/>
    <w:rsid w:val="00760A58"/>
    <w:rsid w:val="00773400"/>
    <w:rsid w:val="00787218"/>
    <w:rsid w:val="00791D2B"/>
    <w:rsid w:val="007A0106"/>
    <w:rsid w:val="007A2850"/>
    <w:rsid w:val="007A5F43"/>
    <w:rsid w:val="007A62EE"/>
    <w:rsid w:val="007A62F7"/>
    <w:rsid w:val="007B2D1E"/>
    <w:rsid w:val="007C4DEE"/>
    <w:rsid w:val="007D0224"/>
    <w:rsid w:val="007D47D0"/>
    <w:rsid w:val="007E2C33"/>
    <w:rsid w:val="007E55FF"/>
    <w:rsid w:val="008107FD"/>
    <w:rsid w:val="00811AFE"/>
    <w:rsid w:val="00815660"/>
    <w:rsid w:val="00831C6E"/>
    <w:rsid w:val="00832BEF"/>
    <w:rsid w:val="0084339C"/>
    <w:rsid w:val="008700B3"/>
    <w:rsid w:val="00880C03"/>
    <w:rsid w:val="008960F2"/>
    <w:rsid w:val="008979F6"/>
    <w:rsid w:val="008A0298"/>
    <w:rsid w:val="008A15B8"/>
    <w:rsid w:val="008A337A"/>
    <w:rsid w:val="008B1D1B"/>
    <w:rsid w:val="008C38AA"/>
    <w:rsid w:val="008C5B6A"/>
    <w:rsid w:val="008D77CF"/>
    <w:rsid w:val="008E11E3"/>
    <w:rsid w:val="008E2116"/>
    <w:rsid w:val="008E72A1"/>
    <w:rsid w:val="008F09DD"/>
    <w:rsid w:val="008F1219"/>
    <w:rsid w:val="008F50DA"/>
    <w:rsid w:val="008F7B2B"/>
    <w:rsid w:val="00915924"/>
    <w:rsid w:val="0091737C"/>
    <w:rsid w:val="00931F6F"/>
    <w:rsid w:val="0093429F"/>
    <w:rsid w:val="00943253"/>
    <w:rsid w:val="00945242"/>
    <w:rsid w:val="00950423"/>
    <w:rsid w:val="009529F2"/>
    <w:rsid w:val="00955A48"/>
    <w:rsid w:val="00966328"/>
    <w:rsid w:val="00967988"/>
    <w:rsid w:val="009708C9"/>
    <w:rsid w:val="009836DA"/>
    <w:rsid w:val="00983E0C"/>
    <w:rsid w:val="00984225"/>
    <w:rsid w:val="0099774F"/>
    <w:rsid w:val="009A5801"/>
    <w:rsid w:val="009B00BD"/>
    <w:rsid w:val="009B2F05"/>
    <w:rsid w:val="009C4229"/>
    <w:rsid w:val="009D1E84"/>
    <w:rsid w:val="009D5A72"/>
    <w:rsid w:val="009E07D5"/>
    <w:rsid w:val="009E4741"/>
    <w:rsid w:val="009E4A8B"/>
    <w:rsid w:val="009E6730"/>
    <w:rsid w:val="00A07EF9"/>
    <w:rsid w:val="00A4737F"/>
    <w:rsid w:val="00A57752"/>
    <w:rsid w:val="00A60210"/>
    <w:rsid w:val="00A65D39"/>
    <w:rsid w:val="00A67FA8"/>
    <w:rsid w:val="00A85E65"/>
    <w:rsid w:val="00A93CA5"/>
    <w:rsid w:val="00A95DD2"/>
    <w:rsid w:val="00AA1592"/>
    <w:rsid w:val="00AB33BD"/>
    <w:rsid w:val="00AC053A"/>
    <w:rsid w:val="00AC05CB"/>
    <w:rsid w:val="00AC1B0F"/>
    <w:rsid w:val="00AD1B8D"/>
    <w:rsid w:val="00AE41EC"/>
    <w:rsid w:val="00AF1399"/>
    <w:rsid w:val="00B00CE1"/>
    <w:rsid w:val="00B1576B"/>
    <w:rsid w:val="00B30D82"/>
    <w:rsid w:val="00B42EA8"/>
    <w:rsid w:val="00B60133"/>
    <w:rsid w:val="00B662AA"/>
    <w:rsid w:val="00B67994"/>
    <w:rsid w:val="00B7138F"/>
    <w:rsid w:val="00B80498"/>
    <w:rsid w:val="00B80E59"/>
    <w:rsid w:val="00B83679"/>
    <w:rsid w:val="00B86BB8"/>
    <w:rsid w:val="00B9069B"/>
    <w:rsid w:val="00B93AFD"/>
    <w:rsid w:val="00B944FD"/>
    <w:rsid w:val="00BA1613"/>
    <w:rsid w:val="00BC1E0B"/>
    <w:rsid w:val="00BD786C"/>
    <w:rsid w:val="00BE49E2"/>
    <w:rsid w:val="00BF77B8"/>
    <w:rsid w:val="00C04FCB"/>
    <w:rsid w:val="00C13CDA"/>
    <w:rsid w:val="00C208A8"/>
    <w:rsid w:val="00C34AB0"/>
    <w:rsid w:val="00C5732A"/>
    <w:rsid w:val="00C578E8"/>
    <w:rsid w:val="00C61F9C"/>
    <w:rsid w:val="00C64223"/>
    <w:rsid w:val="00C642D9"/>
    <w:rsid w:val="00C72F4C"/>
    <w:rsid w:val="00C77481"/>
    <w:rsid w:val="00C97B19"/>
    <w:rsid w:val="00CB4381"/>
    <w:rsid w:val="00CB469C"/>
    <w:rsid w:val="00CD64A7"/>
    <w:rsid w:val="00CF73EB"/>
    <w:rsid w:val="00D10691"/>
    <w:rsid w:val="00D14BA0"/>
    <w:rsid w:val="00D34E61"/>
    <w:rsid w:val="00D3693F"/>
    <w:rsid w:val="00D416D7"/>
    <w:rsid w:val="00D514B5"/>
    <w:rsid w:val="00D613EB"/>
    <w:rsid w:val="00D63FDE"/>
    <w:rsid w:val="00D640E9"/>
    <w:rsid w:val="00D67D89"/>
    <w:rsid w:val="00D7315E"/>
    <w:rsid w:val="00D83462"/>
    <w:rsid w:val="00D92F4C"/>
    <w:rsid w:val="00DA21D8"/>
    <w:rsid w:val="00DA2E31"/>
    <w:rsid w:val="00DC7490"/>
    <w:rsid w:val="00DF310F"/>
    <w:rsid w:val="00E16507"/>
    <w:rsid w:val="00E16722"/>
    <w:rsid w:val="00E22557"/>
    <w:rsid w:val="00E35839"/>
    <w:rsid w:val="00E4393B"/>
    <w:rsid w:val="00E50213"/>
    <w:rsid w:val="00E76EA5"/>
    <w:rsid w:val="00E84B3C"/>
    <w:rsid w:val="00E917F9"/>
    <w:rsid w:val="00E9545C"/>
    <w:rsid w:val="00E95BF3"/>
    <w:rsid w:val="00EA19A3"/>
    <w:rsid w:val="00EB0D90"/>
    <w:rsid w:val="00EC7220"/>
    <w:rsid w:val="00ED4185"/>
    <w:rsid w:val="00ED41F0"/>
    <w:rsid w:val="00EF31E2"/>
    <w:rsid w:val="00F01E4D"/>
    <w:rsid w:val="00F03CB8"/>
    <w:rsid w:val="00F0748C"/>
    <w:rsid w:val="00F2461B"/>
    <w:rsid w:val="00F320EA"/>
    <w:rsid w:val="00F33E9A"/>
    <w:rsid w:val="00F3423E"/>
    <w:rsid w:val="00F46AB8"/>
    <w:rsid w:val="00F522A1"/>
    <w:rsid w:val="00F80CC8"/>
    <w:rsid w:val="00F87452"/>
    <w:rsid w:val="00FA4429"/>
    <w:rsid w:val="00FA4DCD"/>
    <w:rsid w:val="00FA6698"/>
    <w:rsid w:val="00FB71EB"/>
    <w:rsid w:val="00FC7E04"/>
    <w:rsid w:val="00FD7D9E"/>
    <w:rsid w:val="00FF0EA2"/>
    <w:rsid w:val="00FF788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3AE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233AE9"/>
  </w:style>
  <w:style w:type="paragraph" w:styleId="BalloonText">
    <w:name w:val="Balloon Text"/>
    <w:basedOn w:val="Normal"/>
    <w:semiHidden/>
    <w:rsid w:val="00367854"/>
    <w:rPr>
      <w:rFonts w:ascii="Tahoma" w:hAnsi="Tahoma" w:cs="Tahoma"/>
      <w:sz w:val="16"/>
      <w:szCs w:val="16"/>
    </w:rPr>
  </w:style>
  <w:style w:type="paragraph" w:styleId="FootnoteText">
    <w:name w:val="footnote text"/>
    <w:basedOn w:val="Normal"/>
    <w:link w:val="FootnoteTextChar"/>
    <w:uiPriority w:val="99"/>
    <w:semiHidden/>
    <w:rsid w:val="00654326"/>
    <w:pPr>
      <w:widowControl/>
      <w:autoSpaceDE/>
      <w:autoSpaceDN/>
      <w:adjustRightInd/>
    </w:pPr>
    <w:rPr>
      <w:rFonts w:ascii="Times New Roman" w:hAnsi="Times New Roman"/>
      <w:snapToGrid w:val="0"/>
      <w:sz w:val="20"/>
      <w:szCs w:val="20"/>
    </w:rPr>
  </w:style>
  <w:style w:type="character" w:styleId="Hyperlink">
    <w:name w:val="Hyperlink"/>
    <w:basedOn w:val="DefaultParagraphFont"/>
    <w:rsid w:val="00477632"/>
    <w:rPr>
      <w:color w:val="0000FF"/>
      <w:u w:val="single"/>
    </w:rPr>
  </w:style>
  <w:style w:type="character" w:customStyle="1" w:styleId="documentbody1">
    <w:name w:val="documentbody1"/>
    <w:basedOn w:val="DefaultParagraphFont"/>
    <w:rsid w:val="007A0106"/>
    <w:rPr>
      <w:rFonts w:ascii="Verdana" w:hAnsi="Verdana" w:hint="default"/>
      <w:sz w:val="19"/>
      <w:szCs w:val="19"/>
    </w:rPr>
  </w:style>
  <w:style w:type="paragraph" w:styleId="HTMLPreformatted">
    <w:name w:val="HTML Preformatted"/>
    <w:basedOn w:val="Normal"/>
    <w:link w:val="HTMLPreformattedChar"/>
    <w:rsid w:val="00955A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semiHidden/>
    <w:locked/>
    <w:rsid w:val="00955A48"/>
    <w:rPr>
      <w:rFonts w:ascii="Courier New" w:hAnsi="Courier New" w:cs="Courier New"/>
      <w:lang w:val="en-US" w:eastAsia="en-US" w:bidi="ar-SA"/>
    </w:rPr>
  </w:style>
  <w:style w:type="character" w:customStyle="1" w:styleId="FootnoteTextChar">
    <w:name w:val="Footnote Text Char"/>
    <w:basedOn w:val="DefaultParagraphFont"/>
    <w:link w:val="FootnoteText"/>
    <w:uiPriority w:val="99"/>
    <w:semiHidden/>
    <w:locked/>
    <w:rsid w:val="00955A48"/>
    <w:rPr>
      <w:snapToGrid w:val="0"/>
      <w:lang w:val="en-US" w:eastAsia="en-US" w:bidi="ar-SA"/>
    </w:rPr>
  </w:style>
  <w:style w:type="character" w:styleId="Strong">
    <w:name w:val="Strong"/>
    <w:basedOn w:val="DefaultParagraphFont"/>
    <w:qFormat/>
    <w:rsid w:val="001E05F1"/>
    <w:rPr>
      <w:b/>
      <w:bCs/>
    </w:rPr>
  </w:style>
  <w:style w:type="paragraph" w:styleId="NormalWeb">
    <w:name w:val="Normal (Web)"/>
    <w:basedOn w:val="Normal"/>
    <w:rsid w:val="00AA1592"/>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30620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2009-06-04T19:53:00Z</cp:lastPrinted>
  <dcterms:created xsi:type="dcterms:W3CDTF">2010-08-10T18:48:00Z</dcterms:created>
  <dcterms:modified xsi:type="dcterms:W3CDTF">2010-08-10T18:48:00Z</dcterms:modified>
</cp:coreProperties>
</file>