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70" w:rsidRPr="0025604D" w:rsidRDefault="00990870" w:rsidP="00F06A3C">
      <w:pPr>
        <w:jc w:val="center"/>
        <w:outlineLvl w:val="0"/>
      </w:pPr>
      <w:r w:rsidRPr="0025604D">
        <w:t xml:space="preserve">Department of the Treasury, </w:t>
      </w:r>
      <w:r w:rsidR="003874C3">
        <w:t xml:space="preserve">the following </w:t>
      </w:r>
      <w:r w:rsidR="00BA1116">
        <w:t>D</w:t>
      </w:r>
      <w:r w:rsidRPr="0025604D">
        <w:t>epartmental Offices</w:t>
      </w:r>
    </w:p>
    <w:p w:rsidR="00990870" w:rsidRDefault="00990870" w:rsidP="00F06A3C">
      <w:pPr>
        <w:jc w:val="center"/>
        <w:outlineLvl w:val="0"/>
      </w:pPr>
      <w:r w:rsidRPr="0025604D">
        <w:t>Request for Emergency Processing and Approval</w:t>
      </w:r>
    </w:p>
    <w:p w:rsidR="00990870" w:rsidRPr="00845E1D" w:rsidRDefault="00452623" w:rsidP="00F06A3C">
      <w:pPr>
        <w:jc w:val="center"/>
        <w:outlineLvl w:val="0"/>
      </w:pPr>
      <w:r>
        <w:t>Request for Information on Processing Garnishment Orders</w:t>
      </w:r>
    </w:p>
    <w:p w:rsidR="00990870" w:rsidRPr="0025604D" w:rsidRDefault="00990870" w:rsidP="00990870">
      <w:pPr>
        <w:jc w:val="center"/>
      </w:pPr>
    </w:p>
    <w:p w:rsidR="00990870" w:rsidRPr="0025604D" w:rsidRDefault="00990870" w:rsidP="00990870">
      <w:pPr>
        <w:jc w:val="center"/>
      </w:pPr>
    </w:p>
    <w:p w:rsidR="00990870" w:rsidRDefault="00990870" w:rsidP="00F06A3C">
      <w:pPr>
        <w:outlineLvl w:val="0"/>
      </w:pPr>
      <w:r>
        <w:t>Emergency Justification</w:t>
      </w:r>
    </w:p>
    <w:p w:rsidR="00990870" w:rsidRPr="0025604D" w:rsidRDefault="00990870" w:rsidP="00990870">
      <w:pPr>
        <w:jc w:val="center"/>
      </w:pPr>
    </w:p>
    <w:p w:rsidR="00D46AA7" w:rsidRDefault="006C725A" w:rsidP="00D46AA7">
      <w:pPr>
        <w:rPr>
          <w:color w:val="1F497D"/>
        </w:rPr>
      </w:pPr>
      <w:r>
        <w:t xml:space="preserve">The Department of the </w:t>
      </w:r>
      <w:r w:rsidR="002F7DAD">
        <w:t>Treasury</w:t>
      </w:r>
      <w:r w:rsidR="00F06A3C">
        <w:t xml:space="preserve"> </w:t>
      </w:r>
      <w:r>
        <w:t xml:space="preserve">(Treasury) </w:t>
      </w:r>
      <w:r w:rsidR="00990870" w:rsidRPr="0025604D">
        <w:t>respectfully requests emergency processing and approva</w:t>
      </w:r>
      <w:r w:rsidR="00C511A0">
        <w:t>l for a</w:t>
      </w:r>
      <w:r w:rsidR="00990870" w:rsidRPr="0025604D">
        <w:t xml:space="preserve"> col</w:t>
      </w:r>
      <w:r w:rsidR="00BA1116">
        <w:t>lection of information requested from</w:t>
      </w:r>
      <w:r w:rsidR="00174568">
        <w:t xml:space="preserve"> credit u</w:t>
      </w:r>
      <w:r w:rsidR="00A74BE1">
        <w:t>nions</w:t>
      </w:r>
      <w:r w:rsidR="00990870">
        <w:t xml:space="preserve"> </w:t>
      </w:r>
      <w:r w:rsidR="00A74BE1">
        <w:t xml:space="preserve">asking for information on how credit unions process court order garnishments.  </w:t>
      </w:r>
      <w:r w:rsidR="00D46AA7" w:rsidRPr="00D46AA7">
        <w:t xml:space="preserve">This information is necessary to finalize two important policy initiatives for which time is of the essence:  one that would require Federal beneficiaries to receive their payments electronically, and another that would </w:t>
      </w:r>
      <w:r w:rsidR="00D46AA7">
        <w:t xml:space="preserve">provide </w:t>
      </w:r>
      <w:r w:rsidR="00D46AA7" w:rsidRPr="00D46AA7">
        <w:t>better force and effect to Federal anti-garnishment statutes.</w:t>
      </w:r>
      <w:r w:rsidR="00D46AA7">
        <w:rPr>
          <w:color w:val="1F497D"/>
        </w:rPr>
        <w:t xml:space="preserve">  </w:t>
      </w:r>
    </w:p>
    <w:p w:rsidR="00D46AA7" w:rsidRDefault="00D46AA7" w:rsidP="00990870"/>
    <w:p w:rsidR="004A0FFA" w:rsidRDefault="004A0FFA" w:rsidP="00990870"/>
    <w:p w:rsidR="008D1D8F" w:rsidRDefault="00990870" w:rsidP="00990870">
      <w:r w:rsidRPr="0025604D">
        <w:t>Treasury cannot reasonably comply with the normal clearance procedures u</w:t>
      </w:r>
      <w:r w:rsidR="00BA1116">
        <w:t xml:space="preserve">nder 5 C.F.R. Part 1320 because </w:t>
      </w:r>
      <w:r w:rsidR="00C511A0">
        <w:t xml:space="preserve">the information is needed within the next </w:t>
      </w:r>
      <w:r w:rsidR="00982DDE">
        <w:t>several weeks</w:t>
      </w:r>
      <w:r w:rsidR="00C511A0">
        <w:t xml:space="preserve"> in ord</w:t>
      </w:r>
      <w:r w:rsidR="00982DDE">
        <w:t>e</w:t>
      </w:r>
      <w:r w:rsidR="002728EF">
        <w:t xml:space="preserve">r </w:t>
      </w:r>
      <w:r w:rsidR="008D1D8F">
        <w:t>to assess the current processing envir</w:t>
      </w:r>
      <w:r w:rsidR="002F7DAD">
        <w:t>onment in credit unions and</w:t>
      </w:r>
      <w:r w:rsidR="00982DDE">
        <w:t xml:space="preserve"> dete</w:t>
      </w:r>
      <w:r w:rsidR="002D7F2C">
        <w:t>rmine a</w:t>
      </w:r>
      <w:r w:rsidR="008D1D8F">
        <w:t xml:space="preserve"> comprehensive</w:t>
      </w:r>
      <w:r w:rsidR="002D7F2C">
        <w:t xml:space="preserve"> soluti</w:t>
      </w:r>
      <w:r w:rsidR="008D1D8F">
        <w:t xml:space="preserve">on.  </w:t>
      </w:r>
    </w:p>
    <w:p w:rsidR="008D1D8F" w:rsidRDefault="008D1D8F" w:rsidP="00990870"/>
    <w:p w:rsidR="00947772" w:rsidRDefault="00947772" w:rsidP="008D1D8F"/>
    <w:p w:rsidR="00947772" w:rsidRDefault="00947772" w:rsidP="008D1D8F"/>
    <w:p w:rsidR="00947772" w:rsidRDefault="00947772" w:rsidP="008D1D8F"/>
    <w:p w:rsidR="000F53C2" w:rsidRPr="00A34086" w:rsidRDefault="00990870">
      <w:pPr>
        <w:rPr>
          <w:sz w:val="20"/>
          <w:szCs w:val="20"/>
        </w:rPr>
      </w:pPr>
      <w:r w:rsidRPr="00A34086">
        <w:rPr>
          <w:sz w:val="20"/>
          <w:szCs w:val="20"/>
        </w:rPr>
        <w:br w:type="page"/>
      </w:r>
    </w:p>
    <w:p w:rsidR="007E69B3" w:rsidRPr="0025604D" w:rsidRDefault="00B50861" w:rsidP="00F06A3C">
      <w:pPr>
        <w:jc w:val="center"/>
        <w:outlineLvl w:val="0"/>
      </w:pPr>
      <w:r w:rsidRPr="0025604D">
        <w:lastRenderedPageBreak/>
        <w:t>Department of the Treasury, Departmental Offices</w:t>
      </w:r>
    </w:p>
    <w:p w:rsidR="00B50861" w:rsidRPr="0025604D" w:rsidRDefault="00B50861" w:rsidP="009F4D1C">
      <w:pPr>
        <w:jc w:val="center"/>
      </w:pPr>
      <w:r w:rsidRPr="0025604D">
        <w:t>Supporting Statement and Request for Clearance</w:t>
      </w:r>
    </w:p>
    <w:p w:rsidR="003C068B" w:rsidRPr="00845E1D" w:rsidRDefault="00452623" w:rsidP="00845E1D">
      <w:pPr>
        <w:jc w:val="center"/>
      </w:pPr>
      <w:r>
        <w:t>Request for Information on Processing Garnishment Orders</w:t>
      </w:r>
    </w:p>
    <w:p w:rsidR="00845E1D" w:rsidRPr="0025604D" w:rsidRDefault="00845E1D"/>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F951DD" w:rsidRDefault="009F081F" w:rsidP="00625E33">
      <w:r>
        <w:t xml:space="preserve">Treasury needs information that describes the processes that credit unions currently use to respond to court ordered garnishments.  </w:t>
      </w:r>
    </w:p>
    <w:p w:rsidR="00F951DD" w:rsidRDefault="00F951DD" w:rsidP="00625E33"/>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Default="003C1AB8" w:rsidP="003C1AB8">
      <w:pPr>
        <w:rPr>
          <w:u w:val="single"/>
        </w:rPr>
      </w:pPr>
    </w:p>
    <w:p w:rsidR="00D46AA7" w:rsidRPr="00D46AA7" w:rsidRDefault="00D46AA7" w:rsidP="00D46AA7">
      <w:pPr>
        <w:rPr>
          <w:color w:val="000000" w:themeColor="text1"/>
        </w:rPr>
      </w:pPr>
      <w:r w:rsidRPr="00D46AA7">
        <w:rPr>
          <w:color w:val="000000" w:themeColor="text1"/>
        </w:rPr>
        <w:t xml:space="preserve">This information is necessary to finalize two important policy initiatives for which time is of the essence:  one that would require Federal beneficiaries to receive their payments electronically, and another that would better force and effect to Federal anti-garnishment statutes.  </w:t>
      </w:r>
    </w:p>
    <w:p w:rsidR="002E0DDC" w:rsidRPr="0025604D" w:rsidRDefault="002E0DDC"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795DDF" w:rsidRDefault="002B1F07" w:rsidP="00F72D0B">
      <w:r>
        <w:t>Treasury will use an internet survey tool to create a web</w:t>
      </w:r>
      <w:r w:rsidR="00956C98">
        <w:t>-</w:t>
      </w:r>
      <w:r>
        <w:t xml:space="preserve">based survey and will collect and administer the responses using the same tool.  </w:t>
      </w:r>
      <w:r w:rsidR="002E0DDC">
        <w:t xml:space="preserve">All of the information associated with this collection is to be submitted in electronic form.  </w:t>
      </w:r>
    </w:p>
    <w:p w:rsidR="00D53E29" w:rsidRPr="0025604D" w:rsidRDefault="00D53E29"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1F4F6F" w:rsidRDefault="006A7328" w:rsidP="00F72D0B">
      <w:r>
        <w:t xml:space="preserve">Treasury is not aware of any similar information </w:t>
      </w:r>
      <w:r w:rsidR="00A345E6">
        <w:t>already available that describes how credit unions process court ordered garnishments.</w:t>
      </w:r>
    </w:p>
    <w:p w:rsidR="001F4F6F" w:rsidRPr="0025604D" w:rsidRDefault="001F4F6F"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8F0E11" w:rsidRDefault="00D46AA7" w:rsidP="008F0E11">
      <w:r>
        <w:t>According to the National Credit</w:t>
      </w:r>
      <w:r w:rsidR="001B6CE7">
        <w:t xml:space="preserve"> Union Administration</w:t>
      </w:r>
      <w:r w:rsidR="00B72BCA">
        <w:t xml:space="preserve"> there are 3,454 federal credit unions with assets under $50 million.  </w:t>
      </w:r>
      <w:r w:rsidR="00C64DF1">
        <w:t>W</w:t>
      </w:r>
      <w:r w:rsidR="00452623">
        <w:t>e are asking</w:t>
      </w:r>
      <w:r w:rsidR="002B1F07">
        <w:t xml:space="preserve"> six</w:t>
      </w:r>
      <w:r w:rsidR="00452623">
        <w:t xml:space="preserve"> questions about current procedures</w:t>
      </w:r>
      <w:r w:rsidR="00C64DF1">
        <w:t xml:space="preserve"> and the volume of garnishment orders received and processed.  Therefore, we </w:t>
      </w:r>
      <w:r>
        <w:t>do not anticipate that providing</w:t>
      </w:r>
      <w:r w:rsidR="00C64DF1">
        <w:t xml:space="preserve"> the </w:t>
      </w:r>
      <w:r>
        <w:t xml:space="preserve">requested </w:t>
      </w:r>
      <w:r w:rsidR="00C64DF1">
        <w:t>information will</w:t>
      </w:r>
      <w:r>
        <w:t xml:space="preserve"> be difficult or time consuming.</w:t>
      </w:r>
    </w:p>
    <w:p w:rsidR="008F0E11" w:rsidRDefault="008F0E11" w:rsidP="008F0E11"/>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C322A1" w:rsidRDefault="008438B7" w:rsidP="008A5AEA">
      <w:r>
        <w:t>A better</w:t>
      </w:r>
      <w:r w:rsidR="0038550E">
        <w:t xml:space="preserve"> understanding of credit union processes currently in place will impro</w:t>
      </w:r>
      <w:r>
        <w:t xml:space="preserve">ve Treasury’s ability to </w:t>
      </w:r>
      <w:r w:rsidR="00DD3262">
        <w:t>understand issues</w:t>
      </w:r>
      <w:r w:rsidR="0038550E">
        <w:t xml:space="preserve"> related to processing court ordered garnishments by financial institutions.</w:t>
      </w:r>
    </w:p>
    <w:p w:rsidR="008438B7" w:rsidRPr="006B22D1" w:rsidRDefault="008438B7" w:rsidP="008A5AEA"/>
    <w:p w:rsidR="00F72D0B" w:rsidRDefault="00CB003A" w:rsidP="00181F21">
      <w:pPr>
        <w:ind w:firstLine="360"/>
        <w:rPr>
          <w:u w:val="single"/>
        </w:rPr>
      </w:pPr>
      <w:r w:rsidRPr="0025604D">
        <w:t xml:space="preserve">7.  </w:t>
      </w:r>
      <w:r w:rsidRPr="0025604D">
        <w:rPr>
          <w:u w:val="single"/>
        </w:rPr>
        <w:t>Circumstances requiring special information collection</w:t>
      </w:r>
    </w:p>
    <w:p w:rsidR="003337AD" w:rsidRDefault="003337AD" w:rsidP="00181F21">
      <w:pPr>
        <w:ind w:firstLine="360"/>
        <w:rPr>
          <w:u w:val="single"/>
        </w:rPr>
      </w:pPr>
    </w:p>
    <w:p w:rsidR="003337AD" w:rsidRPr="00B73321" w:rsidRDefault="00B73321" w:rsidP="00181F21">
      <w:pPr>
        <w:ind w:firstLine="360"/>
      </w:pPr>
      <w:r>
        <w:t>Not applicable.</w:t>
      </w:r>
    </w:p>
    <w:p w:rsidR="00B73321" w:rsidRPr="0025604D" w:rsidRDefault="00B73321" w:rsidP="00181F21">
      <w:pPr>
        <w:ind w:firstLine="360"/>
        <w:rPr>
          <w:u w:val="single"/>
        </w:rPr>
      </w:pP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3337AD" w:rsidRDefault="005A1E67" w:rsidP="00CB003A">
      <w:r>
        <w:t>Treasury</w:t>
      </w:r>
      <w:r w:rsidR="003337AD">
        <w:t xml:space="preserve"> sought information and comments from financial institutions </w:t>
      </w:r>
      <w:r w:rsidR="00651D31">
        <w:t xml:space="preserve">on current processing of court ordered garnishments.  </w:t>
      </w:r>
      <w:r>
        <w:t xml:space="preserve">The information submitted by credit unions </w:t>
      </w:r>
      <w:r w:rsidR="00651D31">
        <w:t>was vague and not descriptive of processes in p</w:t>
      </w:r>
      <w:r w:rsidR="003359AD">
        <w:t>l</w:t>
      </w:r>
      <w:r w:rsidR="00651D31">
        <w:t>ace.</w:t>
      </w:r>
    </w:p>
    <w:p w:rsidR="00F31337" w:rsidRPr="0025604D" w:rsidRDefault="00F31337" w:rsidP="00CB003A"/>
    <w:p w:rsidR="00147A26" w:rsidRPr="0025604D" w:rsidRDefault="00147A26" w:rsidP="00FB7F1C">
      <w:pPr>
        <w:keepNext/>
        <w:ind w:firstLine="360"/>
      </w:pPr>
      <w:r w:rsidRPr="0025604D">
        <w:t xml:space="preserve">9.  </w:t>
      </w:r>
      <w:r w:rsidRPr="0025604D">
        <w:rPr>
          <w:u w:val="single"/>
        </w:rPr>
        <w:t xml:space="preserve">Provision of payments to </w:t>
      </w:r>
      <w:r w:rsidR="00AC60AC" w:rsidRPr="0025604D">
        <w:rPr>
          <w:u w:val="single"/>
        </w:rPr>
        <w:t>record keepers</w:t>
      </w:r>
    </w:p>
    <w:p w:rsidR="00147A26" w:rsidRPr="0025604D" w:rsidRDefault="00147A26" w:rsidP="00FB7F1C">
      <w:pPr>
        <w:keepNext/>
      </w:pPr>
    </w:p>
    <w:p w:rsidR="00147A26" w:rsidRDefault="00256911" w:rsidP="00F06A3C">
      <w:pPr>
        <w:outlineLvl w:val="0"/>
      </w:pPr>
      <w:r>
        <w:t>Not applicable.</w:t>
      </w: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25604D"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60663C">
        <w:t>as part of this collection will be</w:t>
      </w:r>
      <w:r w:rsidR="00147A26" w:rsidRPr="0025604D">
        <w:t xml:space="preserve"> maintained as confidential consistent with applicable provisions of the Trade Secrets Act and Freedom of Information Act</w:t>
      </w:r>
      <w:r w:rsidR="008A5AEA">
        <w:t>.</w:t>
      </w:r>
      <w:r w:rsidR="00BA59A6">
        <w:t xml:space="preserve"> </w:t>
      </w:r>
      <w:r w:rsidR="00422F85">
        <w:t xml:space="preserve"> </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D35401" w:rsidRDefault="00D35401" w:rsidP="00F06A3C">
      <w:pPr>
        <w:outlineLvl w:val="0"/>
      </w:pPr>
    </w:p>
    <w:p w:rsidR="00147A26" w:rsidRDefault="00475731" w:rsidP="00F06A3C">
      <w:pPr>
        <w:outlineLvl w:val="0"/>
      </w:pPr>
      <w:r>
        <w:t>Not applicable.</w:t>
      </w:r>
    </w:p>
    <w:p w:rsidR="00B55229" w:rsidRDefault="00B55229" w:rsidP="00F06A3C">
      <w:pPr>
        <w:outlineLvl w:val="0"/>
      </w:pPr>
    </w:p>
    <w:p w:rsidR="00B55229" w:rsidRDefault="00B55229" w:rsidP="00B55229">
      <w:pPr>
        <w:numPr>
          <w:ilvl w:val="0"/>
          <w:numId w:val="14"/>
        </w:numPr>
      </w:pPr>
      <w:bookmarkStart w:id="0" w:name="OLE_LINK1"/>
      <w:r w:rsidRPr="00D35401">
        <w:rPr>
          <w:u w:val="single"/>
        </w:rPr>
        <w:t>Estimated burden of information collection</w:t>
      </w:r>
      <w:bookmarkEnd w:id="0"/>
    </w:p>
    <w:p w:rsidR="00B55229" w:rsidRPr="0025604D" w:rsidRDefault="00B55229" w:rsidP="00F06A3C">
      <w:pPr>
        <w:outlineLvl w:val="0"/>
      </w:pPr>
    </w:p>
    <w:p w:rsidR="007E41B3" w:rsidRDefault="0080244A" w:rsidP="00CB003A">
      <w:r>
        <w:t>The burden associated with this</w:t>
      </w:r>
      <w:r w:rsidR="00463CD5">
        <w:t xml:space="preserve"> one-time</w:t>
      </w:r>
      <w:r>
        <w:t xml:space="preserve"> information c</w:t>
      </w:r>
      <w:r w:rsidR="002B1F07">
        <w:t>ollection should be minimal.  A</w:t>
      </w:r>
      <w:r w:rsidR="007A51DA">
        <w:t xml:space="preserve"> credit union administrative services manager or subject matter specialist</w:t>
      </w:r>
      <w:r w:rsidR="00452623">
        <w:t xml:space="preserve"> </w:t>
      </w:r>
      <w:r>
        <w:t xml:space="preserve">with </w:t>
      </w:r>
      <w:r w:rsidR="00452623">
        <w:t>knowledge</w:t>
      </w:r>
      <w:r>
        <w:t xml:space="preserve"> </w:t>
      </w:r>
      <w:r w:rsidR="00174568">
        <w:t xml:space="preserve">of </w:t>
      </w:r>
      <w:r>
        <w:t>garnishment procedures should be able to complete the re</w:t>
      </w:r>
      <w:r w:rsidR="002B1F07">
        <w:t>sponses to the six</w:t>
      </w:r>
      <w:r w:rsidR="00D666DF">
        <w:t xml:space="preserve"> </w:t>
      </w:r>
      <w:r w:rsidR="00463CD5">
        <w:t xml:space="preserve">factual </w:t>
      </w:r>
      <w:r w:rsidR="00D666DF">
        <w:t xml:space="preserve">questions </w:t>
      </w:r>
      <w:r w:rsidR="004C0713">
        <w:t>with</w:t>
      </w:r>
      <w:r w:rsidR="002B1F07">
        <w:t>in 30</w:t>
      </w:r>
      <w:r>
        <w:t xml:space="preserve"> minutes or less.</w:t>
      </w:r>
      <w:r w:rsidRPr="0080244A">
        <w:t xml:space="preserve"> </w:t>
      </w:r>
      <w:r w:rsidR="00B73321">
        <w:t xml:space="preserve"> </w:t>
      </w:r>
      <w:r w:rsidR="002B1F07">
        <w:t xml:space="preserve">Using a listing from the National Credit Union Administration of 3,457 active Federal credit unions, a systematic sample of 10% will be drawn.  </w:t>
      </w:r>
      <w:r w:rsidR="0049693B">
        <w:t>In this scenario</w:t>
      </w:r>
      <w:r w:rsidR="00B73321">
        <w:t xml:space="preserve"> the total hours needed to complete this info</w:t>
      </w:r>
      <w:r w:rsidR="00B72BCA">
        <w:t xml:space="preserve">rmation collection will be between </w:t>
      </w:r>
      <w:r w:rsidR="002B1F07">
        <w:t>approximately</w:t>
      </w:r>
      <w:r w:rsidR="00B72BCA">
        <w:t xml:space="preserve"> </w:t>
      </w:r>
      <w:r w:rsidR="002B1F07">
        <w:t>173</w:t>
      </w:r>
      <w:r w:rsidR="00B73321">
        <w:t xml:space="preserve"> hours.</w:t>
      </w:r>
      <w:r>
        <w:t xml:space="preserve"> </w:t>
      </w:r>
    </w:p>
    <w:p w:rsidR="00452623" w:rsidRPr="0025604D" w:rsidRDefault="00452623"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156E23" w:rsidRDefault="0080244A" w:rsidP="00CB003A">
      <w:r>
        <w:t>The</w:t>
      </w:r>
      <w:r w:rsidR="0044510E">
        <w:t xml:space="preserve"> Department estimates that there</w:t>
      </w:r>
      <w:r w:rsidR="00D53E29">
        <w:t xml:space="preserve"> will be no</w:t>
      </w:r>
      <w:r w:rsidR="0050124D">
        <w:t xml:space="preserve"> </w:t>
      </w:r>
      <w:r w:rsidR="00A10A09" w:rsidRPr="0025604D">
        <w:t>annualized</w:t>
      </w:r>
      <w:r w:rsidR="000F53C2" w:rsidRPr="0025604D">
        <w:t xml:space="preserve"> </w:t>
      </w:r>
      <w:r w:rsidR="00A10A09" w:rsidRPr="0025604D">
        <w:t>capital</w:t>
      </w:r>
      <w:r w:rsidR="000F53C2" w:rsidRPr="0025604D">
        <w:t>/</w:t>
      </w:r>
      <w:r w:rsidR="00A10A09" w:rsidRPr="0025604D">
        <w:t>start-up costs</w:t>
      </w:r>
      <w:r w:rsidR="000F53C2" w:rsidRPr="0025604D">
        <w:t xml:space="preserve"> for the respondents to collect and submit this information</w:t>
      </w:r>
      <w:r>
        <w:t>.</w:t>
      </w:r>
      <w:r w:rsidR="002B1F07">
        <w:t xml:space="preserve">  This is a one-time collection of information related to credit union administrative process</w:t>
      </w:r>
      <w:r w:rsidR="00463CD5">
        <w:t>es</w:t>
      </w:r>
      <w:r w:rsidR="002B1F07">
        <w:t xml:space="preserve"> and the number of court order garnishments that are received.</w:t>
      </w:r>
    </w:p>
    <w:p w:rsidR="0080244A" w:rsidRPr="0025604D" w:rsidRDefault="0080244A"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Pr="0025604D" w:rsidRDefault="000F53C2" w:rsidP="00CB003A">
      <w:r w:rsidRPr="0025604D">
        <w:t>There will be no annualized capital/start-up costs for the government to receive this information.</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156E23" w:rsidRPr="0025604D" w:rsidRDefault="00460B20" w:rsidP="00F06A3C">
      <w:pPr>
        <w:outlineLvl w:val="0"/>
      </w:pPr>
      <w:r>
        <w:t>This is a new collection.</w:t>
      </w:r>
    </w:p>
    <w:p w:rsidR="00961823" w:rsidRPr="0025604D" w:rsidRDefault="00961823" w:rsidP="00CB003A"/>
    <w:p w:rsidR="00961823" w:rsidRDefault="00961823" w:rsidP="00181F21">
      <w:pPr>
        <w:keepNext/>
        <w:ind w:firstLine="360"/>
        <w:rPr>
          <w:u w:val="single"/>
        </w:rPr>
      </w:pPr>
      <w:r w:rsidRPr="0025604D">
        <w:lastRenderedPageBreak/>
        <w:t xml:space="preserve">16.  </w:t>
      </w:r>
      <w:r w:rsidRPr="0025604D">
        <w:rPr>
          <w:u w:val="single"/>
        </w:rPr>
        <w:t>Plans for tabulation, statistical analysis</w:t>
      </w:r>
      <w:r w:rsidR="00A2596F" w:rsidRPr="0025604D">
        <w:rPr>
          <w:u w:val="single"/>
        </w:rPr>
        <w:t xml:space="preserve"> and publication</w:t>
      </w:r>
    </w:p>
    <w:p w:rsidR="001B3DF6" w:rsidRPr="0025604D" w:rsidRDefault="001B3DF6" w:rsidP="00181F21">
      <w:pPr>
        <w:keepNext/>
        <w:ind w:firstLine="360"/>
      </w:pPr>
    </w:p>
    <w:p w:rsidR="001B3DF6" w:rsidRDefault="001B3DF6" w:rsidP="001B3DF6">
      <w:pPr>
        <w:pStyle w:val="NoSpacing"/>
        <w:contextualSpacing/>
        <w:rPr>
          <w:rFonts w:ascii="Times New Roman" w:hAnsi="Times New Roman"/>
          <w:sz w:val="24"/>
          <w:szCs w:val="24"/>
        </w:rPr>
      </w:pPr>
      <w:r w:rsidRPr="006013EA">
        <w:rPr>
          <w:rFonts w:ascii="Times New Roman" w:hAnsi="Times New Roman"/>
          <w:sz w:val="24"/>
          <w:szCs w:val="24"/>
        </w:rPr>
        <w:t xml:space="preserve">For each stratum and for overall, data analysis generally will be to derive estimates of central tendency, such as the mean or median, and measures of the dispersion, such as the variance or deciles, of the questions requiring numeric responses.  The study report will estimate mean or median values for the population.  There will also be a comparison of the means between strata to identify significant cases where size affects responses. </w:t>
      </w:r>
    </w:p>
    <w:p w:rsidR="001B3DF6" w:rsidRDefault="001B3DF6" w:rsidP="001B3DF6">
      <w:pPr>
        <w:pStyle w:val="NoSpacing"/>
        <w:contextualSpacing/>
        <w:rPr>
          <w:rFonts w:ascii="Times New Roman" w:hAnsi="Times New Roman"/>
          <w:sz w:val="24"/>
          <w:szCs w:val="24"/>
        </w:rPr>
      </w:pPr>
    </w:p>
    <w:p w:rsidR="001B3DF6" w:rsidRPr="006013EA" w:rsidRDefault="001B3DF6" w:rsidP="001B3DF6">
      <w:pPr>
        <w:pStyle w:val="NoSpacing"/>
        <w:contextualSpacing/>
        <w:rPr>
          <w:rFonts w:ascii="Times New Roman" w:hAnsi="Times New Roman"/>
          <w:sz w:val="24"/>
          <w:szCs w:val="24"/>
        </w:rPr>
      </w:pPr>
      <w:r>
        <w:rPr>
          <w:rFonts w:ascii="Times New Roman" w:hAnsi="Times New Roman"/>
          <w:sz w:val="24"/>
          <w:szCs w:val="24"/>
        </w:rPr>
        <w:t>The results of this collection of information will</w:t>
      </w:r>
      <w:r w:rsidR="00463CD5">
        <w:rPr>
          <w:rFonts w:ascii="Times New Roman" w:hAnsi="Times New Roman"/>
          <w:sz w:val="24"/>
          <w:szCs w:val="24"/>
        </w:rPr>
        <w:t xml:space="preserve"> be used by Treasury to finalize two policy initiatives.  The results of the collection of information will </w:t>
      </w:r>
      <w:r w:rsidR="00463CD5" w:rsidRPr="00463CD5">
        <w:rPr>
          <w:rFonts w:ascii="Times New Roman" w:hAnsi="Times New Roman"/>
          <w:b/>
          <w:sz w:val="24"/>
          <w:szCs w:val="24"/>
          <w:u w:val="single"/>
        </w:rPr>
        <w:t>not</w:t>
      </w:r>
      <w:r w:rsidR="00463CD5">
        <w:rPr>
          <w:rFonts w:ascii="Times New Roman" w:hAnsi="Times New Roman"/>
          <w:sz w:val="24"/>
          <w:szCs w:val="24"/>
        </w:rPr>
        <w:t xml:space="preserve"> be published.</w:t>
      </w:r>
    </w:p>
    <w:p w:rsidR="00A2596F" w:rsidRPr="0025604D" w:rsidRDefault="00A2596F" w:rsidP="00CB003A"/>
    <w:p w:rsidR="00A2596F" w:rsidRPr="0025604D" w:rsidRDefault="00256911" w:rsidP="00463CD5">
      <w:pPr>
        <w:outlineLvl w:val="0"/>
      </w:pPr>
      <w:r>
        <w:t xml:space="preserve"> </w:t>
      </w:r>
    </w:p>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Default="00463CD5" w:rsidP="00CB003A">
      <w:r>
        <w:t xml:space="preserve">Not applicable.  An OMB </w:t>
      </w:r>
      <w:r w:rsidR="009F6524">
        <w:t xml:space="preserve">control number and </w:t>
      </w:r>
      <w:r>
        <w:t>expiration date will be includ</w:t>
      </w:r>
      <w:r w:rsidR="008669D8">
        <w:t>ed on the collection instrument and accompanying letter/email.</w:t>
      </w:r>
    </w:p>
    <w:p w:rsidR="00463CD5" w:rsidRPr="0025604D" w:rsidRDefault="00463CD5"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CD5" w:rsidRDefault="00463CD5">
      <w:r>
        <w:separator/>
      </w:r>
    </w:p>
  </w:endnote>
  <w:endnote w:type="continuationSeparator" w:id="0">
    <w:p w:rsidR="00463CD5" w:rsidRDefault="00463C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CD5" w:rsidRDefault="003C6A27" w:rsidP="00105553">
    <w:pPr>
      <w:pStyle w:val="Footer"/>
      <w:framePr w:wrap="around" w:vAnchor="text" w:hAnchor="margin" w:xAlign="center" w:y="1"/>
      <w:rPr>
        <w:rStyle w:val="PageNumber"/>
      </w:rPr>
    </w:pPr>
    <w:r>
      <w:rPr>
        <w:rStyle w:val="PageNumber"/>
      </w:rPr>
      <w:fldChar w:fldCharType="begin"/>
    </w:r>
    <w:r w:rsidR="00463CD5">
      <w:rPr>
        <w:rStyle w:val="PageNumber"/>
      </w:rPr>
      <w:instrText xml:space="preserve">PAGE  </w:instrText>
    </w:r>
    <w:r>
      <w:rPr>
        <w:rStyle w:val="PageNumber"/>
      </w:rPr>
      <w:fldChar w:fldCharType="end"/>
    </w:r>
  </w:p>
  <w:p w:rsidR="00463CD5" w:rsidRDefault="00463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CD5" w:rsidRDefault="003C6A27" w:rsidP="00105553">
    <w:pPr>
      <w:pStyle w:val="Footer"/>
      <w:framePr w:wrap="around" w:vAnchor="text" w:hAnchor="margin" w:xAlign="center" w:y="1"/>
      <w:rPr>
        <w:rStyle w:val="PageNumber"/>
      </w:rPr>
    </w:pPr>
    <w:r>
      <w:rPr>
        <w:rStyle w:val="PageNumber"/>
      </w:rPr>
      <w:fldChar w:fldCharType="begin"/>
    </w:r>
    <w:r w:rsidR="00463CD5">
      <w:rPr>
        <w:rStyle w:val="PageNumber"/>
      </w:rPr>
      <w:instrText xml:space="preserve">PAGE  </w:instrText>
    </w:r>
    <w:r>
      <w:rPr>
        <w:rStyle w:val="PageNumber"/>
      </w:rPr>
      <w:fldChar w:fldCharType="separate"/>
    </w:r>
    <w:r w:rsidR="002E2966">
      <w:rPr>
        <w:rStyle w:val="PageNumber"/>
        <w:noProof/>
      </w:rPr>
      <w:t>4</w:t>
    </w:r>
    <w:r>
      <w:rPr>
        <w:rStyle w:val="PageNumber"/>
      </w:rPr>
      <w:fldChar w:fldCharType="end"/>
    </w:r>
  </w:p>
  <w:p w:rsidR="00463CD5" w:rsidRDefault="00463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CD5" w:rsidRDefault="00463CD5">
      <w:r>
        <w:separator/>
      </w:r>
    </w:p>
  </w:footnote>
  <w:footnote w:type="continuationSeparator" w:id="0">
    <w:p w:rsidR="00463CD5" w:rsidRDefault="00463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CD5" w:rsidRPr="00EB5E62" w:rsidRDefault="00463CD5">
    <w:pPr>
      <w:pStyle w:val="Header"/>
      <w:rPr>
        <w:sz w:val="36"/>
        <w:szCs w:val="36"/>
      </w:rPr>
    </w:pPr>
    <w:r w:rsidRPr="00EB5E62">
      <w:rPr>
        <w:sz w:val="36"/>
        <w:szCs w:val="36"/>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96212"/>
    <w:multiLevelType w:val="hybridMultilevel"/>
    <w:tmpl w:val="44C0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9C70B0"/>
    <w:multiLevelType w:val="hybridMultilevel"/>
    <w:tmpl w:val="BDF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6"/>
  </w:num>
  <w:num w:numId="4">
    <w:abstractNumId w:val="7"/>
  </w:num>
  <w:num w:numId="5">
    <w:abstractNumId w:val="15"/>
  </w:num>
  <w:num w:numId="6">
    <w:abstractNumId w:val="6"/>
  </w:num>
  <w:num w:numId="7">
    <w:abstractNumId w:val="2"/>
  </w:num>
  <w:num w:numId="8">
    <w:abstractNumId w:val="10"/>
  </w:num>
  <w:num w:numId="9">
    <w:abstractNumId w:val="9"/>
  </w:num>
  <w:num w:numId="10">
    <w:abstractNumId w:val="12"/>
  </w:num>
  <w:num w:numId="11">
    <w:abstractNumId w:val="3"/>
  </w:num>
  <w:num w:numId="12">
    <w:abstractNumId w:val="8"/>
  </w:num>
  <w:num w:numId="13">
    <w:abstractNumId w:val="0"/>
  </w:num>
  <w:num w:numId="14">
    <w:abstractNumId w:val="14"/>
  </w:num>
  <w:num w:numId="15">
    <w:abstractNumId w:val="11"/>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125E7"/>
    <w:rsid w:val="0001560A"/>
    <w:rsid w:val="00016BF1"/>
    <w:rsid w:val="00022F56"/>
    <w:rsid w:val="00026924"/>
    <w:rsid w:val="000342CE"/>
    <w:rsid w:val="00043B98"/>
    <w:rsid w:val="00045A29"/>
    <w:rsid w:val="000536C4"/>
    <w:rsid w:val="0005384E"/>
    <w:rsid w:val="00054BDE"/>
    <w:rsid w:val="00073704"/>
    <w:rsid w:val="00085492"/>
    <w:rsid w:val="000B0264"/>
    <w:rsid w:val="000B55E8"/>
    <w:rsid w:val="000D7FB0"/>
    <w:rsid w:val="000E0109"/>
    <w:rsid w:val="000E1F44"/>
    <w:rsid w:val="000E5A1B"/>
    <w:rsid w:val="000F2AE6"/>
    <w:rsid w:val="000F32C0"/>
    <w:rsid w:val="000F53C2"/>
    <w:rsid w:val="00105553"/>
    <w:rsid w:val="001220C5"/>
    <w:rsid w:val="00147A26"/>
    <w:rsid w:val="00156E23"/>
    <w:rsid w:val="00161711"/>
    <w:rsid w:val="001679C4"/>
    <w:rsid w:val="00174568"/>
    <w:rsid w:val="001819F2"/>
    <w:rsid w:val="00181F21"/>
    <w:rsid w:val="0018375D"/>
    <w:rsid w:val="00197ACA"/>
    <w:rsid w:val="001A2486"/>
    <w:rsid w:val="001A66D8"/>
    <w:rsid w:val="001A7C52"/>
    <w:rsid w:val="001B3DF6"/>
    <w:rsid w:val="001B6CE7"/>
    <w:rsid w:val="001D4017"/>
    <w:rsid w:val="001D609C"/>
    <w:rsid w:val="001E4BCF"/>
    <w:rsid w:val="001F4F6F"/>
    <w:rsid w:val="00204698"/>
    <w:rsid w:val="0024000F"/>
    <w:rsid w:val="00242FF9"/>
    <w:rsid w:val="0025604D"/>
    <w:rsid w:val="00256911"/>
    <w:rsid w:val="00271992"/>
    <w:rsid w:val="002728EF"/>
    <w:rsid w:val="002B1F07"/>
    <w:rsid w:val="002B2B99"/>
    <w:rsid w:val="002B7267"/>
    <w:rsid w:val="002C2A5D"/>
    <w:rsid w:val="002C7D8C"/>
    <w:rsid w:val="002D270C"/>
    <w:rsid w:val="002D7F2C"/>
    <w:rsid w:val="002E0DDC"/>
    <w:rsid w:val="002E2966"/>
    <w:rsid w:val="002F435B"/>
    <w:rsid w:val="002F4C96"/>
    <w:rsid w:val="002F7DAD"/>
    <w:rsid w:val="00312568"/>
    <w:rsid w:val="00323FFD"/>
    <w:rsid w:val="003265D6"/>
    <w:rsid w:val="003337AD"/>
    <w:rsid w:val="003359AD"/>
    <w:rsid w:val="00353C2F"/>
    <w:rsid w:val="00355292"/>
    <w:rsid w:val="00364917"/>
    <w:rsid w:val="00365005"/>
    <w:rsid w:val="00380639"/>
    <w:rsid w:val="00382984"/>
    <w:rsid w:val="0038550E"/>
    <w:rsid w:val="003874C3"/>
    <w:rsid w:val="00394A61"/>
    <w:rsid w:val="00395695"/>
    <w:rsid w:val="00395EB6"/>
    <w:rsid w:val="003C0372"/>
    <w:rsid w:val="003C068B"/>
    <w:rsid w:val="003C1AB8"/>
    <w:rsid w:val="003C37ED"/>
    <w:rsid w:val="003C3837"/>
    <w:rsid w:val="003C6A27"/>
    <w:rsid w:val="003D7D86"/>
    <w:rsid w:val="003E03C4"/>
    <w:rsid w:val="003E5548"/>
    <w:rsid w:val="003E59F6"/>
    <w:rsid w:val="003F0A1E"/>
    <w:rsid w:val="003F3118"/>
    <w:rsid w:val="00406DAA"/>
    <w:rsid w:val="0042230E"/>
    <w:rsid w:val="00422F85"/>
    <w:rsid w:val="00437371"/>
    <w:rsid w:val="00441AB7"/>
    <w:rsid w:val="004435F6"/>
    <w:rsid w:val="0044510E"/>
    <w:rsid w:val="00445C4A"/>
    <w:rsid w:val="00452623"/>
    <w:rsid w:val="00454D38"/>
    <w:rsid w:val="00460B20"/>
    <w:rsid w:val="00463CD5"/>
    <w:rsid w:val="00465DF6"/>
    <w:rsid w:val="00475731"/>
    <w:rsid w:val="004812B2"/>
    <w:rsid w:val="0048505F"/>
    <w:rsid w:val="00490EA8"/>
    <w:rsid w:val="0049693B"/>
    <w:rsid w:val="004A0FFA"/>
    <w:rsid w:val="004B06B5"/>
    <w:rsid w:val="004C0713"/>
    <w:rsid w:val="004D2A1D"/>
    <w:rsid w:val="004E6996"/>
    <w:rsid w:val="004F5145"/>
    <w:rsid w:val="0050124D"/>
    <w:rsid w:val="005267E7"/>
    <w:rsid w:val="00534EA9"/>
    <w:rsid w:val="00535AD0"/>
    <w:rsid w:val="005366FC"/>
    <w:rsid w:val="0055284F"/>
    <w:rsid w:val="00572D2C"/>
    <w:rsid w:val="00584BEB"/>
    <w:rsid w:val="00595D61"/>
    <w:rsid w:val="005A1E67"/>
    <w:rsid w:val="005C74A2"/>
    <w:rsid w:val="0060168D"/>
    <w:rsid w:val="006049CB"/>
    <w:rsid w:val="0060663C"/>
    <w:rsid w:val="00610580"/>
    <w:rsid w:val="00612025"/>
    <w:rsid w:val="006137E1"/>
    <w:rsid w:val="00625E33"/>
    <w:rsid w:val="00633442"/>
    <w:rsid w:val="0064051D"/>
    <w:rsid w:val="006412B7"/>
    <w:rsid w:val="00651D31"/>
    <w:rsid w:val="006536E9"/>
    <w:rsid w:val="00657A83"/>
    <w:rsid w:val="00666B6D"/>
    <w:rsid w:val="006A7328"/>
    <w:rsid w:val="006B22D1"/>
    <w:rsid w:val="006B3E5B"/>
    <w:rsid w:val="006B4321"/>
    <w:rsid w:val="006C06D8"/>
    <w:rsid w:val="006C70C0"/>
    <w:rsid w:val="006C725A"/>
    <w:rsid w:val="006F02DD"/>
    <w:rsid w:val="006F3E09"/>
    <w:rsid w:val="006F5284"/>
    <w:rsid w:val="006F5F27"/>
    <w:rsid w:val="006F6F62"/>
    <w:rsid w:val="00707BDE"/>
    <w:rsid w:val="00714C3D"/>
    <w:rsid w:val="007678BB"/>
    <w:rsid w:val="00775C08"/>
    <w:rsid w:val="007773B0"/>
    <w:rsid w:val="00795CCA"/>
    <w:rsid w:val="00795DDF"/>
    <w:rsid w:val="007A51DA"/>
    <w:rsid w:val="007B0A16"/>
    <w:rsid w:val="007B402F"/>
    <w:rsid w:val="007E41B3"/>
    <w:rsid w:val="007E69B3"/>
    <w:rsid w:val="007F0335"/>
    <w:rsid w:val="0080244A"/>
    <w:rsid w:val="0082536B"/>
    <w:rsid w:val="00834AD6"/>
    <w:rsid w:val="00840E1B"/>
    <w:rsid w:val="008438B7"/>
    <w:rsid w:val="00845E1D"/>
    <w:rsid w:val="00846EC6"/>
    <w:rsid w:val="00856DD0"/>
    <w:rsid w:val="008669D8"/>
    <w:rsid w:val="008961E6"/>
    <w:rsid w:val="008A0821"/>
    <w:rsid w:val="008A0DA1"/>
    <w:rsid w:val="008A5AEA"/>
    <w:rsid w:val="008B7CB1"/>
    <w:rsid w:val="008D1D8F"/>
    <w:rsid w:val="008F0E11"/>
    <w:rsid w:val="00914F6D"/>
    <w:rsid w:val="00920A07"/>
    <w:rsid w:val="00921EA8"/>
    <w:rsid w:val="00944659"/>
    <w:rsid w:val="00947772"/>
    <w:rsid w:val="00950A9E"/>
    <w:rsid w:val="00956C98"/>
    <w:rsid w:val="00961823"/>
    <w:rsid w:val="00982DDE"/>
    <w:rsid w:val="00983B56"/>
    <w:rsid w:val="00986077"/>
    <w:rsid w:val="00990870"/>
    <w:rsid w:val="00997B6C"/>
    <w:rsid w:val="009D2409"/>
    <w:rsid w:val="009D5B6E"/>
    <w:rsid w:val="009F081F"/>
    <w:rsid w:val="009F45CC"/>
    <w:rsid w:val="009F4D1C"/>
    <w:rsid w:val="009F6524"/>
    <w:rsid w:val="009F6730"/>
    <w:rsid w:val="00A10A09"/>
    <w:rsid w:val="00A2596F"/>
    <w:rsid w:val="00A34086"/>
    <w:rsid w:val="00A345E6"/>
    <w:rsid w:val="00A42B30"/>
    <w:rsid w:val="00A54D20"/>
    <w:rsid w:val="00A67505"/>
    <w:rsid w:val="00A74BE1"/>
    <w:rsid w:val="00A764DB"/>
    <w:rsid w:val="00A90BAB"/>
    <w:rsid w:val="00AA3C13"/>
    <w:rsid w:val="00AA3C72"/>
    <w:rsid w:val="00AC60AC"/>
    <w:rsid w:val="00AC6F03"/>
    <w:rsid w:val="00AE7B3E"/>
    <w:rsid w:val="00AF437A"/>
    <w:rsid w:val="00B002FE"/>
    <w:rsid w:val="00B037B1"/>
    <w:rsid w:val="00B50861"/>
    <w:rsid w:val="00B54683"/>
    <w:rsid w:val="00B55229"/>
    <w:rsid w:val="00B61494"/>
    <w:rsid w:val="00B669F3"/>
    <w:rsid w:val="00B716A8"/>
    <w:rsid w:val="00B72BCA"/>
    <w:rsid w:val="00B73321"/>
    <w:rsid w:val="00BA03A3"/>
    <w:rsid w:val="00BA1116"/>
    <w:rsid w:val="00BA59A6"/>
    <w:rsid w:val="00BB7E9C"/>
    <w:rsid w:val="00BD339B"/>
    <w:rsid w:val="00C0391A"/>
    <w:rsid w:val="00C12766"/>
    <w:rsid w:val="00C24D12"/>
    <w:rsid w:val="00C322A1"/>
    <w:rsid w:val="00C35402"/>
    <w:rsid w:val="00C36F16"/>
    <w:rsid w:val="00C4000F"/>
    <w:rsid w:val="00C511A0"/>
    <w:rsid w:val="00C60DF5"/>
    <w:rsid w:val="00C63059"/>
    <w:rsid w:val="00C64DF1"/>
    <w:rsid w:val="00C66D20"/>
    <w:rsid w:val="00C70A21"/>
    <w:rsid w:val="00C75252"/>
    <w:rsid w:val="00C809FC"/>
    <w:rsid w:val="00C954EA"/>
    <w:rsid w:val="00CB003A"/>
    <w:rsid w:val="00CC0B33"/>
    <w:rsid w:val="00CC4534"/>
    <w:rsid w:val="00CE2D06"/>
    <w:rsid w:val="00CE5780"/>
    <w:rsid w:val="00D1560A"/>
    <w:rsid w:val="00D275FC"/>
    <w:rsid w:val="00D35401"/>
    <w:rsid w:val="00D44BDA"/>
    <w:rsid w:val="00D45FC3"/>
    <w:rsid w:val="00D46AA7"/>
    <w:rsid w:val="00D51E93"/>
    <w:rsid w:val="00D53E29"/>
    <w:rsid w:val="00D557DC"/>
    <w:rsid w:val="00D63439"/>
    <w:rsid w:val="00D666DF"/>
    <w:rsid w:val="00D80049"/>
    <w:rsid w:val="00DA5F5B"/>
    <w:rsid w:val="00DA73C5"/>
    <w:rsid w:val="00DB0B49"/>
    <w:rsid w:val="00DD3262"/>
    <w:rsid w:val="00E20513"/>
    <w:rsid w:val="00E303B6"/>
    <w:rsid w:val="00E57D3C"/>
    <w:rsid w:val="00E71397"/>
    <w:rsid w:val="00E8070F"/>
    <w:rsid w:val="00E8455B"/>
    <w:rsid w:val="00E92A39"/>
    <w:rsid w:val="00E92B8B"/>
    <w:rsid w:val="00EA3839"/>
    <w:rsid w:val="00EB38BE"/>
    <w:rsid w:val="00EB5E62"/>
    <w:rsid w:val="00ED1367"/>
    <w:rsid w:val="00EE0B0E"/>
    <w:rsid w:val="00EE295C"/>
    <w:rsid w:val="00F06A3C"/>
    <w:rsid w:val="00F21F8C"/>
    <w:rsid w:val="00F24F5A"/>
    <w:rsid w:val="00F27C5F"/>
    <w:rsid w:val="00F31337"/>
    <w:rsid w:val="00F41911"/>
    <w:rsid w:val="00F51DC7"/>
    <w:rsid w:val="00F579C1"/>
    <w:rsid w:val="00F61017"/>
    <w:rsid w:val="00F72D0B"/>
    <w:rsid w:val="00F761CE"/>
    <w:rsid w:val="00F8520C"/>
    <w:rsid w:val="00F874A6"/>
    <w:rsid w:val="00F951DD"/>
    <w:rsid w:val="00FB7F1C"/>
    <w:rsid w:val="00FC174E"/>
    <w:rsid w:val="00FC2B60"/>
    <w:rsid w:val="00FC4E29"/>
    <w:rsid w:val="00FD0BF8"/>
    <w:rsid w:val="00FE230E"/>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ListParagraph">
    <w:name w:val="List Paragraph"/>
    <w:basedOn w:val="Normal"/>
    <w:qFormat/>
    <w:rsid w:val="002E0DDC"/>
    <w:pPr>
      <w:spacing w:after="200" w:line="276" w:lineRule="auto"/>
      <w:ind w:left="720"/>
      <w:contextualSpacing/>
    </w:pPr>
    <w:rPr>
      <w:rFonts w:ascii="Calibri" w:hAnsi="Calibri"/>
      <w:sz w:val="22"/>
      <w:szCs w:val="22"/>
    </w:rPr>
  </w:style>
  <w:style w:type="paragraph" w:styleId="NoSpacing">
    <w:name w:val="No Spacing"/>
    <w:uiPriority w:val="1"/>
    <w:qFormat/>
    <w:rsid w:val="001B3DF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3231614">
      <w:bodyDiv w:val="1"/>
      <w:marLeft w:val="0"/>
      <w:marRight w:val="0"/>
      <w:marTop w:val="0"/>
      <w:marBottom w:val="0"/>
      <w:divBdr>
        <w:top w:val="none" w:sz="0" w:space="0" w:color="auto"/>
        <w:left w:val="none" w:sz="0" w:space="0" w:color="auto"/>
        <w:bottom w:val="none" w:sz="0" w:space="0" w:color="auto"/>
        <w:right w:val="none" w:sz="0" w:space="0" w:color="auto"/>
      </w:divBdr>
    </w:div>
    <w:div w:id="472253219">
      <w:bodyDiv w:val="1"/>
      <w:marLeft w:val="0"/>
      <w:marRight w:val="0"/>
      <w:marTop w:val="0"/>
      <w:marBottom w:val="0"/>
      <w:divBdr>
        <w:top w:val="none" w:sz="0" w:space="0" w:color="auto"/>
        <w:left w:val="none" w:sz="0" w:space="0" w:color="auto"/>
        <w:bottom w:val="none" w:sz="0" w:space="0" w:color="auto"/>
        <w:right w:val="none" w:sz="0" w:space="0" w:color="auto"/>
      </w:divBdr>
    </w:div>
    <w:div w:id="631593265">
      <w:bodyDiv w:val="1"/>
      <w:marLeft w:val="0"/>
      <w:marRight w:val="0"/>
      <w:marTop w:val="0"/>
      <w:marBottom w:val="0"/>
      <w:divBdr>
        <w:top w:val="none" w:sz="0" w:space="0" w:color="auto"/>
        <w:left w:val="none" w:sz="0" w:space="0" w:color="auto"/>
        <w:bottom w:val="none" w:sz="0" w:space="0" w:color="auto"/>
        <w:right w:val="none" w:sz="0" w:space="0" w:color="auto"/>
      </w:divBdr>
    </w:div>
    <w:div w:id="11122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2010-07-27T20:36:00Z</cp:lastPrinted>
  <dcterms:created xsi:type="dcterms:W3CDTF">2010-08-13T14:53:00Z</dcterms:created>
  <dcterms:modified xsi:type="dcterms:W3CDTF">2010-08-13T14:53:00Z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000000008BB89D5A7DBF8D4A9A2B7C415AE52A1F070072982944BDF81C4ABDB4F35A9CE7961B000006F65BF800002D30BFFD157D8F458C886528C2E909E80000027D02A70000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ies>
</file>