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31" w:rsidRDefault="008D05A4" w:rsidP="006E35BE">
      <w:r>
        <w:tab/>
      </w:r>
      <w:r>
        <w:tab/>
      </w:r>
      <w:r>
        <w:tab/>
      </w:r>
      <w:r>
        <w:tab/>
      </w:r>
      <w:r>
        <w:tab/>
      </w:r>
    </w:p>
    <w:p w:rsidR="000F6B29" w:rsidRDefault="00F8657D" w:rsidP="006E35BE">
      <w:r>
        <w:t>Ju</w:t>
      </w:r>
      <w:r w:rsidR="006E5B59">
        <w:t xml:space="preserve">ly </w:t>
      </w:r>
      <w:r w:rsidR="002409EE">
        <w:t>26</w:t>
      </w:r>
      <w:r w:rsidR="008D05A4">
        <w:t>, 2010</w:t>
      </w:r>
    </w:p>
    <w:p w:rsidR="006A245E" w:rsidRDefault="006A245E" w:rsidP="006E35BE"/>
    <w:p w:rsidR="008F3E49" w:rsidRDefault="0087117A" w:rsidP="008F3E49">
      <w:r>
        <w:t xml:space="preserve">Kevin </w:t>
      </w:r>
      <w:r w:rsidR="006E7EEC">
        <w:t xml:space="preserve">W. </w:t>
      </w:r>
      <w:r>
        <w:t>Herms</w:t>
      </w:r>
    </w:p>
    <w:p w:rsidR="008F3E49" w:rsidRDefault="008F3E49" w:rsidP="008F3E49">
      <w:r>
        <w:t>Office of Information and Regulatory Affairs, OMB</w:t>
      </w:r>
    </w:p>
    <w:p w:rsidR="008F3E49" w:rsidRDefault="008F3E49" w:rsidP="008F3E49">
      <w:r>
        <w:t>Room 10235, New Executive Office Bldg.</w:t>
      </w:r>
    </w:p>
    <w:p w:rsidR="008F3E49" w:rsidRDefault="008F3E49" w:rsidP="008F3E49">
      <w:r>
        <w:t>725 17</w:t>
      </w:r>
      <w:r>
        <w:rPr>
          <w:vertAlign w:val="superscript"/>
        </w:rPr>
        <w:t>th</w:t>
      </w:r>
      <w:r>
        <w:t xml:space="preserve"> St. NW</w:t>
      </w:r>
    </w:p>
    <w:p w:rsidR="008F3E49" w:rsidRDefault="008F3E49" w:rsidP="008F3E49">
      <w:r>
        <w:t xml:space="preserve">Washington, </w:t>
      </w:r>
      <w:smartTag w:uri="urn:schemas-microsoft-com:office:smarttags" w:element="State">
        <w:r>
          <w:t>D.C.</w:t>
        </w:r>
      </w:smartTag>
      <w:r>
        <w:t xml:space="preserve">  20503</w:t>
      </w:r>
    </w:p>
    <w:p w:rsidR="008F3E49" w:rsidRDefault="008F3E49" w:rsidP="008F3E49"/>
    <w:p w:rsidR="008F3E49" w:rsidRDefault="008F3E49" w:rsidP="008F3E49">
      <w:r>
        <w:t xml:space="preserve">Dear </w:t>
      </w:r>
      <w:r w:rsidR="0087117A">
        <w:t>Mr. Herms:</w:t>
      </w:r>
    </w:p>
    <w:p w:rsidR="00C40A27" w:rsidRDefault="00C40A27" w:rsidP="008F3E49"/>
    <w:p w:rsidR="00B30BB9" w:rsidRDefault="002409EE" w:rsidP="00797E04">
      <w:r>
        <w:t>As per our discussions with</w:t>
      </w:r>
      <w:r w:rsidR="006E7EEC">
        <w:t xml:space="preserve"> OMB, </w:t>
      </w:r>
      <w:r w:rsidR="00472A3E">
        <w:t>the Social Security Administration (</w:t>
      </w:r>
      <w:r w:rsidR="00C40A27">
        <w:t>SSA</w:t>
      </w:r>
      <w:r w:rsidR="00472A3E">
        <w:t>)</w:t>
      </w:r>
      <w:r w:rsidR="00C40A27">
        <w:t xml:space="preserve"> is requesting emergency clearance </w:t>
      </w:r>
      <w:r>
        <w:t>for</w:t>
      </w:r>
      <w:r w:rsidR="00693B6D">
        <w:t xml:space="preserve"> </w:t>
      </w:r>
      <w:r w:rsidR="004C1442">
        <w:t xml:space="preserve">Program Operations Manual System (POMS) </w:t>
      </w:r>
      <w:r w:rsidR="00133FB1">
        <w:t>requirements</w:t>
      </w:r>
      <w:r>
        <w:t xml:space="preserve">, SSA’s program instructions </w:t>
      </w:r>
      <w:r w:rsidR="00133FB1">
        <w:t xml:space="preserve">for obtaining information necessary for the reissuance of Economic Recovery Payments (ERPs) to the estates of deceased beneficiaries who were entitled to the payments.  </w:t>
      </w:r>
      <w:r w:rsidR="00B30BB9">
        <w:t>Background information and our justification for requesting emergency clearance follow.</w:t>
      </w:r>
    </w:p>
    <w:p w:rsidR="00B30BB9" w:rsidRDefault="00B30BB9" w:rsidP="00797E04"/>
    <w:p w:rsidR="00B30BB9" w:rsidRDefault="00B30BB9" w:rsidP="00797E04">
      <w:pPr>
        <w:rPr>
          <w:b/>
        </w:rPr>
      </w:pPr>
      <w:r>
        <w:rPr>
          <w:b/>
        </w:rPr>
        <w:t>Background</w:t>
      </w:r>
    </w:p>
    <w:p w:rsidR="00A37429" w:rsidRDefault="00A37429" w:rsidP="00797E04"/>
    <w:p w:rsidR="009F03D7" w:rsidRDefault="009F03D7" w:rsidP="009F03D7">
      <w:r>
        <w:t xml:space="preserve">The </w:t>
      </w:r>
      <w:r w:rsidR="00A37429">
        <w:t xml:space="preserve">American Recovery and Reinvestment Act of 2009 (ARRA), </w:t>
      </w:r>
      <w:r w:rsidR="00A37429" w:rsidRPr="002409EE">
        <w:rPr>
          <w:i/>
        </w:rPr>
        <w:t>P.L. 111-5</w:t>
      </w:r>
      <w:r w:rsidR="00A37429">
        <w:t xml:space="preserve">, </w:t>
      </w:r>
      <w:r w:rsidR="00E630F1">
        <w:t xml:space="preserve">directs SSA </w:t>
      </w:r>
      <w:r>
        <w:t>to make one-time $250 ERP</w:t>
      </w:r>
      <w:r w:rsidR="004F3B5C">
        <w:t>s</w:t>
      </w:r>
      <w:r>
        <w:t xml:space="preserve"> to certain Social Security </w:t>
      </w:r>
      <w:r w:rsidR="004C1442">
        <w:t xml:space="preserve">beneficiaries </w:t>
      </w:r>
      <w:r>
        <w:t>and Supplemental Sec</w:t>
      </w:r>
      <w:r w:rsidR="004C1442">
        <w:t>urity Income (SSI) recipients</w:t>
      </w:r>
      <w:r>
        <w:t xml:space="preserve">.  In some instances, </w:t>
      </w:r>
      <w:r w:rsidR="00E630F1">
        <w:t xml:space="preserve">the </w:t>
      </w:r>
      <w:r>
        <w:t xml:space="preserve">ERP </w:t>
      </w:r>
      <w:r w:rsidR="00E630F1">
        <w:t>of an app</w:t>
      </w:r>
      <w:r w:rsidR="004C1442">
        <w:t>ropriately certified recipient</w:t>
      </w:r>
      <w:r w:rsidR="00E630F1">
        <w:t xml:space="preserve"> </w:t>
      </w:r>
      <w:r>
        <w:t>returned</w:t>
      </w:r>
      <w:r w:rsidR="004C1442">
        <w:t xml:space="preserve"> to SSA</w:t>
      </w:r>
      <w:r>
        <w:t xml:space="preserve"> due to the death of </w:t>
      </w:r>
      <w:r w:rsidR="004C1442">
        <w:t xml:space="preserve">the recipient.  </w:t>
      </w:r>
      <w:r w:rsidR="00E630F1">
        <w:t xml:space="preserve">SSA </w:t>
      </w:r>
      <w:r>
        <w:t>has received request</w:t>
      </w:r>
      <w:r w:rsidR="004C1442">
        <w:t>s</w:t>
      </w:r>
      <w:r>
        <w:t xml:space="preserve"> from </w:t>
      </w:r>
      <w:r w:rsidR="00E630F1">
        <w:t xml:space="preserve">the </w:t>
      </w:r>
      <w:r>
        <w:t>estate</w:t>
      </w:r>
      <w:r w:rsidR="004C1442">
        <w:t>s</w:t>
      </w:r>
      <w:r w:rsidR="006976F1">
        <w:t xml:space="preserve"> </w:t>
      </w:r>
      <w:r>
        <w:t xml:space="preserve">or </w:t>
      </w:r>
      <w:r w:rsidR="00E630F1">
        <w:t xml:space="preserve">the estate </w:t>
      </w:r>
      <w:r>
        <w:t>representative</w:t>
      </w:r>
      <w:r w:rsidR="004C1442">
        <w:t>s</w:t>
      </w:r>
      <w:r>
        <w:t xml:space="preserve"> asking </w:t>
      </w:r>
      <w:r w:rsidR="004F3B5C">
        <w:t xml:space="preserve">SSA </w:t>
      </w:r>
      <w:r>
        <w:t>to issue the</w:t>
      </w:r>
      <w:r w:rsidR="00E630F1">
        <w:t xml:space="preserve"> ERP to the deceased individual’s estate</w:t>
      </w:r>
      <w:r w:rsidR="006976F1">
        <w:t xml:space="preserve">.  </w:t>
      </w:r>
      <w:r w:rsidR="00E630F1">
        <w:t xml:space="preserve">SSA’s </w:t>
      </w:r>
      <w:r w:rsidR="00A37429">
        <w:t xml:space="preserve">Office of the General Counsel </w:t>
      </w:r>
      <w:r w:rsidR="00E630F1">
        <w:t xml:space="preserve">(OGC) </w:t>
      </w:r>
      <w:r w:rsidR="002409EE">
        <w:t>determined</w:t>
      </w:r>
      <w:r w:rsidR="00A37429">
        <w:t xml:space="preserve"> that </w:t>
      </w:r>
      <w:r w:rsidR="00E630F1">
        <w:t>the ARRA provides a right to receive an ERP at the time of certification</w:t>
      </w:r>
      <w:r w:rsidR="002409EE">
        <w:t xml:space="preserve">, </w:t>
      </w:r>
      <w:r w:rsidR="00E630F1">
        <w:t>and this right does not terminate with the recipient’s death</w:t>
      </w:r>
      <w:r w:rsidR="00A37429">
        <w:t>.</w:t>
      </w:r>
      <w:r w:rsidR="00E630F1">
        <w:t xml:space="preserve">  Therefore, SSA will issue ERPs to the duly authorized representative of the estate of an individual who, though alive at the time of certific</w:t>
      </w:r>
      <w:r w:rsidR="004C1442">
        <w:t xml:space="preserve">ation, died before financially transacting (i.e., cashing or depositing with a financial institution) the ERP.  Only </w:t>
      </w:r>
      <w:r w:rsidR="00133FB1">
        <w:t xml:space="preserve">ERPs </w:t>
      </w:r>
      <w:r w:rsidR="004C1442">
        <w:t>returned to SSA due to death of the recipient will be</w:t>
      </w:r>
      <w:r w:rsidR="00133FB1">
        <w:t xml:space="preserve"> eligible for reissuance.</w:t>
      </w:r>
      <w:r w:rsidR="00FF5BBD">
        <w:t xml:space="preserve"> </w:t>
      </w:r>
    </w:p>
    <w:p w:rsidR="005545D9" w:rsidRDefault="005545D9" w:rsidP="009F03D7"/>
    <w:p w:rsidR="002D1398" w:rsidRDefault="004C1442" w:rsidP="00797E04">
      <w:r>
        <w:t>T</w:t>
      </w:r>
      <w:r w:rsidR="00A37429">
        <w:t xml:space="preserve">o </w:t>
      </w:r>
      <w:r w:rsidR="00E630F1">
        <w:t xml:space="preserve">issue </w:t>
      </w:r>
      <w:r w:rsidR="00A37429">
        <w:t xml:space="preserve">an ERP to the estate of a deceased recipient, we need specific information to ascertain the eligibility </w:t>
      </w:r>
      <w:r>
        <w:t xml:space="preserve">and veracity </w:t>
      </w:r>
      <w:r w:rsidR="00A37429">
        <w:t xml:space="preserve">of the </w:t>
      </w:r>
      <w:r>
        <w:t xml:space="preserve">estate </w:t>
      </w:r>
      <w:r w:rsidR="00A37429">
        <w:t>representative requesting payment (see Interim Business Process below).</w:t>
      </w:r>
    </w:p>
    <w:p w:rsidR="00A37429" w:rsidRDefault="00A37429" w:rsidP="00797E04"/>
    <w:p w:rsidR="002D1398" w:rsidRDefault="002D1398" w:rsidP="00797E04">
      <w:pPr>
        <w:rPr>
          <w:b/>
        </w:rPr>
      </w:pPr>
      <w:r>
        <w:rPr>
          <w:b/>
        </w:rPr>
        <w:t>Issues in Implementation/Need for Emergency Clearance</w:t>
      </w:r>
    </w:p>
    <w:p w:rsidR="001D789C" w:rsidRDefault="001D789C" w:rsidP="00797E04"/>
    <w:p w:rsidR="00142B00" w:rsidRDefault="004C1442" w:rsidP="00E21878">
      <w:r>
        <w:t>T</w:t>
      </w:r>
      <w:r w:rsidR="006360A2">
        <w:t>o collect information from representatives of the deceased benefic</w:t>
      </w:r>
      <w:r w:rsidR="00AA23D9">
        <w:t>iaries</w:t>
      </w:r>
      <w:r w:rsidR="00E630F1">
        <w:t>’ estates</w:t>
      </w:r>
      <w:r w:rsidR="00AA23D9">
        <w:t>, SSA considered sending letter</w:t>
      </w:r>
      <w:r w:rsidR="006360A2">
        <w:t xml:space="preserve">s to the last known address of the deceased </w:t>
      </w:r>
      <w:r w:rsidR="00AA23D9">
        <w:t>in</w:t>
      </w:r>
      <w:r w:rsidR="006360A2">
        <w:t xml:space="preserve"> an attempt to reach the next of kin</w:t>
      </w:r>
      <w:r w:rsidR="00AA23D9">
        <w:t>.</w:t>
      </w:r>
      <w:r w:rsidR="00E65F13">
        <w:t xml:space="preserve">  The </w:t>
      </w:r>
      <w:r w:rsidR="00AA23D9">
        <w:t>letters</w:t>
      </w:r>
      <w:r w:rsidR="00E65F13">
        <w:t xml:space="preserve"> would have included sensitive data about the deceased </w:t>
      </w:r>
      <w:r w:rsidR="00AA23D9">
        <w:t>recipient.  Because</w:t>
      </w:r>
      <w:r w:rsidR="00E65F13">
        <w:t xml:space="preserve"> SSA </w:t>
      </w:r>
      <w:r w:rsidR="007D79ED">
        <w:t xml:space="preserve">could not be certain </w:t>
      </w:r>
      <w:r w:rsidR="00AA23D9">
        <w:t>the letters would reach the intended parties, we</w:t>
      </w:r>
      <w:r w:rsidR="00E65F13">
        <w:t xml:space="preserve"> decided </w:t>
      </w:r>
      <w:r w:rsidR="00AA23D9">
        <w:t xml:space="preserve">against this process </w:t>
      </w:r>
      <w:r w:rsidR="00E65F13">
        <w:t xml:space="preserve">to avoid an inadvertent release of </w:t>
      </w:r>
      <w:r w:rsidR="00AA23D9">
        <w:t xml:space="preserve">sensitive </w:t>
      </w:r>
      <w:r w:rsidR="00914271">
        <w:t>personal data.</w:t>
      </w:r>
      <w:r w:rsidR="005B089C">
        <w:t xml:space="preserve"> </w:t>
      </w:r>
      <w:r w:rsidR="00693B6D">
        <w:t>While in the development stage</w:t>
      </w:r>
      <w:r w:rsidR="004771EF">
        <w:t xml:space="preserve">, SSA </w:t>
      </w:r>
      <w:r w:rsidR="00E630F1">
        <w:t xml:space="preserve">also </w:t>
      </w:r>
      <w:r w:rsidR="004771EF">
        <w:t xml:space="preserve">realized the scope of this </w:t>
      </w:r>
      <w:r w:rsidR="003D340F">
        <w:t>proposed outreach</w:t>
      </w:r>
      <w:r w:rsidR="004771EF">
        <w:t xml:space="preserve"> was too ambitious.  </w:t>
      </w:r>
      <w:r w:rsidR="003D340F">
        <w:lastRenderedPageBreak/>
        <w:t xml:space="preserve">With no </w:t>
      </w:r>
      <w:r w:rsidR="00AA23D9">
        <w:t>F</w:t>
      </w:r>
      <w:r w:rsidR="003D340F">
        <w:t>ederal</w:t>
      </w:r>
      <w:r w:rsidR="00E630F1">
        <w:t>,</w:t>
      </w:r>
      <w:r w:rsidR="003D340F">
        <w:t xml:space="preserve"> </w:t>
      </w:r>
      <w:r w:rsidR="007D79ED">
        <w:t>s</w:t>
      </w:r>
      <w:r w:rsidR="003D340F">
        <w:t>tate</w:t>
      </w:r>
      <w:r w:rsidR="00B56E31">
        <w:t>,</w:t>
      </w:r>
      <w:r w:rsidR="003D340F">
        <w:t xml:space="preserve"> </w:t>
      </w:r>
      <w:r w:rsidR="007D79ED">
        <w:t>or t</w:t>
      </w:r>
      <w:r w:rsidR="00E630F1">
        <w:t xml:space="preserve">erritorial </w:t>
      </w:r>
      <w:r w:rsidR="003D340F">
        <w:t>statute directing the payment of the ERP</w:t>
      </w:r>
      <w:r w:rsidR="000826AA">
        <w:t>s</w:t>
      </w:r>
      <w:r w:rsidR="003D340F">
        <w:t xml:space="preserve"> to representatives of the decea</w:t>
      </w:r>
      <w:r w:rsidR="00886864">
        <w:t xml:space="preserve">sed or to estates, SSA would be accountable to too many conflicting jurisdictional </w:t>
      </w:r>
      <w:r w:rsidR="00AF6171">
        <w:t>laws</w:t>
      </w:r>
      <w:r w:rsidR="00886864">
        <w:t xml:space="preserve">.  SSA reviewed the </w:t>
      </w:r>
      <w:r w:rsidR="00E630F1">
        <w:t xml:space="preserve">law </w:t>
      </w:r>
      <w:r w:rsidR="00886864">
        <w:t xml:space="preserve">in each </w:t>
      </w:r>
      <w:r w:rsidR="00E630F1">
        <w:t xml:space="preserve">applicable jurisdiction and determined that </w:t>
      </w:r>
      <w:r w:rsidR="00886864">
        <w:t xml:space="preserve">each </w:t>
      </w:r>
      <w:r w:rsidR="007D79ED">
        <w:t>s</w:t>
      </w:r>
      <w:r w:rsidR="00886864">
        <w:t xml:space="preserve">tate </w:t>
      </w:r>
      <w:r w:rsidR="007D79ED">
        <w:t>and t</w:t>
      </w:r>
      <w:r w:rsidR="00E630F1">
        <w:t xml:space="preserve">erritory </w:t>
      </w:r>
      <w:r w:rsidR="00886864">
        <w:t xml:space="preserve">has </w:t>
      </w:r>
      <w:r w:rsidR="00AA23D9">
        <w:t>different</w:t>
      </w:r>
      <w:r w:rsidR="00886864">
        <w:t xml:space="preserve"> </w:t>
      </w:r>
      <w:r w:rsidR="00E630F1">
        <w:t xml:space="preserve">rules and </w:t>
      </w:r>
      <w:r w:rsidR="00886864">
        <w:t xml:space="preserve">requirements for the </w:t>
      </w:r>
      <w:r w:rsidR="00E630F1">
        <w:t>disposition of an individual’s estate</w:t>
      </w:r>
      <w:r w:rsidR="00886864">
        <w:t xml:space="preserve">.  Because of the lack of statutory guidance for the payment of the ERPs, </w:t>
      </w:r>
      <w:r w:rsidR="00AF6171">
        <w:t xml:space="preserve">and because of the conflicting jurisdictional laws, </w:t>
      </w:r>
      <w:r w:rsidR="00DF1286">
        <w:t xml:space="preserve">we are requesting to create a </w:t>
      </w:r>
      <w:r w:rsidR="00886864">
        <w:t xml:space="preserve">business process that would allow </w:t>
      </w:r>
      <w:r w:rsidR="00DF1286">
        <w:t xml:space="preserve">SSA </w:t>
      </w:r>
      <w:r w:rsidR="007D79ED">
        <w:t xml:space="preserve">to pay the ERPs </w:t>
      </w:r>
      <w:r w:rsidR="00886864">
        <w:t>to representatives of the deceased.</w:t>
      </w:r>
      <w:r w:rsidR="00886864" w:rsidDel="00886864">
        <w:t xml:space="preserve"> </w:t>
      </w:r>
    </w:p>
    <w:p w:rsidR="00E21878" w:rsidRDefault="00E21878" w:rsidP="00E21878"/>
    <w:p w:rsidR="00E21878" w:rsidRDefault="00142B00" w:rsidP="00E21878">
      <w:r>
        <w:t xml:space="preserve">To pay these ERPs, SSA </w:t>
      </w:r>
      <w:r w:rsidR="007D79ED">
        <w:t xml:space="preserve">will need to establish a process to </w:t>
      </w:r>
      <w:r>
        <w:t xml:space="preserve">collect </w:t>
      </w:r>
      <w:r w:rsidR="007D79ED">
        <w:t xml:space="preserve">the </w:t>
      </w:r>
      <w:r>
        <w:t>necessary proofs to verify the representative’s authority to receive the ERP on behalf of the deceased</w:t>
      </w:r>
      <w:r w:rsidR="007D79ED">
        <w:t xml:space="preserve">.  </w:t>
      </w:r>
      <w:r w:rsidR="000A479F">
        <w:t xml:space="preserve">We will also need to send </w:t>
      </w:r>
      <w:r w:rsidR="00AA23D9">
        <w:t>a</w:t>
      </w:r>
      <w:r>
        <w:t xml:space="preserve"> request to Treasury for payment before </w:t>
      </w:r>
      <w:r w:rsidR="00DF1286">
        <w:t xml:space="preserve">the </w:t>
      </w:r>
      <w:r w:rsidR="00E630F1">
        <w:t>December 31, 2010</w:t>
      </w:r>
      <w:r w:rsidR="00DF1286">
        <w:t xml:space="preserve"> </w:t>
      </w:r>
      <w:r>
        <w:t>deadline</w:t>
      </w:r>
      <w:r w:rsidR="00E630F1">
        <w:t xml:space="preserve"> imposed in the ARRA</w:t>
      </w:r>
      <w:r w:rsidR="000A479F">
        <w:t xml:space="preserve"> for issuing ERPs.</w:t>
      </w:r>
      <w:r>
        <w:t xml:space="preserve">  </w:t>
      </w:r>
      <w:r w:rsidR="00E21878">
        <w:t xml:space="preserve">For these reasons, we need to </w:t>
      </w:r>
      <w:r w:rsidR="00133FB1">
        <w:t>obtain the information to verify the authenticity of the representative requesting reissuance of the ERP</w:t>
      </w:r>
      <w:r w:rsidR="005D46BC">
        <w:t xml:space="preserve"> as expeditiously as possible</w:t>
      </w:r>
      <w:r w:rsidR="00133FB1">
        <w:t>.</w:t>
      </w:r>
    </w:p>
    <w:p w:rsidR="00133FB1" w:rsidRDefault="00133FB1" w:rsidP="00E21878"/>
    <w:p w:rsidR="00AA23D9" w:rsidRDefault="00E21878" w:rsidP="001D789C">
      <w:pPr>
        <w:rPr>
          <w:b/>
        </w:rPr>
      </w:pPr>
      <w:r>
        <w:rPr>
          <w:b/>
        </w:rPr>
        <w:t>Interim Business Process</w:t>
      </w:r>
    </w:p>
    <w:p w:rsidR="00AA23D9" w:rsidRDefault="00AA23D9" w:rsidP="001D789C">
      <w:pPr>
        <w:rPr>
          <w:b/>
        </w:rPr>
      </w:pPr>
    </w:p>
    <w:p w:rsidR="001D789C" w:rsidRDefault="008E203D" w:rsidP="001D789C">
      <w:r>
        <w:t>To ensure correct payment of</w:t>
      </w:r>
      <w:r w:rsidR="001D789C">
        <w:t xml:space="preserve"> ERP</w:t>
      </w:r>
      <w:r w:rsidR="005B089C">
        <w:t>s</w:t>
      </w:r>
      <w:r w:rsidR="001D789C">
        <w:t xml:space="preserve"> to estates, we need certain information about an individual’</w:t>
      </w:r>
      <w:r w:rsidR="00AA23D9">
        <w:t xml:space="preserve">s right to represent an estate.  </w:t>
      </w:r>
      <w:r w:rsidR="001D789C">
        <w:t xml:space="preserve"> </w:t>
      </w:r>
      <w:r w:rsidR="00AA23D9">
        <w:t xml:space="preserve">SSA will require </w:t>
      </w:r>
      <w:r w:rsidR="00E630F1">
        <w:t xml:space="preserve">the putative </w:t>
      </w:r>
      <w:r w:rsidR="00AF6171">
        <w:t xml:space="preserve">representative </w:t>
      </w:r>
      <w:r w:rsidR="00E630F1">
        <w:t xml:space="preserve">to provide information including </w:t>
      </w:r>
      <w:r w:rsidR="00AA23D9">
        <w:t>the name of the deceased, date of death, city and state of death, the city and state of the deceased’s last residence,</w:t>
      </w:r>
      <w:r w:rsidR="00AA23D9" w:rsidRPr="0006131F">
        <w:t xml:space="preserve"> </w:t>
      </w:r>
      <w:r w:rsidR="00AA23D9">
        <w:t xml:space="preserve">the name of representative(s) of the deceased or the estate, and an explanation of the legal authority that the representative(s) has to act on behalf of the deceased or the estate.  </w:t>
      </w:r>
      <w:r w:rsidR="000A479F">
        <w:t xml:space="preserve"> Our need to obtain this specific information for ERP reissuance would only be necessary for a limited audience and for a limited time.  </w:t>
      </w:r>
      <w:r w:rsidR="005D46BC">
        <w:t>.</w:t>
      </w:r>
      <w:r w:rsidR="005B089C">
        <w:t xml:space="preserve">  </w:t>
      </w:r>
      <w:r w:rsidR="000D394F">
        <w:t xml:space="preserve"> </w:t>
      </w:r>
    </w:p>
    <w:p w:rsidR="000D394F" w:rsidRDefault="000D394F" w:rsidP="001D789C"/>
    <w:p w:rsidR="005D46BC" w:rsidRDefault="00DF1286" w:rsidP="00E21878">
      <w:r>
        <w:t>There are no forms currently in use to document statements of evidence for estate payments under the ARRA.  Therefore, w</w:t>
      </w:r>
      <w:r w:rsidR="001F7459">
        <w:t xml:space="preserve">e are seeking emergency clearance of </w:t>
      </w:r>
      <w:r>
        <w:t xml:space="preserve">our </w:t>
      </w:r>
      <w:r w:rsidR="000A479F">
        <w:t>Program Operations Manual System (POMS)</w:t>
      </w:r>
      <w:r w:rsidR="005D46BC">
        <w:t xml:space="preserve"> requirements</w:t>
      </w:r>
      <w:r w:rsidR="000A479F">
        <w:t>, SSA’s program instructions,</w:t>
      </w:r>
      <w:r w:rsidR="005D46BC">
        <w:t xml:space="preserve"> to obtain verification of those individuals presenting themselves as representatives of the estates of de</w:t>
      </w:r>
      <w:r>
        <w:t>ceased individuals who were ERP-</w:t>
      </w:r>
      <w:r w:rsidR="005D46BC">
        <w:t xml:space="preserve">eligible. </w:t>
      </w:r>
      <w:r w:rsidR="001F7459">
        <w:t xml:space="preserve">  </w:t>
      </w:r>
      <w:r w:rsidR="0045186D">
        <w:t xml:space="preserve">Estate </w:t>
      </w:r>
      <w:r w:rsidR="001F7459">
        <w:t xml:space="preserve">representatives will </w:t>
      </w:r>
      <w:r w:rsidR="005D46BC">
        <w:t>be required to submit proof of authorization to represent the estate in order</w:t>
      </w:r>
      <w:r w:rsidR="001F7459">
        <w:t xml:space="preserve"> to</w:t>
      </w:r>
      <w:r w:rsidR="003D340F">
        <w:t xml:space="preserve"> request issuance of the ERP owed to the deceased.</w:t>
      </w:r>
      <w:r w:rsidR="001F7459">
        <w:t xml:space="preserve"> </w:t>
      </w:r>
      <w:r w:rsidR="00E630F1">
        <w:t xml:space="preserve"> </w:t>
      </w:r>
    </w:p>
    <w:p w:rsidR="005D46BC" w:rsidRPr="00E12A6E" w:rsidRDefault="000A479F" w:rsidP="005D46BC">
      <w:pPr>
        <w:shd w:val="clear" w:color="auto" w:fill="FFFFFF"/>
        <w:tabs>
          <w:tab w:val="left" w:pos="900"/>
        </w:tabs>
        <w:spacing w:before="120"/>
        <w:outlineLvl w:val="2"/>
      </w:pPr>
      <w:r>
        <w:t>Our proposed POMS requirements would direct the</w:t>
      </w:r>
      <w:r w:rsidR="00665C1D">
        <w:t xml:space="preserve"> verifying </w:t>
      </w:r>
      <w:r>
        <w:t xml:space="preserve">of </w:t>
      </w:r>
      <w:r w:rsidR="00665C1D">
        <w:t>information</w:t>
      </w:r>
      <w:r w:rsidR="005D46BC">
        <w:t xml:space="preserve"> from the representative requ</w:t>
      </w:r>
      <w:r w:rsidR="00085455">
        <w:t xml:space="preserve">esting reissuance of the ERP.  We would obtain this information through a personal interview at an SSA field office (FO).   The information we </w:t>
      </w:r>
      <w:r w:rsidR="00CC53ED">
        <w:t xml:space="preserve">will </w:t>
      </w:r>
      <w:r w:rsidR="00085455">
        <w:t>need is:</w:t>
      </w:r>
    </w:p>
    <w:p w:rsidR="005D46BC" w:rsidRDefault="005D46BC" w:rsidP="005D46BC">
      <w:pPr>
        <w:shd w:val="clear" w:color="auto" w:fill="FFFFFF"/>
        <w:tabs>
          <w:tab w:val="left" w:pos="900"/>
        </w:tabs>
        <w:spacing w:before="120"/>
        <w:outlineLvl w:val="2"/>
      </w:pPr>
      <w:r>
        <w:t xml:space="preserve">(a)  the deceased individual’s name; </w:t>
      </w:r>
    </w:p>
    <w:p w:rsidR="005D46BC" w:rsidRDefault="005D46BC" w:rsidP="005D46BC">
      <w:pPr>
        <w:shd w:val="clear" w:color="auto" w:fill="FFFFFF"/>
        <w:tabs>
          <w:tab w:val="left" w:pos="900"/>
        </w:tabs>
        <w:spacing w:before="120"/>
        <w:outlineLvl w:val="2"/>
      </w:pPr>
      <w:r>
        <w:t xml:space="preserve">(b)  the estate’s taxpayer identification number, if available; </w:t>
      </w:r>
    </w:p>
    <w:p w:rsidR="005D46BC" w:rsidRDefault="005D46BC" w:rsidP="005D46BC">
      <w:pPr>
        <w:shd w:val="clear" w:color="auto" w:fill="FFFFFF"/>
        <w:tabs>
          <w:tab w:val="left" w:pos="900"/>
        </w:tabs>
        <w:spacing w:before="120"/>
        <w:outlineLvl w:val="2"/>
      </w:pPr>
      <w:r>
        <w:t>(c)  the deceased i</w:t>
      </w:r>
      <w:r w:rsidR="00085455">
        <w:t>ndividual’s Social Security or claim n</w:t>
      </w:r>
      <w:r>
        <w:t xml:space="preserve">umber; </w:t>
      </w:r>
    </w:p>
    <w:p w:rsidR="005D46BC" w:rsidRDefault="005D46BC" w:rsidP="005D46BC">
      <w:pPr>
        <w:shd w:val="clear" w:color="auto" w:fill="FFFFFF"/>
        <w:tabs>
          <w:tab w:val="left" w:pos="900"/>
        </w:tabs>
        <w:spacing w:before="120"/>
        <w:outlineLvl w:val="2"/>
      </w:pPr>
      <w:r>
        <w:t>(d) the identity of the indivi</w:t>
      </w:r>
      <w:r w:rsidR="00085455">
        <w:t xml:space="preserve">dual or entity to whom the ERP should </w:t>
      </w:r>
      <w:r>
        <w:t xml:space="preserve">payable; </w:t>
      </w:r>
    </w:p>
    <w:p w:rsidR="005D46BC" w:rsidRDefault="006E5B59" w:rsidP="005D46BC">
      <w:pPr>
        <w:shd w:val="clear" w:color="auto" w:fill="FFFFFF"/>
        <w:tabs>
          <w:tab w:val="left" w:pos="900"/>
        </w:tabs>
        <w:spacing w:before="120"/>
        <w:outlineLvl w:val="2"/>
      </w:pPr>
      <w:r>
        <w:t>(e) a mailing address; and</w:t>
      </w:r>
      <w:r w:rsidR="00085455">
        <w:t>,</w:t>
      </w:r>
    </w:p>
    <w:p w:rsidR="00665C1D" w:rsidRDefault="00665C1D" w:rsidP="005D46BC">
      <w:pPr>
        <w:shd w:val="clear" w:color="auto" w:fill="FFFFFF"/>
        <w:tabs>
          <w:tab w:val="left" w:pos="900"/>
        </w:tabs>
        <w:spacing w:before="120"/>
        <w:outlineLvl w:val="2"/>
      </w:pPr>
      <w:r>
        <w:t>(f) any accompanying proof</w:t>
      </w:r>
      <w:r w:rsidR="00085455">
        <w:t>s</w:t>
      </w:r>
      <w:r>
        <w:t xml:space="preserve"> of authority to represent the estate of the deceased</w:t>
      </w:r>
      <w:r w:rsidR="006E5B59">
        <w:t>.</w:t>
      </w:r>
    </w:p>
    <w:p w:rsidR="00085455" w:rsidRDefault="00085455" w:rsidP="005D46BC">
      <w:pPr>
        <w:shd w:val="clear" w:color="auto" w:fill="FFFFFF"/>
        <w:tabs>
          <w:tab w:val="left" w:pos="900"/>
        </w:tabs>
        <w:spacing w:before="120"/>
        <w:outlineLvl w:val="2"/>
      </w:pPr>
    </w:p>
    <w:p w:rsidR="001F7459" w:rsidRDefault="003D340F" w:rsidP="00E21878">
      <w:r>
        <w:t>Once the representative provides a statement</w:t>
      </w:r>
      <w:r w:rsidR="000775D6">
        <w:t xml:space="preserve">, </w:t>
      </w:r>
      <w:r w:rsidR="00085455">
        <w:t xml:space="preserve">we will forward </w:t>
      </w:r>
      <w:r w:rsidR="000775D6">
        <w:t>this information and any accom</w:t>
      </w:r>
      <w:r w:rsidR="00085455">
        <w:t xml:space="preserve">panying proofs </w:t>
      </w:r>
      <w:r w:rsidR="000775D6">
        <w:t xml:space="preserve">to </w:t>
      </w:r>
      <w:r w:rsidR="00CC53ED">
        <w:t xml:space="preserve">SSA’s OGC </w:t>
      </w:r>
      <w:r w:rsidR="00665C1D">
        <w:t xml:space="preserve">via email, </w:t>
      </w:r>
      <w:r w:rsidR="000775D6">
        <w:t>to verify</w:t>
      </w:r>
      <w:r w:rsidR="00085455">
        <w:t xml:space="preserve"> under the applicable state or t</w:t>
      </w:r>
      <w:r w:rsidR="00E630F1">
        <w:t>erritorial law,</w:t>
      </w:r>
      <w:r w:rsidR="000775D6">
        <w:t xml:space="preserve"> that the requesting individual meets the requirements </w:t>
      </w:r>
      <w:r w:rsidR="00E630F1">
        <w:t xml:space="preserve">necessary </w:t>
      </w:r>
      <w:r w:rsidR="000775D6">
        <w:t>to receive the ERP.</w:t>
      </w:r>
    </w:p>
    <w:p w:rsidR="00BE595C" w:rsidRDefault="00BE595C" w:rsidP="00BE595C">
      <w:pPr>
        <w:shd w:val="clear" w:color="auto" w:fill="FFFFFF"/>
        <w:tabs>
          <w:tab w:val="left" w:pos="900"/>
        </w:tabs>
        <w:spacing w:before="120"/>
        <w:outlineLvl w:val="2"/>
      </w:pPr>
    </w:p>
    <w:p w:rsidR="000775D6" w:rsidRDefault="00BE595C" w:rsidP="00085455">
      <w:pPr>
        <w:spacing w:after="200" w:line="276" w:lineRule="auto"/>
      </w:pPr>
      <w:r w:rsidRPr="001E118A">
        <w:t xml:space="preserve">The FO will forward all contact information via email to </w:t>
      </w:r>
      <w:r w:rsidRPr="001E118A">
        <w:rPr>
          <w:u w:val="single"/>
        </w:rPr>
        <w:t>^DCO OPSOS ERP Estates.</w:t>
      </w:r>
    </w:p>
    <w:p w:rsidR="00142B00" w:rsidRDefault="001F7459" w:rsidP="00E21878">
      <w:r>
        <w:t xml:space="preserve">Once OMB approves </w:t>
      </w:r>
      <w:r w:rsidR="00665C1D">
        <w:t>our authority to obtain the information to meet the POMS requirements</w:t>
      </w:r>
      <w:r>
        <w:t xml:space="preserve">, we can make </w:t>
      </w:r>
      <w:r w:rsidR="000B5095">
        <w:t xml:space="preserve">ERP </w:t>
      </w:r>
      <w:r w:rsidR="00665C1D">
        <w:t>reissuance policy available</w:t>
      </w:r>
      <w:r>
        <w:t xml:space="preserve"> to</w:t>
      </w:r>
      <w:r w:rsidR="0045186D">
        <w:t xml:space="preserve"> estate</w:t>
      </w:r>
      <w:r>
        <w:t xml:space="preserve"> representatives.  This interim process will allow </w:t>
      </w:r>
      <w:r w:rsidR="0045186D">
        <w:t xml:space="preserve">estate </w:t>
      </w:r>
      <w:r>
        <w:t xml:space="preserve">representatives to </w:t>
      </w:r>
      <w:r w:rsidR="00142B00">
        <w:t>request the ERP payments owed</w:t>
      </w:r>
      <w:r>
        <w:t xml:space="preserve">.  </w:t>
      </w:r>
    </w:p>
    <w:p w:rsidR="001F7459" w:rsidRDefault="001F7459" w:rsidP="00E21878"/>
    <w:p w:rsidR="00E21878" w:rsidRPr="00E21878" w:rsidRDefault="001F7459" w:rsidP="00E21878">
      <w:r>
        <w:t xml:space="preserve">To enable </w:t>
      </w:r>
      <w:r w:rsidR="003237EE">
        <w:t>quick</w:t>
      </w:r>
      <w:r>
        <w:t xml:space="preserve"> rollout of this </w:t>
      </w:r>
      <w:r w:rsidR="00886864">
        <w:t>business process</w:t>
      </w:r>
      <w:r>
        <w:t xml:space="preserve">, we are requesting OMB clearance one week from today, </w:t>
      </w:r>
      <w:r w:rsidR="003237EE">
        <w:t xml:space="preserve">by </w:t>
      </w:r>
      <w:r w:rsidR="00B56E31">
        <w:t xml:space="preserve">August 2, 2010.  </w:t>
      </w:r>
      <w:r w:rsidR="00085455">
        <w:t>If you have any questions or need any further information regarding this request, please do not hesitate to contact me.</w:t>
      </w:r>
    </w:p>
    <w:p w:rsidR="004771EF" w:rsidRDefault="004771EF" w:rsidP="00797E04"/>
    <w:p w:rsidR="008F3E49" w:rsidRDefault="008F3E49" w:rsidP="008F3E49"/>
    <w:p w:rsidR="002211A6" w:rsidRDefault="008F3E49" w:rsidP="008F3E49">
      <w:r>
        <w:tab/>
      </w:r>
      <w:r>
        <w:tab/>
      </w:r>
      <w:r>
        <w:tab/>
      </w:r>
      <w:r>
        <w:tab/>
      </w:r>
      <w:r>
        <w:tab/>
      </w:r>
      <w:r>
        <w:tab/>
      </w:r>
      <w:r w:rsidR="002211A6">
        <w:t>Sincerely,</w:t>
      </w:r>
    </w:p>
    <w:p w:rsidR="002211A6" w:rsidRDefault="002211A6" w:rsidP="002211A6">
      <w:pPr>
        <w:ind w:left="6030"/>
      </w:pPr>
    </w:p>
    <w:p w:rsidR="002211A6" w:rsidRDefault="002211A6" w:rsidP="002211A6">
      <w:pPr>
        <w:ind w:left="6030"/>
      </w:pPr>
    </w:p>
    <w:p w:rsidR="003237EE" w:rsidRDefault="003237EE" w:rsidP="002211A6">
      <w:pPr>
        <w:ind w:left="4320"/>
      </w:pPr>
    </w:p>
    <w:p w:rsidR="002211A6" w:rsidRDefault="0087117A" w:rsidP="002211A6">
      <w:pPr>
        <w:ind w:left="4320"/>
      </w:pPr>
      <w:r>
        <w:t>Faye I. Lipsky</w:t>
      </w:r>
    </w:p>
    <w:p w:rsidR="002211A6" w:rsidRDefault="00B56E31" w:rsidP="002211A6">
      <w:pPr>
        <w:ind w:left="4320"/>
      </w:pPr>
      <w:r>
        <w:t xml:space="preserve">Reports Clearance </w:t>
      </w:r>
      <w:r w:rsidR="002211A6">
        <w:t>Officer</w:t>
      </w:r>
    </w:p>
    <w:p w:rsidR="00580DE1" w:rsidRDefault="002211A6" w:rsidP="00F2596B">
      <w:pPr>
        <w:ind w:left="3600" w:firstLine="720"/>
      </w:pPr>
      <w:r>
        <w:t>Social Security Administration</w:t>
      </w:r>
    </w:p>
    <w:sectPr w:rsidR="00580DE1" w:rsidSect="00096459">
      <w:headerReference w:type="first" r:id="rId7"/>
      <w:footerReference w:type="first" r:id="rId8"/>
      <w:pgSz w:w="12240" w:h="15840" w:code="1"/>
      <w:pgMar w:top="1440" w:right="1440" w:bottom="1440" w:left="144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9EE" w:rsidRDefault="002409EE">
      <w:r>
        <w:separator/>
      </w:r>
    </w:p>
  </w:endnote>
  <w:endnote w:type="continuationSeparator" w:id="0">
    <w:p w:rsidR="002409EE" w:rsidRDefault="002409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9EE" w:rsidRDefault="002409EE">
    <w:pPr>
      <w:pStyle w:val="Footer"/>
      <w:jc w:val="center"/>
      <w:rPr>
        <w:color w:val="0000FF"/>
        <w:sz w:val="20"/>
      </w:rPr>
    </w:pPr>
    <w:r>
      <w:rPr>
        <w:color w:val="0000FF"/>
        <w:sz w:val="20"/>
      </w:rPr>
      <w:t>SOCIAL SECURITY ADMINISTRATION</w:t>
    </w:r>
    <w:r>
      <w:rPr>
        <w:color w:val="0000FF"/>
        <w:spacing w:val="240"/>
        <w:sz w:val="20"/>
      </w:rPr>
      <w:t xml:space="preserve"> </w:t>
    </w:r>
    <w:smartTag w:uri="urn:schemas-microsoft-com:office:smarttags" w:element="City">
      <w:smartTag w:uri="urn:schemas-microsoft-com:office:smarttags" w:element="place">
        <w:r>
          <w:rPr>
            <w:color w:val="0000FF"/>
            <w:sz w:val="20"/>
          </w:rPr>
          <w:t>BALTIMORE</w:t>
        </w:r>
      </w:smartTag>
    </w:smartTag>
    <w:r>
      <w:rPr>
        <w:color w:val="0000FF"/>
        <w:sz w:val="20"/>
      </w:rPr>
      <w:t xml:space="preserve"> MD 21235-0001</w:t>
    </w:r>
  </w:p>
  <w:p w:rsidR="002409EE" w:rsidRDefault="00240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9EE" w:rsidRDefault="002409EE">
      <w:r>
        <w:separator/>
      </w:r>
    </w:p>
  </w:footnote>
  <w:footnote w:type="continuationSeparator" w:id="0">
    <w:p w:rsidR="002409EE" w:rsidRDefault="002409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9EE" w:rsidRDefault="002409EE" w:rsidP="006E7EEC">
    <w:pPr>
      <w:pStyle w:val="Header"/>
      <w:jc w:val="center"/>
      <w:rPr>
        <w:rFonts w:ascii="Century Schoolbook" w:hAnsi="Century Schoolbook"/>
        <w:noProof/>
        <w:color w:val="0000FF"/>
        <w:sz w:val="36"/>
        <w:u w:val="single"/>
      </w:rPr>
    </w:pPr>
    <w:r>
      <w:rPr>
        <w:rFonts w:ascii="Arial" w:hAnsi="Arial" w:cs="Arial"/>
        <w:noProof/>
        <w:color w:val="000080"/>
        <w:sz w:val="22"/>
        <w:szCs w:val="22"/>
        <w:lang w:eastAsia="en-US"/>
      </w:rPr>
      <w:drawing>
        <wp:inline distT="0" distB="0" distL="0" distR="0">
          <wp:extent cx="695325" cy="704850"/>
          <wp:effectExtent l="19050" t="0" r="9525" b="0"/>
          <wp:docPr id="1" name="Picture 1" descr="75th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Blue logo"/>
                  <pic:cNvPicPr>
                    <a:picLocks noChangeAspect="1" noChangeArrowheads="1"/>
                  </pic:cNvPicPr>
                </pic:nvPicPr>
                <pic:blipFill>
                  <a:blip r:embed="rId1"/>
                  <a:srcRect/>
                  <a:stretch>
                    <a:fillRect/>
                  </a:stretch>
                </pic:blipFill>
                <pic:spPr bwMode="auto">
                  <a:xfrm>
                    <a:off x="0" y="0"/>
                    <a:ext cx="695325" cy="704850"/>
                  </a:xfrm>
                  <a:prstGeom prst="rect">
                    <a:avLst/>
                  </a:prstGeom>
                  <a:noFill/>
                  <a:ln w="9525">
                    <a:noFill/>
                    <a:miter lim="800000"/>
                    <a:headEnd/>
                    <a:tailEnd/>
                  </a:ln>
                </pic:spPr>
              </pic:pic>
            </a:graphicData>
          </a:graphic>
        </wp:inline>
      </w:drawing>
    </w:r>
  </w:p>
  <w:p w:rsidR="002409EE" w:rsidRDefault="002409EE" w:rsidP="006E7EEC">
    <w:pPr>
      <w:pStyle w:val="Header"/>
      <w:jc w:val="center"/>
      <w:rPr>
        <w:rFonts w:ascii="Century Schoolbook" w:hAnsi="Century Schoolbook"/>
        <w:noProof/>
        <w:color w:val="0000FF"/>
        <w:sz w:val="36"/>
        <w:u w:val="single"/>
      </w:rPr>
    </w:pPr>
    <w:r>
      <w:rPr>
        <w:rFonts w:ascii="Century Schoolbook" w:hAnsi="Century Schoolbook"/>
        <w:noProof/>
        <w:color w:val="0000FF"/>
        <w:sz w:val="36"/>
        <w:u w:val="single"/>
      </w:rPr>
      <w:t>SOCIAL SECURITY</w:t>
    </w:r>
  </w:p>
  <w:p w:rsidR="002409EE" w:rsidRDefault="002409E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22D9"/>
    <w:multiLevelType w:val="hybridMultilevel"/>
    <w:tmpl w:val="36167312"/>
    <w:lvl w:ilvl="0" w:tplc="AC34B8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1FC9"/>
    <w:multiLevelType w:val="hybridMultilevel"/>
    <w:tmpl w:val="8BAE0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F5A8A"/>
    <w:multiLevelType w:val="hybridMultilevel"/>
    <w:tmpl w:val="E0967F9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AD5AAD"/>
    <w:multiLevelType w:val="hybridMultilevel"/>
    <w:tmpl w:val="CAE2BA9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98052E"/>
    <w:multiLevelType w:val="hybridMultilevel"/>
    <w:tmpl w:val="ED4E8450"/>
    <w:lvl w:ilvl="0" w:tplc="AC34B8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605A35"/>
    <w:multiLevelType w:val="singleLevel"/>
    <w:tmpl w:val="48207260"/>
    <w:lvl w:ilvl="0">
      <w:start w:val="5"/>
      <w:numFmt w:val="decimal"/>
      <w:lvlText w:val="%1."/>
      <w:lvlJc w:val="left"/>
      <w:pPr>
        <w:tabs>
          <w:tab w:val="num" w:pos="360"/>
        </w:tabs>
        <w:ind w:left="360" w:hanging="360"/>
      </w:pPr>
      <w:rPr>
        <w:rFonts w:hint="default"/>
        <w:b w:val="0"/>
        <w:bCs/>
      </w:rPr>
    </w:lvl>
  </w:abstractNum>
  <w:abstractNum w:abstractNumId="6">
    <w:nsid w:val="60E91BCD"/>
    <w:multiLevelType w:val="hybridMultilevel"/>
    <w:tmpl w:val="9EC8F16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656A80"/>
    <w:multiLevelType w:val="hybridMultilevel"/>
    <w:tmpl w:val="2D266494"/>
    <w:lvl w:ilvl="0" w:tplc="02F824E0">
      <w:start w:val="1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66410B"/>
    <w:multiLevelType w:val="singleLevel"/>
    <w:tmpl w:val="482657D6"/>
    <w:lvl w:ilvl="0">
      <w:start w:val="2"/>
      <w:numFmt w:val="decimal"/>
      <w:lvlText w:val="%1."/>
      <w:lvlJc w:val="left"/>
      <w:pPr>
        <w:tabs>
          <w:tab w:val="num" w:pos="720"/>
        </w:tabs>
        <w:ind w:left="720" w:hanging="720"/>
      </w:pPr>
      <w:rPr>
        <w:rFonts w:hint="default"/>
        <w:b w:val="0"/>
      </w:rPr>
    </w:lvl>
  </w:abstractNum>
  <w:num w:numId="1">
    <w:abstractNumId w:val="2"/>
  </w:num>
  <w:num w:numId="2">
    <w:abstractNumId w:val="6"/>
  </w:num>
  <w:num w:numId="3">
    <w:abstractNumId w:val="3"/>
  </w:num>
  <w:num w:numId="4">
    <w:abstractNumId w:val="8"/>
  </w:num>
  <w:num w:numId="5">
    <w:abstractNumId w:val="5"/>
  </w:num>
  <w:num w:numId="6">
    <w:abstractNumId w:val="7"/>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
  <w:rsids>
    <w:rsidRoot w:val="00B67C45"/>
    <w:rsid w:val="00073D19"/>
    <w:rsid w:val="000775D6"/>
    <w:rsid w:val="000826AA"/>
    <w:rsid w:val="00085455"/>
    <w:rsid w:val="00096459"/>
    <w:rsid w:val="000A479F"/>
    <w:rsid w:val="000A4916"/>
    <w:rsid w:val="000B2E01"/>
    <w:rsid w:val="000B5095"/>
    <w:rsid w:val="000D004D"/>
    <w:rsid w:val="000D04A1"/>
    <w:rsid w:val="000D394F"/>
    <w:rsid w:val="000F222D"/>
    <w:rsid w:val="000F6B29"/>
    <w:rsid w:val="0011260E"/>
    <w:rsid w:val="001127CE"/>
    <w:rsid w:val="00114CD9"/>
    <w:rsid w:val="001208A0"/>
    <w:rsid w:val="00133468"/>
    <w:rsid w:val="00133F9E"/>
    <w:rsid w:val="00133FB1"/>
    <w:rsid w:val="001378BE"/>
    <w:rsid w:val="00142B00"/>
    <w:rsid w:val="00152D06"/>
    <w:rsid w:val="001612CC"/>
    <w:rsid w:val="00166B06"/>
    <w:rsid w:val="001772D6"/>
    <w:rsid w:val="00182F55"/>
    <w:rsid w:val="001B15D2"/>
    <w:rsid w:val="001D31B8"/>
    <w:rsid w:val="001D599D"/>
    <w:rsid w:val="001D789C"/>
    <w:rsid w:val="001F7459"/>
    <w:rsid w:val="00203AE1"/>
    <w:rsid w:val="0020469E"/>
    <w:rsid w:val="002211A6"/>
    <w:rsid w:val="00240074"/>
    <w:rsid w:val="002409EE"/>
    <w:rsid w:val="00264A9A"/>
    <w:rsid w:val="00271563"/>
    <w:rsid w:val="00277630"/>
    <w:rsid w:val="00290602"/>
    <w:rsid w:val="002911C7"/>
    <w:rsid w:val="00294A43"/>
    <w:rsid w:val="002975D9"/>
    <w:rsid w:val="002D1398"/>
    <w:rsid w:val="002D697B"/>
    <w:rsid w:val="002E5FFC"/>
    <w:rsid w:val="002F3F12"/>
    <w:rsid w:val="003170C2"/>
    <w:rsid w:val="00321493"/>
    <w:rsid w:val="003237EE"/>
    <w:rsid w:val="00334E77"/>
    <w:rsid w:val="003A7DA1"/>
    <w:rsid w:val="003B461F"/>
    <w:rsid w:val="003C6DBB"/>
    <w:rsid w:val="003D340F"/>
    <w:rsid w:val="003E736C"/>
    <w:rsid w:val="00401B43"/>
    <w:rsid w:val="00414836"/>
    <w:rsid w:val="00417A7E"/>
    <w:rsid w:val="004376F2"/>
    <w:rsid w:val="004424D2"/>
    <w:rsid w:val="0045186D"/>
    <w:rsid w:val="00455EF4"/>
    <w:rsid w:val="004612A0"/>
    <w:rsid w:val="00466374"/>
    <w:rsid w:val="00467141"/>
    <w:rsid w:val="0047031E"/>
    <w:rsid w:val="00472A3E"/>
    <w:rsid w:val="004771EF"/>
    <w:rsid w:val="00480CED"/>
    <w:rsid w:val="004A18DA"/>
    <w:rsid w:val="004B6AE2"/>
    <w:rsid w:val="004C1442"/>
    <w:rsid w:val="004D2234"/>
    <w:rsid w:val="004E1AAE"/>
    <w:rsid w:val="004E5E22"/>
    <w:rsid w:val="004F3B5C"/>
    <w:rsid w:val="00503381"/>
    <w:rsid w:val="00517EFE"/>
    <w:rsid w:val="00526B8D"/>
    <w:rsid w:val="00533F41"/>
    <w:rsid w:val="00545A06"/>
    <w:rsid w:val="00546AF8"/>
    <w:rsid w:val="005545D9"/>
    <w:rsid w:val="00573106"/>
    <w:rsid w:val="00580DE1"/>
    <w:rsid w:val="0058337B"/>
    <w:rsid w:val="005841A0"/>
    <w:rsid w:val="00584BDD"/>
    <w:rsid w:val="00590DDE"/>
    <w:rsid w:val="00597C94"/>
    <w:rsid w:val="005A6560"/>
    <w:rsid w:val="005B089C"/>
    <w:rsid w:val="005C415A"/>
    <w:rsid w:val="005D46BC"/>
    <w:rsid w:val="005E5892"/>
    <w:rsid w:val="005E67B6"/>
    <w:rsid w:val="00610276"/>
    <w:rsid w:val="00612067"/>
    <w:rsid w:val="00617BB2"/>
    <w:rsid w:val="00622CDD"/>
    <w:rsid w:val="00635C9D"/>
    <w:rsid w:val="006360A2"/>
    <w:rsid w:val="0063767F"/>
    <w:rsid w:val="00665C1D"/>
    <w:rsid w:val="00684BF0"/>
    <w:rsid w:val="006918BF"/>
    <w:rsid w:val="00691F0E"/>
    <w:rsid w:val="00693B6D"/>
    <w:rsid w:val="006955CE"/>
    <w:rsid w:val="006976F1"/>
    <w:rsid w:val="006A18FA"/>
    <w:rsid w:val="006A245E"/>
    <w:rsid w:val="006A2B25"/>
    <w:rsid w:val="006D7634"/>
    <w:rsid w:val="006E35BE"/>
    <w:rsid w:val="006E5B59"/>
    <w:rsid w:val="006E7EEC"/>
    <w:rsid w:val="00701249"/>
    <w:rsid w:val="00707222"/>
    <w:rsid w:val="00713EA7"/>
    <w:rsid w:val="00797E04"/>
    <w:rsid w:val="007D5D87"/>
    <w:rsid w:val="007D79ED"/>
    <w:rsid w:val="0081313F"/>
    <w:rsid w:val="0084147A"/>
    <w:rsid w:val="00853C53"/>
    <w:rsid w:val="0087117A"/>
    <w:rsid w:val="00886864"/>
    <w:rsid w:val="00890673"/>
    <w:rsid w:val="008A7D86"/>
    <w:rsid w:val="008B0C59"/>
    <w:rsid w:val="008D05A4"/>
    <w:rsid w:val="008E203D"/>
    <w:rsid w:val="008E59EF"/>
    <w:rsid w:val="008F3E49"/>
    <w:rsid w:val="00907C24"/>
    <w:rsid w:val="00914271"/>
    <w:rsid w:val="00922BAF"/>
    <w:rsid w:val="00944B4C"/>
    <w:rsid w:val="00955D90"/>
    <w:rsid w:val="00975AC4"/>
    <w:rsid w:val="009828B4"/>
    <w:rsid w:val="00991AD9"/>
    <w:rsid w:val="009A16A9"/>
    <w:rsid w:val="009A748C"/>
    <w:rsid w:val="009B67FB"/>
    <w:rsid w:val="009C0F2B"/>
    <w:rsid w:val="009D28A3"/>
    <w:rsid w:val="009D473A"/>
    <w:rsid w:val="009D540C"/>
    <w:rsid w:val="009F03D7"/>
    <w:rsid w:val="00A14E63"/>
    <w:rsid w:val="00A2796B"/>
    <w:rsid w:val="00A37429"/>
    <w:rsid w:val="00A52534"/>
    <w:rsid w:val="00A54AEE"/>
    <w:rsid w:val="00A61E1C"/>
    <w:rsid w:val="00AA23D9"/>
    <w:rsid w:val="00AA3D4D"/>
    <w:rsid w:val="00AA5D0F"/>
    <w:rsid w:val="00AB7318"/>
    <w:rsid w:val="00AC42DE"/>
    <w:rsid w:val="00AD420F"/>
    <w:rsid w:val="00AE6B50"/>
    <w:rsid w:val="00AF6171"/>
    <w:rsid w:val="00B04EA9"/>
    <w:rsid w:val="00B30BB9"/>
    <w:rsid w:val="00B30D17"/>
    <w:rsid w:val="00B315CE"/>
    <w:rsid w:val="00B322BD"/>
    <w:rsid w:val="00B417BE"/>
    <w:rsid w:val="00B56E31"/>
    <w:rsid w:val="00B62A73"/>
    <w:rsid w:val="00B67C45"/>
    <w:rsid w:val="00B77637"/>
    <w:rsid w:val="00B81FD9"/>
    <w:rsid w:val="00B95809"/>
    <w:rsid w:val="00BD0AEB"/>
    <w:rsid w:val="00BD0D80"/>
    <w:rsid w:val="00BE595C"/>
    <w:rsid w:val="00C00296"/>
    <w:rsid w:val="00C34A67"/>
    <w:rsid w:val="00C40A27"/>
    <w:rsid w:val="00C6125B"/>
    <w:rsid w:val="00C7692C"/>
    <w:rsid w:val="00CC2DDE"/>
    <w:rsid w:val="00CC53ED"/>
    <w:rsid w:val="00CD11D7"/>
    <w:rsid w:val="00D006F1"/>
    <w:rsid w:val="00D418CC"/>
    <w:rsid w:val="00D42DF1"/>
    <w:rsid w:val="00D46DEF"/>
    <w:rsid w:val="00D86D72"/>
    <w:rsid w:val="00DB56FD"/>
    <w:rsid w:val="00DC25A6"/>
    <w:rsid w:val="00DE37B1"/>
    <w:rsid w:val="00DF1286"/>
    <w:rsid w:val="00E05912"/>
    <w:rsid w:val="00E21878"/>
    <w:rsid w:val="00E32BB9"/>
    <w:rsid w:val="00E33726"/>
    <w:rsid w:val="00E57F5A"/>
    <w:rsid w:val="00E607BD"/>
    <w:rsid w:val="00E630F1"/>
    <w:rsid w:val="00E65F13"/>
    <w:rsid w:val="00EA7A61"/>
    <w:rsid w:val="00EB091D"/>
    <w:rsid w:val="00F0156E"/>
    <w:rsid w:val="00F07BF0"/>
    <w:rsid w:val="00F16626"/>
    <w:rsid w:val="00F20ED1"/>
    <w:rsid w:val="00F23A2B"/>
    <w:rsid w:val="00F2596B"/>
    <w:rsid w:val="00F260A5"/>
    <w:rsid w:val="00F32BF6"/>
    <w:rsid w:val="00F34F7B"/>
    <w:rsid w:val="00F741FD"/>
    <w:rsid w:val="00F77DF8"/>
    <w:rsid w:val="00F8657D"/>
    <w:rsid w:val="00F96602"/>
    <w:rsid w:val="00F9797E"/>
    <w:rsid w:val="00FC1C40"/>
    <w:rsid w:val="00FC6F76"/>
    <w:rsid w:val="00FD28D5"/>
    <w:rsid w:val="00FE6047"/>
    <w:rsid w:val="00FE7684"/>
    <w:rsid w:val="00FF5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AEE"/>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4AEE"/>
    <w:pPr>
      <w:tabs>
        <w:tab w:val="center" w:pos="4320"/>
        <w:tab w:val="right" w:pos="8640"/>
      </w:tabs>
    </w:pPr>
  </w:style>
  <w:style w:type="paragraph" w:styleId="Footer">
    <w:name w:val="footer"/>
    <w:basedOn w:val="Normal"/>
    <w:rsid w:val="00A54AEE"/>
    <w:pPr>
      <w:tabs>
        <w:tab w:val="center" w:pos="4320"/>
        <w:tab w:val="right" w:pos="8640"/>
      </w:tabs>
    </w:pPr>
  </w:style>
  <w:style w:type="paragraph" w:styleId="Date">
    <w:name w:val="Date"/>
    <w:basedOn w:val="Normal"/>
    <w:next w:val="Normal"/>
    <w:rsid w:val="006E35BE"/>
  </w:style>
  <w:style w:type="character" w:styleId="Hyperlink">
    <w:name w:val="Hyperlink"/>
    <w:basedOn w:val="DefaultParagraphFont"/>
    <w:rsid w:val="006E35BE"/>
    <w:rPr>
      <w:color w:val="0000FF"/>
      <w:u w:val="single"/>
    </w:rPr>
  </w:style>
  <w:style w:type="paragraph" w:styleId="BalloonText">
    <w:name w:val="Balloon Text"/>
    <w:basedOn w:val="Normal"/>
    <w:semiHidden/>
    <w:rsid w:val="004424D2"/>
    <w:rPr>
      <w:rFonts w:ascii="Tahoma" w:hAnsi="Tahoma" w:cs="Tahoma"/>
      <w:sz w:val="16"/>
      <w:szCs w:val="16"/>
    </w:rPr>
  </w:style>
  <w:style w:type="character" w:customStyle="1" w:styleId="HeaderChar">
    <w:name w:val="Header Char"/>
    <w:basedOn w:val="DefaultParagraphFont"/>
    <w:link w:val="Header"/>
    <w:rsid w:val="006E7EEC"/>
    <w:rPr>
      <w:sz w:val="24"/>
      <w:szCs w:val="24"/>
      <w:lang w:eastAsia="zh-CN"/>
    </w:rPr>
  </w:style>
  <w:style w:type="character" w:styleId="CommentReference">
    <w:name w:val="annotation reference"/>
    <w:basedOn w:val="DefaultParagraphFont"/>
    <w:rsid w:val="00BE595C"/>
    <w:rPr>
      <w:sz w:val="16"/>
      <w:szCs w:val="16"/>
    </w:rPr>
  </w:style>
  <w:style w:type="paragraph" w:styleId="CommentText">
    <w:name w:val="annotation text"/>
    <w:basedOn w:val="Normal"/>
    <w:link w:val="CommentTextChar"/>
    <w:rsid w:val="00BE595C"/>
    <w:rPr>
      <w:sz w:val="20"/>
      <w:szCs w:val="20"/>
    </w:rPr>
  </w:style>
  <w:style w:type="character" w:customStyle="1" w:styleId="CommentTextChar">
    <w:name w:val="Comment Text Char"/>
    <w:basedOn w:val="DefaultParagraphFont"/>
    <w:link w:val="CommentText"/>
    <w:rsid w:val="00BE595C"/>
    <w:rPr>
      <w:lang w:eastAsia="zh-CN"/>
    </w:rPr>
  </w:style>
  <w:style w:type="paragraph" w:styleId="CommentSubject">
    <w:name w:val="annotation subject"/>
    <w:basedOn w:val="CommentText"/>
    <w:next w:val="CommentText"/>
    <w:link w:val="CommentSubjectChar"/>
    <w:rsid w:val="00BE595C"/>
    <w:rPr>
      <w:b/>
      <w:bCs/>
    </w:rPr>
  </w:style>
  <w:style w:type="character" w:customStyle="1" w:styleId="CommentSubjectChar">
    <w:name w:val="Comment Subject Char"/>
    <w:basedOn w:val="CommentTextChar"/>
    <w:link w:val="CommentSubject"/>
    <w:rsid w:val="00BE595C"/>
    <w:rPr>
      <w:b/>
      <w:bCs/>
    </w:rPr>
  </w:style>
</w:styles>
</file>

<file path=word/webSettings.xml><?xml version="1.0" encoding="utf-8"?>
<w:webSettings xmlns:r="http://schemas.openxmlformats.org/officeDocument/2006/relationships" xmlns:w="http://schemas.openxmlformats.org/wordprocessingml/2006/main">
  <w:divs>
    <w:div w:id="414473442">
      <w:bodyDiv w:val="1"/>
      <w:marLeft w:val="0"/>
      <w:marRight w:val="0"/>
      <w:marTop w:val="0"/>
      <w:marBottom w:val="0"/>
      <w:divBdr>
        <w:top w:val="none" w:sz="0" w:space="0" w:color="auto"/>
        <w:left w:val="none" w:sz="0" w:space="0" w:color="auto"/>
        <w:bottom w:val="none" w:sz="0" w:space="0" w:color="auto"/>
        <w:right w:val="none" w:sz="0" w:space="0" w:color="auto"/>
      </w:divBdr>
      <w:divsChild>
        <w:div w:id="1343313099">
          <w:marLeft w:val="0"/>
          <w:marRight w:val="0"/>
          <w:marTop w:val="0"/>
          <w:marBottom w:val="0"/>
          <w:divBdr>
            <w:top w:val="none" w:sz="0" w:space="0" w:color="auto"/>
            <w:left w:val="none" w:sz="0" w:space="0" w:color="auto"/>
            <w:bottom w:val="none" w:sz="0" w:space="0" w:color="auto"/>
            <w:right w:val="none" w:sz="0" w:space="0" w:color="auto"/>
          </w:divBdr>
        </w:div>
      </w:divsChild>
    </w:div>
    <w:div w:id="682783317">
      <w:bodyDiv w:val="1"/>
      <w:marLeft w:val="0"/>
      <w:marRight w:val="0"/>
      <w:marTop w:val="0"/>
      <w:marBottom w:val="0"/>
      <w:divBdr>
        <w:top w:val="none" w:sz="0" w:space="0" w:color="auto"/>
        <w:left w:val="none" w:sz="0" w:space="0" w:color="auto"/>
        <w:bottom w:val="none" w:sz="0" w:space="0" w:color="auto"/>
        <w:right w:val="none" w:sz="0" w:space="0" w:color="auto"/>
      </w:divBdr>
    </w:div>
    <w:div w:id="751926962">
      <w:bodyDiv w:val="1"/>
      <w:marLeft w:val="0"/>
      <w:marRight w:val="0"/>
      <w:marTop w:val="0"/>
      <w:marBottom w:val="0"/>
      <w:divBdr>
        <w:top w:val="none" w:sz="0" w:space="0" w:color="auto"/>
        <w:left w:val="none" w:sz="0" w:space="0" w:color="auto"/>
        <w:bottom w:val="none" w:sz="0" w:space="0" w:color="auto"/>
        <w:right w:val="none" w:sz="0" w:space="0" w:color="auto"/>
      </w:divBdr>
      <w:divsChild>
        <w:div w:id="197101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666429\Local%20Settings\Temporary%20Internet%20Files\OLK3C\Balt%20Letterhead%20v01.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Balt Letterhead v01.02.dot</Template>
  <TotalTime>9</TotalTime>
  <Pages>3</Pages>
  <Words>976</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August 4, 2004</vt:lpstr>
    </vt:vector>
  </TitlesOfParts>
  <Company>SSA</Company>
  <LinksUpToDate>false</LinksUpToDate>
  <CharactersWithSpaces>6353</CharactersWithSpaces>
  <SharedDoc>false</SharedDoc>
  <HLinks>
    <vt:vector size="6" baseType="variant">
      <vt:variant>
        <vt:i4>3342411</vt:i4>
      </vt:variant>
      <vt:variant>
        <vt:i4>0</vt:i4>
      </vt:variant>
      <vt:variant>
        <vt:i4>0</vt:i4>
      </vt:variant>
      <vt:variant>
        <vt:i4>5</vt:i4>
      </vt:variant>
      <vt:variant>
        <vt:lpwstr>mailto:faye.lipsky@ssa.gov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4, 2004</dc:title>
  <dc:creator>Faye Lipsky</dc:creator>
  <cp:lastModifiedBy>889123</cp:lastModifiedBy>
  <cp:revision>2</cp:revision>
  <cp:lastPrinted>2010-06-28T14:48:00Z</cp:lastPrinted>
  <dcterms:created xsi:type="dcterms:W3CDTF">2010-07-23T14:55:00Z</dcterms:created>
  <dcterms:modified xsi:type="dcterms:W3CDTF">2010-07-23T14:55:00Z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640261623</vt:i4>
  </property>
  <property fmtid="{D5CDD505-2E9C-101B-9397-08002B2CF9AE}" pid="4" name="_EmailSubject">
    <vt:lpwstr>Urgent: ERP and OMB clearance</vt:lpwstr>
  </property>
  <property fmtid="{D5CDD505-2E9C-101B-9397-08002B2CF9AE}" pid="5" name="_AuthorEmail">
    <vt:lpwstr>Richard.L.Harris@ssa.gov</vt:lpwstr>
  </property>
  <property fmtid="{D5CDD505-2E9C-101B-9397-08002B2CF9AE}" pid="6" name="_AuthorEmailDisplayName">
    <vt:lpwstr>Harris, Richard L.</vt:lpwstr>
  </property>
  <property fmtid="{D5CDD505-2E9C-101B-9397-08002B2CF9AE}" pid="7" name="_PreviousAdHocReviewCycleID">
    <vt:i4>-536061591</vt:i4>
  </property>
  <property fmtid="{D5CDD505-2E9C-101B-9397-08002B2CF9AE}" pid="8" name="_ReviewingToolsShownOnce">
    <vt:lpwstr/>
  </property>
</Properties>
</file>