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43F" w:rsidRDefault="0075243F">
      <w:pPr>
        <w:widowControl/>
        <w:rPr>
          <w:rFonts w:ascii="Times New Roman TUR" w:hAnsi="Times New Roman TUR"/>
          <w:b/>
        </w:rPr>
      </w:pPr>
    </w:p>
    <w:p w:rsidR="0075243F" w:rsidRDefault="0075243F">
      <w:pPr>
        <w:widowControl/>
        <w:rPr>
          <w:rFonts w:ascii="Times New Roman TUR" w:hAnsi="Times New Roman TUR"/>
          <w:b/>
        </w:rPr>
      </w:pPr>
    </w:p>
    <w:p w:rsidR="0075243F" w:rsidRDefault="0075243F">
      <w:pPr>
        <w:widowControl/>
        <w:rPr>
          <w:rFonts w:ascii="Times New Roman TUR" w:hAnsi="Times New Roman TUR"/>
          <w:b/>
        </w:rPr>
      </w:pPr>
    </w:p>
    <w:p w:rsidR="00412BBF" w:rsidRDefault="00412BBF" w:rsidP="00412BBF">
      <w:pPr>
        <w:widowControl/>
        <w:spacing w:line="248" w:lineRule="auto"/>
        <w:rPr>
          <w:rFonts w:ascii="Times New Roman TUR" w:hAnsi="Times New Roman TUR" w:cs="Times New Roman TUR"/>
          <w:b/>
          <w:bCs/>
          <w:sz w:val="22"/>
          <w:szCs w:val="22"/>
        </w:rPr>
      </w:pPr>
    </w:p>
    <w:p w:rsidR="00412BBF" w:rsidRDefault="00412BBF" w:rsidP="00412BBF">
      <w:pPr>
        <w:pStyle w:val="Heading2"/>
        <w:keepNext/>
        <w:keepLines/>
        <w:widowControl/>
        <w:spacing w:line="248" w:lineRule="auto"/>
        <w:rPr>
          <w:rFonts w:ascii="Times New Roman TUR" w:hAnsi="Times New Roman TUR" w:cs="Times New Roman TUR"/>
          <w:sz w:val="22"/>
          <w:szCs w:val="22"/>
        </w:rPr>
      </w:pPr>
      <w:r>
        <w:rPr>
          <w:rFonts w:ascii="Times New Roman TUR" w:hAnsi="Times New Roman TUR" w:cs="Times New Roman TUR"/>
          <w:sz w:val="22"/>
          <w:szCs w:val="22"/>
        </w:rPr>
        <w:t>SUPPORTING STATEMENT</w:t>
      </w:r>
    </w:p>
    <w:p w:rsidR="00412BBF" w:rsidRDefault="00412BBF" w:rsidP="00412BBF">
      <w:pPr>
        <w:pStyle w:val="Heading2"/>
        <w:keepNext/>
        <w:keepLines/>
        <w:widowControl/>
        <w:spacing w:line="248" w:lineRule="auto"/>
        <w:rPr>
          <w:rFonts w:ascii="Times New Roman TUR" w:hAnsi="Times New Roman TUR" w:cs="Times New Roman TUR"/>
          <w:sz w:val="22"/>
          <w:szCs w:val="22"/>
        </w:rPr>
      </w:pPr>
      <w:r>
        <w:rPr>
          <w:rFonts w:ascii="Times New Roman TUR" w:hAnsi="Times New Roman TUR" w:cs="Times New Roman TUR"/>
          <w:sz w:val="22"/>
          <w:szCs w:val="22"/>
        </w:rPr>
        <w:t>PART A</w:t>
      </w:r>
    </w:p>
    <w:p w:rsidR="00412BBF" w:rsidRDefault="00412BBF" w:rsidP="00412BBF">
      <w:pPr>
        <w:pStyle w:val="Heading2"/>
        <w:keepNext/>
        <w:keepLines/>
        <w:widowControl/>
        <w:spacing w:line="248" w:lineRule="auto"/>
        <w:rPr>
          <w:rFonts w:ascii="Times New Roman TUR" w:hAnsi="Times New Roman TUR" w:cs="Times New Roman TUR"/>
          <w:sz w:val="22"/>
          <w:szCs w:val="22"/>
        </w:rPr>
      </w:pPr>
    </w:p>
    <w:p w:rsidR="00412BBF" w:rsidRDefault="00412BBF" w:rsidP="00412BBF">
      <w:pPr>
        <w:pStyle w:val="Heading2"/>
        <w:keepNext/>
        <w:keepLines/>
        <w:widowControl/>
        <w:spacing w:line="248" w:lineRule="auto"/>
        <w:rPr>
          <w:rFonts w:ascii="Times New Roman TUR" w:hAnsi="Times New Roman TUR" w:cs="Times New Roman TUR"/>
          <w:sz w:val="22"/>
          <w:szCs w:val="22"/>
        </w:rPr>
      </w:pPr>
      <w:r>
        <w:rPr>
          <w:rFonts w:ascii="Times New Roman TUR" w:hAnsi="Times New Roman TUR" w:cs="Times New Roman TUR"/>
          <w:sz w:val="22"/>
          <w:szCs w:val="22"/>
        </w:rPr>
        <w:t>FOR</w:t>
      </w:r>
    </w:p>
    <w:p w:rsidR="00412BBF" w:rsidRDefault="00412BBF" w:rsidP="00412BBF"/>
    <w:p w:rsidR="00412BBF" w:rsidRDefault="00412BBF" w:rsidP="00412BBF">
      <w:pPr>
        <w:pStyle w:val="Heading2"/>
        <w:keepLines/>
        <w:widowControl/>
        <w:spacing w:line="248" w:lineRule="auto"/>
        <w:rPr>
          <w:rFonts w:ascii="Times New Roman TUR" w:hAnsi="Times New Roman TUR" w:cs="Times New Roman TUR"/>
          <w:sz w:val="22"/>
          <w:szCs w:val="22"/>
        </w:rPr>
      </w:pPr>
      <w:r>
        <w:rPr>
          <w:rFonts w:ascii="Times New Roman TUR" w:hAnsi="Times New Roman TUR" w:cs="Times New Roman TUR"/>
          <w:sz w:val="22"/>
          <w:szCs w:val="22"/>
        </w:rPr>
        <w:t>OMB INFORMATION COLLECTION REQUEST</w:t>
      </w:r>
    </w:p>
    <w:p w:rsidR="00412BBF" w:rsidRDefault="00412BBF" w:rsidP="00412BBF">
      <w:pPr>
        <w:widowControl/>
        <w:spacing w:line="248" w:lineRule="auto"/>
        <w:rPr>
          <w:rFonts w:ascii="Times New Roman TUR" w:hAnsi="Times New Roman TUR" w:cs="Times New Roman TUR"/>
          <w:b/>
          <w:bCs/>
          <w:sz w:val="22"/>
          <w:szCs w:val="22"/>
        </w:rPr>
      </w:pPr>
    </w:p>
    <w:p w:rsidR="00412BBF" w:rsidRDefault="00412BBF" w:rsidP="00412BBF">
      <w:pPr>
        <w:widowControl/>
        <w:jc w:val="center"/>
        <w:rPr>
          <w:rFonts w:ascii="Times New Roman TUR" w:hAnsi="Times New Roman TUR"/>
          <w:b/>
        </w:rPr>
      </w:pPr>
    </w:p>
    <w:p w:rsidR="0075243F" w:rsidRDefault="0075243F">
      <w:pPr>
        <w:widowControl/>
        <w:rPr>
          <w:rFonts w:ascii="Times New Roman TUR" w:hAnsi="Times New Roman TUR"/>
          <w:b/>
        </w:rPr>
      </w:pPr>
    </w:p>
    <w:p w:rsidR="0075243F" w:rsidRDefault="0075243F">
      <w:pPr>
        <w:widowControl/>
        <w:rPr>
          <w:rFonts w:ascii="Times New Roman TUR" w:hAnsi="Times New Roman TUR"/>
          <w:b/>
        </w:rPr>
      </w:pPr>
    </w:p>
    <w:p w:rsidR="0075243F" w:rsidRDefault="0075243F">
      <w:pPr>
        <w:widowControl/>
        <w:jc w:val="center"/>
        <w:rPr>
          <w:rFonts w:ascii="Times New Roman TUR" w:hAnsi="Times New Roman TUR"/>
          <w:b/>
          <w:lang w:val="en-GB"/>
        </w:rPr>
      </w:pPr>
      <w:r>
        <w:rPr>
          <w:rFonts w:ascii="Times New Roman TUR" w:hAnsi="Times New Roman TUR"/>
          <w:b/>
          <w:lang w:val="en-GB"/>
        </w:rPr>
        <w:t>National Public Health Performance Standards Program</w:t>
      </w:r>
    </w:p>
    <w:p w:rsidR="0075243F" w:rsidRDefault="0075243F">
      <w:pPr>
        <w:widowControl/>
        <w:jc w:val="center"/>
        <w:rPr>
          <w:rFonts w:ascii="Times New Roman TUR" w:hAnsi="Times New Roman TUR"/>
          <w:b/>
        </w:rPr>
      </w:pPr>
      <w:r>
        <w:rPr>
          <w:rFonts w:ascii="Times New Roman TUR" w:hAnsi="Times New Roman TUR"/>
          <w:b/>
        </w:rPr>
        <w:t xml:space="preserve">Local Public Health System Performance Assessment Instrument </w:t>
      </w:r>
    </w:p>
    <w:p w:rsidR="0075243F" w:rsidRDefault="0075243F">
      <w:pPr>
        <w:widowControl/>
        <w:jc w:val="center"/>
        <w:rPr>
          <w:rFonts w:ascii="Times New Roman TUR" w:hAnsi="Times New Roman TUR"/>
          <w:b/>
        </w:rPr>
      </w:pPr>
      <w:r>
        <w:rPr>
          <w:rFonts w:ascii="Times New Roman TUR" w:hAnsi="Times New Roman TUR"/>
          <w:b/>
        </w:rPr>
        <w:t>(OMB Control Number:  0920-0555)</w:t>
      </w:r>
    </w:p>
    <w:p w:rsidR="0075243F" w:rsidRDefault="0075243F">
      <w:pPr>
        <w:widowControl/>
        <w:rPr>
          <w:rFonts w:ascii="Times New Roman TUR" w:hAnsi="Times New Roman TUR"/>
          <w:b/>
        </w:rPr>
      </w:pPr>
      <w:r>
        <w:rPr>
          <w:rFonts w:ascii="Times New Roman TUR" w:hAnsi="Times New Roman TUR"/>
          <w:b/>
        </w:rPr>
        <w:t xml:space="preserve"> </w:t>
      </w: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036E0" w:rsidP="003D2163">
      <w:pPr>
        <w:widowControl/>
        <w:jc w:val="center"/>
        <w:rPr>
          <w:rFonts w:ascii="Times New Roman TUR" w:hAnsi="Times New Roman TUR"/>
          <w:b/>
        </w:rPr>
      </w:pPr>
      <w:r>
        <w:rPr>
          <w:rFonts w:ascii="Times New Roman TUR" w:hAnsi="Times New Roman TUR"/>
          <w:b/>
        </w:rPr>
        <w:t>July 16</w:t>
      </w:r>
      <w:r w:rsidR="0014527D">
        <w:rPr>
          <w:rFonts w:ascii="Times New Roman TUR" w:hAnsi="Times New Roman TUR"/>
          <w:b/>
        </w:rPr>
        <w:t>, 2010</w:t>
      </w: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75243F" w:rsidP="003D2163">
      <w:pPr>
        <w:widowControl/>
        <w:jc w:val="center"/>
        <w:rPr>
          <w:rFonts w:ascii="Times New Roman TUR" w:hAnsi="Times New Roman TUR"/>
          <w:b/>
        </w:rPr>
      </w:pPr>
    </w:p>
    <w:p w:rsidR="0075243F" w:rsidRDefault="00173F1B" w:rsidP="00173F1B">
      <w:pPr>
        <w:widowControl/>
        <w:jc w:val="center"/>
        <w:rPr>
          <w:rFonts w:ascii="Times New Roman TUR" w:hAnsi="Times New Roman TUR"/>
          <w:b/>
        </w:rPr>
      </w:pPr>
      <w:r>
        <w:rPr>
          <w:rFonts w:ascii="Times New Roman TUR" w:hAnsi="Times New Roman TUR"/>
          <w:b/>
        </w:rPr>
        <w:t>Centers for Disease Control and Prevention</w:t>
      </w:r>
    </w:p>
    <w:p w:rsidR="00173F1B" w:rsidRPr="00173F1B" w:rsidRDefault="00173F1B" w:rsidP="00173F1B">
      <w:pPr>
        <w:widowControl/>
        <w:jc w:val="center"/>
        <w:rPr>
          <w:rFonts w:ascii="Times New Roman TUR" w:hAnsi="Times New Roman TUR"/>
          <w:b/>
        </w:rPr>
      </w:pPr>
      <w:r w:rsidRPr="00173F1B">
        <w:rPr>
          <w:rFonts w:ascii="Times New Roman TUR" w:hAnsi="Times New Roman TUR"/>
          <w:b/>
        </w:rPr>
        <w:t>Division for Public Health Performanc</w:t>
      </w:r>
      <w:r>
        <w:rPr>
          <w:rFonts w:ascii="Times New Roman TUR" w:hAnsi="Times New Roman TUR"/>
          <w:b/>
        </w:rPr>
        <w:t xml:space="preserve">e Improvement </w:t>
      </w:r>
    </w:p>
    <w:p w:rsidR="00173F1B" w:rsidRPr="00173F1B" w:rsidRDefault="00173F1B" w:rsidP="00173F1B">
      <w:pPr>
        <w:widowControl/>
        <w:jc w:val="center"/>
        <w:rPr>
          <w:rFonts w:ascii="Times New Roman TUR" w:hAnsi="Times New Roman TUR"/>
          <w:b/>
        </w:rPr>
      </w:pPr>
      <w:r w:rsidRPr="00173F1B">
        <w:rPr>
          <w:rFonts w:ascii="Times New Roman TUR" w:hAnsi="Times New Roman TUR"/>
          <w:b/>
        </w:rPr>
        <w:t>Office of State, Tribal, Local and Territo</w:t>
      </w:r>
      <w:r>
        <w:rPr>
          <w:rFonts w:ascii="Times New Roman TUR" w:hAnsi="Times New Roman TUR"/>
          <w:b/>
        </w:rPr>
        <w:t xml:space="preserve">rial Support (OSTLTS) </w:t>
      </w:r>
    </w:p>
    <w:p w:rsidR="00173F1B" w:rsidRPr="00173F1B" w:rsidRDefault="00173F1B" w:rsidP="00173F1B">
      <w:pPr>
        <w:widowControl/>
        <w:jc w:val="center"/>
        <w:rPr>
          <w:rFonts w:ascii="Times New Roman TUR" w:hAnsi="Times New Roman TUR"/>
          <w:b/>
        </w:rPr>
      </w:pPr>
      <w:r w:rsidRPr="00173F1B">
        <w:rPr>
          <w:rFonts w:ascii="Times New Roman TUR" w:hAnsi="Times New Roman TUR"/>
          <w:b/>
        </w:rPr>
        <w:t>1825 Century Center</w:t>
      </w:r>
      <w:r>
        <w:rPr>
          <w:rFonts w:ascii="Times New Roman TUR" w:hAnsi="Times New Roman TUR"/>
          <w:b/>
        </w:rPr>
        <w:t xml:space="preserve"> MS E-70  </w:t>
      </w:r>
    </w:p>
    <w:p w:rsidR="00173F1B" w:rsidRPr="00173F1B" w:rsidRDefault="00173F1B" w:rsidP="00173F1B">
      <w:pPr>
        <w:widowControl/>
        <w:jc w:val="center"/>
        <w:rPr>
          <w:rFonts w:ascii="Times New Roman TUR" w:hAnsi="Times New Roman TUR"/>
          <w:b/>
        </w:rPr>
      </w:pPr>
      <w:r>
        <w:rPr>
          <w:rFonts w:ascii="Times New Roman TUR" w:hAnsi="Times New Roman TUR"/>
          <w:b/>
        </w:rPr>
        <w:t>Atlanta, GA 30341</w:t>
      </w:r>
    </w:p>
    <w:p w:rsidR="00311158" w:rsidRDefault="00311158">
      <w:pPr>
        <w:widowControl/>
        <w:rPr>
          <w:rFonts w:ascii="Times New Roman TUR" w:hAnsi="Times New Roman TUR"/>
          <w:b/>
        </w:rPr>
      </w:pPr>
    </w:p>
    <w:p w:rsidR="00311158" w:rsidRDefault="00311158">
      <w:pPr>
        <w:widowControl/>
        <w:rPr>
          <w:rFonts w:ascii="Times New Roman TUR" w:hAnsi="Times New Roman TUR"/>
          <w:b/>
        </w:rPr>
      </w:pPr>
    </w:p>
    <w:p w:rsidR="001A7192" w:rsidRDefault="001A7192">
      <w:pPr>
        <w:widowControl/>
        <w:rPr>
          <w:rFonts w:ascii="Times New Roman TUR" w:hAnsi="Times New Roman TUR"/>
          <w:b/>
        </w:rPr>
      </w:pPr>
    </w:p>
    <w:p w:rsidR="00311158" w:rsidRDefault="00311158">
      <w:pPr>
        <w:widowControl/>
        <w:rPr>
          <w:rFonts w:ascii="Times New Roman TUR" w:hAnsi="Times New Roman TUR"/>
          <w:b/>
        </w:rPr>
      </w:pPr>
      <w:r>
        <w:rPr>
          <w:rFonts w:ascii="Times New Roman TUR" w:hAnsi="Times New Roman TUR"/>
          <w:b/>
        </w:rPr>
        <w:t xml:space="preserve">Project Contact:  </w:t>
      </w:r>
    </w:p>
    <w:p w:rsidR="001A7192" w:rsidRPr="001A7192" w:rsidRDefault="00311158">
      <w:pPr>
        <w:widowControl/>
        <w:rPr>
          <w:rFonts w:ascii="Times New Roman TUR" w:hAnsi="Times New Roman TUR"/>
        </w:rPr>
      </w:pPr>
      <w:r w:rsidRPr="001A7192">
        <w:rPr>
          <w:rFonts w:ascii="Times New Roman TUR" w:hAnsi="Times New Roman TUR"/>
        </w:rPr>
        <w:t>Liza Corso</w:t>
      </w:r>
    </w:p>
    <w:p w:rsidR="001A7192" w:rsidRPr="001A7192" w:rsidRDefault="00311158">
      <w:pPr>
        <w:widowControl/>
        <w:rPr>
          <w:rFonts w:ascii="Times New Roman TUR" w:hAnsi="Times New Roman TUR"/>
        </w:rPr>
      </w:pPr>
      <w:r w:rsidRPr="001A7192">
        <w:rPr>
          <w:rFonts w:ascii="Times New Roman TUR" w:hAnsi="Times New Roman TUR"/>
        </w:rPr>
        <w:t xml:space="preserve">Acting </w:t>
      </w:r>
      <w:r w:rsidR="001A7192" w:rsidRPr="001A7192">
        <w:rPr>
          <w:rFonts w:ascii="Times New Roman TUR" w:hAnsi="Times New Roman TUR"/>
        </w:rPr>
        <w:t>Branch Chief, Agency and Systems Improvement Branch</w:t>
      </w:r>
    </w:p>
    <w:p w:rsidR="00311158" w:rsidRPr="001A7192" w:rsidRDefault="00311158">
      <w:pPr>
        <w:widowControl/>
        <w:rPr>
          <w:rFonts w:ascii="Times New Roman TUR" w:hAnsi="Times New Roman TUR"/>
        </w:rPr>
      </w:pPr>
      <w:r w:rsidRPr="001A7192">
        <w:rPr>
          <w:rFonts w:ascii="Times New Roman TUR" w:hAnsi="Times New Roman TUR"/>
        </w:rPr>
        <w:t xml:space="preserve">404-498-0313 or </w:t>
      </w:r>
      <w:hyperlink r:id="rId8" w:history="1">
        <w:r w:rsidRPr="001A7192">
          <w:rPr>
            <w:rStyle w:val="Hyperlink"/>
            <w:rFonts w:ascii="Times New Roman TUR" w:hAnsi="Times New Roman TUR"/>
          </w:rPr>
          <w:t>LMC5@cdc.gov</w:t>
        </w:r>
      </w:hyperlink>
      <w:r w:rsidRPr="001A7192">
        <w:rPr>
          <w:rFonts w:ascii="Times New Roman TUR" w:hAnsi="Times New Roman TUR"/>
        </w:rPr>
        <w:t xml:space="preserve"> </w:t>
      </w:r>
    </w:p>
    <w:p w:rsidR="00311158" w:rsidRDefault="00311158">
      <w:pPr>
        <w:widowControl/>
        <w:rPr>
          <w:rFonts w:ascii="Times New Roman TUR" w:hAnsi="Times New Roman TUR"/>
          <w:b/>
        </w:rPr>
      </w:pPr>
    </w:p>
    <w:p w:rsidR="00311158" w:rsidRDefault="00311158">
      <w:pPr>
        <w:widowControl/>
        <w:rPr>
          <w:rFonts w:ascii="Times New Roman TUR" w:hAnsi="Times New Roman TUR"/>
          <w:b/>
        </w:rPr>
      </w:pPr>
      <w:r>
        <w:rPr>
          <w:rFonts w:ascii="Times New Roman TUR" w:hAnsi="Times New Roman TUR"/>
          <w:b/>
        </w:rPr>
        <w:t>Secondary Project Contact:</w:t>
      </w:r>
    </w:p>
    <w:p w:rsidR="001A7192" w:rsidRPr="001A7192" w:rsidRDefault="00311158">
      <w:pPr>
        <w:widowControl/>
        <w:rPr>
          <w:rFonts w:ascii="Times New Roman TUR" w:hAnsi="Times New Roman TUR"/>
        </w:rPr>
      </w:pPr>
      <w:r w:rsidRPr="001A7192">
        <w:rPr>
          <w:rFonts w:ascii="Times New Roman TUR" w:hAnsi="Times New Roman TUR"/>
        </w:rPr>
        <w:t>Trina Pyron</w:t>
      </w:r>
    </w:p>
    <w:p w:rsidR="001A7192" w:rsidRPr="001A7192" w:rsidRDefault="001A7192">
      <w:pPr>
        <w:widowControl/>
        <w:rPr>
          <w:rFonts w:ascii="Times New Roman TUR" w:hAnsi="Times New Roman TUR"/>
        </w:rPr>
      </w:pPr>
      <w:r w:rsidRPr="001A7192">
        <w:rPr>
          <w:rFonts w:ascii="Times New Roman TUR" w:hAnsi="Times New Roman TUR"/>
        </w:rPr>
        <w:t>Public Health Advisor, National Public Health Performance Standards Program</w:t>
      </w:r>
    </w:p>
    <w:p w:rsidR="00CE47BE" w:rsidRDefault="00311158">
      <w:pPr>
        <w:widowControl/>
        <w:rPr>
          <w:rFonts w:ascii="Times New Roman TUR" w:hAnsi="Times New Roman TUR"/>
          <w:b/>
        </w:rPr>
      </w:pPr>
      <w:r w:rsidRPr="001A7192">
        <w:rPr>
          <w:rFonts w:ascii="Times New Roman TUR" w:hAnsi="Times New Roman TUR"/>
        </w:rPr>
        <w:t xml:space="preserve">404-498-0334 or </w:t>
      </w:r>
      <w:hyperlink r:id="rId9" w:history="1">
        <w:r w:rsidRPr="001A7192">
          <w:rPr>
            <w:rStyle w:val="Hyperlink"/>
            <w:rFonts w:ascii="Times New Roman TUR" w:hAnsi="Times New Roman TUR"/>
          </w:rPr>
          <w:t>dfo4@cdc.gov</w:t>
        </w:r>
      </w:hyperlink>
      <w:r>
        <w:rPr>
          <w:rFonts w:ascii="Times New Roman TUR" w:hAnsi="Times New Roman TUR"/>
          <w:b/>
        </w:rPr>
        <w:t xml:space="preserve"> </w:t>
      </w:r>
      <w:r w:rsidR="001C4173">
        <w:rPr>
          <w:rFonts w:ascii="Times New Roman TUR" w:hAnsi="Times New Roman TUR"/>
          <w:b/>
        </w:rPr>
        <w:br w:type="page"/>
      </w:r>
    </w:p>
    <w:p w:rsidR="00311158" w:rsidRDefault="00311158">
      <w:pPr>
        <w:widowControl/>
        <w:rPr>
          <w:rFonts w:ascii="Times New Roman TUR" w:hAnsi="Times New Roman TUR"/>
          <w:b/>
        </w:rPr>
      </w:pPr>
    </w:p>
    <w:p w:rsidR="00311158" w:rsidRDefault="00311158">
      <w:pPr>
        <w:widowControl/>
        <w:rPr>
          <w:rFonts w:ascii="Times New Roman TUR" w:hAnsi="Times New Roman TUR"/>
          <w:b/>
        </w:rPr>
      </w:pPr>
    </w:p>
    <w:p w:rsidR="0075243F" w:rsidRDefault="0075243F">
      <w:pPr>
        <w:widowControl/>
        <w:rPr>
          <w:rFonts w:ascii="Times New Roman TUR" w:hAnsi="Times New Roman TUR"/>
          <w:b/>
        </w:rPr>
      </w:pPr>
      <w:r>
        <w:rPr>
          <w:rFonts w:ascii="Times New Roman TUR" w:hAnsi="Times New Roman TUR"/>
          <w:b/>
        </w:rPr>
        <w:t>A.  JUSTIFICATION</w:t>
      </w:r>
    </w:p>
    <w:p w:rsidR="0075243F" w:rsidRDefault="0075243F">
      <w:pPr>
        <w:widowControl/>
        <w:rPr>
          <w:rFonts w:ascii="Times New Roman TUR" w:hAnsi="Times New Roman TUR"/>
        </w:rPr>
      </w:pPr>
    </w:p>
    <w:p w:rsidR="001C4173" w:rsidRDefault="001C4173">
      <w:pPr>
        <w:widowControl/>
        <w:rPr>
          <w:rFonts w:ascii="Times New Roman TUR" w:hAnsi="Times New Roman TUR"/>
        </w:rPr>
      </w:pPr>
      <w:r>
        <w:rPr>
          <w:rFonts w:ascii="Times New Roman TUR" w:hAnsi="Times New Roman TUR"/>
        </w:rPr>
        <w:t xml:space="preserve">The Office </w:t>
      </w:r>
      <w:r w:rsidR="00526DD9">
        <w:rPr>
          <w:rFonts w:ascii="Times New Roman TUR" w:hAnsi="Times New Roman TUR"/>
        </w:rPr>
        <w:t>of State, Tribal, Local and Territorial Support</w:t>
      </w:r>
      <w:r>
        <w:rPr>
          <w:rFonts w:ascii="Times New Roman TUR" w:hAnsi="Times New Roman TUR"/>
        </w:rPr>
        <w:t xml:space="preserve"> is requesting a</w:t>
      </w:r>
      <w:r w:rsidR="00746036">
        <w:rPr>
          <w:rFonts w:ascii="Times New Roman TUR" w:hAnsi="Times New Roman TUR"/>
        </w:rPr>
        <w:t>n extension without changes</w:t>
      </w:r>
      <w:r w:rsidR="0058732B">
        <w:rPr>
          <w:rFonts w:ascii="Times New Roman TUR" w:hAnsi="Times New Roman TUR"/>
        </w:rPr>
        <w:t xml:space="preserve"> and three</w:t>
      </w:r>
      <w:r>
        <w:rPr>
          <w:rFonts w:ascii="Times New Roman TUR" w:hAnsi="Times New Roman TUR"/>
        </w:rPr>
        <w:t xml:space="preserve">-year clearance for OMB No. 0920-0555, National Public Health Performance Standards Program, </w:t>
      </w:r>
      <w:proofErr w:type="gramStart"/>
      <w:r>
        <w:rPr>
          <w:rFonts w:ascii="Times New Roman TUR" w:hAnsi="Times New Roman TUR"/>
        </w:rPr>
        <w:t>Local</w:t>
      </w:r>
      <w:proofErr w:type="gramEnd"/>
      <w:r>
        <w:rPr>
          <w:rFonts w:ascii="Times New Roman TUR" w:hAnsi="Times New Roman TUR"/>
        </w:rPr>
        <w:t xml:space="preserve"> Public Health System Performance Assessment instrument.  </w:t>
      </w:r>
    </w:p>
    <w:p w:rsidR="00CB52FF" w:rsidRDefault="00CB52FF">
      <w:pPr>
        <w:widowControl/>
        <w:rPr>
          <w:rFonts w:ascii="Times New Roman TUR" w:hAnsi="Times New Roman TUR"/>
        </w:rPr>
      </w:pPr>
    </w:p>
    <w:p w:rsidR="0075243F" w:rsidRDefault="00CB52FF">
      <w:pPr>
        <w:widowControl/>
        <w:rPr>
          <w:rFonts w:ascii="Times New Roman TUR" w:hAnsi="Times New Roman TUR"/>
          <w:b/>
        </w:rPr>
      </w:pPr>
      <w:r>
        <w:rPr>
          <w:rFonts w:ascii="Times New Roman TUR" w:hAnsi="Times New Roman TUR"/>
          <w:b/>
        </w:rPr>
        <w:t xml:space="preserve">1.  </w:t>
      </w:r>
      <w:r w:rsidR="0075243F">
        <w:rPr>
          <w:rFonts w:ascii="Times New Roman TUR" w:hAnsi="Times New Roman TUR"/>
          <w:b/>
        </w:rPr>
        <w:t xml:space="preserve">Circumstances </w:t>
      </w:r>
      <w:r>
        <w:rPr>
          <w:rFonts w:ascii="Times New Roman TUR" w:hAnsi="Times New Roman TUR"/>
          <w:b/>
        </w:rPr>
        <w:t xml:space="preserve">Making the Collection of </w:t>
      </w:r>
      <w:r w:rsidR="0075243F">
        <w:rPr>
          <w:rFonts w:ascii="Times New Roman TUR" w:hAnsi="Times New Roman TUR"/>
          <w:b/>
        </w:rPr>
        <w:t xml:space="preserve">Information </w:t>
      </w:r>
      <w:r>
        <w:rPr>
          <w:rFonts w:ascii="Times New Roman TUR" w:hAnsi="Times New Roman TUR"/>
          <w:b/>
        </w:rPr>
        <w:t>Necessary</w:t>
      </w:r>
    </w:p>
    <w:p w:rsidR="0075243F" w:rsidRDefault="0075243F">
      <w:pPr>
        <w:rPr>
          <w:rFonts w:ascii="Times New Roman TUR" w:hAnsi="Times New Roman TUR"/>
        </w:rPr>
      </w:pPr>
    </w:p>
    <w:p w:rsidR="00D2252B" w:rsidRDefault="00D2252B" w:rsidP="00D2252B">
      <w:pPr>
        <w:rPr>
          <w:rFonts w:ascii="Times New Roman TUR" w:hAnsi="Times New Roman TUR"/>
        </w:rPr>
      </w:pPr>
      <w:r>
        <w:rPr>
          <w:rFonts w:ascii="Times New Roman TUR" w:hAnsi="Times New Roman TUR"/>
        </w:rPr>
        <w:t xml:space="preserve">The mission of the Centers for Disease Control and Prevention (CDC) is to promote health and quality of life by preventing and controlling disease, injury, and disability.  The National Public Health Performance Standard Program (NPHPSP) information collection is intended to contribute to this mission by providing optimal standards for public health practice and by measuring the achievement of those standards at the state and local levels.  The </w:t>
      </w:r>
      <w:r w:rsidR="00074D1E">
        <w:rPr>
          <w:rFonts w:ascii="Times New Roman TUR" w:hAnsi="Times New Roman TUR"/>
        </w:rPr>
        <w:t>Local Public Health System Performance A</w:t>
      </w:r>
      <w:r>
        <w:rPr>
          <w:rFonts w:ascii="Times New Roman TUR" w:hAnsi="Times New Roman TUR"/>
        </w:rPr>
        <w:t xml:space="preserve">ssessment </w:t>
      </w:r>
      <w:r w:rsidR="00074D1E">
        <w:rPr>
          <w:rFonts w:ascii="Times New Roman TUR" w:hAnsi="Times New Roman TUR"/>
        </w:rPr>
        <w:t>I</w:t>
      </w:r>
      <w:r>
        <w:rPr>
          <w:rFonts w:ascii="Times New Roman TUR" w:hAnsi="Times New Roman TUR"/>
        </w:rPr>
        <w:t xml:space="preserve">nstrument queries respondents and generates data for use in health policy development, resource allocation, and quality improvement efforts. </w:t>
      </w:r>
    </w:p>
    <w:p w:rsidR="007C68D1" w:rsidRDefault="007C68D1">
      <w:pPr>
        <w:rPr>
          <w:rFonts w:ascii="Times New Roman TUR" w:hAnsi="Times New Roman TUR"/>
        </w:rPr>
      </w:pPr>
    </w:p>
    <w:p w:rsidR="0075243F" w:rsidRDefault="0075243F">
      <w:pPr>
        <w:widowControl/>
        <w:rPr>
          <w:rFonts w:ascii="Times New Roman TUR" w:hAnsi="Times New Roman TUR"/>
        </w:rPr>
      </w:pPr>
      <w:r>
        <w:rPr>
          <w:rFonts w:ascii="Times New Roman TUR" w:hAnsi="Times New Roman TUR"/>
        </w:rPr>
        <w:t xml:space="preserve">State and local public health practice form the backbone of the nation’s health system, but little is known about capacity and performance.  The NPHPSP was established to address this problem and </w:t>
      </w:r>
      <w:r w:rsidR="00C17E1C">
        <w:rPr>
          <w:rFonts w:ascii="Times New Roman TUR" w:hAnsi="Times New Roman TUR"/>
        </w:rPr>
        <w:t xml:space="preserve">is </w:t>
      </w:r>
      <w:r>
        <w:rPr>
          <w:rFonts w:ascii="Times New Roman TUR" w:hAnsi="Times New Roman TUR"/>
        </w:rPr>
        <w:t xml:space="preserve">based on the following three principles:  </w:t>
      </w:r>
    </w:p>
    <w:p w:rsidR="0075243F" w:rsidRDefault="0075243F">
      <w:pPr>
        <w:widowControl/>
        <w:numPr>
          <w:ilvl w:val="0"/>
          <w:numId w:val="9"/>
        </w:numPr>
        <w:autoSpaceDE/>
        <w:autoSpaceDN/>
        <w:adjustRightInd/>
        <w:rPr>
          <w:rFonts w:ascii="Times New Roman TUR" w:hAnsi="Times New Roman TUR"/>
        </w:rPr>
      </w:pPr>
      <w:r>
        <w:rPr>
          <w:rFonts w:ascii="Times New Roman TUR" w:hAnsi="Times New Roman TUR"/>
        </w:rPr>
        <w:t>Public health must be accountable to its constituencies.</w:t>
      </w:r>
    </w:p>
    <w:p w:rsidR="0075243F" w:rsidRDefault="0075243F">
      <w:pPr>
        <w:widowControl/>
        <w:numPr>
          <w:ilvl w:val="0"/>
          <w:numId w:val="9"/>
        </w:numPr>
        <w:autoSpaceDE/>
        <w:autoSpaceDN/>
        <w:adjustRightInd/>
        <w:rPr>
          <w:rFonts w:ascii="Times New Roman TUR" w:hAnsi="Times New Roman TUR"/>
        </w:rPr>
      </w:pPr>
      <w:r>
        <w:rPr>
          <w:rFonts w:ascii="Times New Roman TUR" w:hAnsi="Times New Roman TUR"/>
        </w:rPr>
        <w:t xml:space="preserve">Public health professionals need a system for </w:t>
      </w:r>
      <w:r w:rsidR="007C68D1">
        <w:rPr>
          <w:rFonts w:ascii="Times New Roman TUR" w:hAnsi="Times New Roman TUR"/>
        </w:rPr>
        <w:t xml:space="preserve">assessing </w:t>
      </w:r>
      <w:r>
        <w:rPr>
          <w:rFonts w:ascii="Times New Roman TUR" w:hAnsi="Times New Roman TUR"/>
        </w:rPr>
        <w:t>the provision of Essential Public Health Services.</w:t>
      </w:r>
    </w:p>
    <w:p w:rsidR="0075243F" w:rsidRDefault="0075243F">
      <w:pPr>
        <w:widowControl/>
        <w:numPr>
          <w:ilvl w:val="0"/>
          <w:numId w:val="9"/>
        </w:numPr>
        <w:autoSpaceDE/>
        <w:autoSpaceDN/>
        <w:adjustRightInd/>
        <w:rPr>
          <w:rFonts w:ascii="Times New Roman TUR" w:hAnsi="Times New Roman TUR"/>
        </w:rPr>
      </w:pPr>
      <w:r>
        <w:rPr>
          <w:rFonts w:ascii="Times New Roman TUR" w:hAnsi="Times New Roman TUR"/>
        </w:rPr>
        <w:t>The public health decision-making process must be based on strong scientific evidence</w:t>
      </w:r>
      <w:r w:rsidR="007C68D1">
        <w:rPr>
          <w:rFonts w:ascii="Times New Roman TUR" w:hAnsi="Times New Roman TUR"/>
        </w:rPr>
        <w:t xml:space="preserve"> and assessment of current needs</w:t>
      </w:r>
      <w:r>
        <w:rPr>
          <w:rFonts w:ascii="Times New Roman TUR" w:hAnsi="Times New Roman TUR"/>
        </w:rPr>
        <w:t>.</w:t>
      </w:r>
    </w:p>
    <w:p w:rsidR="0075243F" w:rsidRDefault="0075243F">
      <w:pPr>
        <w:rPr>
          <w:rFonts w:ascii="Times New Roman TUR" w:hAnsi="Times New Roman TUR"/>
        </w:rPr>
      </w:pPr>
    </w:p>
    <w:p w:rsidR="00D2252B" w:rsidRPr="00D2252B" w:rsidRDefault="00D2252B" w:rsidP="00D2252B">
      <w:pPr>
        <w:widowControl/>
        <w:rPr>
          <w:rFonts w:ascii="Times New Roman TUR" w:hAnsi="Times New Roman TUR"/>
        </w:rPr>
      </w:pPr>
      <w:r w:rsidRPr="00D2252B">
        <w:rPr>
          <w:rFonts w:ascii="Times New Roman TUR" w:hAnsi="Times New Roman TUR"/>
        </w:rPr>
        <w:t xml:space="preserve">The NPHPSP is a volunteer data collection effort.  The assessment instruments are designed to collect the evidence necessary to refine the domestic public health infrastructure.  During the past decade, CDC has worked with other Department of Health and Human Services (DHHS) agencies, key national public health associations, state and local health officials, boards of health, and academic institutions to explore and better articulate the state and local public health infrastructure.  Through the identification of infrastructure objectives for Healthy People 2010, the development of a national public health systems research agenda, and other related efforts, these organizations and constituencies have identified the need for better data on the status of the public health infrastructure.  The NPHPSP was designed, in part, to address this urgent need.  These assessments facilitate development of a strong national infrastructure that will result in improved national, state, and local capacity to detect and effectively respond to public health threats.  </w:t>
      </w:r>
    </w:p>
    <w:p w:rsidR="0075243F" w:rsidRDefault="0075243F">
      <w:pPr>
        <w:widowControl/>
        <w:rPr>
          <w:rFonts w:ascii="Times New Roman TUR" w:hAnsi="Times New Roman TUR"/>
        </w:rPr>
      </w:pPr>
    </w:p>
    <w:p w:rsidR="0075243F" w:rsidRDefault="0075243F">
      <w:pPr>
        <w:pStyle w:val="PlainText"/>
        <w:rPr>
          <w:rFonts w:ascii="Times New Roman" w:hAnsi="Times New Roman"/>
          <w:sz w:val="24"/>
        </w:rPr>
      </w:pPr>
      <w:r>
        <w:rPr>
          <w:rFonts w:ascii="Times New Roman" w:hAnsi="Times New Roman"/>
          <w:sz w:val="24"/>
        </w:rPr>
        <w:t xml:space="preserve">The NPHPSP is intended to help users answer questions such as, “What are the components, activities, competencies, and capacities of our public health system?” and “How well are the Essential Services being provided?” </w:t>
      </w:r>
      <w:r w:rsidR="00C17E1C">
        <w:rPr>
          <w:rFonts w:ascii="Times New Roman" w:hAnsi="Times New Roman"/>
          <w:sz w:val="24"/>
        </w:rPr>
        <w:t xml:space="preserve"> </w:t>
      </w:r>
      <w:r>
        <w:rPr>
          <w:rFonts w:ascii="Times New Roman" w:hAnsi="Times New Roman"/>
          <w:sz w:val="24"/>
        </w:rPr>
        <w:t xml:space="preserve">The dialogue that occurs in answering these </w:t>
      </w:r>
      <w:r w:rsidR="00C17E1C">
        <w:rPr>
          <w:rFonts w:ascii="Times New Roman" w:hAnsi="Times New Roman"/>
          <w:sz w:val="24"/>
        </w:rPr>
        <w:t xml:space="preserve">questions </w:t>
      </w:r>
      <w:r>
        <w:rPr>
          <w:rFonts w:ascii="Times New Roman" w:hAnsi="Times New Roman"/>
          <w:sz w:val="24"/>
        </w:rPr>
        <w:t xml:space="preserve">will identify strengths and weaknesses; this information can be used to improve and better coordinate public health activities at the state and local levels.  </w:t>
      </w:r>
      <w:r w:rsidR="00D2252B">
        <w:rPr>
          <w:rFonts w:ascii="Times New Roman" w:hAnsi="Times New Roman"/>
          <w:sz w:val="24"/>
        </w:rPr>
        <w:t>Lastly</w:t>
      </w:r>
      <w:r>
        <w:rPr>
          <w:rFonts w:ascii="Times New Roman" w:hAnsi="Times New Roman"/>
          <w:sz w:val="24"/>
        </w:rPr>
        <w:t xml:space="preserve">, the results gathered will provide an understanding of how state and local public health systems and governing entities are </w:t>
      </w:r>
      <w:r>
        <w:rPr>
          <w:rFonts w:ascii="Times New Roman" w:hAnsi="Times New Roman"/>
          <w:sz w:val="24"/>
        </w:rPr>
        <w:lastRenderedPageBreak/>
        <w:t>performing.  This information will help local, state, and national policymakers make better and more effective policy and resource decisions that will improve the nation’s public health as a whole.</w:t>
      </w:r>
    </w:p>
    <w:p w:rsidR="0075243F" w:rsidRDefault="0075243F">
      <w:pPr>
        <w:pStyle w:val="PlainText"/>
        <w:rPr>
          <w:rFonts w:ascii="Times New Roman" w:hAnsi="Times New Roman"/>
          <w:sz w:val="24"/>
        </w:rPr>
      </w:pPr>
    </w:p>
    <w:p w:rsidR="0075243F" w:rsidRDefault="0075243F">
      <w:pPr>
        <w:pStyle w:val="PlainText"/>
        <w:rPr>
          <w:rFonts w:ascii="Times New Roman" w:hAnsi="Times New Roman"/>
          <w:sz w:val="24"/>
        </w:rPr>
      </w:pPr>
      <w:r>
        <w:rPr>
          <w:rFonts w:ascii="Times New Roman" w:hAnsi="Times New Roman"/>
          <w:sz w:val="24"/>
        </w:rPr>
        <w:t>The NPHPSP is intended to improve the quality of public health practice and the performance of public health systems by:</w:t>
      </w:r>
    </w:p>
    <w:p w:rsidR="0075243F" w:rsidRDefault="0075243F">
      <w:pPr>
        <w:pStyle w:val="PlainText"/>
        <w:numPr>
          <w:ilvl w:val="0"/>
          <w:numId w:val="4"/>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Providing performance standards for public health systems and encouraging their widespread use; </w:t>
      </w:r>
    </w:p>
    <w:p w:rsidR="0075243F" w:rsidRDefault="0075243F">
      <w:pPr>
        <w:pStyle w:val="PlainText"/>
        <w:numPr>
          <w:ilvl w:val="0"/>
          <w:numId w:val="4"/>
        </w:numPr>
        <w:tabs>
          <w:tab w:val="clear" w:pos="144"/>
          <w:tab w:val="num" w:pos="540"/>
        </w:tabs>
        <w:spacing w:after="120"/>
        <w:ind w:left="547" w:hanging="360"/>
        <w:rPr>
          <w:rFonts w:ascii="Times New Roman" w:hAnsi="Times New Roman"/>
          <w:sz w:val="24"/>
        </w:rPr>
      </w:pPr>
      <w:r>
        <w:rPr>
          <w:rFonts w:ascii="Times New Roman" w:hAnsi="Times New Roman"/>
          <w:sz w:val="24"/>
        </w:rPr>
        <w:t>Engaging and leveraging national, state, and local partnerships to build a stronger foundation for public health preparedness;</w:t>
      </w:r>
    </w:p>
    <w:p w:rsidR="0075243F" w:rsidRDefault="0075243F">
      <w:pPr>
        <w:pStyle w:val="PlainText"/>
        <w:numPr>
          <w:ilvl w:val="0"/>
          <w:numId w:val="4"/>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Promoting continuous quality improvement of public health systems; and </w:t>
      </w:r>
    </w:p>
    <w:p w:rsidR="0075243F" w:rsidRDefault="0075243F">
      <w:pPr>
        <w:pStyle w:val="PlainText"/>
        <w:numPr>
          <w:ilvl w:val="0"/>
          <w:numId w:val="4"/>
        </w:numPr>
        <w:tabs>
          <w:tab w:val="clear" w:pos="144"/>
          <w:tab w:val="num" w:pos="540"/>
        </w:tabs>
        <w:spacing w:after="120"/>
        <w:ind w:left="547" w:hanging="360"/>
        <w:rPr>
          <w:rFonts w:ascii="Times New Roman" w:hAnsi="Times New Roman"/>
          <w:sz w:val="24"/>
        </w:rPr>
      </w:pPr>
      <w:r>
        <w:rPr>
          <w:rFonts w:ascii="Times New Roman" w:hAnsi="Times New Roman"/>
          <w:sz w:val="24"/>
        </w:rPr>
        <w:t>Strengthening the science base for public health practice improvement.</w:t>
      </w:r>
    </w:p>
    <w:p w:rsidR="0075243F" w:rsidRDefault="0075243F">
      <w:pPr>
        <w:pStyle w:val="PlainText"/>
        <w:tabs>
          <w:tab w:val="num" w:pos="540"/>
        </w:tabs>
        <w:ind w:left="540" w:hanging="360"/>
        <w:rPr>
          <w:rFonts w:ascii="Times New Roman" w:hAnsi="Times New Roman"/>
          <w:sz w:val="24"/>
        </w:rPr>
      </w:pPr>
    </w:p>
    <w:p w:rsidR="0075243F" w:rsidRDefault="0075243F">
      <w:pPr>
        <w:pStyle w:val="PlainText"/>
        <w:tabs>
          <w:tab w:val="num" w:pos="540"/>
        </w:tabs>
        <w:ind w:left="540" w:hanging="360"/>
        <w:rPr>
          <w:rFonts w:ascii="Times New Roman" w:hAnsi="Times New Roman"/>
          <w:sz w:val="24"/>
        </w:rPr>
      </w:pPr>
      <w:r>
        <w:rPr>
          <w:rFonts w:ascii="Times New Roman" w:hAnsi="Times New Roman"/>
          <w:sz w:val="24"/>
        </w:rPr>
        <w:t>The NPHPSP is a collaborative effort of seven national partner</w:t>
      </w:r>
      <w:r w:rsidR="00C17E1C">
        <w:rPr>
          <w:rFonts w:ascii="Times New Roman" w:hAnsi="Times New Roman"/>
          <w:sz w:val="24"/>
        </w:rPr>
        <w:t xml:space="preserve"> organizations:</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Centers for Disease Control and Prevention, </w:t>
      </w:r>
      <w:r w:rsidR="00C17E1C">
        <w:rPr>
          <w:rFonts w:ascii="Times New Roman" w:hAnsi="Times New Roman"/>
          <w:sz w:val="24"/>
        </w:rPr>
        <w:t xml:space="preserve">Office of </w:t>
      </w:r>
      <w:r w:rsidR="00746036">
        <w:rPr>
          <w:rFonts w:ascii="Times New Roman" w:hAnsi="Times New Roman"/>
          <w:sz w:val="24"/>
        </w:rPr>
        <w:t>State, Tribal, Local and Territorial Support</w:t>
      </w:r>
      <w:r>
        <w:rPr>
          <w:rFonts w:ascii="Times New Roman" w:hAnsi="Times New Roman"/>
          <w:sz w:val="24"/>
        </w:rPr>
        <w:t xml:space="preserve"> (CDC / </w:t>
      </w:r>
      <w:r w:rsidR="00C17E1C">
        <w:rPr>
          <w:rFonts w:ascii="Times New Roman" w:hAnsi="Times New Roman"/>
          <w:sz w:val="24"/>
        </w:rPr>
        <w:t>O</w:t>
      </w:r>
      <w:r w:rsidR="00746036">
        <w:rPr>
          <w:rFonts w:ascii="Times New Roman" w:hAnsi="Times New Roman"/>
          <w:sz w:val="24"/>
        </w:rPr>
        <w:t>STLTLS</w:t>
      </w:r>
      <w:r>
        <w:rPr>
          <w:rFonts w:ascii="Times New Roman" w:hAnsi="Times New Roman"/>
          <w:sz w:val="24"/>
        </w:rPr>
        <w:t>)</w:t>
      </w:r>
      <w:r w:rsidR="002B1C85" w:rsidRPr="002B1C85">
        <w:rPr>
          <w:rStyle w:val="FootnoteReference"/>
          <w:rFonts w:ascii="Times New Roman" w:hAnsi="Times New Roman"/>
          <w:vertAlign w:val="superscript"/>
        </w:rPr>
        <w:footnoteReference w:id="1"/>
      </w:r>
      <w:r>
        <w:rPr>
          <w:rFonts w:ascii="Times New Roman" w:hAnsi="Times New Roman"/>
          <w:sz w:val="24"/>
        </w:rPr>
        <w:t>,</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American Public Health Association (APHA), </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Association of State and Territorial Health Officials (ASTHO),</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National Association of County and City Health Officials (NACCHO), </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National Association of Local Boards of Health (NALBOH), </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 xml:space="preserve">National Network of Public Health Institutes (NNPHI), and </w:t>
      </w:r>
    </w:p>
    <w:p w:rsidR="0075243F" w:rsidRDefault="0075243F">
      <w:pPr>
        <w:pStyle w:val="PlainText"/>
        <w:numPr>
          <w:ilvl w:val="0"/>
          <w:numId w:val="5"/>
        </w:numPr>
        <w:tabs>
          <w:tab w:val="clear" w:pos="144"/>
          <w:tab w:val="num" w:pos="540"/>
        </w:tabs>
        <w:spacing w:after="120"/>
        <w:ind w:left="547" w:hanging="360"/>
        <w:rPr>
          <w:rFonts w:ascii="Times New Roman" w:hAnsi="Times New Roman"/>
          <w:sz w:val="24"/>
        </w:rPr>
      </w:pPr>
      <w:r>
        <w:rPr>
          <w:rFonts w:ascii="Times New Roman" w:hAnsi="Times New Roman"/>
          <w:sz w:val="24"/>
        </w:rPr>
        <w:t>Public Health Foundation (PHF).</w:t>
      </w:r>
    </w:p>
    <w:p w:rsidR="0075243F" w:rsidRDefault="0075243F">
      <w:pPr>
        <w:pStyle w:val="PlainText"/>
        <w:rPr>
          <w:rFonts w:ascii="Times New Roman" w:hAnsi="Times New Roman"/>
          <w:sz w:val="24"/>
        </w:rPr>
      </w:pPr>
    </w:p>
    <w:p w:rsidR="0075243F" w:rsidRDefault="0075243F">
      <w:pPr>
        <w:pStyle w:val="PlainText"/>
        <w:rPr>
          <w:rFonts w:ascii="Times New Roman" w:hAnsi="Times New Roman"/>
          <w:sz w:val="24"/>
        </w:rPr>
      </w:pPr>
      <w:r>
        <w:rPr>
          <w:rFonts w:ascii="Times New Roman" w:hAnsi="Times New Roman"/>
          <w:sz w:val="24"/>
        </w:rPr>
        <w:t>The NPHPSP includes three instruments:</w:t>
      </w:r>
    </w:p>
    <w:p w:rsidR="0075243F" w:rsidRDefault="0075243F">
      <w:pPr>
        <w:pStyle w:val="PlainText"/>
        <w:numPr>
          <w:ilvl w:val="0"/>
          <w:numId w:val="6"/>
        </w:numPr>
        <w:tabs>
          <w:tab w:val="clear" w:pos="144"/>
          <w:tab w:val="num" w:pos="540"/>
        </w:tabs>
        <w:spacing w:after="60"/>
        <w:ind w:left="547" w:hanging="360"/>
        <w:rPr>
          <w:rFonts w:ascii="Times New Roman" w:hAnsi="Times New Roman"/>
          <w:sz w:val="24"/>
        </w:rPr>
      </w:pPr>
      <w:r>
        <w:rPr>
          <w:rFonts w:ascii="Times New Roman" w:hAnsi="Times New Roman"/>
          <w:sz w:val="24"/>
          <w:u w:val="single"/>
        </w:rPr>
        <w:t>The State Public Health System Performance Assessment Instrument (State Instrument)</w:t>
      </w:r>
      <w:r>
        <w:rPr>
          <w:rFonts w:ascii="Times New Roman" w:hAnsi="Times New Roman"/>
          <w:sz w:val="24"/>
        </w:rPr>
        <w:t xml:space="preserve"> focuses on the “state public health system.”  This system includes state public health agencies and other partners that contribute to public health services at the state level.  The instrument was developed under the leadership of ASTHO and CDC.</w:t>
      </w:r>
      <w:r w:rsidR="00D17D82">
        <w:rPr>
          <w:rFonts w:ascii="Times New Roman" w:hAnsi="Times New Roman"/>
          <w:sz w:val="24"/>
        </w:rPr>
        <w:t xml:space="preserve">  </w:t>
      </w:r>
      <w:r w:rsidR="001C4173">
        <w:rPr>
          <w:rFonts w:ascii="Times New Roman" w:hAnsi="Times New Roman"/>
          <w:sz w:val="24"/>
        </w:rPr>
        <w:t>(</w:t>
      </w:r>
      <w:r w:rsidR="00D17D82">
        <w:rPr>
          <w:rFonts w:ascii="Times New Roman" w:hAnsi="Times New Roman"/>
          <w:sz w:val="24"/>
        </w:rPr>
        <w:t>OMB Control Number 0920-0557</w:t>
      </w:r>
      <w:r w:rsidR="001C4173">
        <w:rPr>
          <w:rFonts w:ascii="Times New Roman" w:hAnsi="Times New Roman"/>
          <w:sz w:val="24"/>
        </w:rPr>
        <w:t>)</w:t>
      </w:r>
      <w:r w:rsidR="007C68D1">
        <w:rPr>
          <w:rFonts w:ascii="Times New Roman" w:hAnsi="Times New Roman"/>
          <w:sz w:val="24"/>
        </w:rPr>
        <w:t xml:space="preserve"> </w:t>
      </w:r>
    </w:p>
    <w:p w:rsidR="0075243F" w:rsidRDefault="0075243F">
      <w:pPr>
        <w:pStyle w:val="PlainText"/>
        <w:numPr>
          <w:ilvl w:val="0"/>
          <w:numId w:val="6"/>
        </w:numPr>
        <w:tabs>
          <w:tab w:val="clear" w:pos="144"/>
          <w:tab w:val="num" w:pos="540"/>
        </w:tabs>
        <w:spacing w:after="60"/>
        <w:ind w:left="547" w:hanging="360"/>
        <w:rPr>
          <w:rFonts w:ascii="Times New Roman" w:hAnsi="Times New Roman"/>
          <w:sz w:val="24"/>
        </w:rPr>
      </w:pPr>
      <w:r>
        <w:rPr>
          <w:rFonts w:ascii="Times New Roman" w:hAnsi="Times New Roman"/>
          <w:sz w:val="24"/>
          <w:u w:val="single"/>
        </w:rPr>
        <w:t>The Local Public Health System Performance Assessment Instrument (Local Instrument)</w:t>
      </w:r>
      <w:r>
        <w:rPr>
          <w:rFonts w:ascii="Times New Roman" w:hAnsi="Times New Roman"/>
          <w:sz w:val="24"/>
        </w:rPr>
        <w:t xml:space="preserve"> focuses on the “local public health system” or all entities that contribute to the delivery of public health services within a community.  This system includes all public, private, and voluntary entities, as well as individuals and informal associations.  The local instrument was developed under the leadership of CDC and NACCHO.</w:t>
      </w:r>
      <w:r w:rsidR="00D17D82">
        <w:rPr>
          <w:rFonts w:ascii="Times New Roman" w:hAnsi="Times New Roman"/>
          <w:sz w:val="24"/>
        </w:rPr>
        <w:t xml:space="preserve">  </w:t>
      </w:r>
      <w:r w:rsidR="001C4173">
        <w:rPr>
          <w:rFonts w:ascii="Times New Roman" w:hAnsi="Times New Roman"/>
          <w:sz w:val="24"/>
        </w:rPr>
        <w:t>(OMB Control Number 00920-0555)</w:t>
      </w:r>
      <w:r w:rsidR="00D17D82">
        <w:rPr>
          <w:rFonts w:ascii="Times New Roman" w:hAnsi="Times New Roman"/>
          <w:sz w:val="24"/>
        </w:rPr>
        <w:t xml:space="preserve">  </w:t>
      </w:r>
    </w:p>
    <w:p w:rsidR="00D17D82" w:rsidRDefault="0075243F" w:rsidP="00D17D82">
      <w:pPr>
        <w:pStyle w:val="PlainText"/>
        <w:numPr>
          <w:ilvl w:val="0"/>
          <w:numId w:val="6"/>
        </w:numPr>
        <w:tabs>
          <w:tab w:val="clear" w:pos="144"/>
          <w:tab w:val="num" w:pos="540"/>
        </w:tabs>
        <w:spacing w:after="60"/>
        <w:ind w:left="547" w:hanging="360"/>
        <w:rPr>
          <w:rFonts w:ascii="Times New Roman" w:hAnsi="Times New Roman"/>
          <w:sz w:val="24"/>
        </w:rPr>
      </w:pPr>
      <w:r>
        <w:rPr>
          <w:rFonts w:ascii="Times New Roman" w:hAnsi="Times New Roman"/>
          <w:sz w:val="24"/>
          <w:u w:val="single"/>
        </w:rPr>
        <w:lastRenderedPageBreak/>
        <w:t>The Local Public Health Governance Performance Assessment Instrument (Governance Instrument)</w:t>
      </w:r>
      <w:r>
        <w:rPr>
          <w:rFonts w:ascii="Times New Roman" w:hAnsi="Times New Roman"/>
          <w:sz w:val="24"/>
        </w:rPr>
        <w:t xml:space="preserve"> focuses on the governing body ultimately accountable for public health at the local level.  Such governing bodies may include boards of health or county commissioners.  The governance instrument was developed under the leadership of CDC and NALBOH.</w:t>
      </w:r>
      <w:r w:rsidR="00D17D82">
        <w:rPr>
          <w:rFonts w:ascii="Times New Roman" w:hAnsi="Times New Roman"/>
          <w:sz w:val="24"/>
        </w:rPr>
        <w:t xml:space="preserve"> </w:t>
      </w:r>
      <w:r w:rsidR="001C4173">
        <w:rPr>
          <w:rFonts w:ascii="Times New Roman" w:hAnsi="Times New Roman"/>
          <w:sz w:val="24"/>
        </w:rPr>
        <w:t>(</w:t>
      </w:r>
      <w:r w:rsidR="00D17D82">
        <w:rPr>
          <w:rFonts w:ascii="Times New Roman" w:hAnsi="Times New Roman"/>
          <w:sz w:val="24"/>
        </w:rPr>
        <w:t>OMB Control Number 0920-0580</w:t>
      </w:r>
      <w:r w:rsidR="001C4173">
        <w:rPr>
          <w:rFonts w:ascii="Times New Roman" w:hAnsi="Times New Roman"/>
          <w:sz w:val="24"/>
        </w:rPr>
        <w:t>)</w:t>
      </w:r>
      <w:r w:rsidR="00D17D82">
        <w:rPr>
          <w:rFonts w:ascii="Times New Roman" w:hAnsi="Times New Roman"/>
          <w:sz w:val="24"/>
        </w:rPr>
        <w:t xml:space="preserve"> </w:t>
      </w:r>
    </w:p>
    <w:p w:rsidR="0075243F" w:rsidRDefault="0075243F" w:rsidP="00D17D82">
      <w:pPr>
        <w:pStyle w:val="PlainText"/>
        <w:spacing w:after="60"/>
        <w:ind w:left="187"/>
        <w:rPr>
          <w:rFonts w:ascii="Times New Roman" w:hAnsi="Times New Roman"/>
          <w:sz w:val="24"/>
        </w:rPr>
      </w:pPr>
    </w:p>
    <w:p w:rsidR="0075243F" w:rsidRDefault="0075243F">
      <w:pPr>
        <w:pStyle w:val="PlainText"/>
        <w:rPr>
          <w:rFonts w:ascii="Times New Roman" w:hAnsi="Times New Roman"/>
          <w:sz w:val="24"/>
        </w:rPr>
      </w:pPr>
      <w:r>
        <w:rPr>
          <w:rFonts w:ascii="Times New Roman" w:hAnsi="Times New Roman"/>
          <w:sz w:val="24"/>
        </w:rPr>
        <w:t xml:space="preserve"> Although each instrument was developed under the </w:t>
      </w:r>
      <w:r w:rsidR="0058732B">
        <w:rPr>
          <w:rFonts w:ascii="Times New Roman" w:hAnsi="Times New Roman"/>
          <w:sz w:val="24"/>
        </w:rPr>
        <w:t xml:space="preserve">collaborative </w:t>
      </w:r>
      <w:r>
        <w:rPr>
          <w:rFonts w:ascii="Times New Roman" w:hAnsi="Times New Roman"/>
          <w:sz w:val="24"/>
        </w:rPr>
        <w:t>leadership of a specific partner organization and CDC, all partners were involved throughout the entire process.  Additionally, the instruments were collectively reviewed to ensure that each is complementary and supportive of the others and includes consistent terminology and concepts.</w:t>
      </w:r>
    </w:p>
    <w:p w:rsidR="0075243F" w:rsidRDefault="0075243F">
      <w:pPr>
        <w:pStyle w:val="PlainText"/>
        <w:rPr>
          <w:rFonts w:ascii="Times New Roman" w:hAnsi="Times New Roman"/>
          <w:sz w:val="24"/>
        </w:rPr>
      </w:pPr>
    </w:p>
    <w:p w:rsidR="0058732B" w:rsidRDefault="0058732B" w:rsidP="0058732B">
      <w:pPr>
        <w:pStyle w:val="PlainText"/>
        <w:rPr>
          <w:rFonts w:ascii="Times New Roman" w:hAnsi="Times New Roman"/>
          <w:sz w:val="24"/>
        </w:rPr>
      </w:pPr>
      <w:r>
        <w:rPr>
          <w:rFonts w:ascii="Times New Roman" w:hAnsi="Times New Roman"/>
          <w:sz w:val="24"/>
        </w:rPr>
        <w:t xml:space="preserve">The national partners represent many of the organizations and individuals that use the assessment instruments.  Through working groups and field test activities, representatives from these organizations have been continuously involved in developing, reviewing, testing, and refining the instruments.  A peer-guided development process occurred during 1998-2002 during the development of the original instruments; this process was replicated recently during the recent revision activities of each instrument.  </w:t>
      </w:r>
    </w:p>
    <w:p w:rsidR="0058732B" w:rsidRDefault="0058732B" w:rsidP="0058732B">
      <w:pPr>
        <w:pStyle w:val="PlainText"/>
        <w:rPr>
          <w:rFonts w:ascii="Times New Roman" w:hAnsi="Times New Roman"/>
          <w:sz w:val="24"/>
        </w:rPr>
      </w:pPr>
    </w:p>
    <w:p w:rsidR="0058732B" w:rsidRDefault="0058732B" w:rsidP="0058732B">
      <w:r>
        <w:t xml:space="preserve">During 2005-2006, </w:t>
      </w:r>
      <w:r w:rsidRPr="00CF2AC2">
        <w:t xml:space="preserve">the </w:t>
      </w:r>
      <w:r>
        <w:t>three NPHPSP</w:t>
      </w:r>
      <w:r w:rsidRPr="00CF2AC2">
        <w:t xml:space="preserve"> instruments </w:t>
      </w:r>
      <w:r>
        <w:t xml:space="preserve">were </w:t>
      </w:r>
      <w:r w:rsidRPr="00CF2AC2">
        <w:t xml:space="preserve">updated based on experience from the field and new developments in public health practice.  </w:t>
      </w:r>
      <w:r>
        <w:t>Updates</w:t>
      </w:r>
      <w:r w:rsidRPr="00CF2AC2">
        <w:t xml:space="preserve"> </w:t>
      </w:r>
      <w:r>
        <w:t>were undertaken</w:t>
      </w:r>
      <w:r w:rsidRPr="00CF2AC2">
        <w:t xml:space="preserve"> for each of the three NPHPSP instruments:  the state public health system assessment, local public health system assessment and local </w:t>
      </w:r>
      <w:smartTag w:uri="urn:schemas-microsoft-com:office:smarttags" w:element="PersonName">
        <w:r w:rsidRPr="00CF2AC2">
          <w:t>gov</w:t>
        </w:r>
      </w:smartTag>
      <w:r w:rsidRPr="00CF2AC2">
        <w:t xml:space="preserve">ernance assessment.  Three work groups of practitioners </w:t>
      </w:r>
      <w:r>
        <w:t xml:space="preserve">(representing ASTHO, NACCHO, and NALBOH constituencies) were </w:t>
      </w:r>
      <w:r w:rsidRPr="00CF2AC2">
        <w:t xml:space="preserve">convened to oversee each set of </w:t>
      </w:r>
      <w:r>
        <w:t>updates</w:t>
      </w:r>
      <w:r w:rsidRPr="00CF2AC2">
        <w:t xml:space="preserve">.  The general purpose of the process </w:t>
      </w:r>
      <w:r>
        <w:t>wa</w:t>
      </w:r>
      <w:r w:rsidRPr="00CF2AC2">
        <w:t xml:space="preserve">s to assure the standards remain current and also </w:t>
      </w:r>
      <w:r>
        <w:t xml:space="preserve">to </w:t>
      </w:r>
      <w:r w:rsidRPr="00CF2AC2">
        <w:t>improv</w:t>
      </w:r>
      <w:r>
        <w:t>e</w:t>
      </w:r>
      <w:r w:rsidRPr="00CF2AC2">
        <w:t xml:space="preserve"> the language and user-friendliness</w:t>
      </w:r>
      <w:r>
        <w:t xml:space="preserve"> of the instruments</w:t>
      </w:r>
      <w:r w:rsidRPr="00CF2AC2">
        <w:t xml:space="preserve">.  </w:t>
      </w:r>
      <w:r>
        <w:t>During the revision process, CDC also worked with subject matter experts and key organizations to determine content areas that needed to be updated or modernized.  Expert input was solicited in areas such as preparedness, informatics, health marketing, partnerships, workforce, public health law, and laboratory issues.  As a result of this entire process, new versions of the instrument (subsequently referred to as “Version 2”) were developed.</w:t>
      </w:r>
    </w:p>
    <w:p w:rsidR="0058732B" w:rsidRDefault="0058732B" w:rsidP="0058732B"/>
    <w:p w:rsidR="0058732B" w:rsidRDefault="0058732B" w:rsidP="0058732B">
      <w:r>
        <w:t xml:space="preserve">A limited field testing process, using eight repeat local sites, was undertaken to identify areas for improvement within the instruments, assess the extent to which improvements in utility have been achieved, demonstrate a longitudinal linkage to the currently available instruments, assess the impact of changes made, and gather an understanding of the implementation process related to the updated instruments (including information to inform a revised time burden for OMB clearance).  </w:t>
      </w:r>
      <w:r w:rsidR="00746036">
        <w:t xml:space="preserve">The Version 2 instruments received a three-year OMB approval for data collection on August 24, 2007. </w:t>
      </w:r>
    </w:p>
    <w:p w:rsidR="0075243F" w:rsidRDefault="0075243F">
      <w:pPr>
        <w:pStyle w:val="PlainText"/>
        <w:rPr>
          <w:rFonts w:ascii="Times New Roman" w:hAnsi="Times New Roman"/>
          <w:sz w:val="24"/>
        </w:rPr>
      </w:pPr>
    </w:p>
    <w:p w:rsidR="0075243F" w:rsidRDefault="0075243F">
      <w:pPr>
        <w:pStyle w:val="PlainText"/>
        <w:rPr>
          <w:rFonts w:ascii="Times New Roman" w:hAnsi="Times New Roman"/>
          <w:sz w:val="24"/>
        </w:rPr>
      </w:pPr>
      <w:r>
        <w:rPr>
          <w:rFonts w:ascii="Times New Roman" w:hAnsi="Times New Roman"/>
          <w:sz w:val="24"/>
        </w:rPr>
        <w:t>The use of the NPHPSP instruments is intended to result in numerous benefits, including:</w:t>
      </w:r>
    </w:p>
    <w:p w:rsidR="0075243F" w:rsidRDefault="0075243F">
      <w:pPr>
        <w:pStyle w:val="PlainText"/>
        <w:numPr>
          <w:ilvl w:val="0"/>
          <w:numId w:val="7"/>
        </w:numPr>
        <w:tabs>
          <w:tab w:val="clear" w:pos="144"/>
          <w:tab w:val="num" w:pos="540"/>
        </w:tabs>
        <w:spacing w:after="60"/>
        <w:ind w:left="547" w:hanging="360"/>
        <w:rPr>
          <w:rFonts w:ascii="Times New Roman" w:hAnsi="Times New Roman"/>
          <w:sz w:val="24"/>
        </w:rPr>
      </w:pPr>
      <w:r>
        <w:rPr>
          <w:rFonts w:ascii="Times New Roman" w:hAnsi="Times New Roman"/>
          <w:sz w:val="24"/>
          <w:u w:val="single"/>
        </w:rPr>
        <w:t>Improving organizational and community communication and collaboration</w:t>
      </w:r>
      <w:r>
        <w:rPr>
          <w:rFonts w:ascii="Times New Roman" w:hAnsi="Times New Roman"/>
          <w:sz w:val="24"/>
        </w:rPr>
        <w:t>, by bringing partners to the same table.</w:t>
      </w:r>
    </w:p>
    <w:p w:rsidR="0075243F" w:rsidRDefault="0075243F">
      <w:pPr>
        <w:pStyle w:val="PlainText"/>
        <w:numPr>
          <w:ilvl w:val="0"/>
          <w:numId w:val="7"/>
        </w:numPr>
        <w:tabs>
          <w:tab w:val="clear" w:pos="144"/>
          <w:tab w:val="num" w:pos="540"/>
        </w:tabs>
        <w:spacing w:after="60"/>
        <w:ind w:left="547" w:hanging="360"/>
        <w:rPr>
          <w:rFonts w:ascii="Times New Roman" w:hAnsi="Times New Roman"/>
          <w:sz w:val="24"/>
        </w:rPr>
      </w:pPr>
      <w:r>
        <w:rPr>
          <w:rFonts w:ascii="Times New Roman" w:hAnsi="Times New Roman"/>
          <w:sz w:val="24"/>
          <w:u w:val="single"/>
        </w:rPr>
        <w:t>Strengthening the diverse network of partners</w:t>
      </w:r>
      <w:r>
        <w:rPr>
          <w:rFonts w:ascii="Times New Roman" w:hAnsi="Times New Roman"/>
          <w:sz w:val="24"/>
        </w:rPr>
        <w:t xml:space="preserve"> within state and local public health systems, which can lead to more cohesion among partners, better coordination of activities and resources, and less duplication of services.</w:t>
      </w:r>
    </w:p>
    <w:p w:rsidR="007C68D1" w:rsidRDefault="007C68D1">
      <w:pPr>
        <w:pStyle w:val="PlainText"/>
        <w:numPr>
          <w:ilvl w:val="0"/>
          <w:numId w:val="7"/>
        </w:numPr>
        <w:tabs>
          <w:tab w:val="clear" w:pos="144"/>
          <w:tab w:val="num" w:pos="540"/>
        </w:tabs>
        <w:spacing w:after="60"/>
        <w:ind w:left="547" w:hanging="360"/>
        <w:rPr>
          <w:rFonts w:ascii="Times New Roman" w:hAnsi="Times New Roman"/>
          <w:sz w:val="24"/>
        </w:rPr>
      </w:pPr>
      <w:r>
        <w:rPr>
          <w:rFonts w:ascii="Times New Roman" w:hAnsi="Times New Roman"/>
          <w:sz w:val="24"/>
          <w:u w:val="single"/>
        </w:rPr>
        <w:lastRenderedPageBreak/>
        <w:t>Providing a mechanism for measuring public health practice and performance.</w:t>
      </w:r>
    </w:p>
    <w:p w:rsidR="0075243F" w:rsidRDefault="0075243F">
      <w:pPr>
        <w:pStyle w:val="PlainText"/>
        <w:numPr>
          <w:ilvl w:val="0"/>
          <w:numId w:val="7"/>
        </w:numPr>
        <w:tabs>
          <w:tab w:val="clear" w:pos="144"/>
          <w:tab w:val="num" w:pos="540"/>
        </w:tabs>
        <w:spacing w:after="60"/>
        <w:ind w:left="547" w:hanging="360"/>
        <w:rPr>
          <w:rFonts w:ascii="Times New Roman" w:hAnsi="Times New Roman"/>
          <w:sz w:val="24"/>
        </w:rPr>
      </w:pPr>
      <w:r>
        <w:rPr>
          <w:rFonts w:ascii="Times New Roman" w:hAnsi="Times New Roman"/>
          <w:sz w:val="24"/>
          <w:u w:val="single"/>
        </w:rPr>
        <w:t>Identifying strengths and weaknesses</w:t>
      </w:r>
      <w:r>
        <w:rPr>
          <w:rFonts w:ascii="Times New Roman" w:hAnsi="Times New Roman"/>
          <w:sz w:val="24"/>
        </w:rPr>
        <w:t xml:space="preserve"> that can be addressed in quality improvement efforts.</w:t>
      </w:r>
    </w:p>
    <w:p w:rsidR="0075243F" w:rsidRDefault="0075243F">
      <w:pPr>
        <w:pStyle w:val="PlainText"/>
        <w:numPr>
          <w:ilvl w:val="0"/>
          <w:numId w:val="7"/>
        </w:numPr>
        <w:tabs>
          <w:tab w:val="clear" w:pos="144"/>
          <w:tab w:val="num" w:pos="540"/>
        </w:tabs>
        <w:spacing w:after="60"/>
        <w:ind w:left="547" w:hanging="360"/>
        <w:rPr>
          <w:rFonts w:ascii="Times New Roman" w:hAnsi="Times New Roman"/>
          <w:sz w:val="24"/>
        </w:rPr>
      </w:pPr>
      <w:r>
        <w:rPr>
          <w:rFonts w:ascii="Times New Roman" w:hAnsi="Times New Roman"/>
          <w:sz w:val="24"/>
          <w:u w:val="single"/>
        </w:rPr>
        <w:t>Providing a benchmark for public health practice improvements</w:t>
      </w:r>
      <w:r>
        <w:rPr>
          <w:rFonts w:ascii="Times New Roman" w:hAnsi="Times New Roman"/>
          <w:sz w:val="24"/>
        </w:rPr>
        <w:t>, by setting a “gold standard” to which public health systems can aspire.</w:t>
      </w:r>
    </w:p>
    <w:p w:rsidR="0075243F" w:rsidRDefault="0075243F">
      <w:pPr>
        <w:pStyle w:val="PlainText"/>
        <w:rPr>
          <w:rFonts w:ascii="Times New Roman" w:hAnsi="Times New Roman"/>
          <w:sz w:val="24"/>
        </w:rPr>
      </w:pPr>
    </w:p>
    <w:p w:rsidR="0075243F" w:rsidRDefault="0075243F">
      <w:pPr>
        <w:pStyle w:val="PlainText"/>
        <w:rPr>
          <w:rFonts w:ascii="Times New Roman" w:hAnsi="Times New Roman"/>
          <w:sz w:val="24"/>
        </w:rPr>
      </w:pPr>
      <w:r>
        <w:rPr>
          <w:rFonts w:ascii="Times New Roman" w:hAnsi="Times New Roman"/>
          <w:sz w:val="24"/>
        </w:rPr>
        <w:t>There are four concepts that have help</w:t>
      </w:r>
      <w:r w:rsidR="00C17E1C">
        <w:rPr>
          <w:rFonts w:ascii="Times New Roman" w:hAnsi="Times New Roman"/>
          <w:sz w:val="24"/>
        </w:rPr>
        <w:t>ed</w:t>
      </w:r>
      <w:r>
        <w:rPr>
          <w:rFonts w:ascii="Times New Roman" w:hAnsi="Times New Roman"/>
          <w:sz w:val="24"/>
        </w:rPr>
        <w:t xml:space="preserve"> frame the National Public Health Performance Standards into their current format:</w:t>
      </w:r>
    </w:p>
    <w:p w:rsidR="0075243F" w:rsidRDefault="0075243F" w:rsidP="001C4173">
      <w:pPr>
        <w:pStyle w:val="PlainText"/>
        <w:numPr>
          <w:ilvl w:val="0"/>
          <w:numId w:val="8"/>
        </w:numPr>
        <w:ind w:left="720" w:hanging="540"/>
        <w:rPr>
          <w:rFonts w:ascii="Times New Roman" w:hAnsi="Times New Roman"/>
          <w:sz w:val="24"/>
        </w:rPr>
      </w:pPr>
      <w:r>
        <w:rPr>
          <w:rFonts w:ascii="Times New Roman" w:hAnsi="Times New Roman"/>
          <w:sz w:val="24"/>
        </w:rPr>
        <w:t xml:space="preserve">The standards are </w:t>
      </w:r>
      <w:r>
        <w:rPr>
          <w:rFonts w:ascii="Times New Roman" w:hAnsi="Times New Roman"/>
          <w:sz w:val="24"/>
          <w:u w:val="single"/>
        </w:rPr>
        <w:t>designed around the ten Essential Public Health Services</w:t>
      </w:r>
      <w:r>
        <w:rPr>
          <w:rFonts w:ascii="Times New Roman" w:hAnsi="Times New Roman"/>
          <w:sz w:val="24"/>
        </w:rPr>
        <w:t xml:space="preserve">.  The use of the Essential Services </w:t>
      </w:r>
      <w:r w:rsidR="00AE6663">
        <w:rPr>
          <w:rFonts w:ascii="Times New Roman" w:hAnsi="Times New Roman"/>
          <w:sz w:val="24"/>
        </w:rPr>
        <w:t xml:space="preserve">framework </w:t>
      </w:r>
      <w:r>
        <w:rPr>
          <w:rFonts w:ascii="Times New Roman" w:hAnsi="Times New Roman"/>
          <w:sz w:val="24"/>
        </w:rPr>
        <w:t>assures that the standards cover the gamut of public health action needed at state and community levels.</w:t>
      </w:r>
      <w:r>
        <w:rPr>
          <w:rStyle w:val="FootnoteReference"/>
          <w:rFonts w:ascii="Times New Roman TUR" w:hAnsi="Times New Roman TUR"/>
          <w:vertAlign w:val="superscript"/>
        </w:rPr>
        <w:t xml:space="preserve"> </w:t>
      </w:r>
      <w:r>
        <w:rPr>
          <w:rStyle w:val="FootnoteReference"/>
          <w:rFonts w:ascii="Times New Roman TUR" w:hAnsi="Times New Roman TUR"/>
          <w:vertAlign w:val="superscript"/>
        </w:rPr>
        <w:footnoteReference w:id="2"/>
      </w:r>
      <w:r>
        <w:rPr>
          <w:rFonts w:ascii="Times New Roman TUR" w:hAnsi="Times New Roman TUR"/>
        </w:rPr>
        <w:t>,</w:t>
      </w:r>
    </w:p>
    <w:p w:rsidR="0075243F" w:rsidRDefault="0075243F" w:rsidP="001C4173">
      <w:pPr>
        <w:pStyle w:val="PlainText"/>
        <w:numPr>
          <w:ilvl w:val="0"/>
          <w:numId w:val="8"/>
        </w:numPr>
        <w:ind w:left="720" w:hanging="540"/>
        <w:rPr>
          <w:rFonts w:ascii="Times New Roman" w:hAnsi="Times New Roman"/>
          <w:sz w:val="24"/>
        </w:rPr>
      </w:pPr>
      <w:r>
        <w:rPr>
          <w:rFonts w:ascii="Times New Roman" w:hAnsi="Times New Roman"/>
          <w:sz w:val="24"/>
        </w:rPr>
        <w:t xml:space="preserve">The standards </w:t>
      </w:r>
      <w:r>
        <w:rPr>
          <w:rFonts w:ascii="Times New Roman" w:hAnsi="Times New Roman"/>
          <w:sz w:val="24"/>
          <w:u w:val="single"/>
        </w:rPr>
        <w:t>focus on the overall public health system</w:t>
      </w:r>
      <w:r>
        <w:rPr>
          <w:rFonts w:ascii="Times New Roman" w:hAnsi="Times New Roman"/>
          <w:sz w:val="24"/>
        </w:rPr>
        <w:t>, rath</w:t>
      </w:r>
      <w:r w:rsidR="001C4173">
        <w:rPr>
          <w:rFonts w:ascii="Times New Roman" w:hAnsi="Times New Roman"/>
          <w:sz w:val="24"/>
        </w:rPr>
        <w:t xml:space="preserve">er than a single organization. </w:t>
      </w:r>
      <w:r>
        <w:rPr>
          <w:rFonts w:ascii="Times New Roman" w:hAnsi="Times New Roman"/>
          <w:sz w:val="24"/>
        </w:rPr>
        <w:t xml:space="preserve">A public health system includes all public, private, and voluntary entities that contribute to public health activities within a given area.  This ensures that the contributions of all entities are recognized in assessing the provision of essential public health services.  </w:t>
      </w:r>
    </w:p>
    <w:p w:rsidR="0075243F" w:rsidRDefault="0075243F" w:rsidP="001C4173">
      <w:pPr>
        <w:pStyle w:val="PlainText"/>
        <w:numPr>
          <w:ilvl w:val="0"/>
          <w:numId w:val="8"/>
        </w:numPr>
        <w:ind w:left="720" w:hanging="540"/>
        <w:rPr>
          <w:rFonts w:ascii="Times New Roman" w:hAnsi="Times New Roman"/>
          <w:sz w:val="24"/>
        </w:rPr>
      </w:pPr>
      <w:r>
        <w:rPr>
          <w:rFonts w:ascii="Times New Roman" w:hAnsi="Times New Roman"/>
          <w:sz w:val="24"/>
        </w:rPr>
        <w:t xml:space="preserve">The standards </w:t>
      </w:r>
      <w:r>
        <w:rPr>
          <w:rFonts w:ascii="Times New Roman" w:hAnsi="Times New Roman"/>
          <w:sz w:val="24"/>
          <w:u w:val="single"/>
        </w:rPr>
        <w:t>describe an optimal level of performance</w:t>
      </w:r>
      <w:r>
        <w:rPr>
          <w:rFonts w:ascii="Times New Roman" w:hAnsi="Times New Roman"/>
          <w:sz w:val="24"/>
        </w:rPr>
        <w:t xml:space="preserve"> rather than provide minimum expectations.  This ensures that the standards can be used for continuous quality improvement.  </w:t>
      </w:r>
    </w:p>
    <w:p w:rsidR="0075243F" w:rsidRDefault="0075243F" w:rsidP="001C4173">
      <w:pPr>
        <w:pStyle w:val="PlainText"/>
        <w:numPr>
          <w:ilvl w:val="0"/>
          <w:numId w:val="8"/>
        </w:numPr>
        <w:ind w:left="720" w:hanging="540"/>
        <w:rPr>
          <w:rFonts w:ascii="Times New Roman" w:hAnsi="Times New Roman"/>
          <w:sz w:val="24"/>
        </w:rPr>
      </w:pPr>
      <w:r>
        <w:rPr>
          <w:rFonts w:ascii="Times New Roman" w:hAnsi="Times New Roman"/>
          <w:sz w:val="24"/>
        </w:rPr>
        <w:t xml:space="preserve">The standards are intended to </w:t>
      </w:r>
      <w:r>
        <w:rPr>
          <w:rFonts w:ascii="Times New Roman" w:hAnsi="Times New Roman"/>
          <w:sz w:val="24"/>
          <w:u w:val="single"/>
        </w:rPr>
        <w:t>support a process of quality improvement</w:t>
      </w:r>
      <w:r>
        <w:rPr>
          <w:rFonts w:ascii="Times New Roman" w:hAnsi="Times New Roman"/>
          <w:sz w:val="24"/>
        </w:rPr>
        <w:t xml:space="preserve">.  </w:t>
      </w:r>
      <w:r w:rsidR="00AE6663">
        <w:rPr>
          <w:rFonts w:ascii="Times New Roman" w:hAnsi="Times New Roman"/>
          <w:sz w:val="24"/>
        </w:rPr>
        <w:t>In responding to the questions, s</w:t>
      </w:r>
      <w:r>
        <w:rPr>
          <w:rFonts w:ascii="Times New Roman" w:hAnsi="Times New Roman"/>
          <w:sz w:val="24"/>
        </w:rPr>
        <w:t xml:space="preserve">ystem partners </w:t>
      </w:r>
      <w:r w:rsidR="00AE6663">
        <w:rPr>
          <w:rFonts w:ascii="Times New Roman" w:hAnsi="Times New Roman"/>
          <w:sz w:val="24"/>
        </w:rPr>
        <w:t xml:space="preserve">determine which elements of the model standards they do/ do not meet.  They then should develop action plans for improving their performance in the low-scoring areas.  </w:t>
      </w:r>
    </w:p>
    <w:p w:rsidR="00F43E7B" w:rsidRDefault="00F43E7B">
      <w:pPr>
        <w:widowControl/>
        <w:rPr>
          <w:rFonts w:ascii="Times New Roman TUR" w:hAnsi="Times New Roman TUR"/>
          <w:b/>
        </w:rPr>
      </w:pPr>
    </w:p>
    <w:p w:rsidR="0075243F" w:rsidRDefault="0075243F">
      <w:pPr>
        <w:widowControl/>
        <w:rPr>
          <w:rFonts w:ascii="Times New Roman TUR" w:hAnsi="Times New Roman TUR"/>
          <w:b/>
        </w:rPr>
      </w:pPr>
      <w:r>
        <w:rPr>
          <w:rFonts w:ascii="Times New Roman TUR" w:hAnsi="Times New Roman TUR"/>
          <w:b/>
        </w:rPr>
        <w:t xml:space="preserve">2.  Purpose and Use of </w:t>
      </w:r>
      <w:r w:rsidR="00F43E7B">
        <w:rPr>
          <w:rFonts w:ascii="Times New Roman TUR" w:hAnsi="Times New Roman TUR"/>
          <w:b/>
        </w:rPr>
        <w:t>Information</w:t>
      </w:r>
      <w:r>
        <w:rPr>
          <w:rFonts w:ascii="Times New Roman TUR" w:hAnsi="Times New Roman TUR"/>
          <w:b/>
        </w:rPr>
        <w:t xml:space="preserve"> Collection</w:t>
      </w:r>
    </w:p>
    <w:p w:rsidR="0075243F" w:rsidRDefault="0075243F">
      <w:pPr>
        <w:widowControl/>
        <w:rPr>
          <w:rFonts w:ascii="Times New Roman TUR" w:hAnsi="Times New Roman TUR"/>
        </w:rPr>
      </w:pPr>
    </w:p>
    <w:p w:rsidR="0075243F" w:rsidRPr="00B01E40" w:rsidRDefault="0075243F">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r>
        <w:rPr>
          <w:rFonts w:ascii="Times New Roman TUR" w:hAnsi="Times New Roman TUR"/>
        </w:rPr>
        <w:t xml:space="preserve">This data collection is authorized under Section 301 of the Public Service Act (42, USC 241) (Attachment A).  The </w:t>
      </w:r>
      <w:r w:rsidR="00770880">
        <w:rPr>
          <w:rFonts w:ascii="Times New Roman TUR" w:hAnsi="Times New Roman TUR"/>
        </w:rPr>
        <w:t>CDC</w:t>
      </w:r>
      <w:r>
        <w:rPr>
          <w:rFonts w:ascii="Times New Roman TUR" w:hAnsi="Times New Roman TUR"/>
        </w:rPr>
        <w:t>, state, and local public health systems use this instrument to assess the capacity of public health systems to deliver the ten Essential Public Health Services</w:t>
      </w:r>
      <w:r w:rsidR="006C34ED">
        <w:rPr>
          <w:rFonts w:ascii="Times New Roman TUR" w:hAnsi="Times New Roman TUR"/>
        </w:rPr>
        <w:t>,</w:t>
      </w:r>
      <w:r>
        <w:rPr>
          <w:rFonts w:ascii="Times New Roman TUR" w:hAnsi="Times New Roman TUR"/>
        </w:rPr>
        <w:t xml:space="preserve"> and assist in targeting resource investments.  This instrument assists both agencies and public health systems representatives.  The public health agency submits on behalf of the public health system. The public health system is defined as “The collection of public, private and voluntary entities, as well as individuals and informal associations that contribute to the public</w:t>
      </w:r>
      <w:r>
        <w:rPr>
          <w:rFonts w:ascii="Microsoft Sans Serif" w:hAnsi="Microsoft Sans Serif"/>
        </w:rPr>
        <w:t>’</w:t>
      </w:r>
      <w:r>
        <w:rPr>
          <w:rFonts w:ascii="Times New Roman TUR" w:hAnsi="Times New Roman TUR"/>
        </w:rPr>
        <w:t xml:space="preserve">s health within a jurisdiction.” </w:t>
      </w:r>
    </w:p>
    <w:p w:rsidR="0075243F" w:rsidRPr="00B01E40" w:rsidRDefault="0075243F">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D50C49" w:rsidRPr="00770880" w:rsidRDefault="00D50C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olor w:val="auto"/>
        </w:rPr>
      </w:pPr>
      <w:r w:rsidRPr="00B01E40">
        <w:rPr>
          <w:rFonts w:ascii="Times New Roman TUR" w:hAnsi="Times New Roman TUR"/>
          <w:color w:val="auto"/>
        </w:rPr>
        <w:t xml:space="preserve">The NPHPSP is applied as part of a public health system self-assessment process. Public health systems and local boards of health voluntarily conduct data collections for infrastructure self-assessment </w:t>
      </w:r>
      <w:r w:rsidR="005569CB" w:rsidRPr="00B01E40">
        <w:rPr>
          <w:rFonts w:ascii="Times New Roman TUR" w:hAnsi="Times New Roman TUR"/>
          <w:color w:val="auto"/>
        </w:rPr>
        <w:t>and</w:t>
      </w:r>
      <w:r w:rsidRPr="00B01E40">
        <w:rPr>
          <w:rFonts w:ascii="Times New Roman TUR" w:hAnsi="Times New Roman TUR"/>
          <w:color w:val="auto"/>
        </w:rPr>
        <w:t xml:space="preserve"> quality improvement</w:t>
      </w:r>
      <w:r w:rsidRPr="00770880">
        <w:rPr>
          <w:rFonts w:ascii="Times New Roman TUR" w:hAnsi="Times New Roman TUR"/>
          <w:color w:val="auto"/>
        </w:rPr>
        <w:t xml:space="preserve">.  CDC and NPHPSP partners support the process by providing technical assistance and training tools, computer-generated data analysis and reports of results.  </w:t>
      </w:r>
    </w:p>
    <w:p w:rsidR="00D50C49" w:rsidRPr="00770880" w:rsidRDefault="00D50C49">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olor w:val="auto"/>
        </w:rPr>
      </w:pPr>
    </w:p>
    <w:p w:rsidR="00D50C49" w:rsidRDefault="00D50C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rPr>
      </w:pPr>
      <w:r w:rsidRPr="00770880">
        <w:rPr>
          <w:rFonts w:ascii="Times New Roman TUR" w:hAnsi="Times New Roman TUR"/>
        </w:rPr>
        <w:t>States and localities self-select and participate voluntarily.  Local jurisdictions can choose to undertake this individually, but the process is generally encou</w:t>
      </w:r>
      <w:r>
        <w:rPr>
          <w:rFonts w:ascii="Times New Roman TUR" w:hAnsi="Times New Roman TUR"/>
        </w:rPr>
        <w:t xml:space="preserve">raged through a statewide </w:t>
      </w:r>
      <w:r>
        <w:rPr>
          <w:rFonts w:ascii="Times New Roman TUR" w:hAnsi="Times New Roman TUR"/>
        </w:rPr>
        <w:lastRenderedPageBreak/>
        <w:t xml:space="preserve">coordinated approach. </w:t>
      </w:r>
      <w:r>
        <w:t>The concept of using the local instrument through a statewide process is critical since it assists states and localities in maximizing the assessment results for planning and improvement.</w:t>
      </w:r>
    </w:p>
    <w:p w:rsidR="0075243F" w:rsidRDefault="0075243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TUR" w:hAnsi="Times New Roman TUR"/>
          <w:color w:val="000000"/>
        </w:rPr>
      </w:pPr>
    </w:p>
    <w:p w:rsidR="0075243F" w:rsidRDefault="00D50C49" w:rsidP="006C34ED">
      <w:pPr>
        <w:widowControl/>
        <w:tabs>
          <w:tab w:val="left" w:pos="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rFonts w:ascii="Times New Roman TUR" w:hAnsi="Times New Roman TUR"/>
        </w:rPr>
      </w:pPr>
      <w:r>
        <w:rPr>
          <w:rFonts w:ascii="Times New Roman TUR" w:hAnsi="Times New Roman TUR"/>
          <w:color w:val="000000"/>
        </w:rPr>
        <w:t xml:space="preserve">States and localities can also undertake the NPHPSP Local Assessment as part of a broader effort to implement the </w:t>
      </w:r>
      <w:r w:rsidR="00835CD7" w:rsidRPr="00D50C49">
        <w:rPr>
          <w:rFonts w:ascii="Times New Roman TUR" w:hAnsi="Times New Roman TUR"/>
          <w:color w:val="000000"/>
        </w:rPr>
        <w:t xml:space="preserve">NACCHO </w:t>
      </w:r>
      <w:r w:rsidR="00835CD7" w:rsidRPr="00835CD7">
        <w:rPr>
          <w:rFonts w:ascii="Times New Roman TUR" w:hAnsi="Times New Roman TUR"/>
          <w:i/>
        </w:rPr>
        <w:t>Mobilizing</w:t>
      </w:r>
      <w:r w:rsidR="0075243F" w:rsidRPr="00AE6663">
        <w:rPr>
          <w:rFonts w:ascii="Times New Roman TUR" w:hAnsi="Times New Roman TUR"/>
          <w:i/>
        </w:rPr>
        <w:t xml:space="preserve"> for Action </w:t>
      </w:r>
      <w:proofErr w:type="gramStart"/>
      <w:r w:rsidR="0075243F" w:rsidRPr="00AE6663">
        <w:rPr>
          <w:rFonts w:ascii="Times New Roman TUR" w:hAnsi="Times New Roman TUR"/>
          <w:i/>
        </w:rPr>
        <w:t>Through</w:t>
      </w:r>
      <w:proofErr w:type="gramEnd"/>
      <w:r w:rsidR="0075243F" w:rsidRPr="00AE6663">
        <w:rPr>
          <w:rFonts w:ascii="Times New Roman TUR" w:hAnsi="Times New Roman TUR"/>
          <w:i/>
        </w:rPr>
        <w:t xml:space="preserve"> Planning and Partnership</w:t>
      </w:r>
      <w:r w:rsidR="00AE6663" w:rsidRPr="00AE6663">
        <w:rPr>
          <w:rFonts w:ascii="Times New Roman TUR" w:hAnsi="Times New Roman TUR"/>
          <w:i/>
        </w:rPr>
        <w:t>s</w:t>
      </w:r>
      <w:r w:rsidR="0075243F" w:rsidRPr="00AE6663">
        <w:rPr>
          <w:rFonts w:ascii="Times New Roman TUR" w:hAnsi="Times New Roman TUR"/>
          <w:i/>
        </w:rPr>
        <w:t xml:space="preserve"> </w:t>
      </w:r>
      <w:r w:rsidR="0075243F" w:rsidRPr="00D50C49">
        <w:rPr>
          <w:rFonts w:ascii="Times New Roman TUR" w:hAnsi="Times New Roman TUR"/>
        </w:rPr>
        <w:t>(MAPP)</w:t>
      </w:r>
      <w:r w:rsidRPr="00D50C49">
        <w:rPr>
          <w:rFonts w:ascii="Times New Roman TUR" w:hAnsi="Times New Roman TUR"/>
        </w:rPr>
        <w:t xml:space="preserve"> process.  </w:t>
      </w:r>
      <w:r w:rsidR="0075243F" w:rsidRPr="00D50C49">
        <w:rPr>
          <w:rFonts w:ascii="Times New Roman TUR" w:hAnsi="Times New Roman TUR"/>
        </w:rPr>
        <w:t>MAPP is a strat</w:t>
      </w:r>
      <w:r w:rsidR="0075243F">
        <w:rPr>
          <w:rFonts w:ascii="Times New Roman TUR" w:hAnsi="Times New Roman TUR"/>
        </w:rPr>
        <w:t xml:space="preserve">egic planning tool principally developed through a cooperative agreement between </w:t>
      </w:r>
      <w:r w:rsidR="00770880">
        <w:rPr>
          <w:rFonts w:ascii="Times New Roman TUR" w:hAnsi="Times New Roman TUR"/>
        </w:rPr>
        <w:t>NACCHO</w:t>
      </w:r>
      <w:r w:rsidR="0075243F">
        <w:rPr>
          <w:rFonts w:ascii="Times New Roman TUR" w:hAnsi="Times New Roman TUR"/>
        </w:rPr>
        <w:t xml:space="preserve"> and the CDC.  The Local Public Health System Performance Assessment Instrument (local instrument) is one of four assessments in the MAPP strategic planning process.  Within MAPP, the local instrument </w:t>
      </w:r>
      <w:r>
        <w:rPr>
          <w:rFonts w:ascii="Times New Roman TUR" w:hAnsi="Times New Roman TUR"/>
        </w:rPr>
        <w:t xml:space="preserve">is used </w:t>
      </w:r>
      <w:r w:rsidR="0075243F">
        <w:rPr>
          <w:rFonts w:ascii="Times New Roman TUR" w:hAnsi="Times New Roman TUR"/>
        </w:rPr>
        <w:t>to define the activities, competencies, and capacities of local public health systems</w:t>
      </w:r>
      <w:r>
        <w:rPr>
          <w:rFonts w:ascii="Times New Roman TUR" w:hAnsi="Times New Roman TUR"/>
        </w:rPr>
        <w:t xml:space="preserve"> and the results are used as part of a broad community health improvement plan.</w:t>
      </w:r>
    </w:p>
    <w:p w:rsidR="0075243F" w:rsidRDefault="0075243F">
      <w:pPr>
        <w:widowControl/>
        <w:tabs>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rFonts w:ascii="Times New Roman TUR" w:hAnsi="Times New Roman TUR"/>
        </w:rPr>
      </w:pPr>
    </w:p>
    <w:p w:rsidR="00D50C49" w:rsidRDefault="00D50C49" w:rsidP="00D50C49">
      <w:pPr>
        <w:pStyle w:val="PlainText"/>
        <w:rPr>
          <w:rFonts w:ascii="Times New Roman" w:hAnsi="Times New Roman"/>
          <w:sz w:val="24"/>
          <w:szCs w:val="24"/>
        </w:rPr>
      </w:pPr>
      <w:r w:rsidRPr="00B01E40">
        <w:rPr>
          <w:rFonts w:ascii="Times New Roman TUR" w:hAnsi="Times New Roman TUR"/>
          <w:sz w:val="24"/>
          <w:szCs w:val="24"/>
        </w:rPr>
        <w:t xml:space="preserve">Regardless of whether the instrument is supported through a statewide approach or by a local jurisdiction volunteering to undertake the assessment individually, the </w:t>
      </w:r>
      <w:r w:rsidR="00AE6663" w:rsidRPr="00B01E40">
        <w:rPr>
          <w:rFonts w:ascii="Times New Roman TUR" w:hAnsi="Times New Roman TUR"/>
          <w:sz w:val="24"/>
          <w:szCs w:val="24"/>
        </w:rPr>
        <w:t xml:space="preserve">assessment and </w:t>
      </w:r>
      <w:r w:rsidR="0075243F" w:rsidRPr="00B01E40">
        <w:rPr>
          <w:rFonts w:ascii="Times New Roman TUR" w:hAnsi="Times New Roman TUR"/>
          <w:sz w:val="24"/>
          <w:szCs w:val="24"/>
        </w:rPr>
        <w:t xml:space="preserve">data collection </w:t>
      </w:r>
      <w:r w:rsidR="000C7872" w:rsidRPr="00B01E40">
        <w:rPr>
          <w:rFonts w:ascii="Times New Roman TUR" w:hAnsi="Times New Roman TUR"/>
          <w:sz w:val="24"/>
          <w:szCs w:val="24"/>
        </w:rPr>
        <w:t>are</w:t>
      </w:r>
      <w:r w:rsidR="0075243F" w:rsidRPr="00B01E40">
        <w:rPr>
          <w:rFonts w:ascii="Times New Roman TUR" w:hAnsi="Times New Roman TUR"/>
          <w:sz w:val="24"/>
          <w:szCs w:val="24"/>
        </w:rPr>
        <w:t xml:space="preserve"> accomplished</w:t>
      </w:r>
      <w:r w:rsidR="0075243F" w:rsidRPr="00AE6663">
        <w:rPr>
          <w:rFonts w:ascii="Times New Roman TUR" w:hAnsi="Times New Roman TUR"/>
          <w:sz w:val="24"/>
          <w:szCs w:val="24"/>
        </w:rPr>
        <w:t xml:space="preserve"> </w:t>
      </w:r>
      <w:r w:rsidRPr="00AE6663">
        <w:rPr>
          <w:rFonts w:ascii="Times New Roman TUR" w:hAnsi="Times New Roman TUR"/>
          <w:sz w:val="24"/>
          <w:szCs w:val="24"/>
        </w:rPr>
        <w:t xml:space="preserve">in the same manner.  </w:t>
      </w:r>
      <w:r w:rsidRPr="00AE6663">
        <w:rPr>
          <w:rFonts w:ascii="Times New Roman" w:hAnsi="Times New Roman"/>
          <w:sz w:val="24"/>
          <w:szCs w:val="24"/>
        </w:rPr>
        <w:t>CDC recommends that the governmental public health agency serve as the lead organization in submitting</w:t>
      </w:r>
      <w:r w:rsidRPr="005569CB">
        <w:rPr>
          <w:rFonts w:ascii="Times New Roman" w:hAnsi="Times New Roman"/>
          <w:sz w:val="24"/>
          <w:szCs w:val="24"/>
        </w:rPr>
        <w:t xml:space="preserve"> the instrument responses, although in some jurisdictions other entities have been empowered with this authority.  Technical assistance resources, such as the training workshops, the User Guide and NPHPSP staff, instruct responding jurisdictions </w:t>
      </w:r>
      <w:r w:rsidR="000C7872">
        <w:rPr>
          <w:rFonts w:ascii="Times New Roman" w:hAnsi="Times New Roman"/>
          <w:sz w:val="24"/>
          <w:szCs w:val="24"/>
        </w:rPr>
        <w:t xml:space="preserve">in how to complete the assessment.  Jurisdictions are also informed </w:t>
      </w:r>
      <w:r w:rsidRPr="005569CB">
        <w:rPr>
          <w:rFonts w:ascii="Times New Roman" w:hAnsi="Times New Roman"/>
          <w:sz w:val="24"/>
          <w:szCs w:val="24"/>
        </w:rPr>
        <w:t xml:space="preserve">that they will need a User ID and survey password to enter data into the limited-access website.  If they are completing the assessment through a statewide approach, CDC </w:t>
      </w:r>
      <w:r w:rsidR="00770880">
        <w:rPr>
          <w:rFonts w:ascii="Times New Roman" w:hAnsi="Times New Roman"/>
          <w:sz w:val="24"/>
          <w:szCs w:val="24"/>
        </w:rPr>
        <w:t xml:space="preserve">provides </w:t>
      </w:r>
      <w:r w:rsidRPr="005569CB">
        <w:rPr>
          <w:rFonts w:ascii="Times New Roman" w:hAnsi="Times New Roman"/>
          <w:sz w:val="24"/>
          <w:szCs w:val="24"/>
        </w:rPr>
        <w:t xml:space="preserve">the User IDs to the state coordinator. Other jurisdictions can contact CDC </w:t>
      </w:r>
      <w:r w:rsidR="00770880">
        <w:rPr>
          <w:rFonts w:ascii="Times New Roman" w:hAnsi="Times New Roman"/>
          <w:sz w:val="24"/>
          <w:szCs w:val="24"/>
        </w:rPr>
        <w:t xml:space="preserve">and PHF (a partner that assists in providing technical support for the limited-access website and reporting system) </w:t>
      </w:r>
      <w:r w:rsidRPr="005569CB">
        <w:rPr>
          <w:rFonts w:ascii="Times New Roman" w:hAnsi="Times New Roman"/>
          <w:sz w:val="24"/>
          <w:szCs w:val="24"/>
        </w:rPr>
        <w:t>directly at 1-800-747-7649 or by email at phpsp@cdc.gov</w:t>
      </w:r>
      <w:r w:rsidR="00770880">
        <w:rPr>
          <w:rFonts w:ascii="Times New Roman" w:hAnsi="Times New Roman"/>
          <w:sz w:val="24"/>
          <w:szCs w:val="24"/>
        </w:rPr>
        <w:t xml:space="preserve"> or nphpsp-support@phf.org</w:t>
      </w:r>
      <w:r w:rsidRPr="005569CB">
        <w:rPr>
          <w:rFonts w:ascii="Times New Roman" w:hAnsi="Times New Roman"/>
          <w:sz w:val="24"/>
          <w:szCs w:val="24"/>
        </w:rPr>
        <w:t xml:space="preserve">.  The User IDs are disseminated with an instruction sheet (see Attachment </w:t>
      </w:r>
      <w:r w:rsidR="007A6B02">
        <w:rPr>
          <w:rFonts w:ascii="Times New Roman" w:hAnsi="Times New Roman"/>
          <w:sz w:val="24"/>
          <w:szCs w:val="24"/>
        </w:rPr>
        <w:t>G</w:t>
      </w:r>
      <w:r w:rsidRPr="005569CB">
        <w:rPr>
          <w:rFonts w:ascii="Times New Roman" w:hAnsi="Times New Roman"/>
          <w:sz w:val="24"/>
          <w:szCs w:val="24"/>
        </w:rPr>
        <w:t xml:space="preserve">).  </w:t>
      </w:r>
    </w:p>
    <w:p w:rsidR="00770880" w:rsidRPr="005569CB" w:rsidRDefault="00770880" w:rsidP="00D50C49">
      <w:pPr>
        <w:pStyle w:val="PlainText"/>
        <w:rPr>
          <w:rFonts w:ascii="Times New Roman" w:hAnsi="Times New Roman"/>
          <w:sz w:val="24"/>
          <w:szCs w:val="24"/>
        </w:rPr>
      </w:pPr>
    </w:p>
    <w:p w:rsidR="00770880" w:rsidRDefault="00770880" w:rsidP="00770880">
      <w:pPr>
        <w:pStyle w:val="PlainText"/>
        <w:rPr>
          <w:rFonts w:ascii="Times New Roman" w:hAnsi="Times New Roman"/>
          <w:sz w:val="24"/>
        </w:rPr>
      </w:pPr>
      <w:r>
        <w:rPr>
          <w:rFonts w:ascii="Times New Roman" w:hAnsi="Times New Roman"/>
          <w:sz w:val="24"/>
        </w:rPr>
        <w:t xml:space="preserve">Since the national release in July 2002, </w:t>
      </w:r>
      <w:r w:rsidR="00AD7C18">
        <w:rPr>
          <w:rFonts w:ascii="Times New Roman" w:hAnsi="Times New Roman"/>
          <w:sz w:val="24"/>
        </w:rPr>
        <w:t xml:space="preserve">893 </w:t>
      </w:r>
      <w:r w:rsidR="0058732B">
        <w:rPr>
          <w:rFonts w:ascii="Times New Roman" w:hAnsi="Times New Roman"/>
          <w:sz w:val="24"/>
        </w:rPr>
        <w:t>l</w:t>
      </w:r>
      <w:r>
        <w:rPr>
          <w:rFonts w:ascii="Times New Roman" w:hAnsi="Times New Roman"/>
          <w:sz w:val="24"/>
        </w:rPr>
        <w:t>ocal jurisdictions have used the local assessment instrument and submitted data to CDC</w:t>
      </w:r>
      <w:r w:rsidR="000745B0">
        <w:rPr>
          <w:rFonts w:ascii="Times New Roman" w:hAnsi="Times New Roman"/>
          <w:sz w:val="24"/>
        </w:rPr>
        <w:t xml:space="preserve">; </w:t>
      </w:r>
      <w:r w:rsidR="00AD7C18">
        <w:rPr>
          <w:rFonts w:ascii="Times New Roman" w:hAnsi="Times New Roman"/>
          <w:sz w:val="24"/>
        </w:rPr>
        <w:t>120</w:t>
      </w:r>
      <w:r w:rsidR="000745B0">
        <w:rPr>
          <w:rFonts w:ascii="Times New Roman" w:hAnsi="Times New Roman"/>
          <w:sz w:val="24"/>
        </w:rPr>
        <w:t xml:space="preserve"> local jurisdictions have used the Version 2 instrument since 2007</w:t>
      </w:r>
      <w:r>
        <w:rPr>
          <w:rFonts w:ascii="Times New Roman" w:hAnsi="Times New Roman"/>
          <w:sz w:val="24"/>
        </w:rPr>
        <w:t xml:space="preserve">.  The majority of these local jurisdictions conducted the assessment as part of a statewide process, with encouragement or support from their state health department or another state entity such as a state association.  The concept of using the local instrument through a statewide process is critical since it assists states and localities in maximizing the assessment results for planning and improvement. </w:t>
      </w:r>
    </w:p>
    <w:p w:rsidR="00770880" w:rsidRDefault="00770880" w:rsidP="00770880">
      <w:r>
        <w:t xml:space="preserve">Furthermore, the Public Health Infrastructure chapter in Healthy People 2010 includes an objective </w:t>
      </w:r>
      <w:r w:rsidR="0058732B">
        <w:t xml:space="preserve">measuring </w:t>
      </w:r>
      <w:r>
        <w:t xml:space="preserve">the use of the performance standards.  Objective 23-11 cites the NPHPSP as its sole data source and seeks to monitor and provide targets for state and local public health systems that use the national standards.  </w:t>
      </w:r>
      <w:r w:rsidR="00746036">
        <w:t xml:space="preserve">A similar objective is slated for inclusion in Healthy People 2020.  </w:t>
      </w:r>
      <w:r>
        <w:t xml:space="preserve">Without continued data collection, there will be no ongoing data source for this important national objective.  The NPHPSP also has been discussed as an important tool in significant national policy documents such as the 2003 Institute of Medicine’s report, </w:t>
      </w:r>
      <w:r>
        <w:rPr>
          <w:i/>
        </w:rPr>
        <w:t>The Future of the Public’s Health in the 21</w:t>
      </w:r>
      <w:r>
        <w:rPr>
          <w:i/>
          <w:vertAlign w:val="superscript"/>
        </w:rPr>
        <w:t>st</w:t>
      </w:r>
      <w:r>
        <w:rPr>
          <w:i/>
        </w:rPr>
        <w:t xml:space="preserve"> Century</w:t>
      </w:r>
      <w:r w:rsidR="00746036">
        <w:t xml:space="preserve"> and </w:t>
      </w:r>
      <w:r w:rsidR="00F225E0">
        <w:t>wa</w:t>
      </w:r>
      <w:r w:rsidR="00746036">
        <w:t xml:space="preserve">s also included in </w:t>
      </w:r>
      <w:r w:rsidR="00F225E0">
        <w:t>the HR 3962 Tri-Committee Health Reform Bill passed by the U.S. House of Representatives on November 7, 2009.</w:t>
      </w:r>
      <w:r>
        <w:t xml:space="preserve">  </w:t>
      </w:r>
    </w:p>
    <w:p w:rsidR="00770880" w:rsidRDefault="00770880" w:rsidP="00770880">
      <w:pPr>
        <w:pStyle w:val="PlainText"/>
        <w:rPr>
          <w:rFonts w:ascii="Times New Roman" w:hAnsi="Times New Roman"/>
          <w:sz w:val="24"/>
        </w:rPr>
      </w:pPr>
    </w:p>
    <w:p w:rsidR="000405F9" w:rsidRDefault="000405F9" w:rsidP="000405F9">
      <w:r>
        <w:t xml:space="preserve">Other strategic linkages have been made to best assure the utmost value of the NPHPSP assessment instruments.  In states such as </w:t>
      </w:r>
      <w:smartTag w:uri="urn:schemas-microsoft-com:office:smarttags" w:element="State">
        <w:r>
          <w:t>Colorado</w:t>
        </w:r>
      </w:smartTag>
      <w:r>
        <w:t xml:space="preserve">, </w:t>
      </w:r>
      <w:smartTag w:uri="urn:schemas-microsoft-com:office:smarttags" w:element="State">
        <w:r>
          <w:t>Oklahoma</w:t>
        </w:r>
      </w:smartTag>
      <w:r>
        <w:t xml:space="preserve">, and </w:t>
      </w:r>
      <w:smartTag w:uri="urn:schemas-microsoft-com:office:smarttags" w:element="place">
        <w:smartTag w:uri="urn:schemas-microsoft-com:office:smarttags" w:element="State">
          <w:r>
            <w:t>New Mexico</w:t>
          </w:r>
        </w:smartTag>
      </w:smartTag>
      <w:r>
        <w:t xml:space="preserve">, the NPHPSP </w:t>
      </w:r>
      <w:r>
        <w:lastRenderedPageBreak/>
        <w:t xml:space="preserve">was used as part of their bioterrorism planning </w:t>
      </w:r>
      <w:r w:rsidRPr="00AE6663">
        <w:t xml:space="preserve">activities to identify statewide strengths and weaknesses and priorities for public health infrastructure improvement.  </w:t>
      </w:r>
      <w:r w:rsidR="00E4449D">
        <w:t xml:space="preserve">States such as Indiana and New Hampshire have used it as part of statewide performance improvement and quality improvement efforts.  </w:t>
      </w:r>
      <w:r>
        <w:t xml:space="preserve">Further, the Local Instrument is used within a community health improvement tool entitled </w:t>
      </w:r>
      <w:r>
        <w:rPr>
          <w:i/>
        </w:rPr>
        <w:t>Mobilizing for Action through Planning and Partnerships</w:t>
      </w:r>
      <w:r>
        <w:t xml:space="preserve"> (MAPP).   MAPP includes four complementary assessments – one of which uses the NPHPSP local instrument to measure the performance of the local public health system. The linkage between MAPP and the NPHPSP encourages the use of performance standards within the context of a broader health improvement effort.  The Turning Point Performance Management Collaborative (PMC), funded by the Robert Wood Johnson Foundation, also has emphasized the role the NPHPSP standards can play in improvement efforts.  </w:t>
      </w:r>
    </w:p>
    <w:p w:rsidR="00770880" w:rsidRDefault="00770880" w:rsidP="00770880"/>
    <w:p w:rsidR="00770880" w:rsidRDefault="00770880" w:rsidP="00770880">
      <w:r>
        <w:t xml:space="preserve">Additionally, the NPHPSP standards have been incorporated into state regulations or legislation for public health infrastructure.  This includes states such as </w:t>
      </w:r>
      <w:smartTag w:uri="urn:schemas-microsoft-com:office:smarttags" w:element="State">
        <w:r>
          <w:t>Ohio</w:t>
        </w:r>
      </w:smartTag>
      <w:r>
        <w:t xml:space="preserve">, </w:t>
      </w:r>
      <w:smartTag w:uri="urn:schemas-microsoft-com:office:smarttags" w:element="State">
        <w:r>
          <w:t>Illinois</w:t>
        </w:r>
      </w:smartTag>
      <w:r>
        <w:t xml:space="preserve">, and </w:t>
      </w:r>
      <w:smartTag w:uri="urn:schemas-microsoft-com:office:smarttags" w:element="place">
        <w:smartTag w:uri="urn:schemas-microsoft-com:office:smarttags" w:element="State">
          <w:r>
            <w:t>New Jersey</w:t>
          </w:r>
        </w:smartTag>
      </w:smartTag>
      <w:r>
        <w:t xml:space="preserve">. Both </w:t>
      </w:r>
      <w:smartTag w:uri="urn:schemas-microsoft-com:office:smarttags" w:element="State">
        <w:r>
          <w:t>Ohio</w:t>
        </w:r>
      </w:smartTag>
      <w:r>
        <w:t xml:space="preserve"> and </w:t>
      </w:r>
      <w:smartTag w:uri="urn:schemas-microsoft-com:office:smarttags" w:element="place">
        <w:smartTag w:uri="urn:schemas-microsoft-com:office:smarttags" w:element="State">
          <w:r>
            <w:t>New Jersey</w:t>
          </w:r>
        </w:smartTag>
      </w:smartTag>
      <w:r>
        <w:t xml:space="preserve"> have incorporated state and local use of the NPHPSP as a required component of larger performance improvement and infrastructure reform efforts.  </w:t>
      </w:r>
      <w:smartTag w:uri="urn:schemas-microsoft-com:office:smarttags" w:element="place">
        <w:smartTag w:uri="urn:schemas-microsoft-com:office:smarttags" w:element="State">
          <w:r>
            <w:t>Illinois</w:t>
          </w:r>
        </w:smartTag>
      </w:smartTag>
      <w:r>
        <w:t xml:space="preserve"> has included the performance standards as a required assessment in their newly enacted State Health Improvement Plan Act.  In these and many other states, the NPHPSP is having a positive impact as a tool for assessing the performance of public health systems.</w:t>
      </w:r>
    </w:p>
    <w:p w:rsidR="00770880" w:rsidRDefault="00770880" w:rsidP="00770880">
      <w:pPr>
        <w:pStyle w:val="PlainText"/>
        <w:rPr>
          <w:rFonts w:ascii="Times New Roman" w:hAnsi="Times New Roman"/>
          <w:sz w:val="24"/>
        </w:rPr>
      </w:pPr>
    </w:p>
    <w:p w:rsidR="0058732B" w:rsidRDefault="0058732B" w:rsidP="0058732B">
      <w:r>
        <w:t xml:space="preserve">Finally and most notably, </w:t>
      </w:r>
      <w:r w:rsidRPr="0084722A">
        <w:t xml:space="preserve">the NPHPSP </w:t>
      </w:r>
      <w:r>
        <w:t>is also playing a valuable and critical role within new efforts to strengthen public health practice.  CDC and its national partners (led</w:t>
      </w:r>
      <w:r w:rsidR="000405F9">
        <w:t xml:space="preserve"> by</w:t>
      </w:r>
      <w:r>
        <w:t xml:space="preserve"> </w:t>
      </w:r>
      <w:r w:rsidR="00E4449D">
        <w:t xml:space="preserve">the Public Health Accreditation Board, and including </w:t>
      </w:r>
      <w:r>
        <w:t>NACCHO, ASTHO, NALBOH, and APHA) have been engaged in an effort to design and build a national accreditation system.</w:t>
      </w:r>
      <w:r w:rsidR="00E4449D">
        <w:t xml:space="preserve">  T</w:t>
      </w:r>
      <w:r>
        <w:t xml:space="preserve">he NPHPSP standards </w:t>
      </w:r>
      <w:r w:rsidR="00E4449D">
        <w:t xml:space="preserve">were </w:t>
      </w:r>
      <w:proofErr w:type="gramStart"/>
      <w:r w:rsidR="00E4449D">
        <w:t xml:space="preserve">used </w:t>
      </w:r>
      <w:r>
        <w:t xml:space="preserve"> </w:t>
      </w:r>
      <w:r w:rsidR="00E4449D">
        <w:t>as</w:t>
      </w:r>
      <w:proofErr w:type="gramEnd"/>
      <w:r w:rsidR="00E4449D">
        <w:t xml:space="preserve"> </w:t>
      </w:r>
      <w:r>
        <w:t>an important building block for develop</w:t>
      </w:r>
      <w:r w:rsidR="000405F9">
        <w:t>ing</w:t>
      </w:r>
      <w:r>
        <w:t xml:space="preserve"> the accreditation standards </w:t>
      </w:r>
      <w:r w:rsidR="00E4449D">
        <w:t xml:space="preserve">and measures and continue to serve </w:t>
      </w:r>
      <w:r>
        <w:t xml:space="preserve">as a critical tool for preparing the field for accreditation.  </w:t>
      </w:r>
      <w:r w:rsidR="00E4449D">
        <w:t xml:space="preserve">While accreditation is focused on the public health agency and internal performance, the NPHPSP assessment offers an important complement that addresses the public health “system” and partnerships that exist within the jurisdiction.  This is a vital complement to accreditation, and in fact, the NPHPSP instrument is cited within the PHAB accreditation standards and measures as a process that can be used to demonstrate activity around measures relating to “mobilizing community partnerships.”  States such as Indiana, Michigan, and New Jersey have been using the NPHPSP to both strengthen system partnerships at the same time they prepare for national PHAB accreditation.  </w:t>
      </w:r>
      <w:r>
        <w:t xml:space="preserve"> </w:t>
      </w:r>
    </w:p>
    <w:p w:rsidR="0058732B" w:rsidRDefault="0058732B" w:rsidP="0058732B"/>
    <w:p w:rsidR="0058732B" w:rsidRPr="0058732B" w:rsidRDefault="0058732B" w:rsidP="0058732B">
      <w:pPr>
        <w:pStyle w:val="PlainText"/>
        <w:rPr>
          <w:rFonts w:ascii="Times New Roman" w:hAnsi="Times New Roman" w:cs="Times New Roman"/>
          <w:sz w:val="24"/>
          <w:szCs w:val="24"/>
        </w:rPr>
      </w:pPr>
      <w:r w:rsidRPr="00A73F6F">
        <w:rPr>
          <w:rFonts w:ascii="Times New Roman" w:hAnsi="Times New Roman" w:cs="Times New Roman"/>
          <w:sz w:val="24"/>
          <w:szCs w:val="24"/>
        </w:rPr>
        <w:t xml:space="preserve">Due to the many factors mentioned above, there has been increasing </w:t>
      </w:r>
      <w:r w:rsidR="00E4449D">
        <w:rPr>
          <w:rFonts w:ascii="Times New Roman" w:hAnsi="Times New Roman" w:cs="Times New Roman"/>
          <w:sz w:val="24"/>
          <w:szCs w:val="24"/>
        </w:rPr>
        <w:t>interest</w:t>
      </w:r>
      <w:r w:rsidR="00E4449D" w:rsidRPr="00A73F6F">
        <w:rPr>
          <w:rFonts w:ascii="Times New Roman" w:hAnsi="Times New Roman" w:cs="Times New Roman"/>
          <w:sz w:val="24"/>
          <w:szCs w:val="24"/>
        </w:rPr>
        <w:t xml:space="preserve"> </w:t>
      </w:r>
      <w:r w:rsidRPr="00A73F6F">
        <w:rPr>
          <w:rFonts w:ascii="Times New Roman" w:hAnsi="Times New Roman" w:cs="Times New Roman"/>
          <w:sz w:val="24"/>
          <w:szCs w:val="24"/>
        </w:rPr>
        <w:t xml:space="preserve">in the voluntary use of the performance standards.  </w:t>
      </w:r>
      <w:r w:rsidR="00A73F6F" w:rsidRPr="00A73F6F">
        <w:rPr>
          <w:rFonts w:ascii="Times New Roman" w:hAnsi="Times New Roman" w:cs="Times New Roman"/>
          <w:sz w:val="24"/>
          <w:szCs w:val="24"/>
        </w:rPr>
        <w:t xml:space="preserve">The NPHPSP has held annual training workshops; attendance has grown steadily during the </w:t>
      </w:r>
      <w:r w:rsidR="00AD7C18">
        <w:rPr>
          <w:rFonts w:ascii="Times New Roman" w:hAnsi="Times New Roman" w:cs="Times New Roman"/>
          <w:sz w:val="24"/>
          <w:szCs w:val="24"/>
        </w:rPr>
        <w:t>seven</w:t>
      </w:r>
      <w:r w:rsidR="00AD7C18" w:rsidRPr="00A73F6F">
        <w:rPr>
          <w:rFonts w:ascii="Times New Roman" w:hAnsi="Times New Roman" w:cs="Times New Roman"/>
          <w:sz w:val="24"/>
          <w:szCs w:val="24"/>
        </w:rPr>
        <w:t xml:space="preserve"> years</w:t>
      </w:r>
      <w:r w:rsidR="00A73F6F" w:rsidRPr="00A73F6F">
        <w:rPr>
          <w:rFonts w:ascii="Times New Roman" w:hAnsi="Times New Roman" w:cs="Times New Roman"/>
          <w:sz w:val="24"/>
          <w:szCs w:val="24"/>
        </w:rPr>
        <w:t xml:space="preserve"> that this workshop has been offered.  </w:t>
      </w:r>
      <w:r w:rsidR="000745B0">
        <w:rPr>
          <w:rFonts w:ascii="Times New Roman" w:hAnsi="Times New Roman" w:cs="Times New Roman"/>
          <w:sz w:val="24"/>
          <w:szCs w:val="24"/>
        </w:rPr>
        <w:t xml:space="preserve">During the last three years, the Annual Training Workshop has reached its capacity attendance (capped at 120 attendees to ensure interaction and training opportunities) and has drawn participants from </w:t>
      </w:r>
      <w:r w:rsidR="00FE65F3">
        <w:rPr>
          <w:rFonts w:ascii="Times New Roman" w:hAnsi="Times New Roman" w:cs="Times New Roman"/>
          <w:sz w:val="24"/>
          <w:szCs w:val="24"/>
        </w:rPr>
        <w:t>38 different</w:t>
      </w:r>
      <w:r w:rsidR="00A73F6F">
        <w:rPr>
          <w:rFonts w:ascii="Times New Roman" w:hAnsi="Times New Roman" w:cs="Times New Roman"/>
          <w:sz w:val="24"/>
          <w:szCs w:val="24"/>
        </w:rPr>
        <w:t xml:space="preserve"> </w:t>
      </w:r>
      <w:r w:rsidR="00A73F6F" w:rsidRPr="00A73F6F">
        <w:rPr>
          <w:rFonts w:ascii="Times New Roman" w:hAnsi="Times New Roman" w:cs="Times New Roman"/>
          <w:sz w:val="24"/>
          <w:szCs w:val="24"/>
        </w:rPr>
        <w:t>states</w:t>
      </w:r>
      <w:r w:rsidR="000745B0">
        <w:rPr>
          <w:rFonts w:ascii="Times New Roman" w:hAnsi="Times New Roman" w:cs="Times New Roman"/>
          <w:sz w:val="24"/>
          <w:szCs w:val="24"/>
        </w:rPr>
        <w:t xml:space="preserve">.  </w:t>
      </w:r>
      <w:r w:rsidR="00FE65F3">
        <w:rPr>
          <w:rFonts w:ascii="Times New Roman" w:hAnsi="Times New Roman" w:cs="Times New Roman"/>
          <w:sz w:val="24"/>
          <w:szCs w:val="24"/>
        </w:rPr>
        <w:t>R</w:t>
      </w:r>
      <w:r w:rsidR="00A73F6F">
        <w:rPr>
          <w:rFonts w:ascii="Times New Roman" w:hAnsi="Times New Roman" w:cs="Times New Roman"/>
          <w:sz w:val="24"/>
          <w:szCs w:val="24"/>
        </w:rPr>
        <w:t>egistration and interest has grown so much that NPHPSP partners have created concurrent topic tracks for workshop attendees so as to retain the small-setting value of such a practical in-person training workshop.</w:t>
      </w:r>
      <w:r w:rsidR="00A73F6F" w:rsidRPr="00A73F6F">
        <w:rPr>
          <w:rFonts w:ascii="Times New Roman" w:hAnsi="Times New Roman" w:cs="Times New Roman"/>
          <w:sz w:val="24"/>
          <w:szCs w:val="24"/>
        </w:rPr>
        <w:t xml:space="preserve"> </w:t>
      </w:r>
      <w:r w:rsidRPr="00A73F6F">
        <w:rPr>
          <w:rFonts w:ascii="Times New Roman" w:hAnsi="Times New Roman" w:cs="Times New Roman"/>
          <w:sz w:val="24"/>
          <w:szCs w:val="24"/>
        </w:rPr>
        <w:t xml:space="preserve"> </w:t>
      </w:r>
      <w:r w:rsidR="000745B0">
        <w:rPr>
          <w:rFonts w:ascii="Times New Roman" w:hAnsi="Times New Roman" w:cs="Times New Roman"/>
          <w:sz w:val="24"/>
          <w:szCs w:val="24"/>
        </w:rPr>
        <w:t xml:space="preserve">Further, monthly conference calls, webinars and distance learning training opportunities have further expanded training opportunities. </w:t>
      </w:r>
      <w:r w:rsidRPr="00A73F6F">
        <w:rPr>
          <w:rFonts w:ascii="Times New Roman" w:hAnsi="Times New Roman" w:cs="Times New Roman"/>
          <w:sz w:val="24"/>
          <w:szCs w:val="24"/>
        </w:rPr>
        <w:t xml:space="preserve">The availability of a stable NPHPSP instrument will enable this momentum to continue.   </w:t>
      </w:r>
    </w:p>
    <w:p w:rsidR="0058732B" w:rsidRDefault="0058732B" w:rsidP="00770880">
      <w:pPr>
        <w:pStyle w:val="PlainText"/>
        <w:rPr>
          <w:rFonts w:ascii="Times New Roman" w:hAnsi="Times New Roman"/>
          <w:sz w:val="24"/>
        </w:rPr>
      </w:pPr>
    </w:p>
    <w:p w:rsidR="000745B0" w:rsidRDefault="000745B0" w:rsidP="00770880">
      <w:pPr>
        <w:pStyle w:val="PlainText"/>
        <w:rPr>
          <w:rFonts w:ascii="Times New Roman" w:hAnsi="Times New Roman"/>
          <w:sz w:val="24"/>
        </w:rPr>
      </w:pPr>
      <w:r>
        <w:rPr>
          <w:rFonts w:ascii="Times New Roman" w:hAnsi="Times New Roman"/>
          <w:sz w:val="24"/>
        </w:rPr>
        <w:lastRenderedPageBreak/>
        <w:t>It is important to recognize and acknowledge the substantial contributions the NPHPSP has made in providing public health leaders, policy makers, and program staff in a multitude of jurisdictions with an effective and efficient assessment and quality improvement process.  The examples cited above provide considerable support for an extension of the instruments and their continued availability in the field.</w:t>
      </w:r>
    </w:p>
    <w:p w:rsidR="000745B0" w:rsidRDefault="000745B0" w:rsidP="00770880">
      <w:pPr>
        <w:pStyle w:val="PlainText"/>
        <w:rPr>
          <w:rFonts w:ascii="Times New Roman" w:hAnsi="Times New Roman"/>
          <w:sz w:val="24"/>
        </w:rPr>
      </w:pPr>
    </w:p>
    <w:p w:rsidR="00770880" w:rsidRDefault="00770880" w:rsidP="00770880">
      <w:r>
        <w:t xml:space="preserve">In the years since the request for approval of data collection </w:t>
      </w:r>
      <w:r w:rsidR="000745B0">
        <w:t xml:space="preserve">in 2002 </w:t>
      </w:r>
      <w:r>
        <w:t xml:space="preserve">and the </w:t>
      </w:r>
      <w:r w:rsidR="000745B0">
        <w:t xml:space="preserve">more recent </w:t>
      </w:r>
      <w:r>
        <w:t xml:space="preserve">release of the NPHPSP </w:t>
      </w:r>
      <w:r w:rsidR="000745B0">
        <w:t xml:space="preserve">Version 2 </w:t>
      </w:r>
      <w:r>
        <w:t>instruments in</w:t>
      </w:r>
      <w:r w:rsidR="000745B0">
        <w:t xml:space="preserve"> August 2007</w:t>
      </w:r>
      <w:r>
        <w:t xml:space="preserve">, the landscape of public health has </w:t>
      </w:r>
      <w:r w:rsidR="000745B0">
        <w:t xml:space="preserve">continued to </w:t>
      </w:r>
      <w:r w:rsidR="00FE65F3">
        <w:t>change considerably</w:t>
      </w:r>
      <w:r>
        <w:t>.   The attention of public health leaders – at the national, state, and local levels – has been significantly diverted to bioterrorism preparedness and planning, in addition to other emerging public health issues such as West Nile Virus,  SARS</w:t>
      </w:r>
      <w:r w:rsidR="000745B0">
        <w:t>, and more recently, the H1N1 Novel flu virus and economic challenges in state and local jurisdictions</w:t>
      </w:r>
      <w:r>
        <w:t xml:space="preserve">.  </w:t>
      </w:r>
      <w:r w:rsidR="000745B0">
        <w:t xml:space="preserve">  These challenges, especially in the last two years, have diverted several states’ plans to undertake the NPHPSP</w:t>
      </w:r>
      <w:r w:rsidR="005E0FC8">
        <w:t xml:space="preserve">.  At the same, many states indicate it is important – “now more than ever” in the words of a Michigan public health leader – to use assessment tools such as the NPHPSP to identify and plan for more effective public health.  And with the launch of national accreditation on the horizon and the mention of NPHPSP within the accreditation standards, many state and local jurisdictions will have renewed interest in using the NPHPSP to improve their public health systems.  </w:t>
      </w:r>
    </w:p>
    <w:p w:rsidR="00770880" w:rsidRDefault="00770880" w:rsidP="00770880">
      <w:pPr>
        <w:pStyle w:val="PlainText"/>
        <w:rPr>
          <w:rFonts w:ascii="Times New Roman" w:hAnsi="Times New Roman"/>
          <w:sz w:val="24"/>
        </w:rPr>
      </w:pPr>
    </w:p>
    <w:p w:rsidR="00770880" w:rsidRDefault="00770880" w:rsidP="00770880">
      <w:pPr>
        <w:pStyle w:val="PlainText"/>
        <w:rPr>
          <w:rFonts w:ascii="Times New Roman" w:hAnsi="Times New Roman"/>
          <w:sz w:val="24"/>
        </w:rPr>
      </w:pPr>
      <w:r>
        <w:rPr>
          <w:rFonts w:ascii="Times New Roman" w:hAnsi="Times New Roman"/>
          <w:sz w:val="24"/>
        </w:rPr>
        <w:t xml:space="preserve">Although it is described above that a statewide coordinated approach is the ideal context for using the NPHPSP, this approach also requires a time investment in order to appropriately plan and coordinate the timing of such a statewide process.  Many statewide coordinators will seek to use the assessment instruments during a key juncture in a multi-year health improvement and planning cycle. For example, </w:t>
      </w:r>
      <w:r w:rsidR="005E0FC8">
        <w:rPr>
          <w:rFonts w:ascii="Times New Roman" w:hAnsi="Times New Roman"/>
          <w:sz w:val="24"/>
        </w:rPr>
        <w:t xml:space="preserve">Florida </w:t>
      </w:r>
      <w:r>
        <w:rPr>
          <w:rFonts w:ascii="Times New Roman" w:hAnsi="Times New Roman"/>
          <w:sz w:val="24"/>
        </w:rPr>
        <w:t xml:space="preserve">has incorporated their use of the NPHPSP into a larger state and local performance measurement and improvement program, which establishes a timeline stating their intent to use the NPHPSP in </w:t>
      </w:r>
      <w:r w:rsidR="005E0FC8">
        <w:rPr>
          <w:rFonts w:ascii="Times New Roman" w:hAnsi="Times New Roman"/>
          <w:sz w:val="24"/>
        </w:rPr>
        <w:t xml:space="preserve">late </w:t>
      </w:r>
      <w:r>
        <w:rPr>
          <w:rFonts w:ascii="Times New Roman" w:hAnsi="Times New Roman"/>
          <w:sz w:val="24"/>
        </w:rPr>
        <w:t>20</w:t>
      </w:r>
      <w:r w:rsidR="005E0FC8">
        <w:rPr>
          <w:rFonts w:ascii="Times New Roman" w:hAnsi="Times New Roman"/>
          <w:sz w:val="24"/>
        </w:rPr>
        <w:t>10</w:t>
      </w:r>
      <w:r>
        <w:rPr>
          <w:rFonts w:ascii="Times New Roman" w:hAnsi="Times New Roman"/>
          <w:sz w:val="24"/>
        </w:rPr>
        <w:t xml:space="preserve">. Other states have sought to incorporate the NPHPSP into legislation prior to initiating its use.  As an example, the Illinois State Health Improvement Plan Act, enacted in August 2004, supports the </w:t>
      </w:r>
      <w:r w:rsidR="005E0FC8">
        <w:rPr>
          <w:rFonts w:ascii="Times New Roman" w:hAnsi="Times New Roman"/>
          <w:sz w:val="24"/>
        </w:rPr>
        <w:t xml:space="preserve">regular and periodic </w:t>
      </w:r>
      <w:r>
        <w:rPr>
          <w:rFonts w:ascii="Times New Roman" w:hAnsi="Times New Roman"/>
          <w:sz w:val="24"/>
        </w:rPr>
        <w:t xml:space="preserve">use of the performance standards as a tool in improving the public health system and health status of Illinois residents.  </w:t>
      </w:r>
      <w:proofErr w:type="gramStart"/>
      <w:r>
        <w:rPr>
          <w:rFonts w:ascii="Times New Roman" w:hAnsi="Times New Roman"/>
          <w:sz w:val="24"/>
        </w:rPr>
        <w:t xml:space="preserve">From this experience CDC and the national partners have learned that </w:t>
      </w:r>
      <w:r w:rsidR="005E0FC8">
        <w:rPr>
          <w:rFonts w:ascii="Times New Roman" w:hAnsi="Times New Roman"/>
          <w:sz w:val="24"/>
        </w:rPr>
        <w:t>it is critical to support state and local jurisdictions in their use of the NPHPSP at the time that works best for state and local public health organizations.</w:t>
      </w:r>
      <w:proofErr w:type="gramEnd"/>
      <w:r w:rsidR="005E0FC8">
        <w:rPr>
          <w:rFonts w:ascii="Times New Roman" w:hAnsi="Times New Roman"/>
          <w:sz w:val="24"/>
        </w:rPr>
        <w:t xml:space="preserve">  </w:t>
      </w:r>
      <w:r w:rsidR="00803324">
        <w:rPr>
          <w:rFonts w:ascii="Times New Roman" w:hAnsi="Times New Roman"/>
          <w:sz w:val="24"/>
        </w:rPr>
        <w:t xml:space="preserve">Continued availability of the data collection instrument </w:t>
      </w:r>
      <w:r>
        <w:rPr>
          <w:rFonts w:ascii="Times New Roman" w:hAnsi="Times New Roman"/>
          <w:sz w:val="24"/>
        </w:rPr>
        <w:t xml:space="preserve">will assist them in assuring this is feasible.  </w:t>
      </w:r>
    </w:p>
    <w:p w:rsidR="00770880" w:rsidRDefault="00770880" w:rsidP="00770880"/>
    <w:p w:rsidR="00770880" w:rsidRDefault="00803324" w:rsidP="00770880">
      <w:r>
        <w:t xml:space="preserve">Since its </w:t>
      </w:r>
      <w:r w:rsidR="005E0FC8">
        <w:t xml:space="preserve">original </w:t>
      </w:r>
      <w:r>
        <w:t xml:space="preserve">release in 2002, </w:t>
      </w:r>
      <w:r w:rsidR="00770880">
        <w:t xml:space="preserve">it is clear that the NPHPSP has proven itself an important step toward achieving more consistently effective, high-performing public health systems in the United States.  By providing national performance standards, a means for jurisdictions to assess their performance, and a catalyst for improvement strategies, the NPHPSP supports performance improvement and accountability of public health practice at both the state and local levels.  </w:t>
      </w:r>
      <w:r>
        <w:t xml:space="preserve">The </w:t>
      </w:r>
      <w:r w:rsidR="005E0FC8">
        <w:t xml:space="preserve">continued </w:t>
      </w:r>
      <w:r w:rsidR="00770880">
        <w:t xml:space="preserve">availability of these tools and the data collection instrument is critical to sustaining our ability to support these efforts and to build our understanding of public health practice.  </w:t>
      </w:r>
    </w:p>
    <w:p w:rsidR="006C34ED" w:rsidRDefault="006C34ED">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t>3.</w:t>
      </w:r>
      <w:r>
        <w:rPr>
          <w:rFonts w:ascii="Times New Roman TUR" w:hAnsi="Times New Roman TUR"/>
          <w:b/>
        </w:rPr>
        <w:tab/>
        <w:t>Use of Improved Information Technology</w:t>
      </w:r>
      <w:r w:rsidR="00F43E7B">
        <w:rPr>
          <w:rFonts w:ascii="Times New Roman TUR" w:hAnsi="Times New Roman TUR"/>
          <w:b/>
        </w:rPr>
        <w:t xml:space="preserve"> and Burden Reduction</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lastRenderedPageBreak/>
        <w:t xml:space="preserve">To minimize respondent burden, the surveys are web-based.  Data collection, analysis, and reporting are automated.  The web-based survey is the preferred method of </w:t>
      </w:r>
      <w:r w:rsidR="00835CD7">
        <w:rPr>
          <w:rFonts w:ascii="Times New Roman TUR" w:hAnsi="Times New Roman TUR"/>
        </w:rPr>
        <w:t>choice;</w:t>
      </w:r>
      <w:r>
        <w:rPr>
          <w:rFonts w:ascii="Times New Roman TUR" w:hAnsi="Times New Roman TUR"/>
        </w:rPr>
        <w:t xml:space="preserve"> however, CDC recognizes that compliance depends on the availability of appropriate technology at the state and local levels.   In areas with limited access to technology, CDC in conjunction with a state liaison </w:t>
      </w:r>
      <w:r w:rsidR="000C7872">
        <w:rPr>
          <w:rFonts w:ascii="Times New Roman TUR" w:hAnsi="Times New Roman TUR"/>
        </w:rPr>
        <w:t xml:space="preserve">can </w:t>
      </w:r>
      <w:r>
        <w:rPr>
          <w:rFonts w:ascii="Times New Roman TUR" w:hAnsi="Times New Roman TUR"/>
        </w:rPr>
        <w:t>provide technical assistance using hard copy surveys.  The coordinated efforts of CDC and state liaisons along with automated data processing minimize the burden to respondent.</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t>4.</w:t>
      </w:r>
      <w:r>
        <w:rPr>
          <w:rFonts w:ascii="Times New Roman TUR" w:hAnsi="Times New Roman TUR"/>
          <w:b/>
        </w:rPr>
        <w:tab/>
        <w:t>Efforts to Identify Duplication</w:t>
      </w:r>
      <w:r w:rsidR="00F43E7B">
        <w:rPr>
          <w:rFonts w:ascii="Times New Roman TUR" w:hAnsi="Times New Roman TUR"/>
          <w:b/>
        </w:rPr>
        <w:t xml:space="preserve"> and Use of Similar Information</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 xml:space="preserve">Extensive literature searches were conducted using online databases such as Medline, </w:t>
      </w:r>
      <w:proofErr w:type="spellStart"/>
      <w:r>
        <w:rPr>
          <w:rFonts w:ascii="Times New Roman TUR" w:hAnsi="Times New Roman TUR"/>
        </w:rPr>
        <w:t>Psychino</w:t>
      </w:r>
      <w:proofErr w:type="spellEnd"/>
      <w:r>
        <w:rPr>
          <w:rFonts w:ascii="Times New Roman TUR" w:hAnsi="Times New Roman TUR"/>
        </w:rPr>
        <w:t xml:space="preserve">, and </w:t>
      </w:r>
      <w:proofErr w:type="spellStart"/>
      <w:r>
        <w:rPr>
          <w:rFonts w:ascii="Times New Roman TUR" w:hAnsi="Times New Roman TUR"/>
        </w:rPr>
        <w:t>Sociofile</w:t>
      </w:r>
      <w:proofErr w:type="spellEnd"/>
      <w:r>
        <w:rPr>
          <w:rFonts w:ascii="Times New Roman TUR" w:hAnsi="Times New Roman TUR"/>
        </w:rPr>
        <w:t>.  No duplicative data collect</w:t>
      </w:r>
      <w:r w:rsidR="000C7872">
        <w:rPr>
          <w:rFonts w:ascii="Times New Roman TUR" w:hAnsi="Times New Roman TUR"/>
        </w:rPr>
        <w:t>i</w:t>
      </w:r>
      <w:r>
        <w:rPr>
          <w:rFonts w:ascii="Times New Roman TUR" w:hAnsi="Times New Roman TUR"/>
        </w:rPr>
        <w:t xml:space="preserve">on has been conducted to date.  Certain national organizations like ASTHO and NACCHO have published profiles of state and local health departments but such data does not contain in-depth information on performance or infrastructure.  According to literature searches and evidence provided by public health systems research, to date, no duplicative assessment has been conducted.  Although several states have developed performance assessment tools, none of the efforts duplicate the ability to collect and compare national data using a common assessment framework.  </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 xml:space="preserve">The </w:t>
      </w:r>
      <w:r w:rsidR="00770880">
        <w:rPr>
          <w:rFonts w:ascii="Times New Roman TUR" w:hAnsi="Times New Roman TUR"/>
        </w:rPr>
        <w:t xml:space="preserve">NPHPSP </w:t>
      </w:r>
      <w:r>
        <w:rPr>
          <w:rFonts w:ascii="Times New Roman TUR" w:hAnsi="Times New Roman TUR"/>
        </w:rPr>
        <w:t>instruments are designed to collect and analyze performance data, and to improve system-wide performance.  These tools provide a common framework for measuring performance, define the desired optimal level of public health practice, provide practitioners with specific information on areas for improvement, provide objective data for development of health policy, and provide information to decision-makers to better target the use of their resources.</w:t>
      </w:r>
    </w:p>
    <w:p w:rsidR="0075243F" w:rsidRDefault="007524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75243F" w:rsidRDefault="00803324">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 xml:space="preserve">We are submitting similar </w:t>
      </w:r>
      <w:r w:rsidR="005E0FC8">
        <w:rPr>
          <w:rFonts w:ascii="Times New Roman TUR" w:hAnsi="Times New Roman TUR"/>
        </w:rPr>
        <w:t xml:space="preserve">extension </w:t>
      </w:r>
      <w:r>
        <w:rPr>
          <w:rFonts w:ascii="Times New Roman TUR" w:hAnsi="Times New Roman TUR"/>
        </w:rPr>
        <w:t xml:space="preserve">requests for the State Public Health System Performance Assessment and the Local Governance Performance Assessment.  </w:t>
      </w:r>
      <w:r w:rsidR="0075243F">
        <w:rPr>
          <w:rFonts w:ascii="Times New Roman TUR" w:hAnsi="Times New Roman TUR"/>
        </w:rPr>
        <w:t xml:space="preserve">The primary difference between the instruments is the scope.  The local instrument focuses on the local public health system or all the entities that contribute to the delivery of public health services within a community.  </w:t>
      </w:r>
      <w:r>
        <w:rPr>
          <w:rFonts w:ascii="Times New Roman TUR" w:hAnsi="Times New Roman TUR"/>
        </w:rPr>
        <w:t xml:space="preserve">The local governance instrument focuses on the board of health or other similar governing entity.  </w:t>
      </w:r>
      <w:r w:rsidR="0075243F">
        <w:rPr>
          <w:rFonts w:ascii="Times New Roman TUR" w:hAnsi="Times New Roman TUR"/>
        </w:rPr>
        <w:t xml:space="preserve">The state instrument focuses on the state public health system.  The state public health system includes state public health agencies and other partners that contribute to public health services at the state level.   </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22DB0" w:rsidRDefault="00722DB0">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b/>
        </w:rPr>
      </w:pPr>
      <w:r>
        <w:rPr>
          <w:rFonts w:ascii="Times New Roman TUR" w:hAnsi="Times New Roman TUR"/>
          <w:b/>
        </w:rPr>
        <w:t>5.</w:t>
      </w:r>
      <w:r>
        <w:rPr>
          <w:rFonts w:ascii="Times New Roman TUR" w:hAnsi="Times New Roman TUR"/>
          <w:b/>
        </w:rPr>
        <w:tab/>
        <w:t>I</w:t>
      </w:r>
      <w:r w:rsidR="00F43E7B">
        <w:rPr>
          <w:rFonts w:ascii="Times New Roman TUR" w:hAnsi="Times New Roman TUR"/>
          <w:b/>
        </w:rPr>
        <w:t>mpact on Small Businesses or Other</w:t>
      </w:r>
      <w:r>
        <w:rPr>
          <w:rFonts w:ascii="Times New Roman TUR" w:hAnsi="Times New Roman TUR"/>
          <w:b/>
        </w:rPr>
        <w:t xml:space="preserve"> Small Entities</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r>
        <w:rPr>
          <w:rFonts w:ascii="Times New Roman TUR" w:hAnsi="Times New Roman TUR"/>
        </w:rPr>
        <w:t>The respondents for this survey will be local health departments.  There are no small entities involved.</w:t>
      </w:r>
    </w:p>
    <w:p w:rsidR="00F43E7B" w:rsidRDefault="00F43E7B">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b/>
        </w:rPr>
      </w:pPr>
      <w:r>
        <w:rPr>
          <w:rFonts w:ascii="Times New Roman TUR" w:hAnsi="Times New Roman TUR"/>
          <w:b/>
        </w:rPr>
        <w:t>6.</w:t>
      </w:r>
      <w:r>
        <w:rPr>
          <w:rFonts w:ascii="Times New Roman TUR" w:hAnsi="Times New Roman TUR"/>
          <w:b/>
        </w:rPr>
        <w:tab/>
        <w:t xml:space="preserve">Consequences </w:t>
      </w:r>
      <w:r w:rsidR="00F43E7B">
        <w:rPr>
          <w:rFonts w:ascii="Times New Roman TUR" w:hAnsi="Times New Roman TUR"/>
          <w:b/>
        </w:rPr>
        <w:t xml:space="preserve">of </w:t>
      </w:r>
      <w:r>
        <w:rPr>
          <w:rFonts w:ascii="Times New Roman TUR" w:hAnsi="Times New Roman TUR"/>
          <w:b/>
        </w:rPr>
        <w:t>Collect</w:t>
      </w:r>
      <w:r w:rsidR="00F43E7B">
        <w:rPr>
          <w:rFonts w:ascii="Times New Roman TUR" w:hAnsi="Times New Roman TUR"/>
          <w:b/>
        </w:rPr>
        <w:t>ing the Information</w:t>
      </w:r>
      <w:r>
        <w:rPr>
          <w:rFonts w:ascii="Times New Roman TUR" w:hAnsi="Times New Roman TUR"/>
          <w:b/>
        </w:rPr>
        <w:t xml:space="preserve"> Less Frequently</w:t>
      </w:r>
    </w:p>
    <w:p w:rsidR="0075243F" w:rsidRDefault="0075243F">
      <w:pPr>
        <w:widowControl/>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0405F9" w:rsidRDefault="000405F9" w:rsidP="000405F9">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r>
        <w:rPr>
          <w:rFonts w:ascii="Times New Roman TUR" w:hAnsi="Times New Roman TUR"/>
        </w:rPr>
        <w:t xml:space="preserve">It is critical to assure the data collection instruments remain viable instruments for the field of public health practice and for the jurisdictions that are seeking to use these tools to understand their state public health system.  </w:t>
      </w:r>
      <w:r w:rsidR="005E0FC8">
        <w:rPr>
          <w:rFonts w:ascii="Times New Roman TUR" w:hAnsi="Times New Roman TUR"/>
        </w:rPr>
        <w:t>Local jurisdictions in n</w:t>
      </w:r>
      <w:r>
        <w:rPr>
          <w:rFonts w:ascii="Times New Roman TUR" w:hAnsi="Times New Roman TUR"/>
        </w:rPr>
        <w:t xml:space="preserve">umerous states are planning for use of the </w:t>
      </w:r>
      <w:r w:rsidR="005E0FC8">
        <w:rPr>
          <w:rFonts w:ascii="Times New Roman TUR" w:hAnsi="Times New Roman TUR"/>
        </w:rPr>
        <w:t xml:space="preserve">Local </w:t>
      </w:r>
      <w:r>
        <w:rPr>
          <w:rFonts w:ascii="Times New Roman TUR" w:hAnsi="Times New Roman TUR"/>
        </w:rPr>
        <w:t xml:space="preserve">Instrument and, if not available, will not have a viable tool for health improvement planning.  Some have incorporated the use of the NPHPSP instruments into their legislation or </w:t>
      </w:r>
      <w:r>
        <w:rPr>
          <w:rFonts w:ascii="Times New Roman TUR" w:hAnsi="Times New Roman TUR"/>
        </w:rPr>
        <w:lastRenderedPageBreak/>
        <w:t xml:space="preserve">regulation and therefore require its use during prescribed times.  Other states have written the use of NPHPSP instruments into </w:t>
      </w:r>
      <w:r w:rsidR="005E0FC8">
        <w:rPr>
          <w:rFonts w:ascii="Times New Roman TUR" w:hAnsi="Times New Roman TUR"/>
        </w:rPr>
        <w:t xml:space="preserve">grant timelines </w:t>
      </w:r>
      <w:r>
        <w:rPr>
          <w:rFonts w:ascii="Times New Roman TUR" w:hAnsi="Times New Roman TUR"/>
        </w:rPr>
        <w:t xml:space="preserve">and require their use during </w:t>
      </w:r>
      <w:r w:rsidR="005E0FC8">
        <w:rPr>
          <w:rFonts w:ascii="Times New Roman TUR" w:hAnsi="Times New Roman TUR"/>
        </w:rPr>
        <w:t xml:space="preserve">particular </w:t>
      </w:r>
      <w:r w:rsidR="00FE65F3">
        <w:rPr>
          <w:rFonts w:ascii="Times New Roman TUR" w:hAnsi="Times New Roman TUR"/>
        </w:rPr>
        <w:t>time periods</w:t>
      </w:r>
      <w:r>
        <w:rPr>
          <w:rFonts w:ascii="Times New Roman TUR" w:hAnsi="Times New Roman TUR"/>
        </w:rPr>
        <w:t xml:space="preserve">; there will be consequences for these states’ ability to comply with their grant deliverables if the instruments are not available for use.  </w:t>
      </w:r>
      <w:r w:rsidR="005E0FC8">
        <w:rPr>
          <w:rFonts w:ascii="Times New Roman TUR" w:hAnsi="Times New Roman TUR"/>
        </w:rPr>
        <w:t xml:space="preserve">Finally, the NPHPSP instruments are mentioned within the voluntary consensus standards developed as part of the national voluntary accreditation program by the Public Health Accreditation Board (PHAB) and many jurisdictions will seek to use the instruments as a component of their accreditation preparation activities.  </w:t>
      </w:r>
      <w:r>
        <w:rPr>
          <w:rFonts w:ascii="Times New Roman TUR" w:hAnsi="Times New Roman TUR"/>
        </w:rPr>
        <w:t>Additionally, if the information collection is undertaken on a less frequent basis, there will be consequences to the availability of current knowledge about state and local public health systems and boards of health.  There are no legal obstacles to reduce burden.</w:t>
      </w:r>
    </w:p>
    <w:p w:rsidR="0075243F" w:rsidRDefault="0075243F">
      <w:pPr>
        <w:widowControl/>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b/>
        </w:rPr>
      </w:pPr>
      <w:r>
        <w:rPr>
          <w:rFonts w:ascii="Times New Roman TUR" w:hAnsi="Times New Roman TUR"/>
          <w:b/>
        </w:rPr>
        <w:t>7.  Special Circumstances</w:t>
      </w:r>
      <w:r w:rsidR="00F43E7B">
        <w:rPr>
          <w:rFonts w:ascii="Times New Roman TUR" w:hAnsi="Times New Roman TUR"/>
          <w:b/>
        </w:rPr>
        <w:t xml:space="preserve"> Relating to the Guidelines of 5 CFR 1320.5</w:t>
      </w:r>
    </w:p>
    <w:p w:rsidR="0075243F"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r>
        <w:rPr>
          <w:rFonts w:ascii="Times New Roman TUR" w:hAnsi="Times New Roman TUR"/>
        </w:rPr>
        <w:t xml:space="preserve">This assessment is expected to take </w:t>
      </w:r>
      <w:r w:rsidR="00803324">
        <w:rPr>
          <w:rFonts w:ascii="Times New Roman TUR" w:hAnsi="Times New Roman TUR"/>
        </w:rPr>
        <w:t>16</w:t>
      </w:r>
      <w:r>
        <w:rPr>
          <w:rFonts w:ascii="Times New Roman TUR" w:hAnsi="Times New Roman TUR"/>
        </w:rPr>
        <w:t xml:space="preserve"> hours to be completed by a workgroup.  The table below explains the burden hours.</w:t>
      </w:r>
    </w:p>
    <w:p w:rsidR="0075243F"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p w:rsidR="0075243F"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rPr>
          <w:rFonts w:ascii="Times New Roman TUR" w:hAnsi="Times New Roman TUR"/>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9270"/>
      </w:tblGrid>
      <w:tr w:rsidR="0075243F">
        <w:tc>
          <w:tcPr>
            <w:tcW w:w="9270" w:type="dxa"/>
          </w:tcPr>
          <w:p w:rsidR="0075243F" w:rsidRPr="00B01E40" w:rsidRDefault="0075243F">
            <w:pPr>
              <w:spacing w:line="120" w:lineRule="exact"/>
              <w:rPr>
                <w:rFonts w:ascii="Times New Roman TUR" w:hAnsi="Times New Roman TUR"/>
                <w:b/>
              </w:rPr>
            </w:pPr>
          </w:p>
          <w:p w:rsidR="0075243F" w:rsidRPr="00B01E40" w:rsidRDefault="0075243F">
            <w:pPr>
              <w:widowControl/>
              <w:tabs>
                <w:tab w:val="left" w:pos="-18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left" w:pos="9090"/>
              </w:tabs>
              <w:spacing w:after="58"/>
              <w:jc w:val="center"/>
              <w:rPr>
                <w:rFonts w:ascii="Times New Roman TUR" w:hAnsi="Times New Roman TUR"/>
                <w:b/>
              </w:rPr>
            </w:pPr>
            <w:r w:rsidRPr="00B01E40">
              <w:rPr>
                <w:rFonts w:ascii="Times New Roman TUR" w:hAnsi="Times New Roman TUR"/>
                <w:b/>
              </w:rPr>
              <w:t>Explanation of Burden Hours</w:t>
            </w:r>
          </w:p>
        </w:tc>
      </w:tr>
    </w:tbl>
    <w:p w:rsidR="0075243F" w:rsidRDefault="0075243F">
      <w:pPr>
        <w:rPr>
          <w:rFonts w:ascii="Times New Roman TUR" w:hAnsi="Times New Roman TUR"/>
          <w:vanish/>
        </w:rPr>
      </w:pPr>
    </w:p>
    <w:tbl>
      <w:tblPr>
        <w:tblW w:w="0" w:type="auto"/>
        <w:tblInd w:w="224" w:type="dxa"/>
        <w:tblLayout w:type="fixed"/>
        <w:tblCellMar>
          <w:left w:w="134" w:type="dxa"/>
          <w:right w:w="134" w:type="dxa"/>
        </w:tblCellMar>
        <w:tblLook w:val="0000"/>
      </w:tblPr>
      <w:tblGrid>
        <w:gridCol w:w="2250"/>
        <w:gridCol w:w="1530"/>
        <w:gridCol w:w="5490"/>
      </w:tblGrid>
      <w:tr w:rsidR="0075243F">
        <w:tc>
          <w:tcPr>
            <w:tcW w:w="2250" w:type="dxa"/>
            <w:tcBorders>
              <w:top w:val="single" w:sz="4" w:space="0" w:color="auto"/>
              <w:left w:val="single" w:sz="4" w:space="0" w:color="auto"/>
              <w:bottom w:val="single" w:sz="4" w:space="0" w:color="auto"/>
              <w:right w:val="single" w:sz="4" w:space="0" w:color="auto"/>
            </w:tcBorders>
          </w:tcPr>
          <w:p w:rsidR="0075243F" w:rsidRPr="00B01E40" w:rsidRDefault="0075243F">
            <w:pPr>
              <w:spacing w:line="14" w:lineRule="exact"/>
              <w:rPr>
                <w:rFonts w:ascii="Times New Roman TUR" w:hAnsi="Times New Roman TUR"/>
                <w:b/>
              </w:rPr>
            </w:pPr>
          </w:p>
          <w:p w:rsidR="0075243F" w:rsidRPr="00B01E40"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b/>
              </w:rPr>
            </w:pPr>
          </w:p>
          <w:p w:rsidR="0075243F" w:rsidRPr="00B01E40"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b/>
              </w:rPr>
            </w:pPr>
            <w:r w:rsidRPr="00B01E40">
              <w:rPr>
                <w:rFonts w:ascii="Times New Roman TUR" w:hAnsi="Times New Roman TUR"/>
                <w:b/>
              </w:rPr>
              <w:t>TASK</w:t>
            </w:r>
          </w:p>
        </w:tc>
        <w:tc>
          <w:tcPr>
            <w:tcW w:w="1530" w:type="dxa"/>
            <w:tcBorders>
              <w:top w:val="single" w:sz="4" w:space="0" w:color="auto"/>
              <w:left w:val="single" w:sz="4" w:space="0" w:color="auto"/>
              <w:bottom w:val="single" w:sz="4" w:space="0" w:color="auto"/>
              <w:right w:val="single" w:sz="4" w:space="0" w:color="auto"/>
            </w:tcBorders>
          </w:tcPr>
          <w:p w:rsidR="0075243F" w:rsidRPr="00B01E40" w:rsidRDefault="0075243F">
            <w:pPr>
              <w:spacing w:line="14" w:lineRule="exact"/>
              <w:rPr>
                <w:rFonts w:ascii="Times New Roman TUR" w:hAnsi="Times New Roman TUR"/>
                <w:b/>
              </w:rPr>
            </w:pPr>
          </w:p>
          <w:p w:rsidR="0075243F" w:rsidRPr="00B01E40"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b/>
              </w:rPr>
            </w:pPr>
          </w:p>
          <w:p w:rsidR="0075243F" w:rsidRPr="00B01E40"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b/>
              </w:rPr>
            </w:pPr>
            <w:r w:rsidRPr="00B01E40">
              <w:rPr>
                <w:rFonts w:ascii="Times New Roman TUR" w:hAnsi="Times New Roman TUR"/>
                <w:b/>
              </w:rPr>
              <w:t>Time Needed (in Hrs)</w:t>
            </w:r>
          </w:p>
        </w:tc>
        <w:tc>
          <w:tcPr>
            <w:tcW w:w="5490" w:type="dxa"/>
            <w:tcBorders>
              <w:top w:val="single" w:sz="4" w:space="0" w:color="auto"/>
              <w:left w:val="single" w:sz="4" w:space="0" w:color="auto"/>
              <w:bottom w:val="single" w:sz="4" w:space="0" w:color="auto"/>
              <w:right w:val="single" w:sz="4" w:space="0" w:color="auto"/>
            </w:tcBorders>
          </w:tcPr>
          <w:p w:rsidR="0075243F" w:rsidRPr="00B01E40" w:rsidRDefault="0075243F">
            <w:pPr>
              <w:spacing w:line="14" w:lineRule="exact"/>
              <w:rPr>
                <w:rFonts w:ascii="Times New Roman TUR" w:hAnsi="Times New Roman TUR"/>
                <w:b/>
              </w:rPr>
            </w:pPr>
          </w:p>
          <w:p w:rsidR="0075243F" w:rsidRPr="00B01E40"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b/>
              </w:rPr>
            </w:pPr>
          </w:p>
          <w:p w:rsidR="0075243F" w:rsidRPr="00B01E40"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b/>
              </w:rPr>
            </w:pPr>
            <w:r w:rsidRPr="00B01E40">
              <w:rPr>
                <w:rFonts w:ascii="Times New Roman TUR" w:hAnsi="Times New Roman TUR"/>
                <w:b/>
              </w:rPr>
              <w:t>Explanation</w:t>
            </w:r>
          </w:p>
        </w:tc>
      </w:tr>
      <w:tr w:rsidR="0075243F" w:rsidTr="00803324">
        <w:trPr>
          <w:trHeight w:hRule="exact" w:val="2035"/>
        </w:trPr>
        <w:tc>
          <w:tcPr>
            <w:tcW w:w="225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rPr>
            </w:pPr>
            <w:r>
              <w:rPr>
                <w:rFonts w:ascii="Times New Roman TUR" w:hAnsi="Times New Roman TUR"/>
              </w:rPr>
              <w:t xml:space="preserve">Time for reviewing </w:t>
            </w:r>
            <w:r w:rsidR="00803324">
              <w:rPr>
                <w:rFonts w:ascii="Times New Roman TUR" w:hAnsi="Times New Roman TUR"/>
              </w:rPr>
              <w:t>i</w:t>
            </w:r>
            <w:r>
              <w:rPr>
                <w:rFonts w:ascii="Times New Roman TUR" w:hAnsi="Times New Roman TUR"/>
              </w:rPr>
              <w:t>nstructions</w:t>
            </w:r>
            <w:r w:rsidR="00803324">
              <w:rPr>
                <w:rFonts w:ascii="Times New Roman TUR" w:hAnsi="Times New Roman TUR"/>
              </w:rPr>
              <w:t xml:space="preserve"> and preparing for the assessment</w:t>
            </w:r>
          </w:p>
        </w:tc>
        <w:tc>
          <w:tcPr>
            <w:tcW w:w="153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803324">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jc w:val="center"/>
              <w:rPr>
                <w:rFonts w:ascii="Times New Roman TUR" w:hAnsi="Times New Roman TUR"/>
              </w:rPr>
            </w:pPr>
            <w:r>
              <w:rPr>
                <w:rFonts w:ascii="Times New Roman TUR" w:hAnsi="Times New Roman TUR"/>
              </w:rPr>
              <w:t>3</w:t>
            </w:r>
          </w:p>
        </w:tc>
        <w:tc>
          <w:tcPr>
            <w:tcW w:w="549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rPr>
            </w:pPr>
            <w:r>
              <w:rPr>
                <w:rFonts w:ascii="Times New Roman TUR" w:hAnsi="Times New Roman TUR"/>
              </w:rPr>
              <w:t xml:space="preserve">Based on field test experience it requires </w:t>
            </w:r>
            <w:r w:rsidR="00803324">
              <w:rPr>
                <w:rFonts w:ascii="Times New Roman TUR" w:hAnsi="Times New Roman TUR"/>
              </w:rPr>
              <w:t>3</w:t>
            </w:r>
            <w:r>
              <w:rPr>
                <w:rFonts w:ascii="Times New Roman TUR" w:hAnsi="Times New Roman TUR"/>
              </w:rPr>
              <w:t xml:space="preserve"> hour</w:t>
            </w:r>
            <w:r w:rsidR="00803324">
              <w:rPr>
                <w:rFonts w:ascii="Times New Roman TUR" w:hAnsi="Times New Roman TUR"/>
              </w:rPr>
              <w:t>s</w:t>
            </w:r>
            <w:r>
              <w:rPr>
                <w:rFonts w:ascii="Times New Roman TUR" w:hAnsi="Times New Roman TUR"/>
              </w:rPr>
              <w:t xml:space="preserve"> to review the instructions and </w:t>
            </w:r>
            <w:r w:rsidR="00803324">
              <w:rPr>
                <w:rFonts w:ascii="Times New Roman TUR" w:hAnsi="Times New Roman TUR"/>
              </w:rPr>
              <w:t>prepare for the assessment</w:t>
            </w:r>
            <w:r>
              <w:rPr>
                <w:rFonts w:ascii="Times New Roman TUR" w:hAnsi="Times New Roman TUR"/>
              </w:rPr>
              <w:t xml:space="preserve">.  This assessment is a group </w:t>
            </w:r>
            <w:proofErr w:type="gramStart"/>
            <w:r>
              <w:rPr>
                <w:rFonts w:ascii="Times New Roman TUR" w:hAnsi="Times New Roman TUR"/>
              </w:rPr>
              <w:t>effort</w:t>
            </w:r>
            <w:r w:rsidR="00803324">
              <w:rPr>
                <w:rFonts w:ascii="Times New Roman TUR" w:hAnsi="Times New Roman TUR"/>
              </w:rPr>
              <w:t>,</w:t>
            </w:r>
            <w:proofErr w:type="gramEnd"/>
            <w:r w:rsidR="00803324">
              <w:rPr>
                <w:rFonts w:ascii="Times New Roman TUR" w:hAnsi="Times New Roman TUR"/>
              </w:rPr>
              <w:t xml:space="preserve"> therefore, this step includes initial contact and orientation of workgroup members regarding the effort.</w:t>
            </w:r>
          </w:p>
        </w:tc>
      </w:tr>
      <w:tr w:rsidR="0075243F">
        <w:tc>
          <w:tcPr>
            <w:tcW w:w="225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803324">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rPr>
            </w:pPr>
            <w:r>
              <w:rPr>
                <w:rFonts w:ascii="Times New Roman TUR" w:hAnsi="Times New Roman TUR"/>
              </w:rPr>
              <w:t>Review</w:t>
            </w:r>
            <w:r w:rsidR="00A73F6F">
              <w:rPr>
                <w:rFonts w:ascii="Times New Roman TUR" w:hAnsi="Times New Roman TUR"/>
              </w:rPr>
              <w:t xml:space="preserve"> data sources</w:t>
            </w:r>
            <w:r>
              <w:rPr>
                <w:rFonts w:ascii="Times New Roman TUR" w:hAnsi="Times New Roman TUR"/>
              </w:rPr>
              <w:t>, discuss, and respond to questions</w:t>
            </w:r>
          </w:p>
        </w:tc>
        <w:tc>
          <w:tcPr>
            <w:tcW w:w="153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803324">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jc w:val="center"/>
              <w:rPr>
                <w:rFonts w:ascii="Times New Roman TUR" w:hAnsi="Times New Roman TUR"/>
              </w:rPr>
            </w:pPr>
            <w:r>
              <w:rPr>
                <w:rFonts w:ascii="Times New Roman TUR" w:hAnsi="Times New Roman TUR"/>
              </w:rPr>
              <w:t>10</w:t>
            </w:r>
          </w:p>
        </w:tc>
        <w:tc>
          <w:tcPr>
            <w:tcW w:w="549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rPr>
                <w:rFonts w:ascii="Times New Roman TUR" w:hAnsi="Times New Roman TUR"/>
              </w:rPr>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rPr>
                <w:rFonts w:ascii="Times New Roman TUR" w:hAnsi="Times New Roman TUR"/>
              </w:rPr>
            </w:pPr>
            <w:r>
              <w:rPr>
                <w:rFonts w:ascii="Times New Roman TUR" w:hAnsi="Times New Roman TUR"/>
              </w:rPr>
              <w:t xml:space="preserve">This assessment will require </w:t>
            </w:r>
            <w:r w:rsidR="00803324">
              <w:rPr>
                <w:rFonts w:ascii="Times New Roman TUR" w:hAnsi="Times New Roman TUR"/>
              </w:rPr>
              <w:t xml:space="preserve">input </w:t>
            </w:r>
            <w:r>
              <w:rPr>
                <w:rFonts w:ascii="Times New Roman TUR" w:hAnsi="Times New Roman TUR"/>
              </w:rPr>
              <w:t xml:space="preserve">from a number of different </w:t>
            </w:r>
            <w:r w:rsidR="00A73F6F">
              <w:rPr>
                <w:rFonts w:ascii="Times New Roman TUR" w:hAnsi="Times New Roman TUR"/>
              </w:rPr>
              <w:t xml:space="preserve">data </w:t>
            </w:r>
            <w:r>
              <w:rPr>
                <w:rFonts w:ascii="Times New Roman TUR" w:hAnsi="Times New Roman TUR"/>
              </w:rPr>
              <w:t xml:space="preserve">sources </w:t>
            </w:r>
            <w:r w:rsidR="00803324">
              <w:rPr>
                <w:rFonts w:ascii="Times New Roman TUR" w:hAnsi="Times New Roman TUR"/>
              </w:rPr>
              <w:t>and partners</w:t>
            </w:r>
            <w:r>
              <w:rPr>
                <w:rFonts w:ascii="Times New Roman TUR" w:hAnsi="Times New Roman TUR"/>
              </w:rPr>
              <w:t xml:space="preserve">.  The </w:t>
            </w:r>
            <w:r w:rsidR="00A73F6F">
              <w:rPr>
                <w:rFonts w:ascii="Times New Roman TUR" w:hAnsi="Times New Roman TUR"/>
              </w:rPr>
              <w:t xml:space="preserve">various </w:t>
            </w:r>
            <w:r>
              <w:rPr>
                <w:rFonts w:ascii="Times New Roman TUR" w:hAnsi="Times New Roman TUR"/>
              </w:rPr>
              <w:t xml:space="preserve">entities that contribute to the delivery of public </w:t>
            </w:r>
            <w:r w:rsidR="00803324">
              <w:rPr>
                <w:rFonts w:ascii="Times New Roman TUR" w:hAnsi="Times New Roman TUR"/>
              </w:rPr>
              <w:t>h</w:t>
            </w:r>
            <w:r>
              <w:rPr>
                <w:rFonts w:ascii="Times New Roman TUR" w:hAnsi="Times New Roman TUR"/>
              </w:rPr>
              <w:t xml:space="preserve">ealth </w:t>
            </w:r>
            <w:r w:rsidR="00803324">
              <w:rPr>
                <w:rFonts w:ascii="Times New Roman TUR" w:hAnsi="Times New Roman TUR"/>
              </w:rPr>
              <w:t>s</w:t>
            </w:r>
            <w:r>
              <w:rPr>
                <w:rFonts w:ascii="Times New Roman TUR" w:hAnsi="Times New Roman TUR"/>
              </w:rPr>
              <w:t xml:space="preserve">ervices within a community will make up a workgroup that is responsible for this </w:t>
            </w:r>
            <w:r w:rsidR="00803324">
              <w:rPr>
                <w:rFonts w:ascii="Times New Roman TUR" w:hAnsi="Times New Roman TUR"/>
              </w:rPr>
              <w:t>collective response</w:t>
            </w:r>
            <w:r>
              <w:rPr>
                <w:rFonts w:ascii="Times New Roman TUR" w:hAnsi="Times New Roman TUR"/>
              </w:rPr>
              <w:t>.</w:t>
            </w:r>
            <w:r w:rsidR="00803324">
              <w:rPr>
                <w:rFonts w:ascii="Times New Roman TUR" w:hAnsi="Times New Roman TUR"/>
              </w:rPr>
              <w:t xml:space="preserve">  During this step, the workgroup compiles </w:t>
            </w:r>
            <w:r w:rsidR="00A73F6F">
              <w:rPr>
                <w:rFonts w:ascii="Times New Roman TUR" w:hAnsi="Times New Roman TUR"/>
              </w:rPr>
              <w:t xml:space="preserve">information based on their own knowledge and data sources </w:t>
            </w:r>
            <w:r w:rsidR="00803324">
              <w:rPr>
                <w:rFonts w:ascii="Times New Roman TUR" w:hAnsi="Times New Roman TUR"/>
              </w:rPr>
              <w:t xml:space="preserve">and </w:t>
            </w:r>
            <w:r w:rsidR="00A73F6F">
              <w:rPr>
                <w:rFonts w:ascii="Times New Roman TUR" w:hAnsi="Times New Roman TUR"/>
              </w:rPr>
              <w:t xml:space="preserve">then </w:t>
            </w:r>
            <w:r w:rsidR="00803324">
              <w:rPr>
                <w:rFonts w:ascii="Times New Roman TUR" w:hAnsi="Times New Roman TUR"/>
              </w:rPr>
              <w:t>discusses the input in order to make a well-informed decision.</w:t>
            </w:r>
          </w:p>
        </w:tc>
      </w:tr>
      <w:tr w:rsidR="0075243F">
        <w:trPr>
          <w:trHeight w:hRule="exact" w:val="1162"/>
        </w:trPr>
        <w:tc>
          <w:tcPr>
            <w:tcW w:w="225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r>
              <w:t xml:space="preserve">Completing and </w:t>
            </w:r>
            <w:r w:rsidR="00803324">
              <w:t xml:space="preserve">submitting </w:t>
            </w:r>
            <w:r>
              <w:t>the information</w:t>
            </w:r>
          </w:p>
          <w:p w:rsidR="00B01E40" w:rsidRDefault="00B01E40">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p>
        </w:tc>
        <w:tc>
          <w:tcPr>
            <w:tcW w:w="153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pPr>
          </w:p>
          <w:p w:rsidR="0075243F" w:rsidRDefault="00803324">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jc w:val="center"/>
            </w:pPr>
            <w:r>
              <w:t>3</w:t>
            </w:r>
          </w:p>
        </w:tc>
        <w:tc>
          <w:tcPr>
            <w:tcW w:w="549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7524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r>
              <w:t xml:space="preserve">Based on field test results, it takes about </w:t>
            </w:r>
            <w:r w:rsidR="00803324">
              <w:t>3</w:t>
            </w:r>
            <w:r>
              <w:t xml:space="preserve"> hours to review the information and enter this information into the on-line database for analysis.</w:t>
            </w:r>
          </w:p>
          <w:p w:rsidR="00B01E40" w:rsidRDefault="00B01E40">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p>
        </w:tc>
      </w:tr>
      <w:tr w:rsidR="0075243F">
        <w:tc>
          <w:tcPr>
            <w:tcW w:w="225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r>
              <w:t xml:space="preserve">     Total Hours</w:t>
            </w:r>
          </w:p>
        </w:tc>
        <w:tc>
          <w:tcPr>
            <w:tcW w:w="153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803324">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jc w:val="center"/>
            </w:pPr>
            <w:r>
              <w:t>16</w:t>
            </w:r>
          </w:p>
        </w:tc>
        <w:tc>
          <w:tcPr>
            <w:tcW w:w="5490" w:type="dxa"/>
            <w:tcBorders>
              <w:top w:val="single" w:sz="4" w:space="0" w:color="auto"/>
              <w:left w:val="single" w:sz="4" w:space="0" w:color="auto"/>
              <w:bottom w:val="single" w:sz="4" w:space="0" w:color="auto"/>
              <w:right w:val="single" w:sz="4" w:space="0" w:color="auto"/>
            </w:tcBorders>
          </w:tcPr>
          <w:p w:rsidR="0075243F" w:rsidRDefault="0075243F">
            <w:pPr>
              <w:spacing w:line="14" w:lineRule="exact"/>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spacing w:after="14"/>
            </w:pPr>
          </w:p>
        </w:tc>
      </w:tr>
    </w:tbl>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270"/>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90"/>
      </w:pPr>
      <w:r>
        <w:lastRenderedPageBreak/>
        <w:t>The table above was produced based on field test results</w:t>
      </w:r>
      <w:r w:rsidR="00803324">
        <w:t xml:space="preserve"> from eight sites, which indicate that there is a slightly decreased burden (16 hours instead of 24 hours) for the revised Version 2 instrument.  </w:t>
      </w:r>
      <w:r w:rsidR="005E0FC8">
        <w:t>(</w:t>
      </w:r>
      <w:r w:rsidR="00803324">
        <w:t xml:space="preserve">The </w:t>
      </w:r>
      <w:r w:rsidR="005E0FC8">
        <w:t xml:space="preserve">previously </w:t>
      </w:r>
      <w:r w:rsidR="00803324">
        <w:t>approved Version 1 instrument has a burden estimate of 24 hours.</w:t>
      </w:r>
      <w:r w:rsidR="005E0FC8">
        <w:t>)</w:t>
      </w:r>
      <w:r>
        <w:t xml:space="preserve">  CDC and its NPHPSP partner organizations have found that local jurisdictions’ use continue to support these burden estimates.  </w:t>
      </w:r>
    </w:p>
    <w:p w:rsidR="005513CE" w:rsidRDefault="005513CE">
      <w:pPr>
        <w:widowControl/>
        <w:pBdr>
          <w:top w:val="single" w:sz="6" w:space="0" w:color="FFFFFF"/>
          <w:left w:val="single" w:sz="6" w:space="0" w:color="FFFFFF"/>
          <w:bottom w:val="single" w:sz="6" w:space="0" w:color="FFFFFF"/>
          <w:right w:val="single" w:sz="6" w:space="0" w:color="FFFFFF"/>
        </w:pBdr>
        <w:tabs>
          <w:tab w:val="left" w:pos="9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90"/>
      </w:pPr>
    </w:p>
    <w:p w:rsidR="0075243F" w:rsidRDefault="0075243F" w:rsidP="00F43E7B">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left" w:pos="9090"/>
        </w:tabs>
        <w:rPr>
          <w:b/>
        </w:rPr>
      </w:pPr>
      <w:r>
        <w:rPr>
          <w:b/>
        </w:rPr>
        <w:t>8.  C</w:t>
      </w:r>
      <w:r w:rsidR="00F43E7B">
        <w:rPr>
          <w:b/>
        </w:rPr>
        <w:t>omments in Response to the Federal Register Notice and Efforts to Consult</w:t>
      </w:r>
      <w:r>
        <w:rPr>
          <w:b/>
        </w:rPr>
        <w:t xml:space="preserve"> Outside </w:t>
      </w:r>
      <w:r w:rsidR="00F43E7B">
        <w:rPr>
          <w:b/>
        </w:rPr>
        <w:t xml:space="preserve">         </w:t>
      </w:r>
      <w:r>
        <w:rPr>
          <w:b/>
        </w:rPr>
        <w:t>the Agency</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left" w:pos="9090"/>
        </w:tabs>
      </w:pPr>
      <w:r>
        <w:t xml:space="preserve">  </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450"/>
          <w:tab w:val="left" w:pos="2250"/>
          <w:tab w:val="left" w:pos="2970"/>
          <w:tab w:val="left" w:pos="3690"/>
          <w:tab w:val="left" w:pos="4410"/>
          <w:tab w:val="left" w:pos="5130"/>
          <w:tab w:val="left" w:pos="5850"/>
          <w:tab w:val="left" w:pos="6570"/>
          <w:tab w:val="left" w:pos="7290"/>
          <w:tab w:val="left" w:pos="8010"/>
          <w:tab w:val="left" w:pos="8730"/>
          <w:tab w:val="left" w:pos="9090"/>
        </w:tabs>
        <w:rPr>
          <w:b/>
        </w:rPr>
      </w:pPr>
      <w:r>
        <w:rPr>
          <w:b/>
        </w:rPr>
        <w:t>8a:  Federal Register Notice</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450"/>
          <w:tab w:val="left" w:pos="2250"/>
          <w:tab w:val="left" w:pos="2970"/>
          <w:tab w:val="left" w:pos="3690"/>
          <w:tab w:val="left" w:pos="4410"/>
          <w:tab w:val="left" w:pos="5130"/>
          <w:tab w:val="left" w:pos="5850"/>
          <w:tab w:val="left" w:pos="6570"/>
          <w:tab w:val="left" w:pos="7290"/>
          <w:tab w:val="left" w:pos="8010"/>
          <w:tab w:val="left" w:pos="8730"/>
          <w:tab w:val="left" w:pos="9090"/>
        </w:tabs>
      </w:pPr>
    </w:p>
    <w:p w:rsidR="0075243F" w:rsidRDefault="00A601D5">
      <w:pPr>
        <w:widowControl/>
        <w:pBdr>
          <w:top w:val="single" w:sz="6" w:space="0" w:color="FFFFFF"/>
          <w:left w:val="single" w:sz="6" w:space="0" w:color="FFFFFF"/>
          <w:bottom w:val="single" w:sz="6" w:space="0" w:color="FFFFFF"/>
          <w:right w:val="single" w:sz="6" w:space="0" w:color="FFFFFF"/>
        </w:pBdr>
        <w:tabs>
          <w:tab w:val="left" w:pos="90"/>
          <w:tab w:val="left" w:pos="450"/>
          <w:tab w:val="left" w:pos="2250"/>
          <w:tab w:val="left" w:pos="2970"/>
          <w:tab w:val="left" w:pos="3690"/>
          <w:tab w:val="left" w:pos="4410"/>
          <w:tab w:val="left" w:pos="5130"/>
          <w:tab w:val="left" w:pos="5850"/>
          <w:tab w:val="left" w:pos="6570"/>
          <w:tab w:val="left" w:pos="7290"/>
          <w:tab w:val="left" w:pos="8010"/>
          <w:tab w:val="left" w:pos="8730"/>
          <w:tab w:val="left" w:pos="9090"/>
        </w:tabs>
      </w:pPr>
      <w:r w:rsidRPr="00154B35">
        <w:t xml:space="preserve">The 60-day Federal Register Notice was published on </w:t>
      </w:r>
      <w:r w:rsidR="00154B35" w:rsidRPr="00154B35">
        <w:t>March</w:t>
      </w:r>
      <w:r w:rsidR="0014527D" w:rsidRPr="00154B35">
        <w:t xml:space="preserve"> 18, 2010</w:t>
      </w:r>
      <w:r w:rsidRPr="00154B35">
        <w:t xml:space="preserve">, Vol. </w:t>
      </w:r>
      <w:r w:rsidR="0014527D" w:rsidRPr="00154B35">
        <w:t>75</w:t>
      </w:r>
      <w:r w:rsidRPr="00154B35">
        <w:t xml:space="preserve">, No. </w:t>
      </w:r>
      <w:r w:rsidR="0014527D" w:rsidRPr="00154B35">
        <w:t>52</w:t>
      </w:r>
      <w:r w:rsidRPr="00154B35">
        <w:t xml:space="preserve">, pages </w:t>
      </w:r>
      <w:r w:rsidR="0014527D" w:rsidRPr="00154B35">
        <w:t>13132-13133</w:t>
      </w:r>
      <w:r w:rsidRPr="00154B35">
        <w:t>.  No comments were received.  A copy of this notice is provided for reference in Attachment B.</w:t>
      </w:r>
      <w:r w:rsidR="0075243F">
        <w:t xml:space="preserve">  </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450"/>
          <w:tab w:val="left" w:pos="2250"/>
          <w:tab w:val="left" w:pos="2970"/>
          <w:tab w:val="left" w:pos="3690"/>
          <w:tab w:val="left" w:pos="4410"/>
          <w:tab w:val="left" w:pos="5130"/>
          <w:tab w:val="left" w:pos="5850"/>
          <w:tab w:val="left" w:pos="6570"/>
          <w:tab w:val="left" w:pos="7290"/>
          <w:tab w:val="left" w:pos="8010"/>
          <w:tab w:val="left" w:pos="8730"/>
          <w:tab w:val="left" w:pos="909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450"/>
          <w:tab w:val="left" w:pos="2250"/>
          <w:tab w:val="left" w:pos="2970"/>
          <w:tab w:val="left" w:pos="3690"/>
          <w:tab w:val="left" w:pos="4410"/>
          <w:tab w:val="left" w:pos="5130"/>
          <w:tab w:val="left" w:pos="5850"/>
          <w:tab w:val="left" w:pos="6570"/>
          <w:tab w:val="left" w:pos="7290"/>
          <w:tab w:val="left" w:pos="8010"/>
          <w:tab w:val="left" w:pos="8730"/>
          <w:tab w:val="right" w:pos="9360"/>
        </w:tabs>
        <w:rPr>
          <w:b/>
        </w:rPr>
      </w:pPr>
      <w:r>
        <w:rPr>
          <w:b/>
        </w:rPr>
        <w:t>8b:  Consultations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 xml:space="preserve">Representatives from the following organizations reviewed and guided the </w:t>
      </w:r>
      <w:r w:rsidR="00123B63">
        <w:t xml:space="preserve">original </w:t>
      </w:r>
      <w:r>
        <w:t xml:space="preserve">development </w:t>
      </w:r>
      <w:r w:rsidR="00123B63">
        <w:t xml:space="preserve">and recent revision </w:t>
      </w:r>
      <w:r>
        <w:t>of the data collection instrument and have worked with CDC since 2002 to support its use in local jurisdictions.  Refer to Attachment C for a list of these individuals.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American Public Health Association (APHA)</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Association of State and Territorial Health Officials (ASTHO)</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National Association of County and City Health Officials (NACCHO)</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National Association of Local Boards of Health (NALBOH)</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National Network of Public Health Institutes (NNPHI)</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Public Health Foundation (PHF)</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rPr>
          <w:b/>
        </w:rPr>
      </w:pPr>
      <w:r>
        <w:rPr>
          <w:b/>
        </w:rPr>
        <w:t>9.</w:t>
      </w:r>
      <w:r>
        <w:rPr>
          <w:b/>
        </w:rPr>
        <w:tab/>
      </w:r>
      <w:r w:rsidR="00535D28">
        <w:rPr>
          <w:b/>
        </w:rPr>
        <w:t xml:space="preserve">Explanation of Any </w:t>
      </w:r>
      <w:r>
        <w:rPr>
          <w:b/>
        </w:rPr>
        <w:t>Payment</w:t>
      </w:r>
      <w:r w:rsidR="00535D28">
        <w:rPr>
          <w:b/>
        </w:rPr>
        <w:t xml:space="preserve"> or Gift</w:t>
      </w:r>
      <w:r>
        <w:rPr>
          <w:b/>
        </w:rPr>
        <w:t xml:space="preserve"> to Respondents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r>
        <w:t>None</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 w:val="right" w:pos="9360"/>
        </w:tabs>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b/>
        </w:rPr>
      </w:pPr>
      <w:r>
        <w:rPr>
          <w:b/>
        </w:rPr>
        <w:t>10.  Assurance of Confidentiality</w:t>
      </w:r>
      <w:r w:rsidR="00535D28">
        <w:rPr>
          <w:b/>
        </w:rPr>
        <w:t xml:space="preserve"> Provided to Respondents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Courier New TUR" w:hAnsi="Courier New TUR"/>
        </w:rPr>
      </w:pPr>
    </w:p>
    <w:p w:rsidR="00EF18B8" w:rsidRDefault="0075243F" w:rsidP="00EF18B8">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The OMB justification has been reviewed and it has been determined that the Privacy Act is not applicable.  While names and titles of contact persons are being collected, individuals will be not be providing personal individually identifiable data, but instead speaking from their professional roles as being capable of collecting data to measure the capacity of the local public health system to deliver the 10 Essential Public Health Services.  Demographic information requested deals not with the point of contact but with information on the local public health agency.  Therefore, the data for the project do not meet the definition of a Privacy Act system of records.  A password protected electronic database has been created to store survey results at CDC.  Access is limited</w:t>
      </w:r>
      <w:r w:rsidR="00847460">
        <w:rPr>
          <w:rFonts w:ascii="Times New Roman TUR" w:hAnsi="Times New Roman TUR"/>
        </w:rPr>
        <w:t xml:space="preserve"> </w:t>
      </w:r>
      <w:r>
        <w:rPr>
          <w:rFonts w:ascii="Times New Roman TUR" w:hAnsi="Times New Roman TUR"/>
        </w:rPr>
        <w:t>to individuals with a bona</w:t>
      </w:r>
      <w:r w:rsidR="00835CD7">
        <w:rPr>
          <w:rFonts w:ascii="Times New Roman TUR" w:hAnsi="Times New Roman TUR"/>
        </w:rPr>
        <w:t xml:space="preserve"> </w:t>
      </w:r>
      <w:r>
        <w:rPr>
          <w:rFonts w:ascii="Times New Roman TUR" w:hAnsi="Times New Roman TUR"/>
        </w:rPr>
        <w:t>fide need to know for official duties.  Respondents will be identified by unique identifiers developed under a National Public Health Registry.</w:t>
      </w:r>
      <w:r w:rsidR="00EF18B8">
        <w:rPr>
          <w:rFonts w:ascii="Times New Roman TUR" w:hAnsi="Times New Roman TUR"/>
        </w:rPr>
        <w:t xml:space="preserve">  Data management procedures have not changed since previous approval.</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lastRenderedPageBreak/>
        <w:t xml:space="preserve">11.  </w:t>
      </w:r>
      <w:r w:rsidR="00535D28">
        <w:rPr>
          <w:rFonts w:ascii="Times New Roman TUR" w:hAnsi="Times New Roman TUR"/>
          <w:b/>
        </w:rPr>
        <w:t xml:space="preserve">Justification for </w:t>
      </w:r>
      <w:r>
        <w:rPr>
          <w:rFonts w:ascii="Times New Roman TUR" w:hAnsi="Times New Roman TUR"/>
          <w:b/>
        </w:rPr>
        <w:t xml:space="preserve">Sensitive </w:t>
      </w:r>
      <w:r w:rsidR="00535D28">
        <w:rPr>
          <w:rFonts w:ascii="Times New Roman TUR" w:hAnsi="Times New Roman TUR"/>
          <w:b/>
        </w:rPr>
        <w:t>Questions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The local instrument does not contain questions which are sensitive in nature.</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t>12.  Estimates of Annualized Burden Hours and Costs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t>12a: Hours</w:t>
      </w:r>
    </w:p>
    <w:p w:rsidR="00D14D55" w:rsidRDefault="00D14D55" w:rsidP="006C34ED">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6C34ED" w:rsidRDefault="0075243F" w:rsidP="006C34ED">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 xml:space="preserve">Local public health agencies will complete the NPHPSP local instrument with the consensus responses of local public health system representatives.  Local instrument completion will consume approximately </w:t>
      </w:r>
      <w:r w:rsidR="00123B63">
        <w:rPr>
          <w:rFonts w:ascii="Times New Roman TUR" w:hAnsi="Times New Roman TUR"/>
        </w:rPr>
        <w:t>16</w:t>
      </w:r>
      <w:r>
        <w:rPr>
          <w:rFonts w:ascii="Times New Roman TUR" w:hAnsi="Times New Roman TUR"/>
        </w:rPr>
        <w:t xml:space="preserve"> hours of local health department staff time.  This includes time necessary to conduct an orientation, convene representatives of the local public health system, collate responses, and submit data for analysis.</w:t>
      </w:r>
    </w:p>
    <w:p w:rsidR="00D14D55" w:rsidRDefault="00D14D55" w:rsidP="006C34ED">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123B63" w:rsidP="006C34ED">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r>
        <w:rPr>
          <w:rFonts w:ascii="Times New Roman TUR" w:hAnsi="Times New Roman TUR"/>
        </w:rPr>
        <w:t>Although some states have provided funding to their local jurisdictions for use of this instrument, there</w:t>
      </w:r>
      <w:r w:rsidR="0075243F">
        <w:rPr>
          <w:rFonts w:ascii="Times New Roman TUR" w:hAnsi="Times New Roman TUR"/>
        </w:rPr>
        <w:t xml:space="preserve"> is no dedicated grant funding for this activity.  For that reason, it is critical to support states and local jurisdictions in this effort at a time that best meets their needs and resources</w:t>
      </w:r>
      <w:r w:rsidR="00E01F20">
        <w:rPr>
          <w:rFonts w:ascii="Times New Roman TUR" w:hAnsi="Times New Roman TUR"/>
        </w:rPr>
        <w:t>.</w:t>
      </w:r>
      <w:r>
        <w:rPr>
          <w:rFonts w:ascii="Times New Roman TUR" w:hAnsi="Times New Roman TUR"/>
        </w:rPr>
        <w:t xml:space="preserve">  Therefore, CDC and its partners </w:t>
      </w:r>
      <w:proofErr w:type="gramStart"/>
      <w:r>
        <w:rPr>
          <w:rFonts w:ascii="Times New Roman TUR" w:hAnsi="Times New Roman TUR"/>
        </w:rPr>
        <w:t>considers</w:t>
      </w:r>
      <w:proofErr w:type="gramEnd"/>
      <w:r>
        <w:rPr>
          <w:rFonts w:ascii="Times New Roman TUR" w:hAnsi="Times New Roman TUR"/>
        </w:rPr>
        <w:t xml:space="preserve"> it important that this data collection instrument be available to be used on a voluntary and rolling basis.</w:t>
      </w:r>
    </w:p>
    <w:p w:rsidR="0075243F" w:rsidRDefault="007524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75243F" w:rsidRDefault="00123B63" w:rsidP="005513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T</w:t>
      </w:r>
      <w:r w:rsidR="0075243F">
        <w:rPr>
          <w:rFonts w:ascii="Times New Roman TUR" w:hAnsi="Times New Roman TUR"/>
        </w:rPr>
        <w:t xml:space="preserve">he universe </w:t>
      </w:r>
      <w:r w:rsidR="000405F9">
        <w:rPr>
          <w:rFonts w:ascii="Times New Roman TUR" w:hAnsi="Times New Roman TUR"/>
        </w:rPr>
        <w:t xml:space="preserve">for this data collection is </w:t>
      </w:r>
      <w:r w:rsidR="00526DD9">
        <w:rPr>
          <w:rFonts w:ascii="Times New Roman TUR" w:hAnsi="Times New Roman TUR"/>
        </w:rPr>
        <w:t>2146</w:t>
      </w:r>
      <w:r>
        <w:rPr>
          <w:rFonts w:ascii="Times New Roman TUR" w:hAnsi="Times New Roman TUR"/>
        </w:rPr>
        <w:t xml:space="preserve"> local jurisdictions.  </w:t>
      </w:r>
      <w:r w:rsidR="0075243F">
        <w:rPr>
          <w:rFonts w:ascii="Times New Roman TUR" w:hAnsi="Times New Roman TUR"/>
        </w:rPr>
        <w:t xml:space="preserve">The table below reflects estimates for respondents during the next three years.  These estimates are based on past use </w:t>
      </w:r>
      <w:r>
        <w:rPr>
          <w:rFonts w:ascii="Times New Roman TUR" w:hAnsi="Times New Roman TUR"/>
        </w:rPr>
        <w:t xml:space="preserve">of the Version 1 instruments </w:t>
      </w:r>
      <w:r w:rsidR="0075243F">
        <w:rPr>
          <w:rFonts w:ascii="Times New Roman TUR" w:hAnsi="Times New Roman TUR"/>
        </w:rPr>
        <w:t xml:space="preserve">as well as the expert opinion of the NPHPSP staff and partner organizations who are working with states preparing to undertake the assessment. </w:t>
      </w:r>
      <w:r w:rsidR="006C34ED">
        <w:rPr>
          <w:rFonts w:ascii="Times New Roman TUR" w:hAnsi="Times New Roman TUR"/>
        </w:rPr>
        <w:t xml:space="preserve"> </w:t>
      </w:r>
      <w:r w:rsidR="0075243F">
        <w:rPr>
          <w:rFonts w:ascii="Times New Roman TUR" w:hAnsi="Times New Roman TUR"/>
        </w:rPr>
        <w:t>Burden hours also are shown in table A.12.a.</w:t>
      </w:r>
    </w:p>
    <w:p w:rsidR="00CA7BBD" w:rsidRDefault="00CA7BBD">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b/>
        </w:rPr>
      </w:pPr>
      <w:r>
        <w:rPr>
          <w:rFonts w:ascii="Times New Roman TUR" w:hAnsi="Times New Roman TUR"/>
          <w:b/>
        </w:rPr>
        <w:t>Table A.12.a:  Estimates of Organizational Hourly Burden</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2250"/>
          <w:tab w:val="left" w:pos="2970"/>
          <w:tab w:val="left" w:pos="3690"/>
          <w:tab w:val="left" w:pos="4410"/>
          <w:tab w:val="left" w:pos="5130"/>
          <w:tab w:val="left" w:pos="5850"/>
          <w:tab w:val="left" w:pos="6570"/>
          <w:tab w:val="left" w:pos="7290"/>
          <w:tab w:val="left" w:pos="8010"/>
          <w:tab w:val="left" w:pos="8730"/>
          <w:tab w:val="right" w:pos="9360"/>
        </w:tabs>
        <w:rPr>
          <w:rFonts w:ascii="Times New Roman TUR" w:hAnsi="Times New Roman TUR"/>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890"/>
        <w:gridCol w:w="1710"/>
        <w:gridCol w:w="2520"/>
        <w:gridCol w:w="1980"/>
      </w:tblGrid>
      <w:tr w:rsidR="006C0CCB" w:rsidTr="006C0CCB">
        <w:tc>
          <w:tcPr>
            <w:tcW w:w="1980" w:type="dxa"/>
          </w:tcPr>
          <w:p w:rsidR="006C0CCB" w:rsidRPr="00DB6C14" w:rsidRDefault="006C0CCB" w:rsidP="006C0CCB">
            <w:pPr>
              <w:ind w:left="-18"/>
              <w:jc w:val="center"/>
              <w:rPr>
                <w:rFonts w:ascii="Courier New" w:hAnsi="Courier New" w:cs="Courier New"/>
                <w:bCs/>
                <w:iCs/>
              </w:rPr>
            </w:pPr>
            <w:r>
              <w:rPr>
                <w:rFonts w:ascii="Courier New" w:hAnsi="Courier New" w:cs="Courier New"/>
                <w:bCs/>
                <w:iCs/>
              </w:rPr>
              <w:t>Respondents</w:t>
            </w:r>
          </w:p>
        </w:tc>
        <w:tc>
          <w:tcPr>
            <w:tcW w:w="1890" w:type="dxa"/>
          </w:tcPr>
          <w:p w:rsidR="006C0CCB" w:rsidRPr="00DB6C14" w:rsidRDefault="006C0CCB" w:rsidP="006C0CCB">
            <w:pPr>
              <w:ind w:left="-18"/>
              <w:jc w:val="center"/>
              <w:rPr>
                <w:rFonts w:ascii="Courier New" w:hAnsi="Courier New" w:cs="Courier New"/>
                <w:bCs/>
                <w:iCs/>
              </w:rPr>
            </w:pPr>
            <w:r w:rsidRPr="00DB6C14">
              <w:rPr>
                <w:rFonts w:ascii="Courier New" w:hAnsi="Courier New" w:cs="Courier New"/>
                <w:bCs/>
                <w:iCs/>
              </w:rPr>
              <w:t>No. of Respondents</w:t>
            </w:r>
          </w:p>
        </w:tc>
        <w:tc>
          <w:tcPr>
            <w:tcW w:w="1710" w:type="dxa"/>
          </w:tcPr>
          <w:p w:rsidR="006C0CCB" w:rsidRPr="00DB6C14" w:rsidRDefault="006C0CCB" w:rsidP="006C0CCB">
            <w:pPr>
              <w:ind w:left="-18"/>
              <w:jc w:val="center"/>
              <w:rPr>
                <w:rFonts w:ascii="Courier New" w:hAnsi="Courier New" w:cs="Courier New"/>
                <w:bCs/>
                <w:iCs/>
              </w:rPr>
            </w:pPr>
            <w:r w:rsidRPr="00DB6C14">
              <w:rPr>
                <w:rFonts w:ascii="Courier New" w:hAnsi="Courier New" w:cs="Courier New"/>
                <w:bCs/>
                <w:iCs/>
              </w:rPr>
              <w:t>No. of Responses per Respondent</w:t>
            </w:r>
          </w:p>
        </w:tc>
        <w:tc>
          <w:tcPr>
            <w:tcW w:w="2520" w:type="dxa"/>
          </w:tcPr>
          <w:p w:rsidR="006C0CCB" w:rsidRDefault="006C0CCB" w:rsidP="006C0CCB">
            <w:pPr>
              <w:jc w:val="center"/>
              <w:rPr>
                <w:rFonts w:ascii="Courier New" w:hAnsi="Courier New" w:cs="Courier New"/>
                <w:bCs/>
                <w:iCs/>
              </w:rPr>
            </w:pPr>
            <w:r>
              <w:rPr>
                <w:rFonts w:ascii="Courier New" w:hAnsi="Courier New" w:cs="Courier New"/>
                <w:bCs/>
                <w:iCs/>
              </w:rPr>
              <w:t>Average</w:t>
            </w:r>
          </w:p>
          <w:p w:rsidR="006C0CCB" w:rsidRPr="00DB6C14" w:rsidRDefault="006C0CCB" w:rsidP="006C0CCB">
            <w:pPr>
              <w:ind w:left="-18"/>
              <w:jc w:val="center"/>
              <w:rPr>
                <w:rFonts w:ascii="Courier New" w:hAnsi="Courier New" w:cs="Courier New"/>
                <w:bCs/>
                <w:iCs/>
              </w:rPr>
            </w:pPr>
            <w:r w:rsidRPr="00DB6C14">
              <w:rPr>
                <w:rFonts w:ascii="Courier New" w:hAnsi="Courier New" w:cs="Courier New"/>
                <w:bCs/>
                <w:iCs/>
              </w:rPr>
              <w:t>Burden per Response (in hours)</w:t>
            </w:r>
          </w:p>
        </w:tc>
        <w:tc>
          <w:tcPr>
            <w:tcW w:w="1980" w:type="dxa"/>
          </w:tcPr>
          <w:p w:rsidR="006C0CCB" w:rsidRPr="00E66F95" w:rsidRDefault="006C0CCB" w:rsidP="006C0CCB">
            <w:pPr>
              <w:ind w:left="-18"/>
              <w:jc w:val="center"/>
              <w:rPr>
                <w:rFonts w:ascii="Courier New" w:hAnsi="Courier New" w:cs="Courier New"/>
              </w:rPr>
            </w:pPr>
            <w:r w:rsidRPr="00E66F95">
              <w:rPr>
                <w:rFonts w:ascii="Courier New" w:hAnsi="Courier New" w:cs="Courier New"/>
              </w:rPr>
              <w:t>Total</w:t>
            </w:r>
          </w:p>
          <w:p w:rsidR="006C0CCB" w:rsidRPr="00E66F95" w:rsidRDefault="006C0CCB" w:rsidP="006C0CCB">
            <w:pPr>
              <w:spacing w:after="58"/>
              <w:ind w:left="-18"/>
              <w:jc w:val="center"/>
              <w:rPr>
                <w:rFonts w:ascii="Courier New" w:hAnsi="Courier New" w:cs="Courier New"/>
              </w:rPr>
            </w:pPr>
            <w:r>
              <w:rPr>
                <w:rFonts w:ascii="Courier New" w:hAnsi="Courier New" w:cs="Courier New"/>
              </w:rPr>
              <w:t>B</w:t>
            </w:r>
            <w:r w:rsidRPr="00E66F95">
              <w:rPr>
                <w:rFonts w:ascii="Courier New" w:hAnsi="Courier New" w:cs="Courier New"/>
              </w:rPr>
              <w:t>urden</w:t>
            </w:r>
          </w:p>
          <w:p w:rsidR="006C0CCB" w:rsidRPr="00DB6C14" w:rsidRDefault="006C0CCB" w:rsidP="006C0CCB">
            <w:pPr>
              <w:ind w:left="-18"/>
              <w:jc w:val="center"/>
              <w:rPr>
                <w:rFonts w:ascii="Courier New" w:hAnsi="Courier New" w:cs="Courier New"/>
                <w:bCs/>
                <w:iCs/>
              </w:rPr>
            </w:pPr>
            <w:r>
              <w:rPr>
                <w:rFonts w:ascii="Courier New" w:hAnsi="Courier New" w:cs="Courier New"/>
              </w:rPr>
              <w:t>H</w:t>
            </w:r>
            <w:r w:rsidRPr="00E66F95">
              <w:rPr>
                <w:rFonts w:ascii="Courier New" w:hAnsi="Courier New" w:cs="Courier New"/>
              </w:rPr>
              <w:t>ours</w:t>
            </w:r>
          </w:p>
        </w:tc>
      </w:tr>
      <w:tr w:rsidR="006C0CCB" w:rsidRPr="00DB6C14" w:rsidTr="006C0CCB">
        <w:tc>
          <w:tcPr>
            <w:tcW w:w="1980" w:type="dxa"/>
          </w:tcPr>
          <w:p w:rsidR="006C0CCB" w:rsidRDefault="006C0CCB" w:rsidP="006C0CCB">
            <w:pPr>
              <w:pStyle w:val="Header"/>
              <w:ind w:left="-18"/>
              <w:jc w:val="center"/>
              <w:rPr>
                <w:rFonts w:ascii="Courier New" w:hAnsi="Courier New" w:cs="Courier New"/>
              </w:rPr>
            </w:pPr>
            <w:r>
              <w:rPr>
                <w:rFonts w:ascii="Courier New" w:hAnsi="Courier New" w:cs="Courier New"/>
              </w:rPr>
              <w:t>Local Public Health Systems</w:t>
            </w:r>
          </w:p>
        </w:tc>
        <w:tc>
          <w:tcPr>
            <w:tcW w:w="1890" w:type="dxa"/>
          </w:tcPr>
          <w:p w:rsidR="006C0CCB" w:rsidRPr="00DB6C14" w:rsidRDefault="006C0CCB" w:rsidP="00EA7EFE">
            <w:pPr>
              <w:pStyle w:val="Header"/>
              <w:ind w:left="-360"/>
              <w:jc w:val="center"/>
              <w:rPr>
                <w:rFonts w:ascii="Courier New" w:hAnsi="Courier New" w:cs="Courier New"/>
              </w:rPr>
            </w:pPr>
            <w:r>
              <w:rPr>
                <w:rFonts w:ascii="Courier New" w:hAnsi="Courier New" w:cs="Courier New"/>
              </w:rPr>
              <w:t>350</w:t>
            </w:r>
          </w:p>
        </w:tc>
        <w:tc>
          <w:tcPr>
            <w:tcW w:w="1710" w:type="dxa"/>
          </w:tcPr>
          <w:p w:rsidR="006C0CCB" w:rsidRPr="00DB6C14" w:rsidRDefault="006C0CCB" w:rsidP="00EA7EFE">
            <w:pPr>
              <w:ind w:left="-360"/>
              <w:jc w:val="center"/>
              <w:rPr>
                <w:rFonts w:ascii="Courier New" w:hAnsi="Courier New" w:cs="Courier New"/>
              </w:rPr>
            </w:pPr>
            <w:r>
              <w:rPr>
                <w:rFonts w:ascii="Courier New" w:hAnsi="Courier New" w:cs="Courier New"/>
              </w:rPr>
              <w:t>1</w:t>
            </w:r>
          </w:p>
        </w:tc>
        <w:tc>
          <w:tcPr>
            <w:tcW w:w="2520" w:type="dxa"/>
          </w:tcPr>
          <w:p w:rsidR="006C0CCB" w:rsidRPr="00DB6C14" w:rsidRDefault="006C0CCB" w:rsidP="00EA7EFE">
            <w:pPr>
              <w:ind w:left="-360"/>
              <w:jc w:val="center"/>
              <w:rPr>
                <w:rFonts w:ascii="Courier New" w:hAnsi="Courier New" w:cs="Courier New"/>
              </w:rPr>
            </w:pPr>
            <w:r>
              <w:rPr>
                <w:rFonts w:ascii="Courier New" w:hAnsi="Courier New" w:cs="Courier New"/>
              </w:rPr>
              <w:t>16</w:t>
            </w:r>
          </w:p>
        </w:tc>
        <w:tc>
          <w:tcPr>
            <w:tcW w:w="1980" w:type="dxa"/>
          </w:tcPr>
          <w:p w:rsidR="006C0CCB" w:rsidRDefault="006C0CCB" w:rsidP="00EA7EFE">
            <w:pPr>
              <w:ind w:left="-360"/>
              <w:jc w:val="center"/>
              <w:rPr>
                <w:rFonts w:ascii="Courier New" w:hAnsi="Courier New" w:cs="Courier New"/>
              </w:rPr>
            </w:pPr>
            <w:r>
              <w:rPr>
                <w:rFonts w:ascii="Courier New" w:hAnsi="Courier New" w:cs="Courier New"/>
              </w:rPr>
              <w:t>5600</w:t>
            </w:r>
          </w:p>
          <w:p w:rsidR="006C0CCB" w:rsidRPr="00A32F7B" w:rsidRDefault="006C0CCB" w:rsidP="00EA7EFE">
            <w:pPr>
              <w:ind w:left="-360"/>
              <w:rPr>
                <w:rFonts w:ascii="Courier New" w:hAnsi="Courier New" w:cs="Courier New"/>
              </w:rPr>
            </w:pPr>
          </w:p>
        </w:tc>
      </w:tr>
    </w:tbl>
    <w:p w:rsidR="0075243F" w:rsidRDefault="007524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rFonts w:ascii="Times New Roman TUR" w:hAnsi="Times New Roman TUR"/>
          <w:color w:val="000000"/>
        </w:rPr>
      </w:pPr>
    </w:p>
    <w:p w:rsidR="00E01F20" w:rsidRDefault="00E01F2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12b:  Costs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 xml:space="preserve">A local health official </w:t>
      </w:r>
      <w:r w:rsidR="00123B63">
        <w:rPr>
          <w:rFonts w:ascii="Times New Roman TUR" w:hAnsi="Times New Roman TUR"/>
          <w:color w:val="000000"/>
        </w:rPr>
        <w:t xml:space="preserve">or senior designee </w:t>
      </w:r>
      <w:r>
        <w:rPr>
          <w:rFonts w:ascii="Times New Roman TUR" w:hAnsi="Times New Roman TUR"/>
          <w:color w:val="000000"/>
        </w:rPr>
        <w:t xml:space="preserve">will coordinate completion of the instrument by local public health system representatives.  Using estimated wages for local health </w:t>
      </w:r>
      <w:r w:rsidR="00123B63">
        <w:rPr>
          <w:rFonts w:ascii="Times New Roman TUR" w:hAnsi="Times New Roman TUR"/>
          <w:color w:val="000000"/>
        </w:rPr>
        <w:t xml:space="preserve">department senior staff </w:t>
      </w:r>
      <w:r>
        <w:rPr>
          <w:rFonts w:ascii="Times New Roman TUR" w:hAnsi="Times New Roman TUR"/>
          <w:color w:val="000000"/>
        </w:rPr>
        <w:t>and the calculated burden hours, this study represents an estimate</w:t>
      </w:r>
      <w:r w:rsidR="00AD0860">
        <w:rPr>
          <w:rFonts w:ascii="Times New Roman TUR" w:hAnsi="Times New Roman TUR"/>
          <w:color w:val="000000"/>
        </w:rPr>
        <w:t>d</w:t>
      </w:r>
      <w:r>
        <w:rPr>
          <w:rFonts w:ascii="Times New Roman TUR" w:hAnsi="Times New Roman TUR"/>
          <w:color w:val="000000"/>
        </w:rPr>
        <w:t xml:space="preserve"> annual cost of $</w:t>
      </w:r>
      <w:r w:rsidR="00123B63">
        <w:rPr>
          <w:rFonts w:ascii="Times New Roman TUR" w:hAnsi="Times New Roman TUR"/>
          <w:color w:val="000000"/>
        </w:rPr>
        <w:t>107,</w:t>
      </w:r>
      <w:r w:rsidR="000405F9">
        <w:rPr>
          <w:rFonts w:ascii="Times New Roman TUR" w:hAnsi="Times New Roman TUR"/>
          <w:color w:val="000000"/>
        </w:rPr>
        <w:t>688</w:t>
      </w:r>
      <w:r w:rsidR="007D74D1">
        <w:rPr>
          <w:rFonts w:ascii="Times New Roman TUR" w:hAnsi="Times New Roman TUR"/>
          <w:color w:val="000000"/>
        </w:rPr>
        <w:t>.</w:t>
      </w:r>
    </w:p>
    <w:p w:rsidR="00AD0860" w:rsidRDefault="00AD0860">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Table A.12.b:  Estimates of Cost Burden</w:t>
      </w:r>
    </w:p>
    <w:tbl>
      <w:tblPr>
        <w:tblW w:w="0" w:type="auto"/>
        <w:jc w:val="center"/>
        <w:tblLayout w:type="fixed"/>
        <w:tblCellMar>
          <w:left w:w="120" w:type="dxa"/>
          <w:right w:w="120" w:type="dxa"/>
        </w:tblCellMar>
        <w:tblLook w:val="0000"/>
      </w:tblPr>
      <w:tblGrid>
        <w:gridCol w:w="9360"/>
      </w:tblGrid>
      <w:tr w:rsidR="0075243F">
        <w:trPr>
          <w:jc w:val="center"/>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75243F" w:rsidRDefault="0075243F">
            <w:pPr>
              <w:spacing w:line="120" w:lineRule="exact"/>
              <w:rPr>
                <w:rFonts w:ascii="Times New Roman TUR" w:hAnsi="Times New Roman TUR"/>
                <w:color w:val="000000"/>
              </w:rPr>
            </w:pPr>
          </w:p>
          <w:p w:rsidR="006C34ED" w:rsidRDefault="006C34ED">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 xml:space="preserve">National </w:t>
            </w:r>
            <w:r w:rsidR="008B25A8">
              <w:rPr>
                <w:rFonts w:ascii="Times New Roman TUR" w:hAnsi="Times New Roman TUR"/>
                <w:color w:val="000000"/>
              </w:rPr>
              <w:t xml:space="preserve">Public Health </w:t>
            </w:r>
            <w:r>
              <w:rPr>
                <w:rFonts w:ascii="Times New Roman TUR" w:hAnsi="Times New Roman TUR"/>
                <w:color w:val="000000"/>
              </w:rPr>
              <w:t>Performance Standards Program</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Local Public Health System Assessment</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Annual Cost Burden Per Respondent</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p>
        </w:tc>
      </w:tr>
    </w:tbl>
    <w:p w:rsidR="0075243F" w:rsidRDefault="0075243F">
      <w:pPr>
        <w:rPr>
          <w:rFonts w:ascii="Times New Roman TUR" w:hAnsi="Times New Roman TUR"/>
          <w:vanish/>
          <w:color w:val="000000"/>
        </w:rPr>
      </w:pPr>
    </w:p>
    <w:tbl>
      <w:tblPr>
        <w:tblW w:w="0" w:type="auto"/>
        <w:jc w:val="center"/>
        <w:tblLayout w:type="fixed"/>
        <w:tblCellMar>
          <w:left w:w="120" w:type="dxa"/>
          <w:right w:w="120" w:type="dxa"/>
        </w:tblCellMar>
        <w:tblLook w:val="0000"/>
      </w:tblPr>
      <w:tblGrid>
        <w:gridCol w:w="1836"/>
        <w:gridCol w:w="1574"/>
        <w:gridCol w:w="1574"/>
        <w:gridCol w:w="1486"/>
        <w:gridCol w:w="1399"/>
        <w:gridCol w:w="1489"/>
      </w:tblGrid>
      <w:tr w:rsidR="0075243F">
        <w:trPr>
          <w:jc w:val="center"/>
        </w:trPr>
        <w:tc>
          <w:tcPr>
            <w:tcW w:w="1836"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Local Public Health Systems</w:t>
            </w:r>
          </w:p>
        </w:tc>
        <w:tc>
          <w:tcPr>
            <w:tcW w:w="1574"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Respondents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p>
        </w:tc>
        <w:tc>
          <w:tcPr>
            <w:tcW w:w="1574"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Responses per respondent</w:t>
            </w:r>
          </w:p>
        </w:tc>
        <w:tc>
          <w:tcPr>
            <w:tcW w:w="1486"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 xml:space="preserve">Total Burden per response </w:t>
            </w:r>
          </w:p>
        </w:tc>
        <w:tc>
          <w:tcPr>
            <w:tcW w:w="1399"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Wage rate**</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(per hour)</w:t>
            </w:r>
          </w:p>
        </w:tc>
        <w:tc>
          <w:tcPr>
            <w:tcW w:w="1489" w:type="dxa"/>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Total cost</w:t>
            </w:r>
          </w:p>
        </w:tc>
      </w:tr>
      <w:tr w:rsidR="0075243F">
        <w:trPr>
          <w:jc w:val="center"/>
        </w:trPr>
        <w:tc>
          <w:tcPr>
            <w:tcW w:w="1836"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Annualized Estimate</w:t>
            </w:r>
          </w:p>
        </w:tc>
        <w:tc>
          <w:tcPr>
            <w:tcW w:w="1574"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123B63">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350</w:t>
            </w:r>
          </w:p>
        </w:tc>
        <w:tc>
          <w:tcPr>
            <w:tcW w:w="1574"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w:t>
            </w:r>
          </w:p>
        </w:tc>
        <w:tc>
          <w:tcPr>
            <w:tcW w:w="1486"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123B63">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16</w:t>
            </w:r>
          </w:p>
        </w:tc>
        <w:tc>
          <w:tcPr>
            <w:tcW w:w="1399"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0405F9">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$19.23</w:t>
            </w:r>
          </w:p>
        </w:tc>
        <w:tc>
          <w:tcPr>
            <w:tcW w:w="1489"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   </w:t>
            </w:r>
            <w:r w:rsidR="00123B63">
              <w:rPr>
                <w:rFonts w:ascii="Times New Roman TUR" w:hAnsi="Times New Roman TUR"/>
                <w:color w:val="000000"/>
              </w:rPr>
              <w:t>107,</w:t>
            </w:r>
            <w:r w:rsidR="000405F9">
              <w:rPr>
                <w:rFonts w:ascii="Times New Roman TUR" w:hAnsi="Times New Roman TUR"/>
                <w:color w:val="000000"/>
              </w:rPr>
              <w:t>688</w:t>
            </w:r>
          </w:p>
        </w:tc>
      </w:tr>
    </w:tbl>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 xml:space="preserve">**This estimate is based on an average annual salary of $40,000 for all respondents.  NACCHO provided an estimated annual salary for health </w:t>
      </w:r>
      <w:r w:rsidR="00123B63">
        <w:rPr>
          <w:rFonts w:ascii="Times New Roman TUR" w:hAnsi="Times New Roman TUR"/>
          <w:color w:val="000000"/>
        </w:rPr>
        <w:t>department staff</w:t>
      </w:r>
      <w:r>
        <w:rPr>
          <w:rFonts w:ascii="Times New Roman TUR" w:hAnsi="Times New Roman TUR"/>
          <w:color w:val="000000"/>
        </w:rPr>
        <w:t>.  The total cost to respondents were arrived at by multiplying the number of respondents by total burden hour per response times wage rate (</w:t>
      </w:r>
      <w:r w:rsidR="00123B63">
        <w:rPr>
          <w:rFonts w:ascii="Times New Roman TUR" w:hAnsi="Times New Roman TUR"/>
          <w:color w:val="000000"/>
        </w:rPr>
        <w:t>350</w:t>
      </w:r>
      <w:r>
        <w:rPr>
          <w:rFonts w:ascii="Times New Roman TUR" w:hAnsi="Times New Roman TUR"/>
          <w:color w:val="000000"/>
        </w:rPr>
        <w:t>x</w:t>
      </w:r>
      <w:r w:rsidR="00123B63">
        <w:rPr>
          <w:rFonts w:ascii="Times New Roman TUR" w:hAnsi="Times New Roman TUR"/>
          <w:color w:val="000000"/>
        </w:rPr>
        <w:t>16</w:t>
      </w:r>
      <w:r w:rsidR="000405F9">
        <w:rPr>
          <w:rFonts w:ascii="Times New Roman TUR" w:hAnsi="Times New Roman TUR"/>
          <w:color w:val="000000"/>
        </w:rPr>
        <w:t>x$19.23</w:t>
      </w:r>
      <w:r>
        <w:rPr>
          <w:rFonts w:ascii="Times New Roman TUR" w:hAnsi="Times New Roman TUR"/>
          <w:color w:val="000000"/>
        </w:rPr>
        <w:t xml:space="preserve"> =$</w:t>
      </w:r>
      <w:r w:rsidR="000405F9">
        <w:rPr>
          <w:rFonts w:ascii="Times New Roman TUR" w:hAnsi="Times New Roman TUR"/>
          <w:color w:val="000000"/>
        </w:rPr>
        <w:t>107,688</w:t>
      </w:r>
      <w:r>
        <w:rPr>
          <w:rFonts w:ascii="Times New Roman TUR" w:hAnsi="Times New Roman TUR"/>
          <w:color w:val="000000"/>
        </w:rPr>
        <w:t>).</w:t>
      </w:r>
    </w:p>
    <w:p w:rsidR="00D14D55" w:rsidRDefault="00D14D55">
      <w:pPr>
        <w:widowControl/>
        <w:pBdr>
          <w:top w:val="single" w:sz="6" w:space="1"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right="-288"/>
        <w:rPr>
          <w:rFonts w:ascii="Times New Roman TUR" w:hAnsi="Times New Roman TUR"/>
          <w:b/>
          <w:color w:val="000000"/>
        </w:rPr>
      </w:pPr>
    </w:p>
    <w:p w:rsidR="0075243F" w:rsidRDefault="0075243F">
      <w:pPr>
        <w:widowControl/>
        <w:pBdr>
          <w:top w:val="single" w:sz="6" w:space="1"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right="-288"/>
        <w:rPr>
          <w:rFonts w:ascii="Times New Roman TUR" w:hAnsi="Times New Roman TUR"/>
          <w:b/>
          <w:color w:val="000000"/>
        </w:rPr>
      </w:pPr>
      <w:r>
        <w:rPr>
          <w:rFonts w:ascii="Times New Roman TUR" w:hAnsi="Times New Roman TUR"/>
          <w:b/>
          <w:color w:val="000000"/>
        </w:rPr>
        <w:t>Basis for Burden</w:t>
      </w:r>
    </w:p>
    <w:p w:rsidR="0075243F" w:rsidRDefault="00123B6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color w:val="000000"/>
        </w:rPr>
        <w:t xml:space="preserve">The universe of </w:t>
      </w:r>
      <w:r w:rsidR="0075243F">
        <w:rPr>
          <w:rFonts w:ascii="Times New Roman TUR" w:hAnsi="Times New Roman TUR"/>
          <w:color w:val="000000"/>
        </w:rPr>
        <w:t>respondents (n=</w:t>
      </w:r>
      <w:r>
        <w:rPr>
          <w:rFonts w:ascii="Times New Roman TUR" w:hAnsi="Times New Roman TUR"/>
          <w:color w:val="000000"/>
        </w:rPr>
        <w:t>2</w:t>
      </w:r>
      <w:r w:rsidR="000405F9">
        <w:rPr>
          <w:rFonts w:ascii="Times New Roman TUR" w:hAnsi="Times New Roman TUR"/>
          <w:color w:val="000000"/>
        </w:rPr>
        <w:t>146</w:t>
      </w:r>
      <w:r w:rsidR="0075243F">
        <w:rPr>
          <w:rFonts w:ascii="Times New Roman TUR" w:hAnsi="Times New Roman TUR"/>
          <w:color w:val="000000"/>
        </w:rPr>
        <w:t xml:space="preserve">) are represented in Tables A.12.a and A.12.b.   </w:t>
      </w:r>
      <w:r w:rsidR="0075243F">
        <w:rPr>
          <w:rFonts w:ascii="Times New Roman TUR" w:hAnsi="Times New Roman TUR"/>
        </w:rPr>
        <w:t xml:space="preserve">The response estimates are based on past use as well as the expert opinion of the NPHPSP staff and partner organizations who are working with states preparing to undertake the </w:t>
      </w:r>
      <w:r w:rsidR="00835CD7">
        <w:rPr>
          <w:rFonts w:ascii="Times New Roman TUR" w:hAnsi="Times New Roman TUR"/>
        </w:rPr>
        <w:t xml:space="preserve">assessment. </w:t>
      </w:r>
    </w:p>
    <w:p w:rsidR="006C34ED" w:rsidRDefault="006C34ED">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 xml:space="preserve">13.  Estimates of </w:t>
      </w:r>
      <w:r w:rsidR="00AC207B">
        <w:rPr>
          <w:rFonts w:ascii="Times New Roman TUR" w:hAnsi="Times New Roman TUR"/>
          <w:b/>
          <w:color w:val="000000"/>
        </w:rPr>
        <w:t xml:space="preserve">Other </w:t>
      </w:r>
      <w:r>
        <w:rPr>
          <w:rFonts w:ascii="Times New Roman TUR" w:hAnsi="Times New Roman TUR"/>
          <w:b/>
          <w:color w:val="000000"/>
        </w:rPr>
        <w:t>Annual</w:t>
      </w:r>
      <w:r w:rsidR="00AC207B">
        <w:rPr>
          <w:rFonts w:ascii="Times New Roman TUR" w:hAnsi="Times New Roman TUR"/>
          <w:b/>
          <w:color w:val="000000"/>
        </w:rPr>
        <w:t xml:space="preserve"> </w:t>
      </w:r>
      <w:r>
        <w:rPr>
          <w:rFonts w:ascii="Times New Roman TUR" w:hAnsi="Times New Roman TUR"/>
          <w:b/>
          <w:color w:val="000000"/>
        </w:rPr>
        <w:t>Cost</w:t>
      </w:r>
      <w:r w:rsidR="00AC207B">
        <w:rPr>
          <w:rFonts w:ascii="Times New Roman TUR" w:hAnsi="Times New Roman TUR"/>
          <w:b/>
          <w:color w:val="000000"/>
        </w:rPr>
        <w:t xml:space="preserve"> Burden to Respondents or Record Keepers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There are no annualized capital and maintenance costs to the respondents.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14.  Annualized Cost to the Government</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8C73F1">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sidRPr="000C7872">
        <w:rPr>
          <w:rFonts w:ascii="Times New Roman TUR" w:hAnsi="Times New Roman TUR"/>
          <w:color w:val="000000"/>
        </w:rPr>
        <w:t xml:space="preserve">Four </w:t>
      </w:r>
      <w:r w:rsidR="0075243F" w:rsidRPr="000C7872">
        <w:rPr>
          <w:rFonts w:ascii="Times New Roman TUR" w:hAnsi="Times New Roman TUR"/>
          <w:color w:val="000000"/>
        </w:rPr>
        <w:t xml:space="preserve">FTEs are dedicated to implement the NPHPSP within CDC, </w:t>
      </w:r>
      <w:r w:rsidRPr="000C7872">
        <w:rPr>
          <w:rFonts w:ascii="Times New Roman TUR" w:hAnsi="Times New Roman TUR"/>
          <w:color w:val="000000"/>
        </w:rPr>
        <w:t xml:space="preserve">Office of </w:t>
      </w:r>
      <w:r w:rsidR="00B0440F">
        <w:rPr>
          <w:rFonts w:ascii="Times New Roman TUR" w:hAnsi="Times New Roman TUR"/>
          <w:color w:val="000000"/>
        </w:rPr>
        <w:t>State, Tribal, Local and Territorial Support</w:t>
      </w:r>
      <w:r w:rsidR="0075243F" w:rsidRPr="000C7872">
        <w:rPr>
          <w:rFonts w:ascii="Times New Roman TUR" w:hAnsi="Times New Roman TUR"/>
          <w:color w:val="000000"/>
        </w:rPr>
        <w:t xml:space="preserve">. </w:t>
      </w:r>
      <w:r w:rsidR="00123B63">
        <w:rPr>
          <w:rFonts w:ascii="Times New Roman TUR" w:hAnsi="Times New Roman TUR"/>
          <w:color w:val="000000"/>
        </w:rPr>
        <w:t>Based on time allocations for the program, a</w:t>
      </w:r>
      <w:r w:rsidR="0075243F" w:rsidRPr="000C7872">
        <w:rPr>
          <w:rFonts w:ascii="Times New Roman TUR" w:hAnsi="Times New Roman TUR"/>
          <w:color w:val="000000"/>
        </w:rPr>
        <w:t xml:space="preserve">n average annual salary of </w:t>
      </w:r>
      <w:r w:rsidR="0075243F" w:rsidRPr="00FE65F3">
        <w:rPr>
          <w:rFonts w:ascii="Times New Roman TUR" w:hAnsi="Times New Roman TUR"/>
          <w:color w:val="000000"/>
        </w:rPr>
        <w:t>$</w:t>
      </w:r>
      <w:r w:rsidR="00117D8A" w:rsidRPr="00FE65F3">
        <w:rPr>
          <w:rFonts w:ascii="Times New Roman TUR" w:hAnsi="Times New Roman TUR"/>
          <w:color w:val="000000"/>
        </w:rPr>
        <w:t>90</w:t>
      </w:r>
      <w:r w:rsidR="0075243F" w:rsidRPr="00FE65F3">
        <w:rPr>
          <w:rFonts w:ascii="Times New Roman TUR" w:hAnsi="Times New Roman TUR"/>
          <w:color w:val="000000"/>
        </w:rPr>
        <w:t>,000 per FTE</w:t>
      </w:r>
      <w:r w:rsidR="0075243F" w:rsidRPr="000C7872">
        <w:rPr>
          <w:rFonts w:ascii="Times New Roman TUR" w:hAnsi="Times New Roman TUR"/>
          <w:color w:val="000000"/>
        </w:rPr>
        <w:t xml:space="preserve"> (including benefits), </w:t>
      </w:r>
      <w:r w:rsidR="00123B63">
        <w:rPr>
          <w:rFonts w:ascii="Times New Roman TUR" w:hAnsi="Times New Roman TUR"/>
          <w:color w:val="000000"/>
        </w:rPr>
        <w:t>is dedicated to the NPHPSP</w:t>
      </w:r>
      <w:r w:rsidR="00713B4C">
        <w:rPr>
          <w:rFonts w:ascii="Times New Roman TUR" w:hAnsi="Times New Roman TUR"/>
          <w:color w:val="000000"/>
        </w:rPr>
        <w:t xml:space="preserve"> and its three data collection instruments (OMB control numbers:  0920-0555, 0920-0557, and 0920-0580).  </w:t>
      </w:r>
      <w:r w:rsidR="00123B63">
        <w:rPr>
          <w:rFonts w:ascii="Times New Roman TUR" w:hAnsi="Times New Roman TUR"/>
          <w:color w:val="000000"/>
        </w:rPr>
        <w:t>T</w:t>
      </w:r>
      <w:r w:rsidR="0075243F" w:rsidRPr="000C7872">
        <w:rPr>
          <w:rFonts w:ascii="Times New Roman TUR" w:hAnsi="Times New Roman TUR"/>
          <w:color w:val="000000"/>
        </w:rPr>
        <w:t>his is a cost of $</w:t>
      </w:r>
      <w:r w:rsidRPr="000C7872">
        <w:rPr>
          <w:rFonts w:ascii="Times New Roman TUR" w:hAnsi="Times New Roman TUR"/>
          <w:color w:val="000000"/>
        </w:rPr>
        <w:t>3</w:t>
      </w:r>
      <w:r w:rsidR="00117D8A">
        <w:rPr>
          <w:rFonts w:ascii="Times New Roman TUR" w:hAnsi="Times New Roman TUR"/>
          <w:color w:val="000000"/>
        </w:rPr>
        <w:t>6</w:t>
      </w:r>
      <w:r w:rsidRPr="000C7872">
        <w:rPr>
          <w:rFonts w:ascii="Times New Roman TUR" w:hAnsi="Times New Roman TUR"/>
          <w:color w:val="000000"/>
        </w:rPr>
        <w:t>0</w:t>
      </w:r>
      <w:r w:rsidR="0075243F" w:rsidRPr="000C7872">
        <w:rPr>
          <w:rFonts w:ascii="Times New Roman TUR" w:hAnsi="Times New Roman TUR"/>
          <w:color w:val="000000"/>
        </w:rPr>
        <w:t xml:space="preserve">,000 per year.  In addition to the salary, the cost of attending </w:t>
      </w:r>
      <w:r w:rsidRPr="000C7872">
        <w:rPr>
          <w:rFonts w:ascii="Times New Roman TUR" w:hAnsi="Times New Roman TUR"/>
          <w:color w:val="000000"/>
        </w:rPr>
        <w:t xml:space="preserve">and presenting at </w:t>
      </w:r>
      <w:r w:rsidR="00B0440F">
        <w:rPr>
          <w:rFonts w:ascii="Times New Roman TUR" w:hAnsi="Times New Roman TUR"/>
          <w:color w:val="000000"/>
        </w:rPr>
        <w:t xml:space="preserve">national, </w:t>
      </w:r>
      <w:r w:rsidRPr="000C7872">
        <w:rPr>
          <w:rFonts w:ascii="Times New Roman TUR" w:hAnsi="Times New Roman TUR"/>
          <w:color w:val="000000"/>
        </w:rPr>
        <w:t xml:space="preserve">state and </w:t>
      </w:r>
      <w:r w:rsidR="0075243F" w:rsidRPr="000C7872">
        <w:rPr>
          <w:rFonts w:ascii="Times New Roman TUR" w:hAnsi="Times New Roman TUR"/>
          <w:color w:val="000000"/>
        </w:rPr>
        <w:t>regional</w:t>
      </w:r>
      <w:r w:rsidRPr="000C7872">
        <w:rPr>
          <w:rFonts w:ascii="Times New Roman TUR" w:hAnsi="Times New Roman TUR"/>
          <w:color w:val="000000"/>
        </w:rPr>
        <w:t xml:space="preserve"> </w:t>
      </w:r>
      <w:r w:rsidR="0075243F" w:rsidRPr="000C7872">
        <w:rPr>
          <w:rFonts w:ascii="Times New Roman TUR" w:hAnsi="Times New Roman TUR"/>
          <w:color w:val="000000"/>
        </w:rPr>
        <w:t xml:space="preserve">meetings is estimated to be </w:t>
      </w:r>
      <w:r w:rsidRPr="000C7872">
        <w:rPr>
          <w:rFonts w:ascii="Times New Roman TUR" w:hAnsi="Times New Roman TUR"/>
          <w:color w:val="000000"/>
        </w:rPr>
        <w:t xml:space="preserve">approximately </w:t>
      </w:r>
      <w:r w:rsidR="0075243F" w:rsidRPr="000C7872">
        <w:rPr>
          <w:rFonts w:ascii="Times New Roman TUR" w:hAnsi="Times New Roman TUR"/>
          <w:color w:val="000000"/>
        </w:rPr>
        <w:t>$</w:t>
      </w:r>
      <w:r w:rsidRPr="000C7872">
        <w:rPr>
          <w:rFonts w:ascii="Times New Roman TUR" w:hAnsi="Times New Roman TUR"/>
          <w:color w:val="000000"/>
        </w:rPr>
        <w:t>1</w:t>
      </w:r>
      <w:r w:rsidR="00117D8A">
        <w:rPr>
          <w:rFonts w:ascii="Times New Roman TUR" w:hAnsi="Times New Roman TUR"/>
          <w:color w:val="000000"/>
        </w:rPr>
        <w:t>5</w:t>
      </w:r>
      <w:r w:rsidR="0075243F" w:rsidRPr="000C7872">
        <w:rPr>
          <w:rFonts w:ascii="Times New Roman TUR" w:hAnsi="Times New Roman TUR"/>
          <w:color w:val="000000"/>
        </w:rPr>
        <w:t>,</w:t>
      </w:r>
      <w:r w:rsidRPr="000C7872">
        <w:rPr>
          <w:rFonts w:ascii="Times New Roman TUR" w:hAnsi="Times New Roman TUR"/>
          <w:color w:val="000000"/>
        </w:rPr>
        <w:t>000 in travel expenses each year.</w:t>
      </w:r>
      <w:r w:rsidR="00311158">
        <w:rPr>
          <w:rFonts w:ascii="Times New Roman TUR" w:hAnsi="Times New Roman TUR"/>
          <w:color w:val="000000"/>
        </w:rPr>
        <w:t xml:space="preserve">  The total annualized cost to the government, therefore, is $375,000.  </w:t>
      </w:r>
    </w:p>
    <w:p w:rsidR="008C73F1" w:rsidRDefault="008C73F1">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tbl>
      <w:tblPr>
        <w:tblW w:w="0" w:type="auto"/>
        <w:jc w:val="center"/>
        <w:tblLayout w:type="fixed"/>
        <w:tblCellMar>
          <w:left w:w="120" w:type="dxa"/>
          <w:right w:w="120" w:type="dxa"/>
        </w:tblCellMar>
        <w:tblLook w:val="0000"/>
      </w:tblPr>
      <w:tblGrid>
        <w:gridCol w:w="9360"/>
      </w:tblGrid>
      <w:tr w:rsidR="0075243F">
        <w:trPr>
          <w:jc w:val="center"/>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 xml:space="preserve">National </w:t>
            </w:r>
            <w:r w:rsidR="008B25A8">
              <w:rPr>
                <w:rFonts w:ascii="Times New Roman TUR" w:hAnsi="Times New Roman TUR"/>
                <w:color w:val="000000"/>
              </w:rPr>
              <w:t xml:space="preserve">Public Health </w:t>
            </w:r>
            <w:r>
              <w:rPr>
                <w:rFonts w:ascii="Times New Roman TUR" w:hAnsi="Times New Roman TUR"/>
                <w:color w:val="000000"/>
              </w:rPr>
              <w:t>Performance Standards Program</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Centers for Disease Control and Prevention</w:t>
            </w:r>
          </w:p>
          <w:p w:rsidR="004624E2" w:rsidRDefault="001B52B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Office of State, Tribal, Local and Territorial Support</w:t>
            </w:r>
          </w:p>
        </w:tc>
      </w:tr>
    </w:tbl>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tbl>
      <w:tblPr>
        <w:tblW w:w="0" w:type="auto"/>
        <w:jc w:val="center"/>
        <w:tblCellMar>
          <w:left w:w="67" w:type="dxa"/>
          <w:right w:w="67" w:type="dxa"/>
        </w:tblCellMar>
        <w:tblLook w:val="0000"/>
      </w:tblPr>
      <w:tblGrid>
        <w:gridCol w:w="1947"/>
        <w:gridCol w:w="1523"/>
        <w:gridCol w:w="1210"/>
        <w:gridCol w:w="140"/>
        <w:gridCol w:w="1552"/>
        <w:gridCol w:w="1189"/>
        <w:gridCol w:w="1002"/>
        <w:gridCol w:w="931"/>
      </w:tblGrid>
      <w:tr w:rsidR="0075243F" w:rsidTr="00311158">
        <w:trPr>
          <w:jc w:val="center"/>
        </w:trPr>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Number of FTEs For Program Implementation</w:t>
            </w: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r>
              <w:rPr>
                <w:rFonts w:ascii="Times New Roman TUR" w:hAnsi="Times New Roman TUR"/>
                <w:color w:val="000000"/>
              </w:rPr>
              <w:t xml:space="preserve">Annual Salary </w:t>
            </w:r>
            <w:r w:rsidR="00123B63">
              <w:rPr>
                <w:rFonts w:ascii="Times New Roman TUR" w:hAnsi="Times New Roman TUR"/>
                <w:color w:val="000000"/>
              </w:rPr>
              <w:t>charged to NPHPSP</w:t>
            </w:r>
            <w:r>
              <w:rPr>
                <w:rFonts w:ascii="Times New Roman TUR" w:hAnsi="Times New Roman TUR"/>
                <w:color w:val="000000"/>
              </w:rPr>
              <w:t>- Including Benefits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 xml:space="preserve"> (per FTE)</w:t>
            </w: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Total Salary Cost (per year)</w:t>
            </w:r>
          </w:p>
        </w:tc>
        <w:tc>
          <w:tcPr>
            <w:tcW w:w="0" w:type="auto"/>
            <w:tcBorders>
              <w:top w:val="nil"/>
              <w:left w:val="single" w:sz="12" w:space="0" w:color="000000"/>
              <w:bottom w:val="single" w:sz="6" w:space="0" w:color="000000"/>
              <w:right w:val="single" w:sz="12"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 xml:space="preserve">Number of FTEs attending </w:t>
            </w:r>
            <w:r w:rsidR="00B0440F">
              <w:rPr>
                <w:rFonts w:ascii="Times New Roman TUR" w:hAnsi="Times New Roman TUR"/>
                <w:color w:val="000000"/>
              </w:rPr>
              <w:t xml:space="preserve">National, </w:t>
            </w:r>
            <w:r>
              <w:rPr>
                <w:rFonts w:ascii="Times New Roman TUR" w:hAnsi="Times New Roman TUR"/>
                <w:color w:val="000000"/>
              </w:rPr>
              <w:t xml:space="preserve">Regional </w:t>
            </w:r>
            <w:r w:rsidR="00B0440F">
              <w:rPr>
                <w:rFonts w:ascii="Times New Roman TUR" w:hAnsi="Times New Roman TUR"/>
                <w:color w:val="000000"/>
              </w:rPr>
              <w:t xml:space="preserve">or State </w:t>
            </w:r>
            <w:r>
              <w:rPr>
                <w:rFonts w:ascii="Times New Roman TUR" w:hAnsi="Times New Roman TUR"/>
                <w:color w:val="000000"/>
              </w:rPr>
              <w:t>Meeting</w:t>
            </w:r>
            <w:r w:rsidR="00B0440F">
              <w:rPr>
                <w:rFonts w:ascii="Times New Roman TUR" w:hAnsi="Times New Roman TUR"/>
                <w:color w:val="000000"/>
              </w:rPr>
              <w:t>s</w:t>
            </w: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Total Cost of Travel for </w:t>
            </w:r>
            <w:r w:rsidR="00EF18B8">
              <w:rPr>
                <w:rFonts w:ascii="Times New Roman TUR" w:hAnsi="Times New Roman TUR"/>
                <w:color w:val="000000"/>
              </w:rPr>
              <w:t>each meeting</w:t>
            </w: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Number of Trips</w:t>
            </w:r>
          </w:p>
        </w:tc>
        <w:tc>
          <w:tcPr>
            <w:tcW w:w="0" w:type="auto"/>
            <w:tcBorders>
              <w:top w:val="nil"/>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Total cost</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of Travel</w:t>
            </w:r>
          </w:p>
        </w:tc>
      </w:tr>
      <w:tr w:rsidR="0075243F" w:rsidTr="00311158">
        <w:trPr>
          <w:jc w:val="center"/>
        </w:trPr>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8C73F1">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4</w:t>
            </w: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w:t>
            </w:r>
            <w:r w:rsidR="00117D8A">
              <w:rPr>
                <w:rFonts w:ascii="Times New Roman TUR" w:hAnsi="Times New Roman TUR"/>
                <w:color w:val="000000"/>
              </w:rPr>
              <w:t>90</w:t>
            </w:r>
            <w:r>
              <w:rPr>
                <w:rFonts w:ascii="Times New Roman TUR" w:hAnsi="Times New Roman TUR"/>
                <w:color w:val="000000"/>
              </w:rPr>
              <w:t>,000</w:t>
            </w: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$3</w:t>
            </w:r>
            <w:r w:rsidR="00117D8A">
              <w:rPr>
                <w:rFonts w:ascii="Times New Roman TUR" w:hAnsi="Times New Roman TUR"/>
                <w:color w:val="000000"/>
              </w:rPr>
              <w:t>6</w:t>
            </w:r>
            <w:r w:rsidR="008C73F1">
              <w:rPr>
                <w:rFonts w:ascii="Times New Roman TUR" w:hAnsi="Times New Roman TUR"/>
                <w:color w:val="000000"/>
              </w:rPr>
              <w:t>0</w:t>
            </w:r>
            <w:r>
              <w:rPr>
                <w:rFonts w:ascii="Times New Roman TUR" w:hAnsi="Times New Roman TUR"/>
                <w:color w:val="000000"/>
              </w:rPr>
              <w:t>,000</w:t>
            </w:r>
          </w:p>
        </w:tc>
        <w:tc>
          <w:tcPr>
            <w:tcW w:w="0" w:type="auto"/>
            <w:tcBorders>
              <w:top w:val="single" w:sz="6" w:space="0" w:color="000000"/>
              <w:left w:val="single" w:sz="12" w:space="0" w:color="000000"/>
              <w:bottom w:val="nil"/>
              <w:right w:val="single" w:sz="12"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8C73F1">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w:t>
            </w: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8C73F1">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1000</w:t>
            </w: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1</w:t>
            </w:r>
            <w:r w:rsidR="00B0440F">
              <w:rPr>
                <w:rFonts w:ascii="Times New Roman TUR" w:hAnsi="Times New Roman TUR"/>
                <w:color w:val="000000"/>
              </w:rPr>
              <w:t>5</w:t>
            </w:r>
          </w:p>
        </w:tc>
        <w:tc>
          <w:tcPr>
            <w:tcW w:w="0" w:type="auto"/>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w:t>
            </w:r>
            <w:r w:rsidR="008C73F1">
              <w:rPr>
                <w:rFonts w:ascii="Times New Roman TUR" w:hAnsi="Times New Roman TUR"/>
                <w:color w:val="000000"/>
              </w:rPr>
              <w:t>1</w:t>
            </w:r>
            <w:r w:rsidR="00B0440F">
              <w:rPr>
                <w:rFonts w:ascii="Times New Roman TUR" w:hAnsi="Times New Roman TUR"/>
                <w:color w:val="000000"/>
              </w:rPr>
              <w:t>5</w:t>
            </w:r>
            <w:r w:rsidR="008C73F1">
              <w:rPr>
                <w:rFonts w:ascii="Times New Roman TUR" w:hAnsi="Times New Roman TUR"/>
                <w:color w:val="000000"/>
              </w:rPr>
              <w:t>,000</w:t>
            </w:r>
          </w:p>
        </w:tc>
      </w:tr>
    </w:tbl>
    <w:p w:rsidR="00311158" w:rsidRDefault="0031115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p>
    <w:p w:rsidR="0075243F" w:rsidRPr="00311158" w:rsidRDefault="0031115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Pr>
          <w:rFonts w:ascii="Times New Roman TUR" w:hAnsi="Times New Roman TUR"/>
          <w:color w:val="000000"/>
        </w:rPr>
        <w:tab/>
      </w:r>
      <w:r w:rsidRPr="00311158">
        <w:rPr>
          <w:rFonts w:ascii="Times New Roman TUR" w:hAnsi="Times New Roman TUR"/>
          <w:b/>
          <w:color w:val="000000"/>
        </w:rPr>
        <w:t>Grand Total = $375,000</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311158" w:rsidRDefault="0031115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sidRPr="00311158">
        <w:rPr>
          <w:rFonts w:ascii="Times New Roman TUR" w:hAnsi="Times New Roman TUR"/>
          <w:b/>
          <w:color w:val="000000"/>
        </w:rPr>
        <w:t xml:space="preserve">15.  </w:t>
      </w:r>
      <w:r w:rsidR="00AC207B" w:rsidRPr="00311158">
        <w:rPr>
          <w:rFonts w:ascii="Times New Roman TUR" w:hAnsi="Times New Roman TUR"/>
          <w:b/>
          <w:color w:val="000000"/>
        </w:rPr>
        <w:t xml:space="preserve">Explanation for Program </w:t>
      </w:r>
      <w:r w:rsidRPr="00311158">
        <w:rPr>
          <w:rFonts w:ascii="Times New Roman TUR" w:hAnsi="Times New Roman TUR"/>
          <w:b/>
          <w:color w:val="000000"/>
        </w:rPr>
        <w:t xml:space="preserve">Changes </w:t>
      </w:r>
      <w:r w:rsidR="00AC207B" w:rsidRPr="00311158">
        <w:rPr>
          <w:rFonts w:ascii="Times New Roman TUR" w:hAnsi="Times New Roman TUR"/>
          <w:b/>
          <w:color w:val="000000"/>
        </w:rPr>
        <w:t>or Adjustments</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C86B4B" w:rsidDel="00C86B4B" w:rsidRDefault="008B25A8" w:rsidP="00C86B4B">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 xml:space="preserve">This is </w:t>
      </w:r>
      <w:r w:rsidR="00813728">
        <w:rPr>
          <w:rFonts w:ascii="Times New Roman TUR" w:hAnsi="Times New Roman TUR"/>
          <w:color w:val="000000"/>
        </w:rPr>
        <w:t>a three</w:t>
      </w:r>
      <w:r w:rsidR="00AE5FB1">
        <w:rPr>
          <w:rFonts w:ascii="Times New Roman TUR" w:hAnsi="Times New Roman TUR"/>
          <w:color w:val="000000"/>
        </w:rPr>
        <w:t>-year</w:t>
      </w:r>
      <w:r w:rsidR="00C86B4B">
        <w:rPr>
          <w:rFonts w:ascii="Times New Roman TUR" w:hAnsi="Times New Roman TUR"/>
          <w:color w:val="000000"/>
        </w:rPr>
        <w:t xml:space="preserve"> extension </w:t>
      </w:r>
      <w:r>
        <w:rPr>
          <w:rFonts w:ascii="Times New Roman TUR" w:hAnsi="Times New Roman TUR"/>
          <w:color w:val="000000"/>
        </w:rPr>
        <w:t>request</w:t>
      </w:r>
      <w:r w:rsidR="00C86B4B">
        <w:rPr>
          <w:rFonts w:ascii="Times New Roman TUR" w:hAnsi="Times New Roman TUR"/>
          <w:color w:val="000000"/>
        </w:rPr>
        <w:t>, without changes</w:t>
      </w:r>
      <w:r w:rsidR="00AE5FB1">
        <w:rPr>
          <w:rFonts w:ascii="Times New Roman TUR" w:hAnsi="Times New Roman TUR"/>
          <w:color w:val="000000"/>
        </w:rPr>
        <w:t xml:space="preserve"> or adjustments</w:t>
      </w:r>
      <w:r w:rsidR="00C86B4B">
        <w:rPr>
          <w:rFonts w:ascii="Times New Roman TUR" w:hAnsi="Times New Roman TUR"/>
          <w:color w:val="000000"/>
        </w:rPr>
        <w:t>,</w:t>
      </w:r>
      <w:r>
        <w:rPr>
          <w:rFonts w:ascii="Times New Roman TUR" w:hAnsi="Times New Roman TUR"/>
          <w:color w:val="000000"/>
        </w:rPr>
        <w:t xml:space="preserve"> of a currently-approved data collection instrument.  </w:t>
      </w:r>
    </w:p>
    <w:p w:rsidR="00C86B4B" w:rsidRDefault="00C86B4B" w:rsidP="00C86B4B">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C86B4B" w:rsidRDefault="00C86B4B" w:rsidP="00C86B4B">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0405F9" w:rsidRDefault="000405F9" w:rsidP="00C86B4B">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 xml:space="preserve">There are four components to this information collection effort – the performance standards assessment, a Respondent Information Form which elicits basic information about the responding site, an optional priority </w:t>
      </w:r>
      <w:proofErr w:type="gramStart"/>
      <w:r>
        <w:rPr>
          <w:rFonts w:ascii="Times New Roman TUR" w:hAnsi="Times New Roman TUR"/>
          <w:color w:val="000000"/>
        </w:rPr>
        <w:t>questionnaire  and</w:t>
      </w:r>
      <w:proofErr w:type="gramEnd"/>
      <w:r>
        <w:rPr>
          <w:rFonts w:ascii="Times New Roman TUR" w:hAnsi="Times New Roman TUR"/>
          <w:color w:val="000000"/>
        </w:rPr>
        <w:t xml:space="preserve"> an optional agency contribution questionnaire.   These four components are part of one information collection that is implemented at the same time by the same respondents.  These are found </w:t>
      </w:r>
      <w:r w:rsidRPr="0067717A">
        <w:rPr>
          <w:rFonts w:ascii="Times New Roman TUR" w:hAnsi="Times New Roman TUR"/>
          <w:color w:val="000000"/>
        </w:rPr>
        <w:t>in Attachment E.</w:t>
      </w:r>
      <w:r>
        <w:rPr>
          <w:rFonts w:ascii="Times New Roman TUR" w:hAnsi="Times New Roman TUR"/>
          <w:color w:val="000000"/>
        </w:rPr>
        <w:t xml:space="preserve">  </w:t>
      </w:r>
    </w:p>
    <w:p w:rsidR="0080791B" w:rsidRDefault="0080791B" w:rsidP="0080791B">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123B63" w:rsidRDefault="00123B63" w:rsidP="00123B63">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 xml:space="preserve">16.  </w:t>
      </w:r>
      <w:r w:rsidR="00AC207B">
        <w:rPr>
          <w:rFonts w:ascii="Times New Roman TUR" w:hAnsi="Times New Roman TUR"/>
          <w:b/>
          <w:color w:val="000000"/>
        </w:rPr>
        <w:t>Plans for Tabulation and Publication and Project Time Schedule</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316580">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CDC</w:t>
      </w:r>
      <w:r w:rsidR="00C86B4B">
        <w:rPr>
          <w:rFonts w:ascii="Times New Roman TUR" w:hAnsi="Times New Roman TUR"/>
          <w:color w:val="000000"/>
        </w:rPr>
        <w:t xml:space="preserve"> (and its partners through a grantee and contractor support </w:t>
      </w:r>
      <w:r>
        <w:rPr>
          <w:rFonts w:ascii="Times New Roman TUR" w:hAnsi="Times New Roman TUR"/>
          <w:color w:val="000000"/>
        </w:rPr>
        <w:t xml:space="preserve">the limited-access website) </w:t>
      </w:r>
      <w:proofErr w:type="gramStart"/>
      <w:r>
        <w:rPr>
          <w:rFonts w:ascii="Times New Roman TUR" w:hAnsi="Times New Roman TUR"/>
          <w:color w:val="000000"/>
        </w:rPr>
        <w:t>accept</w:t>
      </w:r>
      <w:proofErr w:type="gramEnd"/>
      <w:r>
        <w:rPr>
          <w:rFonts w:ascii="Times New Roman TUR" w:hAnsi="Times New Roman TUR"/>
          <w:color w:val="000000"/>
        </w:rPr>
        <w:t xml:space="preserve"> data </w:t>
      </w:r>
      <w:r w:rsidR="0075243F">
        <w:rPr>
          <w:rFonts w:ascii="Times New Roman TUR" w:hAnsi="Times New Roman TUR"/>
          <w:color w:val="000000"/>
        </w:rPr>
        <w:t>from respondents participating in a statewide process as well as from those who elect to complete the assessment outside of a statewide approach.  Ideally, state and local public health agencies will choose to conduct the performance assessment through a coordinated statewide approach.  CDC and the NPHPSP partner organizations provide training to orient personnel that play key roles in coordinating a statewide process.  Generally these personnel include representatives from state health department, state or regional public health institutes, or state associations of local health officials.  CDC and NPHPSP partner organizations also provide statewide “kickoff” training at state conferences, if requested.</w:t>
      </w:r>
    </w:p>
    <w:p w:rsidR="002A5EE8" w:rsidRDefault="002A5EE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E01F20" w:rsidRDefault="00E01F20">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311158" w:rsidRDefault="0031115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tbl>
      <w:tblPr>
        <w:tblW w:w="0" w:type="auto"/>
        <w:jc w:val="center"/>
        <w:tblLayout w:type="fixed"/>
        <w:tblCellMar>
          <w:left w:w="120" w:type="dxa"/>
          <w:right w:w="120" w:type="dxa"/>
        </w:tblCellMar>
        <w:tblLook w:val="0000"/>
      </w:tblPr>
      <w:tblGrid>
        <w:gridCol w:w="5948"/>
        <w:gridCol w:w="3411"/>
      </w:tblGrid>
      <w:tr w:rsidR="0075243F">
        <w:trPr>
          <w:jc w:val="center"/>
        </w:trPr>
        <w:tc>
          <w:tcPr>
            <w:tcW w:w="5948"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Task</w:t>
            </w:r>
          </w:p>
        </w:tc>
        <w:tc>
          <w:tcPr>
            <w:tcW w:w="3411" w:type="dxa"/>
            <w:tcBorders>
              <w:top w:val="single" w:sz="6" w:space="0" w:color="000000"/>
              <w:left w:val="single" w:sz="6" w:space="0" w:color="000000"/>
              <w:bottom w:val="single" w:sz="6" w:space="0" w:color="000000"/>
              <w:right w:val="single" w:sz="6" w:space="0" w:color="000000"/>
            </w:tcBorders>
          </w:tcPr>
          <w:p w:rsidR="0075243F" w:rsidRDefault="0075243F">
            <w:pPr>
              <w:spacing w:line="120" w:lineRule="exact"/>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jc w:val="center"/>
              <w:rPr>
                <w:rFonts w:ascii="Times New Roman TUR" w:hAnsi="Times New Roman TUR"/>
                <w:color w:val="000000"/>
              </w:rPr>
            </w:pPr>
            <w:r>
              <w:rPr>
                <w:rFonts w:ascii="Times New Roman TUR" w:hAnsi="Times New Roman TUR"/>
                <w:color w:val="000000"/>
              </w:rPr>
              <w:t>Estimated Time Frame</w:t>
            </w:r>
          </w:p>
        </w:tc>
      </w:tr>
      <w:tr w:rsidR="00DE5D85" w:rsidTr="00DE5D85">
        <w:trPr>
          <w:trHeight w:val="615"/>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rsidP="00282B08">
            <w:pPr>
              <w:spacing w:line="120" w:lineRule="exact"/>
              <w:rPr>
                <w:rFonts w:ascii="Times New Roman TUR" w:hAnsi="Times New Roman TUR"/>
                <w:color w:val="000000"/>
              </w:rPr>
            </w:pPr>
          </w:p>
          <w:p w:rsidR="00DE5D85" w:rsidRDefault="00DE5D85" w:rsidP="00282B0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Make instruments and technical assistance resources available for all local sites, so that any site interested in completing the process is able to do so (even outside of a statewide coordinated approach).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rsidP="00282B0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p>
          <w:p w:rsidR="00DE5D85" w:rsidRDefault="00DE5D85" w:rsidP="00282B08">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Within first month of approval and ongoing throughout the three years of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Identify first set of states for implementation; obtain an indication of commitment from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Within two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Provide training and/or work with the state liaison to plan the assessment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2-4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Provide access to web-based assessment; provide support to the state liaison and local jurisdictions in using the assessment; conduct orientation and kick-off activities, if CDC or partner presence is requested at a state conference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4-7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Receive and analyze data; provide automated reports to responding jurisdictions; provide aggregate report to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7-9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Encourage states and local jurisdictions to use the results for performance improvement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9-11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Select second set of states for implementation; obtain an indication of commitment from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12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Provide training and/or work with the state liaison to plan the assessment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14-16 month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Provide access to web-based assessment; provide support to the state liaison and local jurisdictions in using the assessment; conduct orientation and kick-off activities, if CDC or partner presence is requested at a state conference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16-19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Receive and analyze data; provide automated reports to responding jurisdictions; provide aggregate report to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19-21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Encourage states and local jurisdictions to use the results for performance improvement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21-23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Select third set of states of implementation.  Obtain an indication of commitment from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24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Provide training and/or work with the state liaison to plan the assessment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24-26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Provide access to web-based assessment; provide support to the state liaison and local jurisdictions in using the assessment; conduct orientation and kick-off activities, if CDC or partner presence is requested at a state conference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26-29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Receive and analyze data; provide automated reports to responding jurisdictions; provide aggregate report to the state</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29-31 months after approval</w:t>
            </w:r>
          </w:p>
        </w:tc>
      </w:tr>
      <w:tr w:rsidR="00DE5D85">
        <w:trPr>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 xml:space="preserve">Encourage states and local jurisdictions to use the results for performance improvement </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31-33 months after approval</w:t>
            </w:r>
          </w:p>
        </w:tc>
      </w:tr>
      <w:tr w:rsidR="00DE5D85">
        <w:trPr>
          <w:trHeight w:hRule="exact" w:val="458"/>
          <w:jc w:val="center"/>
        </w:trPr>
        <w:tc>
          <w:tcPr>
            <w:tcW w:w="5948"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Publication</w:t>
            </w:r>
          </w:p>
        </w:tc>
        <w:tc>
          <w:tcPr>
            <w:tcW w:w="3411" w:type="dxa"/>
            <w:tcBorders>
              <w:top w:val="single" w:sz="6" w:space="0" w:color="000000"/>
              <w:left w:val="single" w:sz="6" w:space="0" w:color="000000"/>
              <w:bottom w:val="single" w:sz="6" w:space="0" w:color="000000"/>
              <w:right w:val="single" w:sz="6" w:space="0" w:color="000000"/>
            </w:tcBorders>
          </w:tcPr>
          <w:p w:rsidR="00DE5D85" w:rsidRDefault="00DE5D85">
            <w:pPr>
              <w:spacing w:line="120" w:lineRule="exact"/>
              <w:rPr>
                <w:rFonts w:ascii="Times New Roman TUR" w:hAnsi="Times New Roman TUR"/>
                <w:color w:val="000000"/>
              </w:rPr>
            </w:pPr>
          </w:p>
          <w:p w:rsidR="00DE5D85" w:rsidRDefault="00DE5D85">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spacing w:after="58"/>
              <w:rPr>
                <w:rFonts w:ascii="Times New Roman TUR" w:hAnsi="Times New Roman TUR"/>
                <w:color w:val="000000"/>
              </w:rPr>
            </w:pPr>
            <w:r>
              <w:rPr>
                <w:rFonts w:ascii="Times New Roman TUR" w:hAnsi="Times New Roman TUR"/>
                <w:color w:val="000000"/>
              </w:rPr>
              <w:t>36-48 months after approval</w:t>
            </w:r>
          </w:p>
        </w:tc>
      </w:tr>
    </w:tbl>
    <w:p w:rsidR="006C34ED" w:rsidRDefault="006C34ED">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27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Publication</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453FCC" w:rsidRPr="004602BA" w:rsidRDefault="00453FCC" w:rsidP="00453FCC">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vertAlign w:val="subscript"/>
        </w:rPr>
      </w:pPr>
      <w:r>
        <w:rPr>
          <w:rFonts w:ascii="Times New Roman TUR" w:hAnsi="Times New Roman TUR"/>
          <w:color w:val="000000"/>
        </w:rPr>
        <w:t xml:space="preserve">Results generated by the NPHPSP assessment instruments will be primarily used for national public health infrastructure improvement.  Results will also be presented to the public health community at professional and CDC-sponsored conferences.  Further, results from this collection will be prepared for publication in professional reports and journals.  To date, manuscripts utilizing results from the NPHPSP assessment instruments have been published in journals including the </w:t>
      </w:r>
      <w:r w:rsidRPr="00C70101">
        <w:rPr>
          <w:rFonts w:ascii="Times New Roman TUR" w:hAnsi="Times New Roman TUR"/>
          <w:i/>
          <w:color w:val="000000"/>
        </w:rPr>
        <w:t>Journal of Public Health Management and Practice</w:t>
      </w:r>
      <w:r>
        <w:rPr>
          <w:rFonts w:ascii="Times New Roman TUR" w:hAnsi="Times New Roman TUR"/>
          <w:color w:val="000000"/>
        </w:rPr>
        <w:t xml:space="preserve">, </w:t>
      </w:r>
      <w:r w:rsidRPr="00C70101">
        <w:rPr>
          <w:rFonts w:ascii="Times New Roman TUR" w:hAnsi="Times New Roman TUR"/>
          <w:i/>
          <w:color w:val="000000"/>
        </w:rPr>
        <w:t>Milbank Quarterly</w:t>
      </w:r>
      <w:r>
        <w:rPr>
          <w:rFonts w:ascii="Times New Roman TUR" w:hAnsi="Times New Roman TUR"/>
          <w:color w:val="000000"/>
        </w:rPr>
        <w:t xml:space="preserve">, </w:t>
      </w:r>
      <w:r w:rsidRPr="00C70101">
        <w:rPr>
          <w:rFonts w:ascii="Times New Roman TUR" w:hAnsi="Times New Roman TUR"/>
          <w:i/>
          <w:color w:val="000000"/>
        </w:rPr>
        <w:t>Public Health Reports</w:t>
      </w:r>
      <w:r>
        <w:rPr>
          <w:rFonts w:ascii="Times New Roman TUR" w:hAnsi="Times New Roman TUR"/>
          <w:color w:val="000000"/>
        </w:rPr>
        <w:t xml:space="preserve">, </w:t>
      </w:r>
      <w:r w:rsidRPr="004602BA">
        <w:rPr>
          <w:rFonts w:ascii="Times New Roman TUR" w:hAnsi="Times New Roman TUR"/>
          <w:i/>
          <w:color w:val="000000"/>
        </w:rPr>
        <w:t>Health Affairs, American Journal of Preventive Medicine,</w:t>
      </w:r>
      <w:r>
        <w:rPr>
          <w:rFonts w:ascii="Times New Roman TUR" w:hAnsi="Times New Roman TUR"/>
          <w:color w:val="000000"/>
        </w:rPr>
        <w:t xml:space="preserve"> and the </w:t>
      </w:r>
      <w:r w:rsidRPr="00C70101">
        <w:rPr>
          <w:rFonts w:ascii="Times New Roman TUR" w:hAnsi="Times New Roman TUR"/>
          <w:i/>
          <w:color w:val="000000"/>
        </w:rPr>
        <w:t>American Journal of Public Health</w:t>
      </w:r>
      <w:r>
        <w:rPr>
          <w:rFonts w:ascii="Times New Roman TUR" w:hAnsi="Times New Roman TUR"/>
          <w:color w:val="000000"/>
        </w:rPr>
        <w:t xml:space="preserve">. Similar publication opportunities will be sought for disseminating future data.   </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Pr>
          <w:rFonts w:ascii="Times New Roman TUR" w:hAnsi="Times New Roman TUR"/>
          <w:b/>
          <w:color w:val="000000"/>
        </w:rPr>
        <w:t>Analysis Plan</w:t>
      </w:r>
    </w:p>
    <w:p w:rsidR="0075243F" w:rsidRDefault="0075243F">
      <w:pPr>
        <w:widowControl/>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r>
        <w:rPr>
          <w:rFonts w:ascii="Times New Roman TUR" w:hAnsi="Times New Roman TUR"/>
          <w:color w:val="000000"/>
        </w:rPr>
        <w:t xml:space="preserve">The local instrument is a qualitative self-assessment designed to provide local public health systems with a point-in-time analysis of their capacity to deliver the Essential Public Health Services.  Data collected using the local </w:t>
      </w:r>
      <w:proofErr w:type="gramStart"/>
      <w:r>
        <w:rPr>
          <w:rFonts w:ascii="Times New Roman TUR" w:hAnsi="Times New Roman TUR"/>
          <w:color w:val="000000"/>
        </w:rPr>
        <w:t>instrument are</w:t>
      </w:r>
      <w:proofErr w:type="gramEnd"/>
      <w:r>
        <w:rPr>
          <w:rFonts w:ascii="Times New Roman TUR" w:hAnsi="Times New Roman TUR"/>
          <w:color w:val="000000"/>
        </w:rPr>
        <w:t xml:space="preserve"> analyzed according to standardized algorithms that generate electronic reports.  These reports illustrate strengths, weaknesses, opportunities for improvement, and barriers to infrastructure development for local public health systems.  Data analysis and reporting are fully automated.  </w:t>
      </w: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5243F" w:rsidRDefault="0075243F">
      <w:pPr>
        <w:pStyle w:val="PlainText"/>
        <w:rPr>
          <w:rFonts w:ascii="Times New Roman" w:hAnsi="Times New Roman"/>
          <w:sz w:val="24"/>
        </w:rPr>
      </w:pPr>
      <w:r>
        <w:rPr>
          <w:rFonts w:ascii="Times New Roman" w:hAnsi="Times New Roman"/>
          <w:sz w:val="24"/>
        </w:rPr>
        <w:t xml:space="preserve">After local public health systems complete the assessment, results are submitted to the limited access data collection website.  Technical assistance resources, such as the training workshops, the User Guide and NPHPSP staff, instruct responding jurisdictions that they will need a User ID and survey password to enter data into the limited-access website.  If they are completing the assessment through a statewide approach, CDC provides the User IDs to the state coordinator. Other jurisdictions can contact CDC </w:t>
      </w:r>
      <w:r w:rsidR="00316580">
        <w:rPr>
          <w:rFonts w:ascii="Times New Roman" w:hAnsi="Times New Roman"/>
          <w:sz w:val="24"/>
        </w:rPr>
        <w:t xml:space="preserve">and PHF </w:t>
      </w:r>
      <w:r>
        <w:rPr>
          <w:rFonts w:ascii="Times New Roman" w:hAnsi="Times New Roman"/>
          <w:sz w:val="24"/>
        </w:rPr>
        <w:t>directly at 1-800-747-7649 or by email at phpsp@cdc.gov</w:t>
      </w:r>
      <w:r w:rsidR="00316580">
        <w:rPr>
          <w:rFonts w:ascii="Times New Roman" w:hAnsi="Times New Roman"/>
          <w:sz w:val="24"/>
        </w:rPr>
        <w:t xml:space="preserve"> or nphpsp-support@phf.org</w:t>
      </w:r>
      <w:r>
        <w:rPr>
          <w:rFonts w:ascii="Times New Roman" w:hAnsi="Times New Roman"/>
          <w:sz w:val="24"/>
        </w:rPr>
        <w:t>.  The User IDs are disseminated with an instruction sheet</w:t>
      </w:r>
      <w:r w:rsidR="001A655B">
        <w:rPr>
          <w:rFonts w:ascii="Times New Roman" w:hAnsi="Times New Roman"/>
          <w:sz w:val="24"/>
        </w:rPr>
        <w:t>.</w:t>
      </w:r>
      <w:r>
        <w:rPr>
          <w:rFonts w:ascii="Times New Roman" w:hAnsi="Times New Roman"/>
          <w:sz w:val="24"/>
        </w:rPr>
        <w:t xml:space="preserve"> (</w:t>
      </w:r>
      <w:r w:rsidR="001A655B">
        <w:rPr>
          <w:rFonts w:ascii="Times New Roman" w:hAnsi="Times New Roman"/>
          <w:sz w:val="24"/>
        </w:rPr>
        <w:t>S</w:t>
      </w:r>
      <w:r>
        <w:rPr>
          <w:rFonts w:ascii="Times New Roman" w:hAnsi="Times New Roman"/>
          <w:sz w:val="24"/>
        </w:rPr>
        <w:t xml:space="preserve">ee Attachment </w:t>
      </w:r>
      <w:r w:rsidR="007A6B02">
        <w:rPr>
          <w:rFonts w:ascii="Times New Roman" w:hAnsi="Times New Roman"/>
          <w:sz w:val="24"/>
        </w:rPr>
        <w:t xml:space="preserve">F for the </w:t>
      </w:r>
      <w:r w:rsidR="0065259A">
        <w:rPr>
          <w:rFonts w:ascii="Times New Roman" w:hAnsi="Times New Roman"/>
          <w:sz w:val="24"/>
        </w:rPr>
        <w:t>Meeting</w:t>
      </w:r>
      <w:r w:rsidR="007A6B02">
        <w:rPr>
          <w:rFonts w:ascii="Times New Roman" w:hAnsi="Times New Roman"/>
          <w:sz w:val="24"/>
        </w:rPr>
        <w:t xml:space="preserve"> Guide; </w:t>
      </w:r>
      <w:r w:rsidR="001A655B">
        <w:rPr>
          <w:rFonts w:ascii="Times New Roman" w:hAnsi="Times New Roman"/>
          <w:sz w:val="24"/>
        </w:rPr>
        <w:t xml:space="preserve">Attachment </w:t>
      </w:r>
      <w:r w:rsidR="007A6B02">
        <w:rPr>
          <w:rFonts w:ascii="Times New Roman" w:hAnsi="Times New Roman"/>
          <w:sz w:val="24"/>
        </w:rPr>
        <w:t>G</w:t>
      </w:r>
      <w:r w:rsidR="001A655B">
        <w:rPr>
          <w:rFonts w:ascii="Times New Roman" w:hAnsi="Times New Roman"/>
          <w:sz w:val="24"/>
        </w:rPr>
        <w:t xml:space="preserve"> for the data entry instruction </w:t>
      </w:r>
      <w:r w:rsidR="001A655B">
        <w:rPr>
          <w:rFonts w:ascii="Times New Roman" w:hAnsi="Times New Roman"/>
          <w:sz w:val="24"/>
        </w:rPr>
        <w:lastRenderedPageBreak/>
        <w:t>sheet</w:t>
      </w:r>
      <w:r w:rsidR="007A6B02">
        <w:rPr>
          <w:rFonts w:ascii="Times New Roman" w:hAnsi="Times New Roman"/>
          <w:sz w:val="24"/>
        </w:rPr>
        <w:t>; and Attachment H for example screen shots of the web-based system for submitting data and accessing reports</w:t>
      </w:r>
      <w:r>
        <w:rPr>
          <w:rFonts w:ascii="Times New Roman" w:hAnsi="Times New Roman"/>
          <w:sz w:val="24"/>
        </w:rPr>
        <w:t xml:space="preserve">).  </w:t>
      </w: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5243F" w:rsidRDefault="0075243F">
      <w:r>
        <w:t>Based on field testing and sound statistical methods, a detailed scoring methodology was developed for the NPHPSP</w:t>
      </w:r>
      <w:r w:rsidR="00835CD7">
        <w:t>.</w:t>
      </w:r>
      <w:r>
        <w:t xml:space="preserve">  It is applicable to all three instruments.  </w:t>
      </w:r>
      <w:r w:rsidR="00453FCC">
        <w:t>It was used for the previously-approved instruments and has been tested with the new Version 2 instruments, with the necessary slight alterations (such as inclusion of the new 5</w:t>
      </w:r>
      <w:r w:rsidR="00453FCC" w:rsidRPr="004602BA">
        <w:rPr>
          <w:vertAlign w:val="superscript"/>
        </w:rPr>
        <w:t>th</w:t>
      </w:r>
      <w:r w:rsidR="00453FCC">
        <w:t xml:space="preserve"> response option)</w:t>
      </w:r>
      <w:r w:rsidR="00325FD9">
        <w:t>.</w:t>
      </w:r>
      <w:r w:rsidR="00453FCC">
        <w:t xml:space="preserve">  </w:t>
      </w:r>
      <w:r>
        <w:t xml:space="preserve">It is described, in brief, below:  </w:t>
      </w:r>
    </w:p>
    <w:p w:rsidR="0075243F" w:rsidRDefault="0075243F"/>
    <w:p w:rsidR="0075243F" w:rsidRDefault="0075243F">
      <w:r>
        <w:t xml:space="preserve">Scores are developed for four different levels:  </w:t>
      </w:r>
    </w:p>
    <w:p w:rsidR="0075243F" w:rsidRDefault="0075243F">
      <w:pPr>
        <w:widowControl/>
        <w:numPr>
          <w:ilvl w:val="0"/>
          <w:numId w:val="2"/>
        </w:numPr>
        <w:autoSpaceDE/>
        <w:autoSpaceDN/>
        <w:adjustRightInd/>
      </w:pPr>
      <w:r>
        <w:rPr>
          <w:b/>
        </w:rPr>
        <w:t>First-tier or “stem” question scores</w:t>
      </w:r>
      <w:r>
        <w:t xml:space="preserve"> – This score is developed by establishing the weight value for each question, and then multiplying the weight value by the response value.  The weight value of each question grouping totals 1 point – lead-in questions are given 0.</w:t>
      </w:r>
      <w:r w:rsidR="00F5516A">
        <w:t>5</w:t>
      </w:r>
      <w:r>
        <w:t xml:space="preserve"> </w:t>
      </w:r>
      <w:proofErr w:type="gramStart"/>
      <w:r>
        <w:t>weight</w:t>
      </w:r>
      <w:proofErr w:type="gramEnd"/>
      <w:r>
        <w:t xml:space="preserve"> while </w:t>
      </w:r>
      <w:proofErr w:type="spellStart"/>
      <w:r>
        <w:t>subquestions</w:t>
      </w:r>
      <w:proofErr w:type="spellEnd"/>
      <w:r>
        <w:t xml:space="preserve"> are assigned 0.</w:t>
      </w:r>
      <w:r w:rsidR="00F5516A">
        <w:t>5</w:t>
      </w:r>
      <w:r>
        <w:t xml:space="preserve"> weight collectively.  The weight of each question is multiplied by its response value </w:t>
      </w:r>
      <w:r w:rsidR="00453FCC">
        <w:t>(“no” responses are given a zero value; “minimal activity” is 0.25; “</w:t>
      </w:r>
      <w:r w:rsidR="00F5516A">
        <w:t>moderate activity</w:t>
      </w:r>
      <w:r w:rsidR="00453FCC">
        <w:t>” is 0.50; “</w:t>
      </w:r>
      <w:r w:rsidR="00F5516A">
        <w:t>significant activity</w:t>
      </w:r>
      <w:r w:rsidR="00453FCC">
        <w:t>” is 0.75; and “</w:t>
      </w:r>
      <w:r w:rsidR="00F5516A">
        <w:t>optimal activity</w:t>
      </w:r>
      <w:r w:rsidR="00453FCC">
        <w:t>” is 1.0).</w:t>
      </w:r>
      <w:r>
        <w:t xml:space="preserve">  The scores for each question in the question grouping are totaled up to produce the “stem” question score. </w:t>
      </w:r>
    </w:p>
    <w:p w:rsidR="0075243F" w:rsidRDefault="008B25A8">
      <w:pPr>
        <w:widowControl/>
        <w:numPr>
          <w:ilvl w:val="0"/>
          <w:numId w:val="2"/>
        </w:numPr>
        <w:autoSpaceDE/>
        <w:autoSpaceDN/>
        <w:adjustRightInd/>
      </w:pPr>
      <w:r>
        <w:rPr>
          <w:b/>
        </w:rPr>
        <w:t xml:space="preserve">Model Standard </w:t>
      </w:r>
      <w:r w:rsidR="0075243F">
        <w:rPr>
          <w:b/>
        </w:rPr>
        <w:t>scores</w:t>
      </w:r>
      <w:r w:rsidR="0075243F">
        <w:t xml:space="preserve"> – the average of all stem question scores found within this indicator section.</w:t>
      </w:r>
    </w:p>
    <w:p w:rsidR="0075243F" w:rsidRDefault="0075243F">
      <w:pPr>
        <w:widowControl/>
        <w:numPr>
          <w:ilvl w:val="0"/>
          <w:numId w:val="2"/>
        </w:numPr>
        <w:autoSpaceDE/>
        <w:autoSpaceDN/>
        <w:adjustRightInd/>
      </w:pPr>
      <w:r>
        <w:rPr>
          <w:b/>
        </w:rPr>
        <w:t>Essential Service scores</w:t>
      </w:r>
      <w:r>
        <w:t xml:space="preserve"> – the average of all </w:t>
      </w:r>
      <w:r w:rsidR="008B25A8">
        <w:t xml:space="preserve">model standards </w:t>
      </w:r>
      <w:r>
        <w:t xml:space="preserve">found within this Essential Service section.  </w:t>
      </w:r>
    </w:p>
    <w:p w:rsidR="0075243F" w:rsidRDefault="0075243F">
      <w:pPr>
        <w:widowControl/>
        <w:numPr>
          <w:ilvl w:val="0"/>
          <w:numId w:val="2"/>
        </w:numPr>
        <w:autoSpaceDE/>
        <w:autoSpaceDN/>
        <w:adjustRightInd/>
      </w:pPr>
      <w:r>
        <w:rPr>
          <w:b/>
        </w:rPr>
        <w:t>Overall Score</w:t>
      </w:r>
      <w:r>
        <w:t xml:space="preserve"> – the average of all ten Essential Service scores.  </w:t>
      </w: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r>
        <w:rPr>
          <w:rFonts w:ascii="Times New Roman TUR" w:hAnsi="Times New Roman TUR"/>
          <w:color w:val="000000"/>
        </w:rPr>
        <w:t xml:space="preserve">Local public health systems should strive for scores of </w:t>
      </w:r>
      <w:r w:rsidR="00453FCC">
        <w:rPr>
          <w:rFonts w:ascii="Times New Roman TUR" w:hAnsi="Times New Roman TUR"/>
          <w:color w:val="000000"/>
        </w:rPr>
        <w:t>75</w:t>
      </w:r>
      <w:r>
        <w:rPr>
          <w:rFonts w:ascii="Times New Roman TUR" w:hAnsi="Times New Roman TUR"/>
          <w:color w:val="000000"/>
        </w:rPr>
        <w:t xml:space="preserve">% or above to “fully meet” the model standard.  The </w:t>
      </w:r>
      <w:r w:rsidR="00453FCC">
        <w:rPr>
          <w:rFonts w:ascii="Times New Roman TUR" w:hAnsi="Times New Roman TUR"/>
          <w:color w:val="000000"/>
        </w:rPr>
        <w:t>75</w:t>
      </w:r>
      <w:r>
        <w:rPr>
          <w:rFonts w:ascii="Times New Roman TUR" w:hAnsi="Times New Roman TUR"/>
          <w:color w:val="000000"/>
        </w:rPr>
        <w:t>% level was determined by consensus agreement b</w:t>
      </w:r>
      <w:r w:rsidR="00835CD7">
        <w:rPr>
          <w:rFonts w:ascii="Times New Roman TUR" w:hAnsi="Times New Roman TUR"/>
          <w:color w:val="000000"/>
        </w:rPr>
        <w:t>etween CDC and national partner</w:t>
      </w:r>
      <w:r>
        <w:rPr>
          <w:rFonts w:ascii="Times New Roman TUR" w:hAnsi="Times New Roman TUR"/>
          <w:color w:val="000000"/>
        </w:rPr>
        <w:t xml:space="preserve"> organizations. In addition to the numerical scores provided in the reports, respondents are heavily encouraged to </w:t>
      </w:r>
      <w:r w:rsidR="008B25A8">
        <w:rPr>
          <w:rFonts w:ascii="Times New Roman TUR" w:hAnsi="Times New Roman TUR"/>
          <w:color w:val="000000"/>
        </w:rPr>
        <w:t xml:space="preserve">record </w:t>
      </w:r>
      <w:r>
        <w:rPr>
          <w:rFonts w:ascii="Times New Roman TUR" w:hAnsi="Times New Roman TUR"/>
          <w:color w:val="000000"/>
        </w:rPr>
        <w:t>qualitative</w:t>
      </w:r>
      <w:r w:rsidR="008B25A8">
        <w:rPr>
          <w:rFonts w:ascii="Times New Roman TUR" w:hAnsi="Times New Roman TUR"/>
          <w:color w:val="000000"/>
        </w:rPr>
        <w:t xml:space="preserve"> discussion points that will help to describe </w:t>
      </w:r>
      <w:r>
        <w:rPr>
          <w:rFonts w:ascii="Times New Roman TUR" w:hAnsi="Times New Roman TUR"/>
          <w:color w:val="000000"/>
        </w:rPr>
        <w:t xml:space="preserve">areas of weakness in the delivery of the Essential Services. Local public health systems are encouraged to review the scores and qualitative data to identify opportunities for performance and infrastructure improvement planning.  CDC and NPHPSP partner organizations provide technical assistance resources and training to assist states and local jurisdictions with using the results for performance improvement.  Such technical assistance includes linking the state and local agencies with peers to improve sharing of best practices </w:t>
      </w:r>
      <w:r w:rsidR="00835CD7">
        <w:rPr>
          <w:rFonts w:ascii="Times New Roman TUR" w:hAnsi="Times New Roman TUR"/>
          <w:color w:val="000000"/>
        </w:rPr>
        <w:t>and providing</w:t>
      </w:r>
      <w:r>
        <w:rPr>
          <w:rFonts w:ascii="Times New Roman TUR" w:hAnsi="Times New Roman TUR"/>
          <w:color w:val="000000"/>
        </w:rPr>
        <w:t xml:space="preserve"> web-based resources that provide practice models for making improvements in weaknesses identified in their assessment.  </w:t>
      </w: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5243F" w:rsidRDefault="00453FCC">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r>
        <w:rPr>
          <w:rFonts w:ascii="Times New Roman TUR" w:hAnsi="Times New Roman TUR"/>
          <w:color w:val="000000"/>
        </w:rPr>
        <w:t>An</w:t>
      </w:r>
      <w:r w:rsidR="0075243F">
        <w:rPr>
          <w:rFonts w:ascii="Times New Roman TUR" w:hAnsi="Times New Roman TUR"/>
          <w:color w:val="000000"/>
        </w:rPr>
        <w:t xml:space="preserve"> automated sample report is generated for each respondent.   </w:t>
      </w:r>
      <w:r>
        <w:rPr>
          <w:rFonts w:ascii="Times New Roman TUR" w:hAnsi="Times New Roman TUR"/>
          <w:color w:val="000000"/>
        </w:rPr>
        <w:t>Sample reports are available on the CDC website so that potential users can view the reports prior to submitting data.</w:t>
      </w:r>
    </w:p>
    <w:p w:rsidR="0075243F" w:rsidRDefault="0075243F">
      <w:pPr>
        <w:widowControl/>
        <w:pBdr>
          <w:top w:val="single" w:sz="6" w:space="0" w:color="FFFFFF"/>
          <w:left w:val="single" w:sz="6" w:space="0" w:color="FFFFFF"/>
          <w:bottom w:val="single" w:sz="6" w:space="0" w:color="FFFFFF"/>
          <w:right w:val="single" w:sz="6" w:space="0" w:color="FFFFFF"/>
        </w:pBdr>
        <w:tabs>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276"/>
          <w:tab w:val="left" w:pos="9090"/>
        </w:tabs>
        <w:rPr>
          <w:rFonts w:ascii="Times New Roman TUR" w:hAnsi="Times New Roman TUR"/>
          <w:color w:val="000000"/>
        </w:rPr>
      </w:pPr>
    </w:p>
    <w:p w:rsidR="007A1EA9"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sidRPr="006C34ED">
        <w:rPr>
          <w:rFonts w:ascii="Times New Roman TUR" w:hAnsi="Times New Roman TUR"/>
          <w:b/>
          <w:color w:val="000000"/>
        </w:rPr>
        <w:t xml:space="preserve">17. </w:t>
      </w:r>
      <w:r w:rsidR="007A1EA9">
        <w:rPr>
          <w:rFonts w:ascii="Times New Roman TUR" w:hAnsi="Times New Roman TUR"/>
          <w:b/>
          <w:color w:val="000000"/>
        </w:rPr>
        <w:t xml:space="preserve">Reason(s) Display of OMB </w:t>
      </w:r>
      <w:r w:rsidRPr="006C34ED">
        <w:rPr>
          <w:rFonts w:ascii="Times New Roman TUR" w:hAnsi="Times New Roman TUR"/>
          <w:b/>
          <w:color w:val="000000"/>
        </w:rPr>
        <w:t xml:space="preserve">Expiration Date </w:t>
      </w:r>
      <w:r w:rsidR="007A1EA9">
        <w:rPr>
          <w:rFonts w:ascii="Times New Roman TUR" w:hAnsi="Times New Roman TUR"/>
          <w:b/>
          <w:color w:val="000000"/>
        </w:rPr>
        <w:t>is Inappropriate</w:t>
      </w:r>
    </w:p>
    <w:p w:rsidR="007A1EA9" w:rsidRDefault="007A1EA9">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p>
    <w:p w:rsidR="0075243F"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CDC is not seeking an exemption for displaying an expiration date.</w:t>
      </w:r>
    </w:p>
    <w:p w:rsidR="0075243F"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5243F" w:rsidRPr="006C34ED"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b/>
          <w:color w:val="000000"/>
        </w:rPr>
      </w:pPr>
      <w:r w:rsidRPr="006C34ED">
        <w:rPr>
          <w:rFonts w:ascii="Times New Roman TUR" w:hAnsi="Times New Roman TUR"/>
          <w:b/>
          <w:color w:val="000000"/>
        </w:rPr>
        <w:t>18. Exemptions to Certification</w:t>
      </w:r>
      <w:r w:rsidR="007A1EA9">
        <w:rPr>
          <w:rFonts w:ascii="Times New Roman TUR" w:hAnsi="Times New Roman TUR"/>
          <w:b/>
          <w:color w:val="000000"/>
        </w:rPr>
        <w:t xml:space="preserve"> for Paperwork Reduction Act Submissions</w:t>
      </w:r>
    </w:p>
    <w:p w:rsidR="0075243F"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730FC"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r>
        <w:rPr>
          <w:rFonts w:ascii="Times New Roman TUR" w:hAnsi="Times New Roman TUR"/>
          <w:color w:val="000000"/>
        </w:rPr>
        <w:t>There are no exemptions.</w:t>
      </w:r>
    </w:p>
    <w:p w:rsidR="007730FC" w:rsidRPr="00BB344D" w:rsidRDefault="007730FC" w:rsidP="007730FC">
      <w:pPr>
        <w:pBdr>
          <w:top w:val="single" w:sz="6" w:space="0" w:color="FFFFFF"/>
          <w:left w:val="single" w:sz="6" w:space="0" w:color="FFFFFF"/>
          <w:bottom w:val="single" w:sz="6" w:space="0" w:color="FFFFFF"/>
          <w:right w:val="single" w:sz="6" w:space="0" w:color="FFFFFF"/>
        </w:pBd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center"/>
        <w:rPr>
          <w:rFonts w:ascii="Times New Roman TUR" w:hAnsi="Times New Roman TUR"/>
          <w:b/>
        </w:rPr>
      </w:pPr>
      <w:r>
        <w:rPr>
          <w:rFonts w:ascii="Times New Roman TUR" w:hAnsi="Times New Roman TUR"/>
          <w:color w:val="000000"/>
        </w:rPr>
        <w:br w:type="page"/>
      </w:r>
      <w:r w:rsidRPr="00BB344D">
        <w:rPr>
          <w:rFonts w:ascii="Times New Roman TUR" w:hAnsi="Times New Roman TUR"/>
          <w:b/>
        </w:rPr>
        <w:lastRenderedPageBreak/>
        <w:t>List of Attachments</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rPr>
          <w:rFonts w:ascii="Times New Roman TUR" w:hAnsi="Times New Roman TUR"/>
        </w:rPr>
      </w:pP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630"/>
        <w:rPr>
          <w:rFonts w:ascii="Times New Roman TUR" w:hAnsi="Times New Roman TUR"/>
        </w:rPr>
      </w:pPr>
      <w:r>
        <w:rPr>
          <w:rFonts w:ascii="Times New Roman TUR" w:hAnsi="Times New Roman TUR"/>
        </w:rPr>
        <w:t>Attachment A:</w:t>
      </w:r>
      <w:r>
        <w:rPr>
          <w:rFonts w:ascii="Times New Roman TUR" w:hAnsi="Times New Roman TUR"/>
        </w:rPr>
        <w:tab/>
        <w:t>Public Health Service Act, Section 301</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Attachment B:</w:t>
      </w:r>
      <w:r>
        <w:rPr>
          <w:rFonts w:ascii="Times New Roman TUR" w:hAnsi="Times New Roman TUR"/>
        </w:rPr>
        <w:tab/>
        <w:t xml:space="preserve">Federal Register Notice </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250" w:hanging="1620"/>
        <w:rPr>
          <w:rFonts w:ascii="Times New Roman TUR" w:hAnsi="Times New Roman TUR"/>
        </w:rPr>
      </w:pPr>
      <w:r>
        <w:rPr>
          <w:rFonts w:ascii="Times New Roman TUR" w:hAnsi="Times New Roman TUR"/>
        </w:rPr>
        <w:t>Attachment C:</w:t>
      </w:r>
      <w:r>
        <w:rPr>
          <w:rFonts w:ascii="Times New Roman TUR" w:hAnsi="Times New Roman TUR"/>
        </w:rPr>
        <w:tab/>
        <w:t>List of Project Consultants at Partner Organizations and List of State,    Local, and Governance Work Group Members</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Attachment D:</w:t>
      </w:r>
      <w:r>
        <w:rPr>
          <w:rFonts w:ascii="Times New Roman TUR" w:hAnsi="Times New Roman TUR"/>
        </w:rPr>
        <w:tab/>
        <w:t>Spreadsheet of Possible Respondents by State</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Attachment E:</w:t>
      </w:r>
      <w:r>
        <w:rPr>
          <w:rFonts w:ascii="Times New Roman TUR" w:hAnsi="Times New Roman TUR"/>
        </w:rPr>
        <w:tab/>
        <w:t>Local Public Health System Performance Assessment Instrument, Respondent Information Form, Optional Priority Questionnaire, and Optional Agency Contribution Questionnaire</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 xml:space="preserve">Attachment F:  </w:t>
      </w:r>
      <w:r>
        <w:rPr>
          <w:rFonts w:ascii="Times New Roman TUR" w:hAnsi="Times New Roman TUR"/>
        </w:rPr>
        <w:tab/>
        <w:t xml:space="preserve">National Public Health Performance Standards Program (NPHPSP) </w:t>
      </w:r>
      <w:r w:rsidR="002A5EE8">
        <w:rPr>
          <w:rFonts w:ascii="Times New Roman TUR" w:hAnsi="Times New Roman TUR"/>
        </w:rPr>
        <w:t>Meeting</w:t>
      </w:r>
      <w:r>
        <w:rPr>
          <w:rFonts w:ascii="Times New Roman TUR" w:hAnsi="Times New Roman TUR"/>
        </w:rPr>
        <w:t xml:space="preserve"> Guide (for Local Public Health System Instrument)</w:t>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Attachment G:</w:t>
      </w:r>
      <w:r>
        <w:rPr>
          <w:rFonts w:ascii="Times New Roman TUR" w:hAnsi="Times New Roman TUR"/>
        </w:rPr>
        <w:tab/>
        <w:t>Web-based Data Entry Instruction Sheet</w:t>
      </w:r>
      <w:r>
        <w:rPr>
          <w:rFonts w:ascii="Times New Roman TUR" w:hAnsi="Times New Roman TUR"/>
        </w:rPr>
        <w:tab/>
      </w:r>
    </w:p>
    <w:p w:rsidR="007730FC" w:rsidRDefault="007730FC" w:rsidP="007730FC">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2160" w:hanging="1530"/>
        <w:rPr>
          <w:rFonts w:ascii="Times New Roman TUR" w:hAnsi="Times New Roman TUR"/>
        </w:rPr>
      </w:pPr>
      <w:r>
        <w:rPr>
          <w:rFonts w:ascii="Times New Roman TUR" w:hAnsi="Times New Roman TUR"/>
        </w:rPr>
        <w:t>Attachment H:</w:t>
      </w:r>
      <w:r>
        <w:rPr>
          <w:rFonts w:ascii="Times New Roman TUR" w:hAnsi="Times New Roman TUR"/>
        </w:rPr>
        <w:tab/>
        <w:t>Screen Shots of Example Pages from Web-based System – Submitting Data and Accessing Reports</w:t>
      </w:r>
    </w:p>
    <w:p w:rsidR="0075243F" w:rsidRDefault="0075243F">
      <w:pPr>
        <w:pBdr>
          <w:top w:val="single" w:sz="6" w:space="0" w:color="FFFFFF"/>
          <w:left w:val="single" w:sz="6" w:space="0" w:color="FFFFFF"/>
          <w:bottom w:val="single" w:sz="6" w:space="0" w:color="FFFFFF"/>
          <w:right w:val="single" w:sz="6" w:space="0" w:color="FFFFFF"/>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Times New Roman TUR" w:hAnsi="Times New Roman TUR"/>
          <w:color w:val="000000"/>
        </w:rPr>
      </w:pPr>
    </w:p>
    <w:p w:rsidR="007A1EA9" w:rsidRDefault="007A1EA9">
      <w:pPr>
        <w:pBdr>
          <w:top w:val="single" w:sz="6" w:space="0" w:color="FFFFFF"/>
          <w:left w:val="single" w:sz="6" w:space="0" w:color="FFFFFF"/>
          <w:bottom w:val="single" w:sz="6" w:space="0" w:color="FFFFFF"/>
          <w:right w:val="single" w:sz="6" w:space="0" w:color="FFFFFF"/>
        </w:pBd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TUR" w:hAnsi="Times New Roman TUR"/>
          <w:b/>
          <w:color w:val="000000"/>
        </w:rPr>
      </w:pPr>
    </w:p>
    <w:sectPr w:rsidR="007A1EA9" w:rsidSect="006602BC">
      <w:pgSz w:w="12240" w:h="15840"/>
      <w:pgMar w:top="1440" w:right="1440" w:bottom="1440" w:left="1440" w:header="1440" w:footer="86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114" w:rsidRDefault="00612114">
      <w:r>
        <w:separator/>
      </w:r>
    </w:p>
  </w:endnote>
  <w:endnote w:type="continuationSeparator" w:id="0">
    <w:p w:rsidR="00612114" w:rsidRDefault="00612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TUR">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ourier New TUR">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114" w:rsidRDefault="00612114">
      <w:r>
        <w:separator/>
      </w:r>
    </w:p>
  </w:footnote>
  <w:footnote w:type="continuationSeparator" w:id="0">
    <w:p w:rsidR="00612114" w:rsidRDefault="00612114">
      <w:r>
        <w:continuationSeparator/>
      </w:r>
    </w:p>
  </w:footnote>
  <w:footnote w:id="1">
    <w:p w:rsidR="00FE65F3" w:rsidRDefault="00FE65F3">
      <w:pPr>
        <w:pStyle w:val="FootnoteText"/>
      </w:pPr>
      <w:r>
        <w:rPr>
          <w:rStyle w:val="FootnoteReference"/>
        </w:rPr>
        <w:footnoteRef/>
      </w:r>
      <w:r>
        <w:t xml:space="preserve"> The original clearance package was submitted from CDC’s Public Health Practice Program Office and previous extension and revision packages were submitted by CDC’s Office of Chief of Public Health Practice.   Due to most recent CDC reorganization </w:t>
      </w:r>
      <w:r w:rsidR="00813728">
        <w:t>activities, the</w:t>
      </w:r>
      <w:r>
        <w:t xml:space="preserve"> National Public Health Performance Standards Program is now housed in the CDC Office of the State, Tribal, Local and Territorial Support.</w:t>
      </w:r>
    </w:p>
  </w:footnote>
  <w:footnote w:id="2">
    <w:p w:rsidR="00FE65F3" w:rsidRDefault="00FE65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270"/>
        <w:rPr>
          <w:rFonts w:ascii="Times New Roman TUR" w:hAnsi="Times New Roman TUR"/>
        </w:rPr>
      </w:pPr>
      <w:r>
        <w:rPr>
          <w:rStyle w:val="FootnoteReference"/>
          <w:rFonts w:ascii="Times New Roman TUR" w:hAnsi="Times New Roman TUR"/>
          <w:vertAlign w:val="superscript"/>
        </w:rPr>
        <w:footnoteRef/>
      </w:r>
      <w:r>
        <w:rPr>
          <w:rFonts w:ascii="Times New Roman TUR" w:hAnsi="Times New Roman TUR"/>
          <w:sz w:val="20"/>
        </w:rPr>
        <w:t xml:space="preserve">The Essential Public Health Services </w:t>
      </w:r>
      <w:r w:rsidRPr="00AE6663">
        <w:rPr>
          <w:rFonts w:ascii="Times New Roman TUR" w:hAnsi="Times New Roman TUR"/>
          <w:sz w:val="20"/>
        </w:rPr>
        <w:t>are</w:t>
      </w:r>
      <w:r>
        <w:rPr>
          <w:rFonts w:ascii="Times New Roman TUR" w:hAnsi="Times New Roman TUR"/>
          <w:sz w:val="20"/>
        </w:rPr>
        <w:t xml:space="preserve">:  Monitoring Health Status; Diagnosing and Investigating Health Problems; Informing, Educating, and Empowering People; Mobilizing Community Partnerships; Developing Policies and Plans; Enforcing Laws and Regulations; Linking People to Needed Services; Assuring a Competent Workforce; Conducting Evaluations; and Conducting Research.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12C34A"/>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164765D"/>
    <w:multiLevelType w:val="hybridMultilevel"/>
    <w:tmpl w:val="5694FD56"/>
    <w:lvl w:ilvl="0" w:tplc="E3B42692">
      <w:start w:val="1"/>
      <w:numFmt w:val="decimal"/>
      <w:lvlText w:val="%1."/>
      <w:lvlJc w:val="left"/>
      <w:pPr>
        <w:tabs>
          <w:tab w:val="num" w:pos="-216"/>
        </w:tabs>
        <w:ind w:left="216" w:hanging="216"/>
      </w:pPr>
      <w:rPr>
        <w:rFonts w:hint="default"/>
      </w:rPr>
    </w:lvl>
    <w:lvl w:ilvl="1" w:tplc="3D400C88" w:tentative="1">
      <w:start w:val="1"/>
      <w:numFmt w:val="lowerLetter"/>
      <w:lvlText w:val="%2."/>
      <w:lvlJc w:val="left"/>
      <w:pPr>
        <w:tabs>
          <w:tab w:val="num" w:pos="1440"/>
        </w:tabs>
        <w:ind w:left="1440" w:hanging="360"/>
      </w:pPr>
    </w:lvl>
    <w:lvl w:ilvl="2" w:tplc="33D876D8" w:tentative="1">
      <w:start w:val="1"/>
      <w:numFmt w:val="lowerRoman"/>
      <w:lvlText w:val="%3."/>
      <w:lvlJc w:val="right"/>
      <w:pPr>
        <w:tabs>
          <w:tab w:val="num" w:pos="2160"/>
        </w:tabs>
        <w:ind w:left="2160" w:hanging="180"/>
      </w:pPr>
    </w:lvl>
    <w:lvl w:ilvl="3" w:tplc="D18C94B6" w:tentative="1">
      <w:start w:val="1"/>
      <w:numFmt w:val="decimal"/>
      <w:lvlText w:val="%4."/>
      <w:lvlJc w:val="left"/>
      <w:pPr>
        <w:tabs>
          <w:tab w:val="num" w:pos="2880"/>
        </w:tabs>
        <w:ind w:left="2880" w:hanging="360"/>
      </w:pPr>
    </w:lvl>
    <w:lvl w:ilvl="4" w:tplc="8E30657E" w:tentative="1">
      <w:start w:val="1"/>
      <w:numFmt w:val="lowerLetter"/>
      <w:lvlText w:val="%5."/>
      <w:lvlJc w:val="left"/>
      <w:pPr>
        <w:tabs>
          <w:tab w:val="num" w:pos="3600"/>
        </w:tabs>
        <w:ind w:left="3600" w:hanging="360"/>
      </w:pPr>
    </w:lvl>
    <w:lvl w:ilvl="5" w:tplc="F6363B80" w:tentative="1">
      <w:start w:val="1"/>
      <w:numFmt w:val="lowerRoman"/>
      <w:lvlText w:val="%6."/>
      <w:lvlJc w:val="right"/>
      <w:pPr>
        <w:tabs>
          <w:tab w:val="num" w:pos="4320"/>
        </w:tabs>
        <w:ind w:left="4320" w:hanging="180"/>
      </w:pPr>
    </w:lvl>
    <w:lvl w:ilvl="6" w:tplc="1AC20126" w:tentative="1">
      <w:start w:val="1"/>
      <w:numFmt w:val="decimal"/>
      <w:lvlText w:val="%7."/>
      <w:lvlJc w:val="left"/>
      <w:pPr>
        <w:tabs>
          <w:tab w:val="num" w:pos="5040"/>
        </w:tabs>
        <w:ind w:left="5040" w:hanging="360"/>
      </w:pPr>
    </w:lvl>
    <w:lvl w:ilvl="7" w:tplc="77882D48" w:tentative="1">
      <w:start w:val="1"/>
      <w:numFmt w:val="lowerLetter"/>
      <w:lvlText w:val="%8."/>
      <w:lvlJc w:val="left"/>
      <w:pPr>
        <w:tabs>
          <w:tab w:val="num" w:pos="5760"/>
        </w:tabs>
        <w:ind w:left="5760" w:hanging="360"/>
      </w:pPr>
    </w:lvl>
    <w:lvl w:ilvl="8" w:tplc="9C16895C" w:tentative="1">
      <w:start w:val="1"/>
      <w:numFmt w:val="lowerRoman"/>
      <w:lvlText w:val="%9."/>
      <w:lvlJc w:val="right"/>
      <w:pPr>
        <w:tabs>
          <w:tab w:val="num" w:pos="6480"/>
        </w:tabs>
        <w:ind w:left="6480" w:hanging="180"/>
      </w:pPr>
    </w:lvl>
  </w:abstractNum>
  <w:abstractNum w:abstractNumId="3">
    <w:nsid w:val="09C85CAB"/>
    <w:multiLevelType w:val="hybridMultilevel"/>
    <w:tmpl w:val="A280A320"/>
    <w:lvl w:ilvl="0" w:tplc="7012D7B6">
      <w:start w:val="1"/>
      <w:numFmt w:val="bullet"/>
      <w:lvlText w:val=""/>
      <w:lvlJc w:val="left"/>
      <w:pPr>
        <w:tabs>
          <w:tab w:val="num" w:pos="144"/>
        </w:tabs>
        <w:ind w:left="144" w:hanging="144"/>
      </w:pPr>
      <w:rPr>
        <w:rFonts w:ascii="Symbol" w:hAnsi="Symbol" w:hint="default"/>
      </w:rPr>
    </w:lvl>
    <w:lvl w:ilvl="1" w:tplc="EBDA9680" w:tentative="1">
      <w:start w:val="1"/>
      <w:numFmt w:val="bullet"/>
      <w:lvlText w:val="o"/>
      <w:lvlJc w:val="left"/>
      <w:pPr>
        <w:tabs>
          <w:tab w:val="num" w:pos="1440"/>
        </w:tabs>
        <w:ind w:left="1440" w:hanging="360"/>
      </w:pPr>
      <w:rPr>
        <w:rFonts w:ascii="Courier New" w:hAnsi="Courier New" w:cs="Courier New" w:hint="default"/>
      </w:rPr>
    </w:lvl>
    <w:lvl w:ilvl="2" w:tplc="531EFE7E" w:tentative="1">
      <w:start w:val="1"/>
      <w:numFmt w:val="bullet"/>
      <w:lvlText w:val=""/>
      <w:lvlJc w:val="left"/>
      <w:pPr>
        <w:tabs>
          <w:tab w:val="num" w:pos="2160"/>
        </w:tabs>
        <w:ind w:left="2160" w:hanging="360"/>
      </w:pPr>
      <w:rPr>
        <w:rFonts w:ascii="Wingdings" w:hAnsi="Wingdings" w:hint="default"/>
      </w:rPr>
    </w:lvl>
    <w:lvl w:ilvl="3" w:tplc="D4F4540A" w:tentative="1">
      <w:start w:val="1"/>
      <w:numFmt w:val="bullet"/>
      <w:lvlText w:val=""/>
      <w:lvlJc w:val="left"/>
      <w:pPr>
        <w:tabs>
          <w:tab w:val="num" w:pos="2880"/>
        </w:tabs>
        <w:ind w:left="2880" w:hanging="360"/>
      </w:pPr>
      <w:rPr>
        <w:rFonts w:ascii="Symbol" w:hAnsi="Symbol" w:hint="default"/>
      </w:rPr>
    </w:lvl>
    <w:lvl w:ilvl="4" w:tplc="92425C10" w:tentative="1">
      <w:start w:val="1"/>
      <w:numFmt w:val="bullet"/>
      <w:lvlText w:val="o"/>
      <w:lvlJc w:val="left"/>
      <w:pPr>
        <w:tabs>
          <w:tab w:val="num" w:pos="3600"/>
        </w:tabs>
        <w:ind w:left="3600" w:hanging="360"/>
      </w:pPr>
      <w:rPr>
        <w:rFonts w:ascii="Courier New" w:hAnsi="Courier New" w:cs="Courier New" w:hint="default"/>
      </w:rPr>
    </w:lvl>
    <w:lvl w:ilvl="5" w:tplc="2C646C8E" w:tentative="1">
      <w:start w:val="1"/>
      <w:numFmt w:val="bullet"/>
      <w:lvlText w:val=""/>
      <w:lvlJc w:val="left"/>
      <w:pPr>
        <w:tabs>
          <w:tab w:val="num" w:pos="4320"/>
        </w:tabs>
        <w:ind w:left="4320" w:hanging="360"/>
      </w:pPr>
      <w:rPr>
        <w:rFonts w:ascii="Wingdings" w:hAnsi="Wingdings" w:hint="default"/>
      </w:rPr>
    </w:lvl>
    <w:lvl w:ilvl="6" w:tplc="ECF063A8" w:tentative="1">
      <w:start w:val="1"/>
      <w:numFmt w:val="bullet"/>
      <w:lvlText w:val=""/>
      <w:lvlJc w:val="left"/>
      <w:pPr>
        <w:tabs>
          <w:tab w:val="num" w:pos="5040"/>
        </w:tabs>
        <w:ind w:left="5040" w:hanging="360"/>
      </w:pPr>
      <w:rPr>
        <w:rFonts w:ascii="Symbol" w:hAnsi="Symbol" w:hint="default"/>
      </w:rPr>
    </w:lvl>
    <w:lvl w:ilvl="7" w:tplc="B6A2FC32" w:tentative="1">
      <w:start w:val="1"/>
      <w:numFmt w:val="bullet"/>
      <w:lvlText w:val="o"/>
      <w:lvlJc w:val="left"/>
      <w:pPr>
        <w:tabs>
          <w:tab w:val="num" w:pos="5760"/>
        </w:tabs>
        <w:ind w:left="5760" w:hanging="360"/>
      </w:pPr>
      <w:rPr>
        <w:rFonts w:ascii="Courier New" w:hAnsi="Courier New" w:cs="Courier New" w:hint="default"/>
      </w:rPr>
    </w:lvl>
    <w:lvl w:ilvl="8" w:tplc="97C62130" w:tentative="1">
      <w:start w:val="1"/>
      <w:numFmt w:val="bullet"/>
      <w:lvlText w:val=""/>
      <w:lvlJc w:val="left"/>
      <w:pPr>
        <w:tabs>
          <w:tab w:val="num" w:pos="6480"/>
        </w:tabs>
        <w:ind w:left="6480" w:hanging="360"/>
      </w:pPr>
      <w:rPr>
        <w:rFonts w:ascii="Wingdings" w:hAnsi="Wingdings" w:hint="default"/>
      </w:rPr>
    </w:lvl>
  </w:abstractNum>
  <w:abstractNum w:abstractNumId="4">
    <w:nsid w:val="37AA2286"/>
    <w:multiLevelType w:val="hybridMultilevel"/>
    <w:tmpl w:val="5C50EA5E"/>
    <w:lvl w:ilvl="0" w:tplc="CF80F2FE">
      <w:start w:val="1"/>
      <w:numFmt w:val="decimal"/>
      <w:lvlText w:val="%1."/>
      <w:lvlJc w:val="left"/>
      <w:pPr>
        <w:tabs>
          <w:tab w:val="num" w:pos="-403"/>
        </w:tabs>
        <w:ind w:left="29" w:hanging="216"/>
      </w:pPr>
      <w:rPr>
        <w:rFonts w:hint="default"/>
      </w:rPr>
    </w:lvl>
    <w:lvl w:ilvl="1" w:tplc="7B5E59CE" w:tentative="1">
      <w:start w:val="1"/>
      <w:numFmt w:val="lowerLetter"/>
      <w:lvlText w:val="%2."/>
      <w:lvlJc w:val="left"/>
      <w:pPr>
        <w:tabs>
          <w:tab w:val="num" w:pos="1253"/>
        </w:tabs>
        <w:ind w:left="1253" w:hanging="360"/>
      </w:pPr>
    </w:lvl>
    <w:lvl w:ilvl="2" w:tplc="CC4E5CDC" w:tentative="1">
      <w:start w:val="1"/>
      <w:numFmt w:val="lowerRoman"/>
      <w:lvlText w:val="%3."/>
      <w:lvlJc w:val="right"/>
      <w:pPr>
        <w:tabs>
          <w:tab w:val="num" w:pos="1973"/>
        </w:tabs>
        <w:ind w:left="1973" w:hanging="180"/>
      </w:pPr>
    </w:lvl>
    <w:lvl w:ilvl="3" w:tplc="CF78B0B2" w:tentative="1">
      <w:start w:val="1"/>
      <w:numFmt w:val="decimal"/>
      <w:lvlText w:val="%4."/>
      <w:lvlJc w:val="left"/>
      <w:pPr>
        <w:tabs>
          <w:tab w:val="num" w:pos="2693"/>
        </w:tabs>
        <w:ind w:left="2693" w:hanging="360"/>
      </w:pPr>
    </w:lvl>
    <w:lvl w:ilvl="4" w:tplc="3236C326" w:tentative="1">
      <w:start w:val="1"/>
      <w:numFmt w:val="lowerLetter"/>
      <w:lvlText w:val="%5."/>
      <w:lvlJc w:val="left"/>
      <w:pPr>
        <w:tabs>
          <w:tab w:val="num" w:pos="3413"/>
        </w:tabs>
        <w:ind w:left="3413" w:hanging="360"/>
      </w:pPr>
    </w:lvl>
    <w:lvl w:ilvl="5" w:tplc="0FEEA486" w:tentative="1">
      <w:start w:val="1"/>
      <w:numFmt w:val="lowerRoman"/>
      <w:lvlText w:val="%6."/>
      <w:lvlJc w:val="right"/>
      <w:pPr>
        <w:tabs>
          <w:tab w:val="num" w:pos="4133"/>
        </w:tabs>
        <w:ind w:left="4133" w:hanging="180"/>
      </w:pPr>
    </w:lvl>
    <w:lvl w:ilvl="6" w:tplc="2174EB6E" w:tentative="1">
      <w:start w:val="1"/>
      <w:numFmt w:val="decimal"/>
      <w:lvlText w:val="%7."/>
      <w:lvlJc w:val="left"/>
      <w:pPr>
        <w:tabs>
          <w:tab w:val="num" w:pos="4853"/>
        </w:tabs>
        <w:ind w:left="4853" w:hanging="360"/>
      </w:pPr>
    </w:lvl>
    <w:lvl w:ilvl="7" w:tplc="69AA09BE" w:tentative="1">
      <w:start w:val="1"/>
      <w:numFmt w:val="lowerLetter"/>
      <w:lvlText w:val="%8."/>
      <w:lvlJc w:val="left"/>
      <w:pPr>
        <w:tabs>
          <w:tab w:val="num" w:pos="5573"/>
        </w:tabs>
        <w:ind w:left="5573" w:hanging="360"/>
      </w:pPr>
    </w:lvl>
    <w:lvl w:ilvl="8" w:tplc="305E089C" w:tentative="1">
      <w:start w:val="1"/>
      <w:numFmt w:val="lowerRoman"/>
      <w:lvlText w:val="%9."/>
      <w:lvlJc w:val="right"/>
      <w:pPr>
        <w:tabs>
          <w:tab w:val="num" w:pos="6293"/>
        </w:tabs>
        <w:ind w:left="6293" w:hanging="180"/>
      </w:pPr>
    </w:lvl>
  </w:abstractNum>
  <w:abstractNum w:abstractNumId="5">
    <w:nsid w:val="43554A04"/>
    <w:multiLevelType w:val="hybridMultilevel"/>
    <w:tmpl w:val="8BE0B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E6A0C4C"/>
    <w:multiLevelType w:val="hybridMultilevel"/>
    <w:tmpl w:val="02966DDE"/>
    <w:lvl w:ilvl="0" w:tplc="6A1E6910">
      <w:start w:val="1"/>
      <w:numFmt w:val="bullet"/>
      <w:lvlText w:val=""/>
      <w:lvlJc w:val="left"/>
      <w:pPr>
        <w:tabs>
          <w:tab w:val="num" w:pos="144"/>
        </w:tabs>
        <w:ind w:left="144" w:hanging="144"/>
      </w:pPr>
      <w:rPr>
        <w:rFonts w:ascii="Symbol" w:hAnsi="Symbol" w:hint="default"/>
      </w:rPr>
    </w:lvl>
    <w:lvl w:ilvl="1" w:tplc="E5BA9B92" w:tentative="1">
      <w:start w:val="1"/>
      <w:numFmt w:val="bullet"/>
      <w:lvlText w:val="o"/>
      <w:lvlJc w:val="left"/>
      <w:pPr>
        <w:tabs>
          <w:tab w:val="num" w:pos="1440"/>
        </w:tabs>
        <w:ind w:left="1440" w:hanging="360"/>
      </w:pPr>
      <w:rPr>
        <w:rFonts w:ascii="Courier New" w:hAnsi="Courier New" w:cs="Courier New" w:hint="default"/>
      </w:rPr>
    </w:lvl>
    <w:lvl w:ilvl="2" w:tplc="AE1A9300" w:tentative="1">
      <w:start w:val="1"/>
      <w:numFmt w:val="bullet"/>
      <w:lvlText w:val=""/>
      <w:lvlJc w:val="left"/>
      <w:pPr>
        <w:tabs>
          <w:tab w:val="num" w:pos="2160"/>
        </w:tabs>
        <w:ind w:left="2160" w:hanging="360"/>
      </w:pPr>
      <w:rPr>
        <w:rFonts w:ascii="Wingdings" w:hAnsi="Wingdings" w:hint="default"/>
      </w:rPr>
    </w:lvl>
    <w:lvl w:ilvl="3" w:tplc="D6726DF0" w:tentative="1">
      <w:start w:val="1"/>
      <w:numFmt w:val="bullet"/>
      <w:lvlText w:val=""/>
      <w:lvlJc w:val="left"/>
      <w:pPr>
        <w:tabs>
          <w:tab w:val="num" w:pos="2880"/>
        </w:tabs>
        <w:ind w:left="2880" w:hanging="360"/>
      </w:pPr>
      <w:rPr>
        <w:rFonts w:ascii="Symbol" w:hAnsi="Symbol" w:hint="default"/>
      </w:rPr>
    </w:lvl>
    <w:lvl w:ilvl="4" w:tplc="16B22C64" w:tentative="1">
      <w:start w:val="1"/>
      <w:numFmt w:val="bullet"/>
      <w:lvlText w:val="o"/>
      <w:lvlJc w:val="left"/>
      <w:pPr>
        <w:tabs>
          <w:tab w:val="num" w:pos="3600"/>
        </w:tabs>
        <w:ind w:left="3600" w:hanging="360"/>
      </w:pPr>
      <w:rPr>
        <w:rFonts w:ascii="Courier New" w:hAnsi="Courier New" w:cs="Courier New" w:hint="default"/>
      </w:rPr>
    </w:lvl>
    <w:lvl w:ilvl="5" w:tplc="78ACDC28" w:tentative="1">
      <w:start w:val="1"/>
      <w:numFmt w:val="bullet"/>
      <w:lvlText w:val=""/>
      <w:lvlJc w:val="left"/>
      <w:pPr>
        <w:tabs>
          <w:tab w:val="num" w:pos="4320"/>
        </w:tabs>
        <w:ind w:left="4320" w:hanging="360"/>
      </w:pPr>
      <w:rPr>
        <w:rFonts w:ascii="Wingdings" w:hAnsi="Wingdings" w:hint="default"/>
      </w:rPr>
    </w:lvl>
    <w:lvl w:ilvl="6" w:tplc="9CDAF4E2" w:tentative="1">
      <w:start w:val="1"/>
      <w:numFmt w:val="bullet"/>
      <w:lvlText w:val=""/>
      <w:lvlJc w:val="left"/>
      <w:pPr>
        <w:tabs>
          <w:tab w:val="num" w:pos="5040"/>
        </w:tabs>
        <w:ind w:left="5040" w:hanging="360"/>
      </w:pPr>
      <w:rPr>
        <w:rFonts w:ascii="Symbol" w:hAnsi="Symbol" w:hint="default"/>
      </w:rPr>
    </w:lvl>
    <w:lvl w:ilvl="7" w:tplc="2800147C" w:tentative="1">
      <w:start w:val="1"/>
      <w:numFmt w:val="bullet"/>
      <w:lvlText w:val="o"/>
      <w:lvlJc w:val="left"/>
      <w:pPr>
        <w:tabs>
          <w:tab w:val="num" w:pos="5760"/>
        </w:tabs>
        <w:ind w:left="5760" w:hanging="360"/>
      </w:pPr>
      <w:rPr>
        <w:rFonts w:ascii="Courier New" w:hAnsi="Courier New" w:cs="Courier New" w:hint="default"/>
      </w:rPr>
    </w:lvl>
    <w:lvl w:ilvl="8" w:tplc="2656FB5C" w:tentative="1">
      <w:start w:val="1"/>
      <w:numFmt w:val="bullet"/>
      <w:lvlText w:val=""/>
      <w:lvlJc w:val="left"/>
      <w:pPr>
        <w:tabs>
          <w:tab w:val="num" w:pos="6480"/>
        </w:tabs>
        <w:ind w:left="6480" w:hanging="360"/>
      </w:pPr>
      <w:rPr>
        <w:rFonts w:ascii="Wingdings" w:hAnsi="Wingdings" w:hint="default"/>
      </w:rPr>
    </w:lvl>
  </w:abstractNum>
  <w:abstractNum w:abstractNumId="7">
    <w:nsid w:val="4EE57DE5"/>
    <w:multiLevelType w:val="hybridMultilevel"/>
    <w:tmpl w:val="923E0028"/>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5B2E4CC8"/>
    <w:multiLevelType w:val="hybridMultilevel"/>
    <w:tmpl w:val="E6CA8E32"/>
    <w:lvl w:ilvl="0" w:tplc="F738DE26">
      <w:start w:val="1"/>
      <w:numFmt w:val="upperRoman"/>
      <w:lvlText w:val="%1."/>
      <w:lvlJc w:val="left"/>
      <w:pPr>
        <w:tabs>
          <w:tab w:val="num" w:pos="1440"/>
        </w:tabs>
        <w:ind w:left="1440" w:hanging="720"/>
      </w:pPr>
      <w:rPr>
        <w:rFonts w:hint="default"/>
      </w:rPr>
    </w:lvl>
    <w:lvl w:ilvl="1" w:tplc="FADA2240">
      <w:start w:val="2"/>
      <w:numFmt w:val="decimal"/>
      <w:lvlText w:val="%2."/>
      <w:lvlJc w:val="left"/>
      <w:pPr>
        <w:tabs>
          <w:tab w:val="num" w:pos="1800"/>
        </w:tabs>
        <w:ind w:left="1800" w:hanging="360"/>
      </w:pPr>
      <w:rPr>
        <w:rFonts w:hint="default"/>
      </w:rPr>
    </w:lvl>
    <w:lvl w:ilvl="2" w:tplc="4328E404" w:tentative="1">
      <w:start w:val="1"/>
      <w:numFmt w:val="lowerRoman"/>
      <w:lvlText w:val="%3."/>
      <w:lvlJc w:val="right"/>
      <w:pPr>
        <w:tabs>
          <w:tab w:val="num" w:pos="2520"/>
        </w:tabs>
        <w:ind w:left="2520" w:hanging="180"/>
      </w:pPr>
    </w:lvl>
    <w:lvl w:ilvl="3" w:tplc="F4A8788C" w:tentative="1">
      <w:start w:val="1"/>
      <w:numFmt w:val="decimal"/>
      <w:lvlText w:val="%4."/>
      <w:lvlJc w:val="left"/>
      <w:pPr>
        <w:tabs>
          <w:tab w:val="num" w:pos="3240"/>
        </w:tabs>
        <w:ind w:left="3240" w:hanging="360"/>
      </w:pPr>
    </w:lvl>
    <w:lvl w:ilvl="4" w:tplc="EFA88070" w:tentative="1">
      <w:start w:val="1"/>
      <w:numFmt w:val="lowerLetter"/>
      <w:lvlText w:val="%5."/>
      <w:lvlJc w:val="left"/>
      <w:pPr>
        <w:tabs>
          <w:tab w:val="num" w:pos="3960"/>
        </w:tabs>
        <w:ind w:left="3960" w:hanging="360"/>
      </w:pPr>
    </w:lvl>
    <w:lvl w:ilvl="5" w:tplc="D222058C" w:tentative="1">
      <w:start w:val="1"/>
      <w:numFmt w:val="lowerRoman"/>
      <w:lvlText w:val="%6."/>
      <w:lvlJc w:val="right"/>
      <w:pPr>
        <w:tabs>
          <w:tab w:val="num" w:pos="4680"/>
        </w:tabs>
        <w:ind w:left="4680" w:hanging="180"/>
      </w:pPr>
    </w:lvl>
    <w:lvl w:ilvl="6" w:tplc="3AC87378" w:tentative="1">
      <w:start w:val="1"/>
      <w:numFmt w:val="decimal"/>
      <w:lvlText w:val="%7."/>
      <w:lvlJc w:val="left"/>
      <w:pPr>
        <w:tabs>
          <w:tab w:val="num" w:pos="5400"/>
        </w:tabs>
        <w:ind w:left="5400" w:hanging="360"/>
      </w:pPr>
    </w:lvl>
    <w:lvl w:ilvl="7" w:tplc="2384C2C4" w:tentative="1">
      <w:start w:val="1"/>
      <w:numFmt w:val="lowerLetter"/>
      <w:lvlText w:val="%8."/>
      <w:lvlJc w:val="left"/>
      <w:pPr>
        <w:tabs>
          <w:tab w:val="num" w:pos="6120"/>
        </w:tabs>
        <w:ind w:left="6120" w:hanging="360"/>
      </w:pPr>
    </w:lvl>
    <w:lvl w:ilvl="8" w:tplc="957AFD38" w:tentative="1">
      <w:start w:val="1"/>
      <w:numFmt w:val="lowerRoman"/>
      <w:lvlText w:val="%9."/>
      <w:lvlJc w:val="right"/>
      <w:pPr>
        <w:tabs>
          <w:tab w:val="num" w:pos="6840"/>
        </w:tabs>
        <w:ind w:left="6840" w:hanging="180"/>
      </w:pPr>
    </w:lvl>
  </w:abstractNum>
  <w:abstractNum w:abstractNumId="9">
    <w:nsid w:val="61013DB1"/>
    <w:multiLevelType w:val="hybridMultilevel"/>
    <w:tmpl w:val="C2C47CE4"/>
    <w:lvl w:ilvl="0" w:tplc="1F2AD36A">
      <w:start w:val="1"/>
      <w:numFmt w:val="bullet"/>
      <w:lvlText w:val=""/>
      <w:lvlJc w:val="left"/>
      <w:pPr>
        <w:tabs>
          <w:tab w:val="num" w:pos="144"/>
        </w:tabs>
        <w:ind w:left="144" w:hanging="144"/>
      </w:pPr>
      <w:rPr>
        <w:rFonts w:ascii="Symbol" w:hAnsi="Symbol" w:hint="default"/>
      </w:rPr>
    </w:lvl>
    <w:lvl w:ilvl="1" w:tplc="0FBAB436" w:tentative="1">
      <w:start w:val="1"/>
      <w:numFmt w:val="bullet"/>
      <w:lvlText w:val="o"/>
      <w:lvlJc w:val="left"/>
      <w:pPr>
        <w:tabs>
          <w:tab w:val="num" w:pos="1440"/>
        </w:tabs>
        <w:ind w:left="1440" w:hanging="360"/>
      </w:pPr>
      <w:rPr>
        <w:rFonts w:ascii="Courier New" w:hAnsi="Courier New" w:cs="Courier New" w:hint="default"/>
      </w:rPr>
    </w:lvl>
    <w:lvl w:ilvl="2" w:tplc="F8C8BD12" w:tentative="1">
      <w:start w:val="1"/>
      <w:numFmt w:val="bullet"/>
      <w:lvlText w:val=""/>
      <w:lvlJc w:val="left"/>
      <w:pPr>
        <w:tabs>
          <w:tab w:val="num" w:pos="2160"/>
        </w:tabs>
        <w:ind w:left="2160" w:hanging="360"/>
      </w:pPr>
      <w:rPr>
        <w:rFonts w:ascii="Wingdings" w:hAnsi="Wingdings" w:hint="default"/>
      </w:rPr>
    </w:lvl>
    <w:lvl w:ilvl="3" w:tplc="FECA55E6" w:tentative="1">
      <w:start w:val="1"/>
      <w:numFmt w:val="bullet"/>
      <w:lvlText w:val=""/>
      <w:lvlJc w:val="left"/>
      <w:pPr>
        <w:tabs>
          <w:tab w:val="num" w:pos="2880"/>
        </w:tabs>
        <w:ind w:left="2880" w:hanging="360"/>
      </w:pPr>
      <w:rPr>
        <w:rFonts w:ascii="Symbol" w:hAnsi="Symbol" w:hint="default"/>
      </w:rPr>
    </w:lvl>
    <w:lvl w:ilvl="4" w:tplc="E662D5FE" w:tentative="1">
      <w:start w:val="1"/>
      <w:numFmt w:val="bullet"/>
      <w:lvlText w:val="o"/>
      <w:lvlJc w:val="left"/>
      <w:pPr>
        <w:tabs>
          <w:tab w:val="num" w:pos="3600"/>
        </w:tabs>
        <w:ind w:left="3600" w:hanging="360"/>
      </w:pPr>
      <w:rPr>
        <w:rFonts w:ascii="Courier New" w:hAnsi="Courier New" w:cs="Courier New" w:hint="default"/>
      </w:rPr>
    </w:lvl>
    <w:lvl w:ilvl="5" w:tplc="29D097C0" w:tentative="1">
      <w:start w:val="1"/>
      <w:numFmt w:val="bullet"/>
      <w:lvlText w:val=""/>
      <w:lvlJc w:val="left"/>
      <w:pPr>
        <w:tabs>
          <w:tab w:val="num" w:pos="4320"/>
        </w:tabs>
        <w:ind w:left="4320" w:hanging="360"/>
      </w:pPr>
      <w:rPr>
        <w:rFonts w:ascii="Wingdings" w:hAnsi="Wingdings" w:hint="default"/>
      </w:rPr>
    </w:lvl>
    <w:lvl w:ilvl="6" w:tplc="4F62FC1E" w:tentative="1">
      <w:start w:val="1"/>
      <w:numFmt w:val="bullet"/>
      <w:lvlText w:val=""/>
      <w:lvlJc w:val="left"/>
      <w:pPr>
        <w:tabs>
          <w:tab w:val="num" w:pos="5040"/>
        </w:tabs>
        <w:ind w:left="5040" w:hanging="360"/>
      </w:pPr>
      <w:rPr>
        <w:rFonts w:ascii="Symbol" w:hAnsi="Symbol" w:hint="default"/>
      </w:rPr>
    </w:lvl>
    <w:lvl w:ilvl="7" w:tplc="CE96F104" w:tentative="1">
      <w:start w:val="1"/>
      <w:numFmt w:val="bullet"/>
      <w:lvlText w:val="o"/>
      <w:lvlJc w:val="left"/>
      <w:pPr>
        <w:tabs>
          <w:tab w:val="num" w:pos="5760"/>
        </w:tabs>
        <w:ind w:left="5760" w:hanging="360"/>
      </w:pPr>
      <w:rPr>
        <w:rFonts w:ascii="Courier New" w:hAnsi="Courier New" w:cs="Courier New" w:hint="default"/>
      </w:rPr>
    </w:lvl>
    <w:lvl w:ilvl="8" w:tplc="ECD2F904" w:tentative="1">
      <w:start w:val="1"/>
      <w:numFmt w:val="bullet"/>
      <w:lvlText w:val=""/>
      <w:lvlJc w:val="left"/>
      <w:pPr>
        <w:tabs>
          <w:tab w:val="num" w:pos="6480"/>
        </w:tabs>
        <w:ind w:left="6480" w:hanging="360"/>
      </w:pPr>
      <w:rPr>
        <w:rFonts w:ascii="Wingdings" w:hAnsi="Wingdings" w:hint="default"/>
      </w:rPr>
    </w:lvl>
  </w:abstractNum>
  <w:abstractNum w:abstractNumId="10">
    <w:nsid w:val="6AB5705C"/>
    <w:multiLevelType w:val="hybridMultilevel"/>
    <w:tmpl w:val="B0E00D4E"/>
    <w:lvl w:ilvl="0" w:tplc="94BC9E0E">
      <w:start w:val="1"/>
      <w:numFmt w:val="bullet"/>
      <w:lvlText w:val=""/>
      <w:lvlJc w:val="left"/>
      <w:pPr>
        <w:tabs>
          <w:tab w:val="num" w:pos="720"/>
        </w:tabs>
        <w:ind w:left="720" w:hanging="360"/>
      </w:pPr>
      <w:rPr>
        <w:rFonts w:ascii="Symbol" w:hAnsi="Symbol" w:hint="default"/>
      </w:rPr>
    </w:lvl>
    <w:lvl w:ilvl="1" w:tplc="FF24CC7A" w:tentative="1">
      <w:start w:val="1"/>
      <w:numFmt w:val="bullet"/>
      <w:lvlText w:val="o"/>
      <w:lvlJc w:val="left"/>
      <w:pPr>
        <w:tabs>
          <w:tab w:val="num" w:pos="1440"/>
        </w:tabs>
        <w:ind w:left="1440" w:hanging="360"/>
      </w:pPr>
      <w:rPr>
        <w:rFonts w:ascii="Courier New" w:hAnsi="Courier New" w:cs="Courier New" w:hint="default"/>
      </w:rPr>
    </w:lvl>
    <w:lvl w:ilvl="2" w:tplc="E84A0E68" w:tentative="1">
      <w:start w:val="1"/>
      <w:numFmt w:val="bullet"/>
      <w:lvlText w:val=""/>
      <w:lvlJc w:val="left"/>
      <w:pPr>
        <w:tabs>
          <w:tab w:val="num" w:pos="2160"/>
        </w:tabs>
        <w:ind w:left="2160" w:hanging="360"/>
      </w:pPr>
      <w:rPr>
        <w:rFonts w:ascii="Wingdings" w:hAnsi="Wingdings" w:hint="default"/>
      </w:rPr>
    </w:lvl>
    <w:lvl w:ilvl="3" w:tplc="FF7E39B2" w:tentative="1">
      <w:start w:val="1"/>
      <w:numFmt w:val="bullet"/>
      <w:lvlText w:val=""/>
      <w:lvlJc w:val="left"/>
      <w:pPr>
        <w:tabs>
          <w:tab w:val="num" w:pos="2880"/>
        </w:tabs>
        <w:ind w:left="2880" w:hanging="360"/>
      </w:pPr>
      <w:rPr>
        <w:rFonts w:ascii="Symbol" w:hAnsi="Symbol" w:hint="default"/>
      </w:rPr>
    </w:lvl>
    <w:lvl w:ilvl="4" w:tplc="AA00315A" w:tentative="1">
      <w:start w:val="1"/>
      <w:numFmt w:val="bullet"/>
      <w:lvlText w:val="o"/>
      <w:lvlJc w:val="left"/>
      <w:pPr>
        <w:tabs>
          <w:tab w:val="num" w:pos="3600"/>
        </w:tabs>
        <w:ind w:left="3600" w:hanging="360"/>
      </w:pPr>
      <w:rPr>
        <w:rFonts w:ascii="Courier New" w:hAnsi="Courier New" w:cs="Courier New" w:hint="default"/>
      </w:rPr>
    </w:lvl>
    <w:lvl w:ilvl="5" w:tplc="9ACABD08" w:tentative="1">
      <w:start w:val="1"/>
      <w:numFmt w:val="bullet"/>
      <w:lvlText w:val=""/>
      <w:lvlJc w:val="left"/>
      <w:pPr>
        <w:tabs>
          <w:tab w:val="num" w:pos="4320"/>
        </w:tabs>
        <w:ind w:left="4320" w:hanging="360"/>
      </w:pPr>
      <w:rPr>
        <w:rFonts w:ascii="Wingdings" w:hAnsi="Wingdings" w:hint="default"/>
      </w:rPr>
    </w:lvl>
    <w:lvl w:ilvl="6" w:tplc="4C46A35C" w:tentative="1">
      <w:start w:val="1"/>
      <w:numFmt w:val="bullet"/>
      <w:lvlText w:val=""/>
      <w:lvlJc w:val="left"/>
      <w:pPr>
        <w:tabs>
          <w:tab w:val="num" w:pos="5040"/>
        </w:tabs>
        <w:ind w:left="5040" w:hanging="360"/>
      </w:pPr>
      <w:rPr>
        <w:rFonts w:ascii="Symbol" w:hAnsi="Symbol" w:hint="default"/>
      </w:rPr>
    </w:lvl>
    <w:lvl w:ilvl="7" w:tplc="96B89EB6" w:tentative="1">
      <w:start w:val="1"/>
      <w:numFmt w:val="bullet"/>
      <w:lvlText w:val="o"/>
      <w:lvlJc w:val="left"/>
      <w:pPr>
        <w:tabs>
          <w:tab w:val="num" w:pos="5760"/>
        </w:tabs>
        <w:ind w:left="5760" w:hanging="360"/>
      </w:pPr>
      <w:rPr>
        <w:rFonts w:ascii="Courier New" w:hAnsi="Courier New" w:cs="Courier New" w:hint="default"/>
      </w:rPr>
    </w:lvl>
    <w:lvl w:ilvl="8" w:tplc="3EE685DC" w:tentative="1">
      <w:start w:val="1"/>
      <w:numFmt w:val="bullet"/>
      <w:lvlText w:val=""/>
      <w:lvlJc w:val="left"/>
      <w:pPr>
        <w:tabs>
          <w:tab w:val="num" w:pos="6480"/>
        </w:tabs>
        <w:ind w:left="6480" w:hanging="360"/>
      </w:pPr>
      <w:rPr>
        <w:rFonts w:ascii="Wingdings" w:hAnsi="Wingdings" w:hint="default"/>
      </w:rPr>
    </w:lvl>
  </w:abstractNum>
  <w:abstractNum w:abstractNumId="11">
    <w:nsid w:val="76585355"/>
    <w:multiLevelType w:val="hybridMultilevel"/>
    <w:tmpl w:val="49546950"/>
    <w:lvl w:ilvl="0" w:tplc="1F10EB92">
      <w:start w:val="1"/>
      <w:numFmt w:val="bullet"/>
      <w:lvlText w:val=""/>
      <w:lvlJc w:val="left"/>
      <w:pPr>
        <w:tabs>
          <w:tab w:val="num" w:pos="144"/>
        </w:tabs>
        <w:ind w:left="144" w:hanging="144"/>
      </w:pPr>
      <w:rPr>
        <w:rFonts w:ascii="Symbol" w:hAnsi="Symbol" w:hint="default"/>
      </w:rPr>
    </w:lvl>
    <w:lvl w:ilvl="1" w:tplc="D9B0AF02" w:tentative="1">
      <w:start w:val="1"/>
      <w:numFmt w:val="bullet"/>
      <w:lvlText w:val="o"/>
      <w:lvlJc w:val="left"/>
      <w:pPr>
        <w:tabs>
          <w:tab w:val="num" w:pos="1440"/>
        </w:tabs>
        <w:ind w:left="1440" w:hanging="360"/>
      </w:pPr>
      <w:rPr>
        <w:rFonts w:ascii="Courier New" w:hAnsi="Courier New" w:cs="Courier New" w:hint="default"/>
      </w:rPr>
    </w:lvl>
    <w:lvl w:ilvl="2" w:tplc="7206B69A" w:tentative="1">
      <w:start w:val="1"/>
      <w:numFmt w:val="bullet"/>
      <w:lvlText w:val=""/>
      <w:lvlJc w:val="left"/>
      <w:pPr>
        <w:tabs>
          <w:tab w:val="num" w:pos="2160"/>
        </w:tabs>
        <w:ind w:left="2160" w:hanging="360"/>
      </w:pPr>
      <w:rPr>
        <w:rFonts w:ascii="Wingdings" w:hAnsi="Wingdings" w:hint="default"/>
      </w:rPr>
    </w:lvl>
    <w:lvl w:ilvl="3" w:tplc="A5CE6B02" w:tentative="1">
      <w:start w:val="1"/>
      <w:numFmt w:val="bullet"/>
      <w:lvlText w:val=""/>
      <w:lvlJc w:val="left"/>
      <w:pPr>
        <w:tabs>
          <w:tab w:val="num" w:pos="2880"/>
        </w:tabs>
        <w:ind w:left="2880" w:hanging="360"/>
      </w:pPr>
      <w:rPr>
        <w:rFonts w:ascii="Symbol" w:hAnsi="Symbol" w:hint="default"/>
      </w:rPr>
    </w:lvl>
    <w:lvl w:ilvl="4" w:tplc="A2BEDBAC" w:tentative="1">
      <w:start w:val="1"/>
      <w:numFmt w:val="bullet"/>
      <w:lvlText w:val="o"/>
      <w:lvlJc w:val="left"/>
      <w:pPr>
        <w:tabs>
          <w:tab w:val="num" w:pos="3600"/>
        </w:tabs>
        <w:ind w:left="3600" w:hanging="360"/>
      </w:pPr>
      <w:rPr>
        <w:rFonts w:ascii="Courier New" w:hAnsi="Courier New" w:cs="Courier New" w:hint="default"/>
      </w:rPr>
    </w:lvl>
    <w:lvl w:ilvl="5" w:tplc="0ED44470" w:tentative="1">
      <w:start w:val="1"/>
      <w:numFmt w:val="bullet"/>
      <w:lvlText w:val=""/>
      <w:lvlJc w:val="left"/>
      <w:pPr>
        <w:tabs>
          <w:tab w:val="num" w:pos="4320"/>
        </w:tabs>
        <w:ind w:left="4320" w:hanging="360"/>
      </w:pPr>
      <w:rPr>
        <w:rFonts w:ascii="Wingdings" w:hAnsi="Wingdings" w:hint="default"/>
      </w:rPr>
    </w:lvl>
    <w:lvl w:ilvl="6" w:tplc="D654EA84" w:tentative="1">
      <w:start w:val="1"/>
      <w:numFmt w:val="bullet"/>
      <w:lvlText w:val=""/>
      <w:lvlJc w:val="left"/>
      <w:pPr>
        <w:tabs>
          <w:tab w:val="num" w:pos="5040"/>
        </w:tabs>
        <w:ind w:left="5040" w:hanging="360"/>
      </w:pPr>
      <w:rPr>
        <w:rFonts w:ascii="Symbol" w:hAnsi="Symbol" w:hint="default"/>
      </w:rPr>
    </w:lvl>
    <w:lvl w:ilvl="7" w:tplc="4EE8767E" w:tentative="1">
      <w:start w:val="1"/>
      <w:numFmt w:val="bullet"/>
      <w:lvlText w:val="o"/>
      <w:lvlJc w:val="left"/>
      <w:pPr>
        <w:tabs>
          <w:tab w:val="num" w:pos="5760"/>
        </w:tabs>
        <w:ind w:left="5760" w:hanging="360"/>
      </w:pPr>
      <w:rPr>
        <w:rFonts w:ascii="Courier New" w:hAnsi="Courier New" w:cs="Courier New" w:hint="default"/>
      </w:rPr>
    </w:lvl>
    <w:lvl w:ilvl="8" w:tplc="454844C4"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8"/>
  </w:num>
  <w:num w:numId="3">
    <w:abstractNumId w:val="4"/>
  </w:num>
  <w:num w:numId="4">
    <w:abstractNumId w:val="9"/>
  </w:num>
  <w:num w:numId="5">
    <w:abstractNumId w:val="3"/>
  </w:num>
  <w:num w:numId="6">
    <w:abstractNumId w:val="6"/>
  </w:num>
  <w:num w:numId="7">
    <w:abstractNumId w:val="11"/>
  </w:num>
  <w:num w:numId="8">
    <w:abstractNumId w:val="2"/>
  </w:num>
  <w:num w:numId="9">
    <w:abstractNumId w:val="10"/>
  </w:num>
  <w:num w:numId="10">
    <w:abstractNumId w:val="7"/>
  </w:num>
  <w:num w:numId="11">
    <w:abstractNumId w:val="0"/>
    <w:lvlOverride w:ilvl="0">
      <w:lvl w:ilvl="0">
        <w:numFmt w:val="bullet"/>
        <w:lvlText w:val=""/>
        <w:legacy w:legacy="1" w:legacySpace="0" w:legacyIndent="0"/>
        <w:lvlJc w:val="left"/>
        <w:rPr>
          <w:rFonts w:ascii="Symbol" w:hAnsi="Symbol" w:hint="default"/>
        </w:rPr>
      </w:lvl>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A22B8B"/>
    <w:rsid w:val="000405F9"/>
    <w:rsid w:val="000656E5"/>
    <w:rsid w:val="000745B0"/>
    <w:rsid w:val="00074902"/>
    <w:rsid w:val="00074C0C"/>
    <w:rsid w:val="00074D1E"/>
    <w:rsid w:val="000765A5"/>
    <w:rsid w:val="000A1481"/>
    <w:rsid w:val="000C2B7B"/>
    <w:rsid w:val="000C7872"/>
    <w:rsid w:val="000F1B57"/>
    <w:rsid w:val="00116154"/>
    <w:rsid w:val="00117D8A"/>
    <w:rsid w:val="00123B63"/>
    <w:rsid w:val="00141B5E"/>
    <w:rsid w:val="0014527D"/>
    <w:rsid w:val="00153926"/>
    <w:rsid w:val="00154B35"/>
    <w:rsid w:val="00173F1B"/>
    <w:rsid w:val="001A4095"/>
    <w:rsid w:val="001A40F5"/>
    <w:rsid w:val="001A655B"/>
    <w:rsid w:val="001A7192"/>
    <w:rsid w:val="001B52B5"/>
    <w:rsid w:val="001C4173"/>
    <w:rsid w:val="00202A81"/>
    <w:rsid w:val="00205022"/>
    <w:rsid w:val="00237FED"/>
    <w:rsid w:val="00253B1D"/>
    <w:rsid w:val="00282B08"/>
    <w:rsid w:val="002956B1"/>
    <w:rsid w:val="002A5EE8"/>
    <w:rsid w:val="002B1C85"/>
    <w:rsid w:val="00307CC1"/>
    <w:rsid w:val="00311158"/>
    <w:rsid w:val="00316580"/>
    <w:rsid w:val="00320122"/>
    <w:rsid w:val="00325FD9"/>
    <w:rsid w:val="00367FA8"/>
    <w:rsid w:val="003D2163"/>
    <w:rsid w:val="00412BBF"/>
    <w:rsid w:val="004352A6"/>
    <w:rsid w:val="00453FCC"/>
    <w:rsid w:val="004624E2"/>
    <w:rsid w:val="004E5FBA"/>
    <w:rsid w:val="004F3A23"/>
    <w:rsid w:val="00513EC4"/>
    <w:rsid w:val="00526DD9"/>
    <w:rsid w:val="00535D28"/>
    <w:rsid w:val="00546C1E"/>
    <w:rsid w:val="005513CE"/>
    <w:rsid w:val="005569CB"/>
    <w:rsid w:val="0058732B"/>
    <w:rsid w:val="00593033"/>
    <w:rsid w:val="005E0FC8"/>
    <w:rsid w:val="00612114"/>
    <w:rsid w:val="006136FF"/>
    <w:rsid w:val="0062613A"/>
    <w:rsid w:val="00632874"/>
    <w:rsid w:val="0065259A"/>
    <w:rsid w:val="006602BC"/>
    <w:rsid w:val="00667AF3"/>
    <w:rsid w:val="00691DD5"/>
    <w:rsid w:val="006C0CCB"/>
    <w:rsid w:val="006C34ED"/>
    <w:rsid w:val="006F0077"/>
    <w:rsid w:val="006F54B3"/>
    <w:rsid w:val="007036E0"/>
    <w:rsid w:val="00713B4C"/>
    <w:rsid w:val="00722DB0"/>
    <w:rsid w:val="00746036"/>
    <w:rsid w:val="0075243F"/>
    <w:rsid w:val="00770880"/>
    <w:rsid w:val="007730FC"/>
    <w:rsid w:val="007A1EA9"/>
    <w:rsid w:val="007A6B02"/>
    <w:rsid w:val="007C68D1"/>
    <w:rsid w:val="007D74D1"/>
    <w:rsid w:val="007F415C"/>
    <w:rsid w:val="00803324"/>
    <w:rsid w:val="0080791B"/>
    <w:rsid w:val="00813728"/>
    <w:rsid w:val="008208E9"/>
    <w:rsid w:val="00835CD7"/>
    <w:rsid w:val="0084722A"/>
    <w:rsid w:val="00847460"/>
    <w:rsid w:val="008B25A8"/>
    <w:rsid w:val="008C73F1"/>
    <w:rsid w:val="008E5DBD"/>
    <w:rsid w:val="008F2D37"/>
    <w:rsid w:val="008F7CD2"/>
    <w:rsid w:val="00902646"/>
    <w:rsid w:val="009956F6"/>
    <w:rsid w:val="00995B51"/>
    <w:rsid w:val="009D7950"/>
    <w:rsid w:val="009E1D60"/>
    <w:rsid w:val="00A22B8B"/>
    <w:rsid w:val="00A52D6B"/>
    <w:rsid w:val="00A601D5"/>
    <w:rsid w:val="00A632D0"/>
    <w:rsid w:val="00A737D3"/>
    <w:rsid w:val="00A73F6F"/>
    <w:rsid w:val="00A865B8"/>
    <w:rsid w:val="00AB19F2"/>
    <w:rsid w:val="00AC207B"/>
    <w:rsid w:val="00AD0860"/>
    <w:rsid w:val="00AD7C18"/>
    <w:rsid w:val="00AE5FB1"/>
    <w:rsid w:val="00AE6663"/>
    <w:rsid w:val="00B01E40"/>
    <w:rsid w:val="00B0231A"/>
    <w:rsid w:val="00B0440F"/>
    <w:rsid w:val="00B1570B"/>
    <w:rsid w:val="00B302FA"/>
    <w:rsid w:val="00B337FF"/>
    <w:rsid w:val="00BA2E90"/>
    <w:rsid w:val="00BB344D"/>
    <w:rsid w:val="00BD5C14"/>
    <w:rsid w:val="00BE4624"/>
    <w:rsid w:val="00C17E1C"/>
    <w:rsid w:val="00C70101"/>
    <w:rsid w:val="00C86B4B"/>
    <w:rsid w:val="00CA7BBD"/>
    <w:rsid w:val="00CB52FF"/>
    <w:rsid w:val="00CE47BE"/>
    <w:rsid w:val="00D0067E"/>
    <w:rsid w:val="00D14D55"/>
    <w:rsid w:val="00D17D82"/>
    <w:rsid w:val="00D2252B"/>
    <w:rsid w:val="00D50C49"/>
    <w:rsid w:val="00D61CB6"/>
    <w:rsid w:val="00D76339"/>
    <w:rsid w:val="00DE5D85"/>
    <w:rsid w:val="00E005D2"/>
    <w:rsid w:val="00E01F20"/>
    <w:rsid w:val="00E4449D"/>
    <w:rsid w:val="00E501F2"/>
    <w:rsid w:val="00E90595"/>
    <w:rsid w:val="00E9403A"/>
    <w:rsid w:val="00EA7EFE"/>
    <w:rsid w:val="00EE30E2"/>
    <w:rsid w:val="00EF18B8"/>
    <w:rsid w:val="00F12F34"/>
    <w:rsid w:val="00F225E0"/>
    <w:rsid w:val="00F2754F"/>
    <w:rsid w:val="00F40B19"/>
    <w:rsid w:val="00F43E7B"/>
    <w:rsid w:val="00F5516A"/>
    <w:rsid w:val="00F55A44"/>
    <w:rsid w:val="00FE27A0"/>
    <w:rsid w:val="00FE65F3"/>
    <w:rsid w:val="00FF0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1D5"/>
    <w:pPr>
      <w:widowControl w:val="0"/>
      <w:autoSpaceDE w:val="0"/>
      <w:autoSpaceDN w:val="0"/>
      <w:adjustRightInd w:val="0"/>
    </w:pPr>
    <w:rPr>
      <w:sz w:val="24"/>
      <w:szCs w:val="24"/>
    </w:rPr>
  </w:style>
  <w:style w:type="paragraph" w:styleId="Heading2">
    <w:name w:val="heading 2"/>
    <w:basedOn w:val="Normal"/>
    <w:next w:val="Normal"/>
    <w:qFormat/>
    <w:rsid w:val="00A601D5"/>
    <w:pPr>
      <w:jc w:val="center"/>
      <w:outlineLvl w:val="1"/>
    </w:pPr>
    <w:rPr>
      <w:b/>
      <w:bCs/>
    </w:rPr>
  </w:style>
  <w:style w:type="paragraph" w:styleId="Heading3">
    <w:name w:val="heading 3"/>
    <w:basedOn w:val="Normal"/>
    <w:next w:val="Normal"/>
    <w:qFormat/>
    <w:rsid w:val="00A601D5"/>
    <w:pPr>
      <w:outlineLvl w:val="2"/>
    </w:pPr>
    <w:rPr>
      <w:b/>
      <w:bCs/>
    </w:rPr>
  </w:style>
  <w:style w:type="paragraph" w:styleId="Heading5">
    <w:name w:val="heading 5"/>
    <w:basedOn w:val="Normal"/>
    <w:next w:val="Normal"/>
    <w:qFormat/>
    <w:rsid w:val="00A601D5"/>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01D5"/>
  </w:style>
  <w:style w:type="character" w:customStyle="1" w:styleId="FootnoteRef">
    <w:name w:val="Footnote Ref"/>
    <w:rsid w:val="00A601D5"/>
  </w:style>
  <w:style w:type="paragraph" w:styleId="BodyTextIndent">
    <w:name w:val="Body Text Indent"/>
    <w:basedOn w:val="Normal"/>
    <w:rsid w:val="00A601D5"/>
    <w:rPr>
      <w:color w:val="FF0000"/>
    </w:rPr>
  </w:style>
  <w:style w:type="paragraph" w:customStyle="1" w:styleId="Level2">
    <w:name w:val="Level 2"/>
    <w:basedOn w:val="Normal"/>
    <w:rsid w:val="00A601D5"/>
    <w:pPr>
      <w:ind w:left="630" w:hanging="360"/>
      <w:outlineLvl w:val="1"/>
    </w:pPr>
  </w:style>
  <w:style w:type="paragraph" w:styleId="Header">
    <w:name w:val="header"/>
    <w:basedOn w:val="Normal"/>
    <w:rsid w:val="00A601D5"/>
  </w:style>
  <w:style w:type="paragraph" w:styleId="Footer">
    <w:name w:val="footer"/>
    <w:basedOn w:val="Normal"/>
    <w:rsid w:val="00A601D5"/>
  </w:style>
  <w:style w:type="paragraph" w:styleId="BalloonText">
    <w:name w:val="Balloon Text"/>
    <w:basedOn w:val="Normal"/>
    <w:semiHidden/>
    <w:rsid w:val="00A601D5"/>
    <w:rPr>
      <w:rFonts w:ascii="Tahoma" w:hAnsi="Tahoma" w:cs="Tahoma"/>
      <w:sz w:val="16"/>
      <w:szCs w:val="16"/>
    </w:rPr>
  </w:style>
  <w:style w:type="paragraph" w:styleId="PlainText">
    <w:name w:val="Plain Text"/>
    <w:basedOn w:val="Normal"/>
    <w:rsid w:val="00A601D5"/>
    <w:pPr>
      <w:widowControl/>
      <w:autoSpaceDE/>
      <w:autoSpaceDN/>
      <w:adjustRightInd/>
    </w:pPr>
    <w:rPr>
      <w:rFonts w:ascii="Courier New" w:hAnsi="Courier New" w:cs="Courier New"/>
      <w:sz w:val="20"/>
      <w:szCs w:val="20"/>
    </w:rPr>
  </w:style>
  <w:style w:type="character" w:styleId="Hyperlink">
    <w:name w:val="Hyperlink"/>
    <w:basedOn w:val="DefaultParagraphFont"/>
    <w:rsid w:val="00A601D5"/>
    <w:rPr>
      <w:color w:val="0000FF"/>
      <w:u w:val="single"/>
    </w:rPr>
  </w:style>
  <w:style w:type="character" w:styleId="CommentReference">
    <w:name w:val="annotation reference"/>
    <w:basedOn w:val="DefaultParagraphFont"/>
    <w:semiHidden/>
    <w:rsid w:val="00A601D5"/>
    <w:rPr>
      <w:sz w:val="16"/>
    </w:rPr>
  </w:style>
  <w:style w:type="paragraph" w:styleId="CommentText">
    <w:name w:val="annotation text"/>
    <w:basedOn w:val="Normal"/>
    <w:semiHidden/>
    <w:rsid w:val="00A601D5"/>
    <w:rPr>
      <w:sz w:val="20"/>
    </w:rPr>
  </w:style>
  <w:style w:type="paragraph" w:styleId="EndnoteText">
    <w:name w:val="endnote text"/>
    <w:basedOn w:val="Normal"/>
    <w:semiHidden/>
    <w:rsid w:val="002B1C85"/>
    <w:rPr>
      <w:sz w:val="20"/>
      <w:szCs w:val="20"/>
    </w:rPr>
  </w:style>
  <w:style w:type="character" w:styleId="EndnoteReference">
    <w:name w:val="endnote reference"/>
    <w:basedOn w:val="DefaultParagraphFont"/>
    <w:semiHidden/>
    <w:rsid w:val="002B1C85"/>
    <w:rPr>
      <w:vertAlign w:val="superscript"/>
    </w:rPr>
  </w:style>
  <w:style w:type="paragraph" w:styleId="FootnoteText">
    <w:name w:val="footnote text"/>
    <w:basedOn w:val="Normal"/>
    <w:semiHidden/>
    <w:rsid w:val="002B1C85"/>
    <w:rPr>
      <w:sz w:val="20"/>
      <w:szCs w:val="20"/>
    </w:rPr>
  </w:style>
  <w:style w:type="character" w:styleId="PageNumber">
    <w:name w:val="page number"/>
    <w:basedOn w:val="DefaultParagraphFont"/>
    <w:rsid w:val="006C34ED"/>
  </w:style>
  <w:style w:type="paragraph" w:styleId="CommentSubject">
    <w:name w:val="annotation subject"/>
    <w:basedOn w:val="CommentText"/>
    <w:next w:val="CommentText"/>
    <w:semiHidden/>
    <w:rsid w:val="008208E9"/>
    <w:rPr>
      <w:b/>
      <w:bCs/>
      <w:szCs w:val="20"/>
    </w:rPr>
  </w:style>
</w:styles>
</file>

<file path=word/webSettings.xml><?xml version="1.0" encoding="utf-8"?>
<w:webSettings xmlns:r="http://schemas.openxmlformats.org/officeDocument/2006/relationships" xmlns:w="http://schemas.openxmlformats.org/wordprocessingml/2006/main">
  <w:divs>
    <w:div w:id="200287040">
      <w:bodyDiv w:val="1"/>
      <w:marLeft w:val="0"/>
      <w:marRight w:val="0"/>
      <w:marTop w:val="0"/>
      <w:marBottom w:val="0"/>
      <w:divBdr>
        <w:top w:val="none" w:sz="0" w:space="0" w:color="auto"/>
        <w:left w:val="none" w:sz="0" w:space="0" w:color="auto"/>
        <w:bottom w:val="none" w:sz="0" w:space="0" w:color="auto"/>
        <w:right w:val="none" w:sz="0" w:space="0" w:color="auto"/>
      </w:divBdr>
    </w:div>
    <w:div w:id="385490774">
      <w:bodyDiv w:val="1"/>
      <w:marLeft w:val="0"/>
      <w:marRight w:val="0"/>
      <w:marTop w:val="0"/>
      <w:marBottom w:val="0"/>
      <w:divBdr>
        <w:top w:val="none" w:sz="0" w:space="0" w:color="auto"/>
        <w:left w:val="none" w:sz="0" w:space="0" w:color="auto"/>
        <w:bottom w:val="none" w:sz="0" w:space="0" w:color="auto"/>
        <w:right w:val="none" w:sz="0" w:space="0" w:color="auto"/>
      </w:divBdr>
    </w:div>
    <w:div w:id="18572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C5@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fo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10AF5-E973-4EC1-B4F6-E8D9FD64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6621</Words>
  <Characters>38865</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SUPPORTING JUSTIFICATION FOR</vt:lpstr>
    </vt:vector>
  </TitlesOfParts>
  <Company>CDC/PHPPO/OD</Company>
  <LinksUpToDate>false</LinksUpToDate>
  <CharactersWithSpaces>45396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dc:title>
  <dc:subject/>
  <dc:creator>lmc5</dc:creator>
  <cp:keywords/>
  <dc:description/>
  <cp:lastModifiedBy>plg3</cp:lastModifiedBy>
  <cp:revision>4</cp:revision>
  <cp:lastPrinted>2007-02-21T21:01:00Z</cp:lastPrinted>
  <dcterms:created xsi:type="dcterms:W3CDTF">2010-07-16T13:49:00Z</dcterms:created>
  <dcterms:modified xsi:type="dcterms:W3CDTF">2010-07-16T14:13:00Z</dcterms:modified>
</cp:coreProperties>
</file>