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6D" w:rsidRDefault="00BE1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BE1B6D" w:rsidRDefault="00BE1B6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BE1B6D" w:rsidRDefault="00BE1B6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BE1B6D" w:rsidRDefault="00BE1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BE1B6D" w:rsidRDefault="00BE1B6D">
      <w:pPr>
        <w:keepLines/>
        <w:numPr>
          <w:ilvl w:val="0"/>
          <w:numId w:val="13"/>
        </w:numPr>
        <w:ind w:left="360" w:hanging="360"/>
        <w:rPr>
          <w:sz w:val="24"/>
        </w:rPr>
      </w:pPr>
      <w:r>
        <w:rPr>
          <w:sz w:val="24"/>
        </w:rPr>
        <w:t xml:space="preserve">Section 502 of the National Affordable Housing Act of 1990, as amended by the Quality Housing and Work Responsibility Act of 1998 (QHWRA), implements section 6(j) of the United States Housing Act of 1937 (the Act).  Section 6(j) establishes specific assessment indicators and directs the Secretary to develop additional indicators to assess the management performance of public housing agencies (PHAs) in all major areas of management operations.  A PHA is designated as troubled if it fails to perform under the assessment indicators, or if it is unable to administer the program for assistance from the Capital Fund Program (CFP).  HUD is required to enter into Memoranda of Agreement with troubled PHAs to address strategies for improving performance with respect to the failed indicators, or with respect to the program for assistance from the CFP.  </w:t>
      </w:r>
    </w:p>
    <w:p w:rsidR="00BE1B6D" w:rsidRDefault="00BE1B6D">
      <w:pPr>
        <w:keepLines/>
        <w:tabs>
          <w:tab w:val="left" w:pos="720"/>
        </w:tabs>
        <w:ind w:left="360" w:firstLine="480"/>
        <w:rPr>
          <w:noProof/>
          <w:sz w:val="24"/>
        </w:rPr>
      </w:pPr>
      <w:r>
        <w:rPr>
          <w:noProof/>
          <w:sz w:val="24"/>
        </w:rPr>
        <w:t>All PHAs, other than those with fewer than 250 units that are not designated as troubled, are required to submit management operations data on an annual basis to HUD in accordance with the Public Housing Assessment System (PHAS) regulation, 24 CFR part 902, Subpart D.  (</w:t>
      </w:r>
      <w:r w:rsidR="00E03906">
        <w:rPr>
          <w:b/>
          <w:noProof/>
          <w:sz w:val="24"/>
        </w:rPr>
        <w:t>Exhibit A.</w:t>
      </w:r>
      <w:r>
        <w:rPr>
          <w:noProof/>
          <w:sz w:val="24"/>
        </w:rPr>
        <w:t>)  Effective with fiscal years ending September 30, 2003, and after, a PHA with fewer than 250 units that is not troubled is required to submit management operations data biennally. (The deregulation final rule for small PHAs, 24 CFR parts 902, 903 and 985 hereinafter will be referred to as the Dereg Rule.)</w:t>
      </w:r>
    </w:p>
    <w:p w:rsidR="00BE1B6D" w:rsidRDefault="00BE1B6D">
      <w:pPr>
        <w:pStyle w:val="BodyTextIndent"/>
        <w:keepLines w:val="0"/>
        <w:tabs>
          <w:tab w:val="clear" w:pos="360"/>
          <w:tab w:val="clear" w:pos="720"/>
        </w:tabs>
        <w:ind w:firstLine="480"/>
        <w:rPr>
          <w:noProof w:val="0"/>
        </w:rPr>
      </w:pPr>
      <w:r>
        <w:rPr>
          <w:noProof w:val="0"/>
        </w:rPr>
        <w:t>HUD assesses all of the management operations data required under section 6(j) of the Act in a format comprising six sections or sub-indicators.  The PHAS regulation requires that all management operations data be submitted electronically to HUD, in a HUD prescribed format.  After HUD receives management operations data in accordance with PHAS, HUD assesses the management operations performance of each PHA.</w:t>
      </w:r>
    </w:p>
    <w:p w:rsidR="00BE1B6D" w:rsidRDefault="00BE1B6D">
      <w:pPr>
        <w:pStyle w:val="BodyTextIndent"/>
        <w:keepLines w:val="0"/>
        <w:tabs>
          <w:tab w:val="clear" w:pos="360"/>
          <w:tab w:val="clear" w:pos="720"/>
        </w:tabs>
        <w:ind w:firstLine="480"/>
        <w:rPr>
          <w:noProof w:val="0"/>
        </w:rPr>
      </w:pPr>
      <w:r>
        <w:rPr>
          <w:noProof w:val="0"/>
        </w:rPr>
        <w:t xml:space="preserve">In accordance with Section 564(4) of the QHWRA, resident management corporations (RMCs), assuming all or in part, of the management functions of a PHA development will be assessed separately from a PHA.  Separate management assessments are also extended to RMCs that manage all of the </w:t>
      </w:r>
      <w:proofErr w:type="gramStart"/>
      <w:r>
        <w:rPr>
          <w:noProof w:val="0"/>
        </w:rPr>
        <w:t>management</w:t>
      </w:r>
      <w:proofErr w:type="gramEnd"/>
      <w:r>
        <w:rPr>
          <w:noProof w:val="0"/>
        </w:rPr>
        <w:t xml:space="preserve"> functions of a PHA development and that are directly funded by HUD (DF-RMCs).  </w:t>
      </w:r>
      <w:proofErr w:type="gramStart"/>
      <w:r>
        <w:rPr>
          <w:noProof w:val="0"/>
        </w:rPr>
        <w:t>The are</w:t>
      </w:r>
      <w:proofErr w:type="gramEnd"/>
      <w:r>
        <w:rPr>
          <w:noProof w:val="0"/>
        </w:rPr>
        <w:t xml:space="preserve"> currently no RMCs or DF-RMCs that manage all or part of the management functions of a PHA development.  Therefore, the reporting burdens for such entities are not included in this burden report.</w:t>
      </w:r>
    </w:p>
    <w:p w:rsidR="00E27979" w:rsidRDefault="00E27979">
      <w:pPr>
        <w:pStyle w:val="BodyTextIndent"/>
        <w:keepLines w:val="0"/>
        <w:tabs>
          <w:tab w:val="clear" w:pos="360"/>
          <w:tab w:val="clear" w:pos="720"/>
        </w:tabs>
        <w:ind w:firstLine="480"/>
        <w:rPr>
          <w:noProof w:val="0"/>
        </w:rPr>
      </w:pPr>
      <w:r>
        <w:rPr>
          <w:noProof w:val="0"/>
        </w:rPr>
        <w:t>This is a</w:t>
      </w:r>
      <w:r w:rsidR="00273DA6">
        <w:rPr>
          <w:noProof w:val="0"/>
        </w:rPr>
        <w:t>n extension of</w:t>
      </w:r>
      <w:r>
        <w:rPr>
          <w:noProof w:val="0"/>
        </w:rPr>
        <w:t xml:space="preserve"> a </w:t>
      </w:r>
      <w:r w:rsidR="00273DA6">
        <w:rPr>
          <w:noProof w:val="0"/>
        </w:rPr>
        <w:t>currently approved</w:t>
      </w:r>
      <w:r>
        <w:rPr>
          <w:noProof w:val="0"/>
        </w:rPr>
        <w:t xml:space="preserve"> collection.  </w:t>
      </w:r>
      <w:r w:rsidR="00003C41">
        <w:rPr>
          <w:color w:val="000000"/>
        </w:rPr>
        <w:t xml:space="preserve">HUD has steady-state maintenance for the management operations subsystem, and will be utilizing the </w:t>
      </w:r>
      <w:r w:rsidR="00D5224A">
        <w:rPr>
          <w:color w:val="000000"/>
        </w:rPr>
        <w:t xml:space="preserve">management operations certification and </w:t>
      </w:r>
      <w:r w:rsidR="00003C41">
        <w:rPr>
          <w:color w:val="000000"/>
        </w:rPr>
        <w:t>subsystem for PHAs</w:t>
      </w:r>
      <w:r w:rsidR="00273DA6">
        <w:rPr>
          <w:color w:val="000000"/>
        </w:rPr>
        <w:t xml:space="preserve"> beginning</w:t>
      </w:r>
      <w:r w:rsidR="00003C41">
        <w:rPr>
          <w:color w:val="000000"/>
        </w:rPr>
        <w:t xml:space="preserve"> with fiscal year ending June 30, 20</w:t>
      </w:r>
      <w:r w:rsidR="00273DA6">
        <w:rPr>
          <w:color w:val="000000"/>
        </w:rPr>
        <w:t>1</w:t>
      </w:r>
      <w:r w:rsidR="00003C41">
        <w:rPr>
          <w:color w:val="000000"/>
        </w:rPr>
        <w:t>0</w:t>
      </w:r>
      <w:r w:rsidR="00273DA6">
        <w:rPr>
          <w:color w:val="000000"/>
        </w:rPr>
        <w:t>.</w:t>
      </w:r>
    </w:p>
    <w:p w:rsidR="00BE1B6D" w:rsidRDefault="00BE1B6D">
      <w:pPr>
        <w:rPr>
          <w:color w:val="000000"/>
          <w:sz w:val="24"/>
        </w:rPr>
      </w:pPr>
    </w:p>
    <w:p w:rsidR="00BE1B6D" w:rsidRDefault="00BE1B6D">
      <w:pPr>
        <w:numPr>
          <w:ilvl w:val="0"/>
          <w:numId w:val="26"/>
        </w:numPr>
        <w:ind w:left="360" w:hanging="360"/>
        <w:rPr>
          <w:sz w:val="24"/>
        </w:rPr>
      </w:pPr>
      <w:r>
        <w:rPr>
          <w:sz w:val="24"/>
        </w:rPr>
        <w:t xml:space="preserve">HUD uses the management data it collects from program participants to evaluate all major areas of a participant’s management operations.  The management data are evaluated using predetermined weights and factors to compute an indicator score for the management operations of each reporting entity.  HUD uses this score with three other PHAS component scores (i.e., physical condition, financial condition and resident services) to produce an overall PHAS score for each PHA.  The overall score determines if a PHA’s performance is high, standard, or troubled.  Those PHAs with a troubled designation will receive technical assistance.  </w:t>
      </w:r>
    </w:p>
    <w:p w:rsidR="00BE1B6D" w:rsidRDefault="00BE1B6D">
      <w:pPr>
        <w:rPr>
          <w:sz w:val="24"/>
        </w:rPr>
      </w:pPr>
    </w:p>
    <w:p w:rsidR="00BE1B6D" w:rsidRDefault="00BE1B6D">
      <w:pPr>
        <w:pStyle w:val="BodyTextIndent"/>
        <w:keepLines w:val="0"/>
        <w:tabs>
          <w:tab w:val="clear" w:pos="360"/>
          <w:tab w:val="clear" w:pos="720"/>
        </w:tabs>
        <w:ind w:hanging="360"/>
        <w:rPr>
          <w:noProof w:val="0"/>
          <w:color w:val="000000"/>
        </w:rPr>
      </w:pPr>
      <w:r>
        <w:rPr>
          <w:noProof w:val="0"/>
        </w:rPr>
        <w:t>3.</w:t>
      </w:r>
      <w:r>
        <w:rPr>
          <w:noProof w:val="0"/>
        </w:rPr>
        <w:tab/>
        <w:t>The electronic submission process has proven successful, and has allowed HUD to maximize the efficiency of its staff through the use of an automated management assessment system to assess an entity’s management operations.  Should a PHA not be able to submit data electronically due to an administrative or cost burden, HUD may approve submission via the HUD-50072 form.  However, since the first cycle of PHAS, all PHAs have been submitting MASS data electronically via the Internet.</w:t>
      </w:r>
    </w:p>
    <w:p w:rsidR="00BE1B6D" w:rsidRDefault="00BE1B6D">
      <w:pPr>
        <w:pStyle w:val="BodyTextIndent2"/>
        <w:tabs>
          <w:tab w:val="clear" w:pos="720"/>
        </w:tabs>
        <w:ind w:firstLine="480"/>
        <w:rPr>
          <w:color w:val="000000"/>
        </w:rPr>
      </w:pPr>
      <w:r>
        <w:t xml:space="preserve">Attached is a copy of the Management Operations Certification </w:t>
      </w:r>
      <w:r w:rsidR="00E03906">
        <w:t>(</w:t>
      </w:r>
      <w:r w:rsidR="00E03906">
        <w:rPr>
          <w:b/>
        </w:rPr>
        <w:t>Exhibit B</w:t>
      </w:r>
      <w:r w:rsidR="00E03906">
        <w:t xml:space="preserve">) </w:t>
      </w:r>
      <w:r>
        <w:t>that PHAs submit to their Boards of Directors for review and approval by Board Resolution.  Upon approval, PHAs electronically submit the data to HUD.  Also attached is a copy of the computer screens used by PHAs to transmit management operations data to HUD electronically</w:t>
      </w:r>
      <w:r w:rsidR="00E03906">
        <w:t xml:space="preserve"> (</w:t>
      </w:r>
      <w:r w:rsidR="00E03906">
        <w:rPr>
          <w:b/>
        </w:rPr>
        <w:t>Exhibit C</w:t>
      </w:r>
      <w:r w:rsidR="00E03906">
        <w:t>)</w:t>
      </w:r>
      <w:r>
        <w:t>.  Upon completion of the screens, the PHA transmits the data to HUD via the Internet.</w:t>
      </w:r>
      <w:r>
        <w:rPr>
          <w:color w:val="000000"/>
        </w:rPr>
        <w:t xml:space="preserve"> </w:t>
      </w:r>
    </w:p>
    <w:p w:rsidR="00BE1B6D" w:rsidRDefault="00BE1B6D">
      <w:pPr>
        <w:tabs>
          <w:tab w:val="left" w:pos="360"/>
        </w:tabs>
        <w:ind w:left="360" w:hanging="360"/>
        <w:rPr>
          <w:color w:val="000000"/>
          <w:sz w:val="24"/>
        </w:rPr>
      </w:pPr>
    </w:p>
    <w:p w:rsidR="00BE1B6D" w:rsidRDefault="00BE1B6D">
      <w:pPr>
        <w:numPr>
          <w:ilvl w:val="0"/>
          <w:numId w:val="30"/>
        </w:numPr>
        <w:rPr>
          <w:sz w:val="24"/>
        </w:rPr>
      </w:pPr>
      <w:r>
        <w:rPr>
          <w:sz w:val="24"/>
        </w:rPr>
        <w:lastRenderedPageBreak/>
        <w:t xml:space="preserve">This information is not collected elsewhere and there will be no duplication of information.  There is no similar information already available.  </w:t>
      </w:r>
    </w:p>
    <w:p w:rsidR="004E65EE" w:rsidRPr="004E65EE" w:rsidRDefault="004E65EE" w:rsidP="004E65EE">
      <w:pPr>
        <w:ind w:left="360"/>
        <w:rPr>
          <w:color w:val="000000"/>
          <w:sz w:val="24"/>
        </w:rPr>
      </w:pPr>
    </w:p>
    <w:p w:rsidR="00BE1B6D" w:rsidRDefault="00BE1B6D">
      <w:pPr>
        <w:numPr>
          <w:ilvl w:val="0"/>
          <w:numId w:val="30"/>
        </w:numPr>
        <w:rPr>
          <w:color w:val="000000"/>
          <w:sz w:val="24"/>
        </w:rPr>
      </w:pPr>
      <w:r>
        <w:rPr>
          <w:sz w:val="24"/>
        </w:rPr>
        <w:t>The only entities that may have been adversely impacted by the costs associated with HUD’s electronic submission requirement are small PHAs.  HUD believes that costs are minimal since the Department provides PHAs with submission software, supplemental guidance, handbooks and user guides that are available on the HUD website, training, and other technical assistance on the submission process.</w:t>
      </w:r>
    </w:p>
    <w:p w:rsidR="00BE1B6D" w:rsidRDefault="00BE1B6D">
      <w:pPr>
        <w:tabs>
          <w:tab w:val="left" w:pos="360"/>
        </w:tabs>
        <w:rPr>
          <w:color w:val="000000"/>
          <w:sz w:val="24"/>
        </w:rPr>
      </w:pPr>
    </w:p>
    <w:p w:rsidR="00BE1B6D" w:rsidRDefault="00BE1B6D">
      <w:pPr>
        <w:pStyle w:val="BodyText3"/>
        <w:numPr>
          <w:ilvl w:val="0"/>
          <w:numId w:val="30"/>
        </w:numPr>
      </w:pPr>
      <w:r>
        <w:t xml:space="preserve">The submission of annual management data is a long-standing statutory and regulatory requirement of entities that conduct business with HUD.  Without this information, HUD’s interest (as well as the interest of taxpayers) will be unprotected and HUD will not be able to identify the risks due to neglected maintenance or insolvency of a PHA.  Furthermore, evaluation of submitted data may impact funds used to achieve HUD program obligations, or to detect fraud, waste and abuse.  </w:t>
      </w:r>
    </w:p>
    <w:p w:rsidR="00BE1B6D" w:rsidRDefault="00BE1B6D">
      <w:pPr>
        <w:keepLines/>
        <w:tabs>
          <w:tab w:val="left" w:pos="360"/>
        </w:tabs>
        <w:spacing w:after="80"/>
        <w:rPr>
          <w:color w:val="000000"/>
          <w:sz w:val="24"/>
        </w:rPr>
      </w:pPr>
    </w:p>
    <w:p w:rsidR="00BE1B6D" w:rsidRDefault="00BE1B6D">
      <w:pPr>
        <w:numPr>
          <w:ilvl w:val="0"/>
          <w:numId w:val="30"/>
        </w:numPr>
        <w:rPr>
          <w:i/>
          <w:sz w:val="24"/>
        </w:rPr>
      </w:pPr>
      <w:r>
        <w:rPr>
          <w:sz w:val="24"/>
        </w:rPr>
        <w:t>Since the electronic submission process requires respondents to submit confidential data, HUD has provided each program participant with a unique user identification code, limited the information available via its assessment system to employees with approved security access to the system, and allowed submitters “read-only” capability that will allow them to view their submitted data via the Internet.  The PHAS regulation provides that each PHA shall post its overall PHA score and status within two weeks of receipt of its overall score and status.  The other special circumstances listed as part of the instructions are not applicable to this data collection process</w:t>
      </w:r>
      <w:r>
        <w:rPr>
          <w:i/>
          <w:sz w:val="24"/>
        </w:rPr>
        <w:t>.</w:t>
      </w:r>
    </w:p>
    <w:p w:rsidR="00BE1B6D" w:rsidRDefault="00BE1B6D">
      <w:pPr>
        <w:tabs>
          <w:tab w:val="left" w:pos="360"/>
        </w:tabs>
        <w:rPr>
          <w:color w:val="000000"/>
          <w:sz w:val="24"/>
        </w:rPr>
      </w:pPr>
    </w:p>
    <w:p w:rsidR="00BE1B6D" w:rsidRDefault="00BE1B6D" w:rsidP="00BF728B">
      <w:pPr>
        <w:numPr>
          <w:ilvl w:val="0"/>
          <w:numId w:val="30"/>
        </w:numPr>
        <w:tabs>
          <w:tab w:val="clear" w:pos="360"/>
        </w:tabs>
        <w:rPr>
          <w:sz w:val="24"/>
        </w:rPr>
      </w:pPr>
      <w:r w:rsidRPr="00BF728B">
        <w:rPr>
          <w:sz w:val="24"/>
        </w:rPr>
        <w:t xml:space="preserve">The Department published a Notice of Proposed Information Collection for Public Comment on </w:t>
      </w:r>
      <w:r w:rsidR="00BF728B" w:rsidRPr="00BF728B">
        <w:rPr>
          <w:sz w:val="24"/>
        </w:rPr>
        <w:t>April 14, 2010</w:t>
      </w:r>
      <w:r w:rsidRPr="00BF728B">
        <w:rPr>
          <w:sz w:val="24"/>
        </w:rPr>
        <w:t xml:space="preserve"> in the </w:t>
      </w:r>
      <w:r w:rsidRPr="00BF728B">
        <w:rPr>
          <w:sz w:val="24"/>
          <w:u w:val="single"/>
        </w:rPr>
        <w:t>Federal</w:t>
      </w:r>
      <w:r w:rsidRPr="00BF728B">
        <w:rPr>
          <w:sz w:val="24"/>
        </w:rPr>
        <w:t xml:space="preserve"> </w:t>
      </w:r>
      <w:proofErr w:type="gramStart"/>
      <w:r w:rsidRPr="00BF728B">
        <w:rPr>
          <w:sz w:val="24"/>
          <w:u w:val="single"/>
        </w:rPr>
        <w:t>Register</w:t>
      </w:r>
      <w:r w:rsidR="00E03906" w:rsidRPr="00BF728B">
        <w:rPr>
          <w:sz w:val="24"/>
        </w:rPr>
        <w:t xml:space="preserve"> </w:t>
      </w:r>
      <w:r w:rsidR="00BF728B" w:rsidRPr="00BF728B">
        <w:rPr>
          <w:sz w:val="24"/>
        </w:rPr>
        <w:t>.</w:t>
      </w:r>
      <w:proofErr w:type="gramEnd"/>
      <w:r w:rsidR="00BF728B" w:rsidRPr="00BF728B">
        <w:rPr>
          <w:sz w:val="24"/>
        </w:rPr>
        <w:t xml:space="preserve"> </w:t>
      </w:r>
      <w:r w:rsidRPr="00BF728B">
        <w:rPr>
          <w:sz w:val="24"/>
        </w:rPr>
        <w:t xml:space="preserve">The public was given until </w:t>
      </w:r>
      <w:r w:rsidR="00BF728B" w:rsidRPr="00BF728B">
        <w:rPr>
          <w:sz w:val="24"/>
        </w:rPr>
        <w:t>June 14, 2010</w:t>
      </w:r>
      <w:r w:rsidRPr="00BF728B">
        <w:rPr>
          <w:sz w:val="24"/>
        </w:rPr>
        <w:t xml:space="preserve"> to submit comments on the proposed information collection.  </w:t>
      </w:r>
      <w:r w:rsidR="00BF728B" w:rsidRPr="00BF728B">
        <w:rPr>
          <w:sz w:val="24"/>
        </w:rPr>
        <w:t xml:space="preserve">Volume is </w:t>
      </w:r>
      <w:r w:rsidR="00BF728B">
        <w:rPr>
          <w:sz w:val="24"/>
        </w:rPr>
        <w:t>75,</w:t>
      </w:r>
      <w:r w:rsidR="00BF728B" w:rsidRPr="00BF728B">
        <w:rPr>
          <w:sz w:val="24"/>
        </w:rPr>
        <w:t xml:space="preserve"> Number </w:t>
      </w:r>
      <w:r w:rsidR="00BF728B">
        <w:rPr>
          <w:sz w:val="24"/>
        </w:rPr>
        <w:t>19416.  No</w:t>
      </w:r>
      <w:r w:rsidR="00BF728B" w:rsidRPr="00BF728B">
        <w:rPr>
          <w:sz w:val="24"/>
        </w:rPr>
        <w:t xml:space="preserve"> public comments were received</w:t>
      </w:r>
    </w:p>
    <w:p w:rsidR="00BF728B" w:rsidRDefault="00BF728B" w:rsidP="00BF728B">
      <w:pPr>
        <w:pStyle w:val="ListParagraph"/>
        <w:rPr>
          <w:sz w:val="24"/>
        </w:rPr>
      </w:pPr>
    </w:p>
    <w:p w:rsidR="00BE1B6D" w:rsidRDefault="00BE1B6D">
      <w:pPr>
        <w:pStyle w:val="BodyText"/>
        <w:keepLines w:val="0"/>
        <w:numPr>
          <w:ilvl w:val="0"/>
          <w:numId w:val="30"/>
        </w:numPr>
        <w:tabs>
          <w:tab w:val="clear" w:pos="720"/>
        </w:tabs>
        <w:rPr>
          <w:sz w:val="24"/>
        </w:rPr>
      </w:pPr>
      <w:r>
        <w:rPr>
          <w:sz w:val="24"/>
        </w:rPr>
        <w:t xml:space="preserve">No payment or gifts are provided to respondents.   </w:t>
      </w:r>
    </w:p>
    <w:p w:rsidR="00BE1B6D" w:rsidRDefault="00BE1B6D">
      <w:pPr>
        <w:tabs>
          <w:tab w:val="left" w:pos="360"/>
        </w:tabs>
        <w:rPr>
          <w:color w:val="000000"/>
          <w:sz w:val="24"/>
        </w:rPr>
      </w:pPr>
    </w:p>
    <w:p w:rsidR="00BE1B6D" w:rsidRDefault="00BE1B6D">
      <w:pPr>
        <w:numPr>
          <w:ilvl w:val="0"/>
          <w:numId w:val="30"/>
        </w:numPr>
        <w:rPr>
          <w:sz w:val="24"/>
        </w:rPr>
      </w:pPr>
      <w:r>
        <w:rPr>
          <w:sz w:val="24"/>
        </w:rPr>
        <w:t>All data that is linked to a particular PHA is secured from public access.  When a PHA submits data electronically to HUD, security prevents users outside of HUD from intercepting this data.  The Department's web access security system ensures that all management data is secure.  The authorities or justifications for the security system are:  the Information Security HUD Handbook 2400.24; the Computer Security Act of 1987; the Clinger-Cohen Act of 1996; OMB Circular A-130 part 3; and the Government Information Security Reform Act of 2000 (GISRA).  The Department's web access security system allows users to apply online for an ID and password and to reset a forgotten password.  It also controls and limits access to systems for authorized users by managing the roles and responsibilities for each user of each system.</w:t>
      </w:r>
    </w:p>
    <w:p w:rsidR="00BE1B6D" w:rsidRDefault="00BE1B6D">
      <w:pPr>
        <w:pStyle w:val="Heading1"/>
        <w:ind w:firstLine="480"/>
      </w:pPr>
      <w:r>
        <w:t>There are primary and secondary users.  Primary PHA users are able to see his/her submission, and HUD</w:t>
      </w:r>
      <w:r w:rsidR="00273DA6">
        <w:t xml:space="preserve"> </w:t>
      </w:r>
      <w:r>
        <w:t>authorized primary users (i.e., selected staff) have security access to update the information, with strict controls of the tasks that they may perform.  Secondary HUD users are granted read-only access to the system.</w:t>
      </w:r>
    </w:p>
    <w:p w:rsidR="00BE1B6D" w:rsidRDefault="00BE1B6D">
      <w:pPr>
        <w:tabs>
          <w:tab w:val="left" w:pos="360"/>
        </w:tabs>
        <w:ind w:left="360" w:hanging="360"/>
        <w:rPr>
          <w:color w:val="000000"/>
          <w:sz w:val="24"/>
        </w:rPr>
      </w:pPr>
    </w:p>
    <w:p w:rsidR="00BE1B6D" w:rsidRDefault="00BE1B6D">
      <w:pPr>
        <w:numPr>
          <w:ilvl w:val="0"/>
          <w:numId w:val="16"/>
        </w:numPr>
        <w:ind w:left="360" w:hanging="360"/>
        <w:rPr>
          <w:sz w:val="24"/>
        </w:rPr>
      </w:pPr>
      <w:r>
        <w:rPr>
          <w:sz w:val="24"/>
        </w:rPr>
        <w:t xml:space="preserve">No sensitive questions are being asked.  </w:t>
      </w:r>
    </w:p>
    <w:p w:rsidR="00BE1B6D" w:rsidRDefault="00BE1B6D">
      <w:pPr>
        <w:tabs>
          <w:tab w:val="left" w:pos="360"/>
        </w:tabs>
        <w:ind w:left="360" w:hanging="360"/>
        <w:rPr>
          <w:color w:val="000000"/>
          <w:sz w:val="24"/>
        </w:rPr>
      </w:pPr>
    </w:p>
    <w:p w:rsidR="00BE1B6D" w:rsidRPr="004E65EE" w:rsidRDefault="00BE1B6D">
      <w:pPr>
        <w:numPr>
          <w:ilvl w:val="0"/>
          <w:numId w:val="16"/>
        </w:numPr>
        <w:ind w:left="360" w:hanging="360"/>
        <w:rPr>
          <w:color w:val="000000"/>
          <w:sz w:val="24"/>
        </w:rPr>
      </w:pPr>
      <w:r>
        <w:rPr>
          <w:sz w:val="24"/>
        </w:rPr>
        <w:t>In the chart, below, the burden hour calculations are shown by the size of the PHA.  The calculations assume that larger PHAs require more time to complete the template because they have to collect and input more data.</w:t>
      </w:r>
      <w:r w:rsidR="003C3B7C">
        <w:rPr>
          <w:sz w:val="24"/>
        </w:rPr>
        <w:t xml:space="preserve">  This information is derived from an analysis of those PHAs with fiscal year end June 30, 200</w:t>
      </w:r>
      <w:r w:rsidR="00BE653E">
        <w:rPr>
          <w:sz w:val="24"/>
        </w:rPr>
        <w:t>7</w:t>
      </w:r>
      <w:r w:rsidR="003C3B7C">
        <w:rPr>
          <w:sz w:val="24"/>
        </w:rPr>
        <w:t>, through March 31, 200</w:t>
      </w:r>
      <w:r w:rsidR="00BE653E">
        <w:rPr>
          <w:sz w:val="24"/>
        </w:rPr>
        <w:t>8</w:t>
      </w:r>
      <w:r w:rsidR="003C3B7C">
        <w:rPr>
          <w:sz w:val="24"/>
        </w:rPr>
        <w:t>, that submitted management operations certifications.</w:t>
      </w:r>
    </w:p>
    <w:p w:rsidR="004E65EE" w:rsidRDefault="004E65EE" w:rsidP="004E65EE">
      <w:pPr>
        <w:pStyle w:val="ListParagraph"/>
        <w:rPr>
          <w:color w:val="000000"/>
          <w:sz w:val="24"/>
        </w:rPr>
      </w:pPr>
    </w:p>
    <w:p w:rsidR="00BE1B6D" w:rsidRPr="00EE433D" w:rsidRDefault="00BE1B6D">
      <w:pPr>
        <w:pStyle w:val="Heading2"/>
        <w:spacing w:after="120"/>
        <w:ind w:left="2880"/>
        <w:rPr>
          <w:szCs w:val="24"/>
        </w:rPr>
      </w:pPr>
      <w:r w:rsidRPr="00EE433D">
        <w:rPr>
          <w:szCs w:val="24"/>
        </w:rPr>
        <w:lastRenderedPageBreak/>
        <w:t>Average Burden Hour Estimates for PHAs</w:t>
      </w:r>
    </w:p>
    <w:tbl>
      <w:tblPr>
        <w:tblW w:w="9905"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59"/>
        <w:gridCol w:w="1503"/>
        <w:gridCol w:w="1170"/>
        <w:gridCol w:w="1080"/>
        <w:gridCol w:w="1080"/>
        <w:gridCol w:w="1313"/>
      </w:tblGrid>
      <w:tr w:rsidR="00BE1B6D" w:rsidTr="00EE433D">
        <w:tblPrEx>
          <w:tblCellMar>
            <w:top w:w="0" w:type="dxa"/>
            <w:bottom w:w="0" w:type="dxa"/>
          </w:tblCellMar>
        </w:tblPrEx>
        <w:trPr>
          <w:jc w:val="center"/>
        </w:trPr>
        <w:tc>
          <w:tcPr>
            <w:tcW w:w="3759" w:type="dxa"/>
            <w:vAlign w:val="center"/>
          </w:tcPr>
          <w:p w:rsidR="00BE1B6D" w:rsidRPr="003C3B7C" w:rsidRDefault="00BE1B6D">
            <w:pPr>
              <w:keepNext/>
              <w:spacing w:before="40" w:after="40"/>
              <w:jc w:val="center"/>
              <w:rPr>
                <w:b/>
                <w:bCs/>
                <w:sz w:val="24"/>
                <w:szCs w:val="24"/>
              </w:rPr>
            </w:pPr>
            <w:r w:rsidRPr="003C3B7C">
              <w:rPr>
                <w:b/>
                <w:bCs/>
                <w:sz w:val="24"/>
                <w:szCs w:val="24"/>
              </w:rPr>
              <w:t>Sub-Indicator</w:t>
            </w:r>
          </w:p>
        </w:tc>
        <w:tc>
          <w:tcPr>
            <w:tcW w:w="1503" w:type="dxa"/>
            <w:vAlign w:val="center"/>
          </w:tcPr>
          <w:p w:rsidR="00BE1B6D" w:rsidRPr="003C3B7C" w:rsidRDefault="00BE1B6D">
            <w:pPr>
              <w:keepNext/>
              <w:spacing w:before="40" w:after="40"/>
              <w:jc w:val="center"/>
              <w:rPr>
                <w:b/>
                <w:bCs/>
                <w:sz w:val="24"/>
                <w:szCs w:val="24"/>
              </w:rPr>
            </w:pPr>
            <w:r w:rsidRPr="003C3B7C">
              <w:rPr>
                <w:b/>
                <w:bCs/>
                <w:sz w:val="24"/>
                <w:szCs w:val="24"/>
              </w:rPr>
              <w:t>Unit Size 1 – 249</w:t>
            </w:r>
          </w:p>
        </w:tc>
        <w:tc>
          <w:tcPr>
            <w:tcW w:w="1170" w:type="dxa"/>
            <w:vAlign w:val="center"/>
          </w:tcPr>
          <w:p w:rsidR="00BE1B6D" w:rsidRPr="003C3B7C" w:rsidRDefault="00BE1B6D">
            <w:pPr>
              <w:keepNext/>
              <w:spacing w:before="40" w:after="40"/>
              <w:jc w:val="center"/>
              <w:rPr>
                <w:b/>
                <w:bCs/>
                <w:sz w:val="24"/>
                <w:szCs w:val="24"/>
              </w:rPr>
            </w:pPr>
            <w:r w:rsidRPr="003C3B7C">
              <w:rPr>
                <w:b/>
                <w:bCs/>
                <w:sz w:val="24"/>
                <w:szCs w:val="24"/>
              </w:rPr>
              <w:t>Unit Size 250 – 499</w:t>
            </w:r>
          </w:p>
        </w:tc>
        <w:tc>
          <w:tcPr>
            <w:tcW w:w="1080" w:type="dxa"/>
            <w:vAlign w:val="center"/>
          </w:tcPr>
          <w:p w:rsidR="00BE1B6D" w:rsidRPr="003C3B7C" w:rsidRDefault="00BE1B6D">
            <w:pPr>
              <w:keepNext/>
              <w:spacing w:before="40" w:after="40"/>
              <w:ind w:left="-138" w:right="-78"/>
              <w:jc w:val="center"/>
              <w:rPr>
                <w:b/>
                <w:bCs/>
                <w:sz w:val="24"/>
                <w:szCs w:val="24"/>
              </w:rPr>
            </w:pPr>
            <w:r w:rsidRPr="003C3B7C">
              <w:rPr>
                <w:b/>
                <w:bCs/>
                <w:sz w:val="24"/>
                <w:szCs w:val="24"/>
              </w:rPr>
              <w:t>Unit Size  500 – 1,249</w:t>
            </w:r>
          </w:p>
        </w:tc>
        <w:tc>
          <w:tcPr>
            <w:tcW w:w="1080" w:type="dxa"/>
            <w:vAlign w:val="center"/>
          </w:tcPr>
          <w:p w:rsidR="00BE1B6D" w:rsidRPr="003C3B7C" w:rsidRDefault="00BE1B6D">
            <w:pPr>
              <w:keepNext/>
              <w:spacing w:before="40" w:after="40"/>
              <w:ind w:left="-138" w:right="-198"/>
              <w:jc w:val="center"/>
              <w:rPr>
                <w:b/>
                <w:bCs/>
                <w:sz w:val="24"/>
                <w:szCs w:val="24"/>
              </w:rPr>
            </w:pPr>
            <w:r w:rsidRPr="003C3B7C">
              <w:rPr>
                <w:b/>
                <w:bCs/>
                <w:sz w:val="24"/>
                <w:szCs w:val="24"/>
              </w:rPr>
              <w:t>Unit Size 1,250 – 3,999</w:t>
            </w:r>
          </w:p>
        </w:tc>
        <w:tc>
          <w:tcPr>
            <w:tcW w:w="1313" w:type="dxa"/>
            <w:vAlign w:val="center"/>
          </w:tcPr>
          <w:p w:rsidR="00BE1B6D" w:rsidRPr="003C3B7C" w:rsidRDefault="00BE1B6D">
            <w:pPr>
              <w:keepNext/>
              <w:spacing w:before="40" w:after="40"/>
              <w:jc w:val="center"/>
              <w:rPr>
                <w:b/>
                <w:bCs/>
                <w:sz w:val="24"/>
                <w:szCs w:val="24"/>
              </w:rPr>
            </w:pPr>
            <w:r w:rsidRPr="003C3B7C">
              <w:rPr>
                <w:b/>
                <w:bCs/>
                <w:sz w:val="24"/>
                <w:szCs w:val="24"/>
              </w:rPr>
              <w:t>Unit Size 4,000 +</w:t>
            </w:r>
          </w:p>
        </w:tc>
      </w:tr>
      <w:tr w:rsidR="00BE1B6D" w:rsidTr="00EE433D">
        <w:tblPrEx>
          <w:tblCellMar>
            <w:top w:w="0" w:type="dxa"/>
            <w:bottom w:w="0" w:type="dxa"/>
          </w:tblCellMar>
        </w:tblPrEx>
        <w:trPr>
          <w:jc w:val="center"/>
        </w:trPr>
        <w:tc>
          <w:tcPr>
            <w:tcW w:w="3759" w:type="dxa"/>
            <w:vAlign w:val="center"/>
          </w:tcPr>
          <w:p w:rsidR="00BE1B6D" w:rsidRPr="00EE433D" w:rsidRDefault="00BE1B6D">
            <w:pPr>
              <w:keepNext/>
              <w:spacing w:before="40" w:after="40"/>
              <w:rPr>
                <w:bCs/>
                <w:sz w:val="24"/>
                <w:szCs w:val="24"/>
              </w:rPr>
            </w:pPr>
            <w:r w:rsidRPr="00EE433D">
              <w:rPr>
                <w:bCs/>
                <w:sz w:val="24"/>
                <w:szCs w:val="24"/>
              </w:rPr>
              <w:t>Vacant Unit Turnaround Time</w:t>
            </w:r>
          </w:p>
        </w:tc>
        <w:tc>
          <w:tcPr>
            <w:tcW w:w="1503" w:type="dxa"/>
            <w:vAlign w:val="center"/>
          </w:tcPr>
          <w:p w:rsidR="00BE1B6D" w:rsidRPr="00EE433D" w:rsidRDefault="00BE1B6D">
            <w:pPr>
              <w:keepNext/>
              <w:spacing w:before="40" w:after="40"/>
              <w:jc w:val="center"/>
              <w:rPr>
                <w:bCs/>
                <w:sz w:val="24"/>
                <w:szCs w:val="24"/>
              </w:rPr>
            </w:pPr>
            <w:r w:rsidRPr="00EE433D">
              <w:rPr>
                <w:bCs/>
                <w:sz w:val="24"/>
                <w:szCs w:val="24"/>
              </w:rPr>
              <w:t>0.3</w:t>
            </w:r>
          </w:p>
        </w:tc>
        <w:tc>
          <w:tcPr>
            <w:tcW w:w="1170" w:type="dxa"/>
            <w:vAlign w:val="center"/>
          </w:tcPr>
          <w:p w:rsidR="00BE1B6D" w:rsidRPr="00EE433D" w:rsidRDefault="00BE1B6D">
            <w:pPr>
              <w:keepNext/>
              <w:spacing w:before="40" w:after="40"/>
              <w:jc w:val="center"/>
              <w:rPr>
                <w:bCs/>
                <w:sz w:val="24"/>
                <w:szCs w:val="24"/>
              </w:rPr>
            </w:pPr>
            <w:r w:rsidRPr="00EE433D">
              <w:rPr>
                <w:bCs/>
                <w:sz w:val="24"/>
                <w:szCs w:val="24"/>
              </w:rPr>
              <w:t>0.3</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0.5</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0.5</w:t>
            </w:r>
          </w:p>
        </w:tc>
        <w:tc>
          <w:tcPr>
            <w:tcW w:w="1313" w:type="dxa"/>
            <w:vAlign w:val="center"/>
          </w:tcPr>
          <w:p w:rsidR="00BE1B6D" w:rsidRPr="00EE433D" w:rsidRDefault="00BE1B6D">
            <w:pPr>
              <w:keepNext/>
              <w:spacing w:before="40" w:after="40"/>
              <w:jc w:val="center"/>
              <w:rPr>
                <w:bCs/>
                <w:sz w:val="24"/>
                <w:szCs w:val="24"/>
              </w:rPr>
            </w:pPr>
            <w:r w:rsidRPr="00EE433D">
              <w:rPr>
                <w:bCs/>
                <w:sz w:val="24"/>
                <w:szCs w:val="24"/>
              </w:rPr>
              <w:t>0.7</w:t>
            </w:r>
          </w:p>
        </w:tc>
      </w:tr>
      <w:tr w:rsidR="00BE1B6D" w:rsidTr="00EE433D">
        <w:tblPrEx>
          <w:tblCellMar>
            <w:top w:w="0" w:type="dxa"/>
            <w:bottom w:w="0" w:type="dxa"/>
          </w:tblCellMar>
        </w:tblPrEx>
        <w:trPr>
          <w:trHeight w:val="413"/>
          <w:jc w:val="center"/>
        </w:trPr>
        <w:tc>
          <w:tcPr>
            <w:tcW w:w="3759" w:type="dxa"/>
            <w:vAlign w:val="center"/>
          </w:tcPr>
          <w:p w:rsidR="00BE1B6D" w:rsidRPr="00EE433D" w:rsidRDefault="00BE1B6D">
            <w:pPr>
              <w:keepNext/>
              <w:spacing w:before="40" w:after="40"/>
              <w:rPr>
                <w:bCs/>
                <w:sz w:val="24"/>
                <w:szCs w:val="24"/>
              </w:rPr>
            </w:pPr>
            <w:r w:rsidRPr="00EE433D">
              <w:rPr>
                <w:bCs/>
                <w:sz w:val="24"/>
                <w:szCs w:val="24"/>
              </w:rPr>
              <w:t>Capital Fund</w:t>
            </w:r>
          </w:p>
        </w:tc>
        <w:tc>
          <w:tcPr>
            <w:tcW w:w="1503" w:type="dxa"/>
            <w:vAlign w:val="center"/>
          </w:tcPr>
          <w:p w:rsidR="00BE1B6D" w:rsidRPr="00EE433D" w:rsidRDefault="00BE1B6D">
            <w:pPr>
              <w:keepNext/>
              <w:spacing w:before="40" w:after="40"/>
              <w:jc w:val="center"/>
              <w:rPr>
                <w:bCs/>
                <w:sz w:val="24"/>
                <w:szCs w:val="24"/>
              </w:rPr>
            </w:pPr>
            <w:r w:rsidRPr="00EE433D">
              <w:rPr>
                <w:bCs/>
                <w:sz w:val="24"/>
                <w:szCs w:val="24"/>
              </w:rPr>
              <w:t>0.2</w:t>
            </w:r>
          </w:p>
        </w:tc>
        <w:tc>
          <w:tcPr>
            <w:tcW w:w="1170" w:type="dxa"/>
            <w:vAlign w:val="center"/>
          </w:tcPr>
          <w:p w:rsidR="00BE1B6D" w:rsidRPr="00EE433D" w:rsidRDefault="00BE1B6D">
            <w:pPr>
              <w:keepNext/>
              <w:spacing w:before="40" w:after="40"/>
              <w:jc w:val="center"/>
              <w:rPr>
                <w:bCs/>
                <w:sz w:val="24"/>
                <w:szCs w:val="24"/>
              </w:rPr>
            </w:pPr>
            <w:r w:rsidRPr="00EE433D">
              <w:rPr>
                <w:bCs/>
                <w:sz w:val="24"/>
                <w:szCs w:val="24"/>
              </w:rPr>
              <w:t>0.2</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0.5</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0.5</w:t>
            </w:r>
          </w:p>
        </w:tc>
        <w:tc>
          <w:tcPr>
            <w:tcW w:w="1313" w:type="dxa"/>
            <w:vAlign w:val="center"/>
          </w:tcPr>
          <w:p w:rsidR="00BE1B6D" w:rsidRPr="00EE433D" w:rsidRDefault="00BE1B6D">
            <w:pPr>
              <w:keepNext/>
              <w:spacing w:before="40" w:after="40"/>
              <w:jc w:val="center"/>
              <w:rPr>
                <w:bCs/>
                <w:sz w:val="24"/>
                <w:szCs w:val="24"/>
              </w:rPr>
            </w:pPr>
            <w:r w:rsidRPr="00EE433D">
              <w:rPr>
                <w:bCs/>
                <w:sz w:val="24"/>
                <w:szCs w:val="24"/>
              </w:rPr>
              <w:t>0.9</w:t>
            </w:r>
          </w:p>
        </w:tc>
      </w:tr>
      <w:tr w:rsidR="00BE1B6D" w:rsidTr="00EE433D">
        <w:tblPrEx>
          <w:tblCellMar>
            <w:top w:w="0" w:type="dxa"/>
            <w:bottom w:w="0" w:type="dxa"/>
          </w:tblCellMar>
        </w:tblPrEx>
        <w:trPr>
          <w:trHeight w:val="350"/>
          <w:jc w:val="center"/>
        </w:trPr>
        <w:tc>
          <w:tcPr>
            <w:tcW w:w="3759" w:type="dxa"/>
            <w:vAlign w:val="center"/>
          </w:tcPr>
          <w:p w:rsidR="00BE1B6D" w:rsidRPr="00EE433D" w:rsidRDefault="00BE1B6D">
            <w:pPr>
              <w:keepNext/>
              <w:spacing w:before="40" w:after="40"/>
              <w:rPr>
                <w:bCs/>
                <w:sz w:val="24"/>
                <w:szCs w:val="24"/>
              </w:rPr>
            </w:pPr>
            <w:r w:rsidRPr="00EE433D">
              <w:rPr>
                <w:bCs/>
                <w:sz w:val="24"/>
                <w:szCs w:val="24"/>
              </w:rPr>
              <w:t>Work Orders</w:t>
            </w:r>
          </w:p>
        </w:tc>
        <w:tc>
          <w:tcPr>
            <w:tcW w:w="1503" w:type="dxa"/>
            <w:vAlign w:val="center"/>
          </w:tcPr>
          <w:p w:rsidR="00BE1B6D" w:rsidRPr="00EE433D" w:rsidRDefault="00BE1B6D">
            <w:pPr>
              <w:keepNext/>
              <w:spacing w:before="40" w:after="40"/>
              <w:jc w:val="center"/>
              <w:rPr>
                <w:bCs/>
                <w:sz w:val="24"/>
                <w:szCs w:val="24"/>
              </w:rPr>
            </w:pPr>
            <w:r w:rsidRPr="00EE433D">
              <w:rPr>
                <w:bCs/>
                <w:sz w:val="24"/>
                <w:szCs w:val="24"/>
              </w:rPr>
              <w:t>0.25</w:t>
            </w:r>
          </w:p>
        </w:tc>
        <w:tc>
          <w:tcPr>
            <w:tcW w:w="1170" w:type="dxa"/>
            <w:vAlign w:val="center"/>
          </w:tcPr>
          <w:p w:rsidR="00BE1B6D" w:rsidRPr="00EE433D" w:rsidRDefault="00BE1B6D">
            <w:pPr>
              <w:keepNext/>
              <w:spacing w:before="40" w:after="40"/>
              <w:jc w:val="center"/>
              <w:rPr>
                <w:bCs/>
                <w:sz w:val="24"/>
                <w:szCs w:val="24"/>
              </w:rPr>
            </w:pPr>
            <w:r w:rsidRPr="00EE433D">
              <w:rPr>
                <w:bCs/>
                <w:sz w:val="24"/>
                <w:szCs w:val="24"/>
              </w:rPr>
              <w:t>0.3</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0.5</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0.6</w:t>
            </w:r>
          </w:p>
        </w:tc>
        <w:tc>
          <w:tcPr>
            <w:tcW w:w="1313" w:type="dxa"/>
            <w:vAlign w:val="center"/>
          </w:tcPr>
          <w:p w:rsidR="00BE1B6D" w:rsidRPr="00EE433D" w:rsidRDefault="00BE1B6D">
            <w:pPr>
              <w:keepNext/>
              <w:spacing w:before="40" w:after="40"/>
              <w:jc w:val="center"/>
              <w:rPr>
                <w:bCs/>
                <w:sz w:val="24"/>
                <w:szCs w:val="24"/>
              </w:rPr>
            </w:pPr>
            <w:r w:rsidRPr="00EE433D">
              <w:rPr>
                <w:bCs/>
                <w:sz w:val="24"/>
                <w:szCs w:val="24"/>
              </w:rPr>
              <w:t>0.8</w:t>
            </w:r>
          </w:p>
        </w:tc>
      </w:tr>
      <w:tr w:rsidR="00BE1B6D" w:rsidTr="00EE433D">
        <w:tblPrEx>
          <w:tblCellMar>
            <w:top w:w="0" w:type="dxa"/>
            <w:bottom w:w="0" w:type="dxa"/>
          </w:tblCellMar>
        </w:tblPrEx>
        <w:trPr>
          <w:jc w:val="center"/>
        </w:trPr>
        <w:tc>
          <w:tcPr>
            <w:tcW w:w="3759" w:type="dxa"/>
            <w:vAlign w:val="center"/>
          </w:tcPr>
          <w:p w:rsidR="00BE1B6D" w:rsidRPr="00EE433D" w:rsidRDefault="00BE1B6D">
            <w:pPr>
              <w:keepNext/>
              <w:spacing w:before="40" w:after="40"/>
              <w:rPr>
                <w:bCs/>
                <w:sz w:val="24"/>
                <w:szCs w:val="24"/>
              </w:rPr>
            </w:pPr>
            <w:r w:rsidRPr="00EE433D">
              <w:rPr>
                <w:bCs/>
                <w:sz w:val="24"/>
                <w:szCs w:val="24"/>
              </w:rPr>
              <w:t>Annual Inspection of Dwelling Units and Systems</w:t>
            </w:r>
          </w:p>
        </w:tc>
        <w:tc>
          <w:tcPr>
            <w:tcW w:w="1503" w:type="dxa"/>
            <w:vAlign w:val="center"/>
          </w:tcPr>
          <w:p w:rsidR="00BE1B6D" w:rsidRPr="00EE433D" w:rsidRDefault="00BE1B6D">
            <w:pPr>
              <w:keepNext/>
              <w:spacing w:before="40" w:after="40"/>
              <w:jc w:val="center"/>
              <w:rPr>
                <w:bCs/>
                <w:sz w:val="24"/>
                <w:szCs w:val="24"/>
              </w:rPr>
            </w:pPr>
            <w:r w:rsidRPr="00EE433D">
              <w:rPr>
                <w:bCs/>
                <w:sz w:val="24"/>
                <w:szCs w:val="24"/>
              </w:rPr>
              <w:t>0.45</w:t>
            </w:r>
          </w:p>
        </w:tc>
        <w:tc>
          <w:tcPr>
            <w:tcW w:w="1170" w:type="dxa"/>
            <w:vAlign w:val="center"/>
          </w:tcPr>
          <w:p w:rsidR="00BE1B6D" w:rsidRPr="00EE433D" w:rsidRDefault="00BE1B6D">
            <w:pPr>
              <w:keepNext/>
              <w:spacing w:before="40" w:after="40"/>
              <w:jc w:val="center"/>
              <w:rPr>
                <w:bCs/>
                <w:sz w:val="24"/>
                <w:szCs w:val="24"/>
              </w:rPr>
            </w:pPr>
            <w:r w:rsidRPr="00EE433D">
              <w:rPr>
                <w:bCs/>
                <w:sz w:val="24"/>
                <w:szCs w:val="24"/>
              </w:rPr>
              <w:t>0.5</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0.6</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0.8</w:t>
            </w:r>
          </w:p>
        </w:tc>
        <w:tc>
          <w:tcPr>
            <w:tcW w:w="1313" w:type="dxa"/>
            <w:vAlign w:val="center"/>
          </w:tcPr>
          <w:p w:rsidR="00BE1B6D" w:rsidRPr="00EE433D" w:rsidRDefault="00BE1B6D">
            <w:pPr>
              <w:keepNext/>
              <w:spacing w:before="40" w:after="40"/>
              <w:jc w:val="center"/>
              <w:rPr>
                <w:bCs/>
                <w:sz w:val="24"/>
                <w:szCs w:val="24"/>
              </w:rPr>
            </w:pPr>
            <w:r w:rsidRPr="00EE433D">
              <w:rPr>
                <w:bCs/>
                <w:sz w:val="24"/>
                <w:szCs w:val="24"/>
              </w:rPr>
              <w:t>1.3</w:t>
            </w:r>
          </w:p>
        </w:tc>
      </w:tr>
      <w:tr w:rsidR="00BE1B6D" w:rsidTr="00EE433D">
        <w:tblPrEx>
          <w:tblCellMar>
            <w:top w:w="0" w:type="dxa"/>
            <w:bottom w:w="0" w:type="dxa"/>
          </w:tblCellMar>
        </w:tblPrEx>
        <w:trPr>
          <w:trHeight w:val="368"/>
          <w:jc w:val="center"/>
        </w:trPr>
        <w:tc>
          <w:tcPr>
            <w:tcW w:w="3759" w:type="dxa"/>
            <w:vAlign w:val="center"/>
          </w:tcPr>
          <w:p w:rsidR="00BE1B6D" w:rsidRPr="00EE433D" w:rsidRDefault="00BE1B6D">
            <w:pPr>
              <w:keepNext/>
              <w:spacing w:before="40" w:after="40"/>
              <w:rPr>
                <w:bCs/>
                <w:sz w:val="24"/>
                <w:szCs w:val="24"/>
              </w:rPr>
            </w:pPr>
            <w:r w:rsidRPr="00EE433D">
              <w:rPr>
                <w:bCs/>
                <w:sz w:val="24"/>
                <w:szCs w:val="24"/>
              </w:rPr>
              <w:t>Security</w:t>
            </w:r>
          </w:p>
        </w:tc>
        <w:tc>
          <w:tcPr>
            <w:tcW w:w="1503" w:type="dxa"/>
            <w:vAlign w:val="center"/>
          </w:tcPr>
          <w:p w:rsidR="00BE1B6D" w:rsidRPr="00EE433D" w:rsidRDefault="00BE1B6D">
            <w:pPr>
              <w:keepNext/>
              <w:spacing w:before="40" w:after="40"/>
              <w:jc w:val="center"/>
              <w:rPr>
                <w:bCs/>
                <w:sz w:val="24"/>
                <w:szCs w:val="24"/>
              </w:rPr>
            </w:pPr>
            <w:r w:rsidRPr="00EE433D">
              <w:rPr>
                <w:bCs/>
                <w:sz w:val="24"/>
                <w:szCs w:val="24"/>
              </w:rPr>
              <w:t>0.3</w:t>
            </w:r>
          </w:p>
        </w:tc>
        <w:tc>
          <w:tcPr>
            <w:tcW w:w="1170" w:type="dxa"/>
            <w:vAlign w:val="center"/>
          </w:tcPr>
          <w:p w:rsidR="00BE1B6D" w:rsidRPr="00EE433D" w:rsidRDefault="00BE1B6D">
            <w:pPr>
              <w:keepNext/>
              <w:spacing w:before="40" w:after="40"/>
              <w:jc w:val="center"/>
              <w:rPr>
                <w:bCs/>
                <w:sz w:val="24"/>
                <w:szCs w:val="24"/>
              </w:rPr>
            </w:pPr>
            <w:r w:rsidRPr="00EE433D">
              <w:rPr>
                <w:bCs/>
                <w:sz w:val="24"/>
                <w:szCs w:val="24"/>
              </w:rPr>
              <w:t>0.3</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0.4</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0.4</w:t>
            </w:r>
          </w:p>
        </w:tc>
        <w:tc>
          <w:tcPr>
            <w:tcW w:w="1313" w:type="dxa"/>
            <w:vAlign w:val="center"/>
          </w:tcPr>
          <w:p w:rsidR="00BE1B6D" w:rsidRPr="00EE433D" w:rsidRDefault="00BE1B6D">
            <w:pPr>
              <w:keepNext/>
              <w:spacing w:before="40" w:after="40"/>
              <w:jc w:val="center"/>
              <w:rPr>
                <w:bCs/>
                <w:sz w:val="24"/>
                <w:szCs w:val="24"/>
              </w:rPr>
            </w:pPr>
            <w:r w:rsidRPr="00EE433D">
              <w:rPr>
                <w:bCs/>
                <w:sz w:val="24"/>
                <w:szCs w:val="24"/>
              </w:rPr>
              <w:t>0.5</w:t>
            </w:r>
          </w:p>
        </w:tc>
      </w:tr>
      <w:tr w:rsidR="00BE1B6D" w:rsidTr="00EE433D">
        <w:tblPrEx>
          <w:tblCellMar>
            <w:top w:w="0" w:type="dxa"/>
            <w:bottom w:w="0" w:type="dxa"/>
          </w:tblCellMar>
        </w:tblPrEx>
        <w:trPr>
          <w:trHeight w:val="359"/>
          <w:jc w:val="center"/>
        </w:trPr>
        <w:tc>
          <w:tcPr>
            <w:tcW w:w="3759" w:type="dxa"/>
            <w:vAlign w:val="center"/>
          </w:tcPr>
          <w:p w:rsidR="00BE1B6D" w:rsidRPr="00EE433D" w:rsidRDefault="00BE1B6D">
            <w:pPr>
              <w:keepNext/>
              <w:spacing w:before="40" w:after="40"/>
              <w:rPr>
                <w:bCs/>
                <w:sz w:val="24"/>
                <w:szCs w:val="24"/>
              </w:rPr>
            </w:pPr>
            <w:r w:rsidRPr="00EE433D">
              <w:rPr>
                <w:bCs/>
                <w:sz w:val="24"/>
                <w:szCs w:val="24"/>
              </w:rPr>
              <w:t>Economic Self-Sufficiency*</w:t>
            </w:r>
          </w:p>
        </w:tc>
        <w:tc>
          <w:tcPr>
            <w:tcW w:w="1503" w:type="dxa"/>
            <w:vAlign w:val="center"/>
          </w:tcPr>
          <w:p w:rsidR="00BE1B6D" w:rsidRPr="00EE433D" w:rsidRDefault="00BE1B6D">
            <w:pPr>
              <w:keepNext/>
              <w:spacing w:before="40" w:after="40"/>
              <w:jc w:val="center"/>
              <w:rPr>
                <w:bCs/>
                <w:sz w:val="24"/>
                <w:szCs w:val="24"/>
              </w:rPr>
            </w:pPr>
            <w:r w:rsidRPr="00EE433D">
              <w:rPr>
                <w:bCs/>
                <w:sz w:val="24"/>
                <w:szCs w:val="24"/>
              </w:rPr>
              <w:t>0.0</w:t>
            </w:r>
          </w:p>
        </w:tc>
        <w:tc>
          <w:tcPr>
            <w:tcW w:w="1170" w:type="dxa"/>
            <w:vAlign w:val="center"/>
          </w:tcPr>
          <w:p w:rsidR="00BE1B6D" w:rsidRPr="00EE433D" w:rsidRDefault="00BE1B6D">
            <w:pPr>
              <w:keepNext/>
              <w:spacing w:before="40" w:after="40"/>
              <w:jc w:val="center"/>
              <w:rPr>
                <w:bCs/>
                <w:sz w:val="24"/>
                <w:szCs w:val="24"/>
              </w:rPr>
            </w:pPr>
            <w:r w:rsidRPr="00EE433D">
              <w:rPr>
                <w:bCs/>
                <w:sz w:val="24"/>
                <w:szCs w:val="24"/>
              </w:rPr>
              <w:t>0.0</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0.0</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0.0</w:t>
            </w:r>
          </w:p>
        </w:tc>
        <w:tc>
          <w:tcPr>
            <w:tcW w:w="1313" w:type="dxa"/>
            <w:vAlign w:val="center"/>
          </w:tcPr>
          <w:p w:rsidR="00BE1B6D" w:rsidRPr="00EE433D" w:rsidRDefault="00BE1B6D">
            <w:pPr>
              <w:keepNext/>
              <w:spacing w:before="40" w:after="40"/>
              <w:jc w:val="center"/>
              <w:rPr>
                <w:bCs/>
                <w:sz w:val="24"/>
                <w:szCs w:val="24"/>
              </w:rPr>
            </w:pPr>
            <w:r w:rsidRPr="00EE433D">
              <w:rPr>
                <w:bCs/>
                <w:sz w:val="24"/>
                <w:szCs w:val="24"/>
              </w:rPr>
              <w:t>0.0</w:t>
            </w:r>
          </w:p>
        </w:tc>
      </w:tr>
      <w:tr w:rsidR="00BE1B6D" w:rsidTr="00EE433D">
        <w:tblPrEx>
          <w:tblCellMar>
            <w:top w:w="0" w:type="dxa"/>
            <w:bottom w:w="0" w:type="dxa"/>
          </w:tblCellMar>
        </w:tblPrEx>
        <w:trPr>
          <w:trHeight w:val="359"/>
          <w:jc w:val="center"/>
        </w:trPr>
        <w:tc>
          <w:tcPr>
            <w:tcW w:w="3759" w:type="dxa"/>
            <w:vAlign w:val="center"/>
          </w:tcPr>
          <w:p w:rsidR="00BE1B6D" w:rsidRPr="00EE433D" w:rsidRDefault="00BE1B6D">
            <w:pPr>
              <w:keepNext/>
              <w:spacing w:before="40" w:after="40"/>
              <w:rPr>
                <w:bCs/>
                <w:sz w:val="24"/>
                <w:szCs w:val="24"/>
              </w:rPr>
            </w:pPr>
            <w:r w:rsidRPr="00EE433D">
              <w:rPr>
                <w:bCs/>
                <w:sz w:val="24"/>
                <w:szCs w:val="24"/>
              </w:rPr>
              <w:t>Physical Condition and Neighborhood Environment**</w:t>
            </w:r>
          </w:p>
        </w:tc>
        <w:tc>
          <w:tcPr>
            <w:tcW w:w="1503" w:type="dxa"/>
            <w:vAlign w:val="center"/>
          </w:tcPr>
          <w:p w:rsidR="00BE1B6D" w:rsidRPr="00EE433D" w:rsidRDefault="00BE1B6D">
            <w:pPr>
              <w:keepNext/>
              <w:spacing w:before="40" w:after="40"/>
              <w:jc w:val="center"/>
              <w:rPr>
                <w:bCs/>
                <w:sz w:val="24"/>
                <w:szCs w:val="24"/>
              </w:rPr>
            </w:pPr>
            <w:r w:rsidRPr="00EE433D">
              <w:rPr>
                <w:bCs/>
                <w:sz w:val="24"/>
                <w:szCs w:val="24"/>
              </w:rPr>
              <w:t>0.0</w:t>
            </w:r>
          </w:p>
        </w:tc>
        <w:tc>
          <w:tcPr>
            <w:tcW w:w="1170" w:type="dxa"/>
            <w:vAlign w:val="center"/>
          </w:tcPr>
          <w:p w:rsidR="00BE1B6D" w:rsidRPr="00EE433D" w:rsidRDefault="00BE1B6D">
            <w:pPr>
              <w:keepNext/>
              <w:spacing w:before="40" w:after="40"/>
              <w:jc w:val="center"/>
              <w:rPr>
                <w:bCs/>
                <w:sz w:val="24"/>
                <w:szCs w:val="24"/>
              </w:rPr>
            </w:pPr>
            <w:r w:rsidRPr="00EE433D">
              <w:rPr>
                <w:bCs/>
                <w:sz w:val="24"/>
                <w:szCs w:val="24"/>
              </w:rPr>
              <w:t>0.0</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0.0</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0.0</w:t>
            </w:r>
          </w:p>
        </w:tc>
        <w:tc>
          <w:tcPr>
            <w:tcW w:w="1313" w:type="dxa"/>
            <w:vAlign w:val="center"/>
          </w:tcPr>
          <w:p w:rsidR="00BE1B6D" w:rsidRPr="00EE433D" w:rsidRDefault="00BE1B6D">
            <w:pPr>
              <w:keepNext/>
              <w:spacing w:before="40" w:after="40"/>
              <w:jc w:val="center"/>
              <w:rPr>
                <w:bCs/>
                <w:sz w:val="24"/>
                <w:szCs w:val="24"/>
              </w:rPr>
            </w:pPr>
            <w:r w:rsidRPr="00EE433D">
              <w:rPr>
                <w:bCs/>
                <w:sz w:val="24"/>
                <w:szCs w:val="24"/>
              </w:rPr>
              <w:t>0.0</w:t>
            </w:r>
          </w:p>
        </w:tc>
      </w:tr>
      <w:tr w:rsidR="00BE1B6D" w:rsidTr="00EE433D">
        <w:tblPrEx>
          <w:tblCellMar>
            <w:top w:w="0" w:type="dxa"/>
            <w:bottom w:w="0" w:type="dxa"/>
          </w:tblCellMar>
        </w:tblPrEx>
        <w:trPr>
          <w:trHeight w:val="287"/>
          <w:jc w:val="center"/>
        </w:trPr>
        <w:tc>
          <w:tcPr>
            <w:tcW w:w="3759" w:type="dxa"/>
            <w:vAlign w:val="center"/>
          </w:tcPr>
          <w:p w:rsidR="00BE1B6D" w:rsidRPr="00EE433D" w:rsidRDefault="00BE1B6D">
            <w:pPr>
              <w:keepNext/>
              <w:spacing w:before="40" w:after="40"/>
              <w:jc w:val="center"/>
              <w:rPr>
                <w:bCs/>
                <w:sz w:val="24"/>
                <w:szCs w:val="24"/>
              </w:rPr>
            </w:pPr>
            <w:r w:rsidRPr="00EE433D">
              <w:rPr>
                <w:bCs/>
                <w:sz w:val="24"/>
                <w:szCs w:val="24"/>
              </w:rPr>
              <w:t>Subtotals</w:t>
            </w:r>
          </w:p>
        </w:tc>
        <w:tc>
          <w:tcPr>
            <w:tcW w:w="1503" w:type="dxa"/>
            <w:vAlign w:val="center"/>
          </w:tcPr>
          <w:p w:rsidR="00BE1B6D" w:rsidRPr="00EE433D" w:rsidRDefault="00BE1B6D">
            <w:pPr>
              <w:keepNext/>
              <w:spacing w:before="40" w:after="40"/>
              <w:jc w:val="center"/>
              <w:rPr>
                <w:bCs/>
                <w:sz w:val="24"/>
                <w:szCs w:val="24"/>
              </w:rPr>
            </w:pPr>
            <w:r w:rsidRPr="00EE433D">
              <w:rPr>
                <w:bCs/>
                <w:sz w:val="24"/>
                <w:szCs w:val="24"/>
              </w:rPr>
              <w:t>1.5</w:t>
            </w:r>
          </w:p>
        </w:tc>
        <w:tc>
          <w:tcPr>
            <w:tcW w:w="1170" w:type="dxa"/>
            <w:vAlign w:val="center"/>
          </w:tcPr>
          <w:p w:rsidR="00BE1B6D" w:rsidRPr="00EE433D" w:rsidRDefault="00BE1B6D">
            <w:pPr>
              <w:keepNext/>
              <w:spacing w:before="40" w:after="40"/>
              <w:jc w:val="center"/>
              <w:rPr>
                <w:bCs/>
                <w:sz w:val="24"/>
                <w:szCs w:val="24"/>
              </w:rPr>
            </w:pPr>
            <w:r w:rsidRPr="00EE433D">
              <w:rPr>
                <w:bCs/>
                <w:sz w:val="24"/>
                <w:szCs w:val="24"/>
              </w:rPr>
              <w:t>1.6</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2.5</w:t>
            </w:r>
          </w:p>
        </w:tc>
        <w:tc>
          <w:tcPr>
            <w:tcW w:w="1080" w:type="dxa"/>
            <w:vAlign w:val="center"/>
          </w:tcPr>
          <w:p w:rsidR="00BE1B6D" w:rsidRPr="00EE433D" w:rsidRDefault="00BE1B6D">
            <w:pPr>
              <w:keepNext/>
              <w:spacing w:before="40" w:after="40"/>
              <w:jc w:val="center"/>
              <w:rPr>
                <w:bCs/>
                <w:sz w:val="24"/>
                <w:szCs w:val="24"/>
              </w:rPr>
            </w:pPr>
            <w:r w:rsidRPr="00EE433D">
              <w:rPr>
                <w:bCs/>
                <w:sz w:val="24"/>
                <w:szCs w:val="24"/>
              </w:rPr>
              <w:t>2.8</w:t>
            </w:r>
          </w:p>
        </w:tc>
        <w:tc>
          <w:tcPr>
            <w:tcW w:w="1313" w:type="dxa"/>
            <w:vAlign w:val="center"/>
          </w:tcPr>
          <w:p w:rsidR="00BE1B6D" w:rsidRPr="00EE433D" w:rsidRDefault="00BE1B6D">
            <w:pPr>
              <w:keepNext/>
              <w:spacing w:before="40" w:after="40"/>
              <w:jc w:val="center"/>
              <w:rPr>
                <w:bCs/>
                <w:sz w:val="24"/>
                <w:szCs w:val="24"/>
              </w:rPr>
            </w:pPr>
            <w:r w:rsidRPr="00EE433D">
              <w:rPr>
                <w:bCs/>
                <w:sz w:val="24"/>
                <w:szCs w:val="24"/>
              </w:rPr>
              <w:t>4.2</w:t>
            </w:r>
          </w:p>
        </w:tc>
      </w:tr>
    </w:tbl>
    <w:p w:rsidR="00BE1B6D" w:rsidRDefault="00BE1B6D">
      <w:pPr>
        <w:tabs>
          <w:tab w:val="left" w:pos="600"/>
        </w:tabs>
        <w:spacing w:before="120"/>
        <w:ind w:left="600" w:hanging="240"/>
      </w:pPr>
      <w:r>
        <w:t>*</w:t>
      </w:r>
      <w:r>
        <w:tab/>
      </w:r>
      <w:r w:rsidR="00743338">
        <w:t xml:space="preserve">Less than 100 </w:t>
      </w:r>
      <w:r>
        <w:t>PHAs certif</w:t>
      </w:r>
      <w:r w:rsidR="00743338">
        <w:t>y</w:t>
      </w:r>
      <w:r>
        <w:t xml:space="preserve"> to economic self-sufficiency.  The decrease is due to the fact that Congress is no longer funding the Public Housing Drug Elimination Program as a separate program.  Because the average burden </w:t>
      </w:r>
      <w:proofErr w:type="gramStart"/>
      <w:r>
        <w:t>hours for each PHA is</w:t>
      </w:r>
      <w:proofErr w:type="gramEnd"/>
      <w:r>
        <w:t xml:space="preserve"> negligible, individual estimates are not provided in the table. </w:t>
      </w:r>
    </w:p>
    <w:p w:rsidR="00BE1B6D" w:rsidRDefault="00BE1B6D">
      <w:pPr>
        <w:tabs>
          <w:tab w:val="left" w:pos="600"/>
        </w:tabs>
        <w:spacing w:before="120"/>
        <w:ind w:left="600" w:hanging="240"/>
      </w:pPr>
      <w:r>
        <w:t xml:space="preserve">** PHAs are not required to submit information for physical condition and neighborhood environment.  For the past four quarters, there </w:t>
      </w:r>
      <w:proofErr w:type="gramStart"/>
      <w:r>
        <w:t>were</w:t>
      </w:r>
      <w:proofErr w:type="gramEnd"/>
      <w:r>
        <w:t xml:space="preserve"> an average of 1</w:t>
      </w:r>
      <w:r w:rsidR="00881643">
        <w:t>1</w:t>
      </w:r>
      <w:r w:rsidR="0010129F">
        <w:t>9</w:t>
      </w:r>
      <w:r>
        <w:t xml:space="preserve"> PHAs that </w:t>
      </w:r>
      <w:r w:rsidR="00273DA6">
        <w:t>were provided with t</w:t>
      </w:r>
      <w:r>
        <w:t xml:space="preserve">his </w:t>
      </w:r>
      <w:r w:rsidR="00273DA6">
        <w:t>adjustment</w:t>
      </w:r>
      <w:r>
        <w:t xml:space="preserve">.  Because the average burden </w:t>
      </w:r>
      <w:proofErr w:type="gramStart"/>
      <w:r>
        <w:t>hours for each PHA is</w:t>
      </w:r>
      <w:proofErr w:type="gramEnd"/>
      <w:r>
        <w:t xml:space="preserve"> negligible, individual estimates are not provided in the table. </w:t>
      </w:r>
    </w:p>
    <w:p w:rsidR="00BE1B6D" w:rsidRDefault="00BE1B6D">
      <w:pPr>
        <w:tabs>
          <w:tab w:val="left" w:pos="360"/>
        </w:tabs>
        <w:ind w:left="360" w:hanging="360"/>
        <w:rPr>
          <w:rFonts w:ascii="Helvetica" w:hAnsi="Helvetica"/>
          <w:color w:val="000000"/>
          <w:sz w:val="18"/>
        </w:rPr>
      </w:pPr>
    </w:p>
    <w:p w:rsidR="00BE1B6D" w:rsidRPr="00EE433D" w:rsidRDefault="00BE1B6D">
      <w:pPr>
        <w:pStyle w:val="Heading9"/>
        <w:rPr>
          <w:rFonts w:ascii="Times New Roman" w:hAnsi="Times New Roman"/>
          <w:sz w:val="24"/>
          <w:szCs w:val="24"/>
        </w:rPr>
      </w:pPr>
      <w:r w:rsidRPr="00EE433D">
        <w:rPr>
          <w:rFonts w:ascii="Times New Roman" w:hAnsi="Times New Roman"/>
          <w:sz w:val="24"/>
          <w:szCs w:val="24"/>
        </w:rPr>
        <w:t>Total Burden Hour Estimates for PHAs</w:t>
      </w:r>
    </w:p>
    <w:tbl>
      <w:tblPr>
        <w:tblW w:w="10445" w:type="dxa"/>
        <w:tblInd w:w="365" w:type="dxa"/>
        <w:tblLayout w:type="fixed"/>
        <w:tblCellMar>
          <w:left w:w="0" w:type="dxa"/>
          <w:right w:w="0" w:type="dxa"/>
        </w:tblCellMar>
        <w:tblLook w:val="0000"/>
      </w:tblPr>
      <w:tblGrid>
        <w:gridCol w:w="3360"/>
        <w:gridCol w:w="1320"/>
        <w:gridCol w:w="360"/>
        <w:gridCol w:w="1416"/>
        <w:gridCol w:w="421"/>
        <w:gridCol w:w="1523"/>
        <w:gridCol w:w="600"/>
        <w:gridCol w:w="1445"/>
      </w:tblGrid>
      <w:tr w:rsidR="00BE1B6D" w:rsidRPr="00EE433D" w:rsidTr="00EE433D">
        <w:tblPrEx>
          <w:tblCellMar>
            <w:top w:w="0" w:type="dxa"/>
            <w:left w:w="0" w:type="dxa"/>
            <w:bottom w:w="0" w:type="dxa"/>
            <w:right w:w="0" w:type="dxa"/>
          </w:tblCellMar>
        </w:tblPrEx>
        <w:trPr>
          <w:trHeight w:val="510"/>
        </w:trPr>
        <w:tc>
          <w:tcPr>
            <w:tcW w:w="3360"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keepNext/>
              <w:spacing w:before="40" w:after="40"/>
              <w:jc w:val="center"/>
              <w:rPr>
                <w:b/>
                <w:sz w:val="24"/>
                <w:szCs w:val="24"/>
              </w:rPr>
            </w:pPr>
            <w:r w:rsidRPr="003C3B7C">
              <w:rPr>
                <w:b/>
                <w:sz w:val="24"/>
                <w:szCs w:val="24"/>
              </w:rPr>
              <w:t>PHA Unit Size</w:t>
            </w:r>
          </w:p>
        </w:tc>
        <w:tc>
          <w:tcPr>
            <w:tcW w:w="1320"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keepNext/>
              <w:spacing w:before="40" w:after="40"/>
              <w:jc w:val="center"/>
              <w:rPr>
                <w:b/>
                <w:sz w:val="24"/>
                <w:szCs w:val="24"/>
              </w:rPr>
            </w:pPr>
            <w:r w:rsidRPr="003C3B7C">
              <w:rPr>
                <w:b/>
                <w:sz w:val="24"/>
                <w:szCs w:val="24"/>
              </w:rPr>
              <w:t>Number of Respondents</w:t>
            </w:r>
          </w:p>
        </w:tc>
        <w:tc>
          <w:tcPr>
            <w:tcW w:w="360"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keepNext/>
              <w:spacing w:before="40" w:after="40"/>
              <w:jc w:val="center"/>
              <w:rPr>
                <w:b/>
                <w:sz w:val="24"/>
                <w:szCs w:val="24"/>
              </w:rPr>
            </w:pPr>
            <w:r w:rsidRPr="003C3B7C">
              <w:rPr>
                <w:b/>
                <w:sz w:val="24"/>
                <w:szCs w:val="24"/>
              </w:rPr>
              <w:t>X</w:t>
            </w:r>
          </w:p>
        </w:tc>
        <w:tc>
          <w:tcPr>
            <w:tcW w:w="1416"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keepNext/>
              <w:spacing w:before="40" w:after="40"/>
              <w:jc w:val="center"/>
              <w:rPr>
                <w:b/>
                <w:sz w:val="24"/>
                <w:szCs w:val="24"/>
              </w:rPr>
            </w:pPr>
            <w:r w:rsidRPr="003C3B7C">
              <w:rPr>
                <w:b/>
                <w:sz w:val="24"/>
                <w:szCs w:val="24"/>
              </w:rPr>
              <w:t>Annual Freq. of Requirement</w:t>
            </w:r>
          </w:p>
        </w:tc>
        <w:tc>
          <w:tcPr>
            <w:tcW w:w="421"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pStyle w:val="Heading5"/>
              <w:spacing w:before="40" w:after="40"/>
              <w:jc w:val="center"/>
              <w:rPr>
                <w:bCs w:val="0"/>
                <w:szCs w:val="24"/>
              </w:rPr>
            </w:pPr>
            <w:r w:rsidRPr="003C3B7C">
              <w:rPr>
                <w:bCs w:val="0"/>
                <w:szCs w:val="24"/>
              </w:rPr>
              <w:t>X</w:t>
            </w:r>
          </w:p>
        </w:tc>
        <w:tc>
          <w:tcPr>
            <w:tcW w:w="1523"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keepNext/>
              <w:spacing w:before="40" w:after="40"/>
              <w:jc w:val="center"/>
              <w:rPr>
                <w:b/>
                <w:sz w:val="24"/>
                <w:szCs w:val="24"/>
              </w:rPr>
            </w:pPr>
            <w:r w:rsidRPr="003C3B7C">
              <w:rPr>
                <w:b/>
                <w:sz w:val="24"/>
                <w:szCs w:val="24"/>
              </w:rPr>
              <w:t>Est</w:t>
            </w:r>
            <w:r w:rsidR="002A4556" w:rsidRPr="003C3B7C">
              <w:rPr>
                <w:b/>
                <w:sz w:val="24"/>
                <w:szCs w:val="24"/>
              </w:rPr>
              <w:t>imated</w:t>
            </w:r>
            <w:r w:rsidRPr="003C3B7C">
              <w:rPr>
                <w:b/>
                <w:sz w:val="24"/>
                <w:szCs w:val="24"/>
              </w:rPr>
              <w:t xml:space="preserve">. Avg. Time for Requirement (Hrs) </w:t>
            </w:r>
          </w:p>
        </w:tc>
        <w:tc>
          <w:tcPr>
            <w:tcW w:w="600"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keepNext/>
              <w:spacing w:before="40" w:after="40"/>
              <w:jc w:val="center"/>
              <w:rPr>
                <w:b/>
                <w:sz w:val="24"/>
                <w:szCs w:val="24"/>
              </w:rPr>
            </w:pPr>
            <w:r w:rsidRPr="003C3B7C">
              <w:rPr>
                <w:b/>
                <w:sz w:val="24"/>
                <w:szCs w:val="24"/>
              </w:rPr>
              <w:t>=</w:t>
            </w:r>
          </w:p>
        </w:tc>
        <w:tc>
          <w:tcPr>
            <w:tcW w:w="1445"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keepNext/>
              <w:spacing w:before="40" w:after="40"/>
              <w:jc w:val="center"/>
              <w:rPr>
                <w:b/>
                <w:sz w:val="24"/>
                <w:szCs w:val="24"/>
              </w:rPr>
            </w:pPr>
            <w:r w:rsidRPr="003C3B7C">
              <w:rPr>
                <w:b/>
                <w:sz w:val="24"/>
                <w:szCs w:val="24"/>
              </w:rPr>
              <w:t>Est</w:t>
            </w:r>
            <w:r w:rsidR="002A4556" w:rsidRPr="003C3B7C">
              <w:rPr>
                <w:b/>
                <w:sz w:val="24"/>
                <w:szCs w:val="24"/>
              </w:rPr>
              <w:t>imated</w:t>
            </w:r>
            <w:r w:rsidRPr="003C3B7C">
              <w:rPr>
                <w:b/>
                <w:sz w:val="24"/>
                <w:szCs w:val="24"/>
              </w:rPr>
              <w:t>. Annual Burden (Hrs)</w:t>
            </w:r>
          </w:p>
        </w:tc>
      </w:tr>
      <w:tr w:rsidR="00BE1B6D" w:rsidRPr="00EE433D" w:rsidTr="00EE433D">
        <w:tblPrEx>
          <w:tblCellMar>
            <w:top w:w="0" w:type="dxa"/>
            <w:left w:w="0" w:type="dxa"/>
            <w:bottom w:w="0" w:type="dxa"/>
            <w:right w:w="0" w:type="dxa"/>
          </w:tblCellMar>
        </w:tblPrEx>
        <w:trPr>
          <w:trHeight w:val="360"/>
        </w:trPr>
        <w:tc>
          <w:tcPr>
            <w:tcW w:w="3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 – 249</w:t>
            </w:r>
            <w:r w:rsidR="00743338">
              <w:rPr>
                <w:sz w:val="24"/>
                <w:szCs w:val="24"/>
              </w:rPr>
              <w:t>*</w:t>
            </w:r>
          </w:p>
        </w:tc>
        <w:tc>
          <w:tcPr>
            <w:tcW w:w="132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rsidP="00387B83">
            <w:pPr>
              <w:keepNext/>
              <w:spacing w:before="40" w:after="40"/>
              <w:ind w:right="360"/>
              <w:jc w:val="right"/>
              <w:rPr>
                <w:sz w:val="24"/>
                <w:szCs w:val="24"/>
              </w:rPr>
            </w:pPr>
            <w:r w:rsidRPr="00EE433D">
              <w:rPr>
                <w:sz w:val="24"/>
                <w:szCs w:val="24"/>
              </w:rPr>
              <w:t>220</w:t>
            </w:r>
            <w:r w:rsidR="00387B83">
              <w:rPr>
                <w:sz w:val="24"/>
                <w:szCs w:val="24"/>
              </w:rPr>
              <w:t>0</w:t>
            </w:r>
          </w:p>
        </w:tc>
        <w:tc>
          <w:tcPr>
            <w:tcW w:w="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BE1B6D" w:rsidRPr="00EE433D" w:rsidRDefault="00743338">
            <w:pPr>
              <w:keepNext/>
              <w:spacing w:before="40" w:after="40"/>
              <w:jc w:val="center"/>
              <w:rPr>
                <w:sz w:val="24"/>
                <w:szCs w:val="24"/>
              </w:rPr>
            </w:pPr>
            <w:r>
              <w:rPr>
                <w:sz w:val="24"/>
                <w:szCs w:val="24"/>
              </w:rPr>
              <w:t>0.5</w:t>
            </w:r>
          </w:p>
        </w:tc>
        <w:tc>
          <w:tcPr>
            <w:tcW w:w="421"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1.5</w:t>
            </w:r>
          </w:p>
        </w:tc>
        <w:tc>
          <w:tcPr>
            <w:tcW w:w="60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rsidP="00387B83">
            <w:pPr>
              <w:keepNext/>
              <w:spacing w:before="40" w:after="40"/>
              <w:ind w:right="365"/>
              <w:jc w:val="right"/>
              <w:rPr>
                <w:sz w:val="24"/>
                <w:szCs w:val="24"/>
              </w:rPr>
            </w:pPr>
            <w:r w:rsidRPr="00EE433D">
              <w:rPr>
                <w:sz w:val="24"/>
                <w:szCs w:val="24"/>
              </w:rPr>
              <w:t>165</w:t>
            </w:r>
            <w:r w:rsidR="00387B83">
              <w:rPr>
                <w:sz w:val="24"/>
                <w:szCs w:val="24"/>
              </w:rPr>
              <w:t>0</w:t>
            </w:r>
            <w:r w:rsidRPr="00EE433D">
              <w:rPr>
                <w:sz w:val="24"/>
                <w:szCs w:val="24"/>
              </w:rPr>
              <w:t>.</w:t>
            </w:r>
            <w:r w:rsidR="00387B83">
              <w:rPr>
                <w:sz w:val="24"/>
                <w:szCs w:val="24"/>
              </w:rPr>
              <w:t>0</w:t>
            </w:r>
          </w:p>
        </w:tc>
      </w:tr>
      <w:tr w:rsidR="00BE1B6D" w:rsidRPr="00EE433D" w:rsidTr="00EE433D">
        <w:tblPrEx>
          <w:tblCellMar>
            <w:top w:w="0" w:type="dxa"/>
            <w:left w:w="0" w:type="dxa"/>
            <w:bottom w:w="0" w:type="dxa"/>
            <w:right w:w="0" w:type="dxa"/>
          </w:tblCellMar>
        </w:tblPrEx>
        <w:trPr>
          <w:trHeight w:val="360"/>
        </w:trPr>
        <w:tc>
          <w:tcPr>
            <w:tcW w:w="3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 – 249 Troubled**</w:t>
            </w:r>
          </w:p>
        </w:tc>
        <w:tc>
          <w:tcPr>
            <w:tcW w:w="1320" w:type="dxa"/>
            <w:tcBorders>
              <w:top w:val="single" w:sz="4" w:space="0" w:color="auto"/>
              <w:left w:val="single" w:sz="4" w:space="0" w:color="auto"/>
              <w:bottom w:val="single" w:sz="4" w:space="0" w:color="auto"/>
              <w:right w:val="single" w:sz="4" w:space="0" w:color="auto"/>
            </w:tcBorders>
            <w:vAlign w:val="center"/>
          </w:tcPr>
          <w:p w:rsidR="00BE1B6D" w:rsidRPr="00EE433D" w:rsidRDefault="00387B83">
            <w:pPr>
              <w:keepNext/>
              <w:spacing w:before="40" w:after="40"/>
              <w:ind w:right="360"/>
              <w:jc w:val="right"/>
              <w:rPr>
                <w:sz w:val="24"/>
                <w:szCs w:val="24"/>
              </w:rPr>
            </w:pPr>
            <w:r>
              <w:rPr>
                <w:sz w:val="24"/>
                <w:szCs w:val="24"/>
              </w:rPr>
              <w:t>143</w:t>
            </w:r>
          </w:p>
        </w:tc>
        <w:tc>
          <w:tcPr>
            <w:tcW w:w="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w:t>
            </w:r>
          </w:p>
        </w:tc>
        <w:tc>
          <w:tcPr>
            <w:tcW w:w="421"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1.5</w:t>
            </w:r>
          </w:p>
        </w:tc>
        <w:tc>
          <w:tcPr>
            <w:tcW w:w="60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rsidP="00387B83">
            <w:pPr>
              <w:keepNext/>
              <w:spacing w:before="40" w:after="40"/>
              <w:ind w:right="365"/>
              <w:jc w:val="right"/>
              <w:rPr>
                <w:sz w:val="24"/>
                <w:szCs w:val="24"/>
              </w:rPr>
            </w:pPr>
            <w:r w:rsidRPr="00EE433D">
              <w:rPr>
                <w:sz w:val="24"/>
                <w:szCs w:val="24"/>
              </w:rPr>
              <w:t>21</w:t>
            </w:r>
            <w:r w:rsidR="00387B83">
              <w:rPr>
                <w:sz w:val="24"/>
                <w:szCs w:val="24"/>
              </w:rPr>
              <w:t>4</w:t>
            </w:r>
            <w:r w:rsidRPr="00EE433D">
              <w:rPr>
                <w:sz w:val="24"/>
                <w:szCs w:val="24"/>
              </w:rPr>
              <w:t>.5</w:t>
            </w:r>
          </w:p>
        </w:tc>
      </w:tr>
      <w:tr w:rsidR="00BE1B6D" w:rsidRPr="00EE433D" w:rsidTr="00EE433D">
        <w:tblPrEx>
          <w:tblCellMar>
            <w:top w:w="0" w:type="dxa"/>
            <w:left w:w="0" w:type="dxa"/>
            <w:bottom w:w="0" w:type="dxa"/>
            <w:right w:w="0" w:type="dxa"/>
          </w:tblCellMar>
        </w:tblPrEx>
        <w:trPr>
          <w:trHeight w:val="360"/>
        </w:trPr>
        <w:tc>
          <w:tcPr>
            <w:tcW w:w="3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 xml:space="preserve">250 – 499 </w:t>
            </w:r>
          </w:p>
        </w:tc>
        <w:tc>
          <w:tcPr>
            <w:tcW w:w="132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0"/>
              <w:jc w:val="right"/>
              <w:rPr>
                <w:sz w:val="24"/>
                <w:szCs w:val="24"/>
              </w:rPr>
            </w:pPr>
            <w:r w:rsidRPr="00EE433D">
              <w:rPr>
                <w:sz w:val="24"/>
                <w:szCs w:val="24"/>
              </w:rPr>
              <w:t>437</w:t>
            </w:r>
          </w:p>
        </w:tc>
        <w:tc>
          <w:tcPr>
            <w:tcW w:w="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w:t>
            </w:r>
          </w:p>
        </w:tc>
        <w:tc>
          <w:tcPr>
            <w:tcW w:w="421"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1.6</w:t>
            </w:r>
          </w:p>
        </w:tc>
        <w:tc>
          <w:tcPr>
            <w:tcW w:w="60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5"/>
              <w:jc w:val="right"/>
              <w:rPr>
                <w:sz w:val="24"/>
                <w:szCs w:val="24"/>
              </w:rPr>
            </w:pPr>
            <w:r w:rsidRPr="00EE433D">
              <w:rPr>
                <w:sz w:val="24"/>
                <w:szCs w:val="24"/>
              </w:rPr>
              <w:t>699.2</w:t>
            </w:r>
          </w:p>
        </w:tc>
      </w:tr>
      <w:tr w:rsidR="00BE1B6D" w:rsidRPr="00EE433D" w:rsidTr="00EE433D">
        <w:tblPrEx>
          <w:tblCellMar>
            <w:top w:w="0" w:type="dxa"/>
            <w:left w:w="0" w:type="dxa"/>
            <w:bottom w:w="0" w:type="dxa"/>
            <w:right w:w="0" w:type="dxa"/>
          </w:tblCellMar>
        </w:tblPrEx>
        <w:trPr>
          <w:trHeight w:val="360"/>
        </w:trPr>
        <w:tc>
          <w:tcPr>
            <w:tcW w:w="3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500 – 1,249</w:t>
            </w:r>
          </w:p>
        </w:tc>
        <w:tc>
          <w:tcPr>
            <w:tcW w:w="132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0"/>
              <w:jc w:val="right"/>
              <w:rPr>
                <w:sz w:val="24"/>
                <w:szCs w:val="24"/>
              </w:rPr>
            </w:pPr>
            <w:r w:rsidRPr="00EE433D">
              <w:rPr>
                <w:sz w:val="24"/>
                <w:szCs w:val="24"/>
              </w:rPr>
              <w:t>248</w:t>
            </w:r>
          </w:p>
        </w:tc>
        <w:tc>
          <w:tcPr>
            <w:tcW w:w="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w:t>
            </w:r>
          </w:p>
        </w:tc>
        <w:tc>
          <w:tcPr>
            <w:tcW w:w="421"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2.5</w:t>
            </w:r>
          </w:p>
        </w:tc>
        <w:tc>
          <w:tcPr>
            <w:tcW w:w="60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5"/>
              <w:jc w:val="right"/>
              <w:rPr>
                <w:sz w:val="24"/>
                <w:szCs w:val="24"/>
              </w:rPr>
            </w:pPr>
            <w:r w:rsidRPr="00EE433D">
              <w:rPr>
                <w:sz w:val="24"/>
                <w:szCs w:val="24"/>
              </w:rPr>
              <w:t>620</w:t>
            </w:r>
          </w:p>
        </w:tc>
      </w:tr>
      <w:tr w:rsidR="00BE1B6D" w:rsidRPr="00EE433D" w:rsidTr="00EE433D">
        <w:tblPrEx>
          <w:tblCellMar>
            <w:top w:w="0" w:type="dxa"/>
            <w:left w:w="0" w:type="dxa"/>
            <w:bottom w:w="0" w:type="dxa"/>
            <w:right w:w="0" w:type="dxa"/>
          </w:tblCellMar>
        </w:tblPrEx>
        <w:trPr>
          <w:trHeight w:val="360"/>
        </w:trPr>
        <w:tc>
          <w:tcPr>
            <w:tcW w:w="3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1,250 - 3,999</w:t>
            </w:r>
          </w:p>
        </w:tc>
        <w:tc>
          <w:tcPr>
            <w:tcW w:w="132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0"/>
              <w:jc w:val="right"/>
              <w:rPr>
                <w:sz w:val="24"/>
                <w:szCs w:val="24"/>
              </w:rPr>
            </w:pPr>
            <w:r w:rsidRPr="00EE433D">
              <w:rPr>
                <w:sz w:val="24"/>
                <w:szCs w:val="24"/>
              </w:rPr>
              <w:t>110</w:t>
            </w:r>
          </w:p>
        </w:tc>
        <w:tc>
          <w:tcPr>
            <w:tcW w:w="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w:t>
            </w:r>
          </w:p>
        </w:tc>
        <w:tc>
          <w:tcPr>
            <w:tcW w:w="421"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2.8</w:t>
            </w:r>
          </w:p>
        </w:tc>
        <w:tc>
          <w:tcPr>
            <w:tcW w:w="60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5"/>
              <w:jc w:val="right"/>
              <w:rPr>
                <w:sz w:val="24"/>
                <w:szCs w:val="24"/>
              </w:rPr>
            </w:pPr>
            <w:r w:rsidRPr="00EE433D">
              <w:rPr>
                <w:sz w:val="24"/>
                <w:szCs w:val="24"/>
              </w:rPr>
              <w:t>308</w:t>
            </w:r>
          </w:p>
        </w:tc>
      </w:tr>
      <w:tr w:rsidR="00BE1B6D" w:rsidRPr="00EE433D" w:rsidTr="00EE433D">
        <w:tblPrEx>
          <w:tblCellMar>
            <w:top w:w="0" w:type="dxa"/>
            <w:left w:w="0" w:type="dxa"/>
            <w:bottom w:w="0" w:type="dxa"/>
            <w:right w:w="0" w:type="dxa"/>
          </w:tblCellMar>
        </w:tblPrEx>
        <w:trPr>
          <w:trHeight w:val="360"/>
        </w:trPr>
        <w:tc>
          <w:tcPr>
            <w:tcW w:w="3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4,000 +</w:t>
            </w:r>
          </w:p>
        </w:tc>
        <w:tc>
          <w:tcPr>
            <w:tcW w:w="132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0"/>
              <w:jc w:val="right"/>
              <w:rPr>
                <w:sz w:val="24"/>
                <w:szCs w:val="24"/>
              </w:rPr>
            </w:pPr>
            <w:r w:rsidRPr="00EE433D">
              <w:rPr>
                <w:sz w:val="24"/>
                <w:szCs w:val="24"/>
              </w:rPr>
              <w:t>36</w:t>
            </w:r>
          </w:p>
        </w:tc>
        <w:tc>
          <w:tcPr>
            <w:tcW w:w="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1</w:t>
            </w:r>
          </w:p>
        </w:tc>
        <w:tc>
          <w:tcPr>
            <w:tcW w:w="421"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4.2</w:t>
            </w:r>
          </w:p>
        </w:tc>
        <w:tc>
          <w:tcPr>
            <w:tcW w:w="60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5"/>
              <w:jc w:val="right"/>
              <w:rPr>
                <w:sz w:val="24"/>
                <w:szCs w:val="24"/>
              </w:rPr>
            </w:pPr>
            <w:r w:rsidRPr="00EE433D">
              <w:rPr>
                <w:sz w:val="24"/>
                <w:szCs w:val="24"/>
              </w:rPr>
              <w:t>151.2</w:t>
            </w:r>
          </w:p>
        </w:tc>
      </w:tr>
      <w:tr w:rsidR="00BE1B6D" w:rsidRPr="00EE433D" w:rsidTr="00EE433D">
        <w:tblPrEx>
          <w:tblCellMar>
            <w:top w:w="0" w:type="dxa"/>
            <w:left w:w="0" w:type="dxa"/>
            <w:bottom w:w="0" w:type="dxa"/>
            <w:right w:w="0" w:type="dxa"/>
          </w:tblCellMar>
        </w:tblPrEx>
        <w:trPr>
          <w:trHeight w:val="360"/>
        </w:trPr>
        <w:tc>
          <w:tcPr>
            <w:tcW w:w="3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Physical Condition and Neighborhood Environment***</w:t>
            </w:r>
          </w:p>
        </w:tc>
        <w:tc>
          <w:tcPr>
            <w:tcW w:w="132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rsidP="00BE653E">
            <w:pPr>
              <w:keepNext/>
              <w:spacing w:before="40" w:after="40"/>
              <w:ind w:right="360"/>
              <w:jc w:val="right"/>
              <w:rPr>
                <w:sz w:val="24"/>
                <w:szCs w:val="24"/>
              </w:rPr>
            </w:pPr>
            <w:r w:rsidRPr="00EE433D">
              <w:rPr>
                <w:sz w:val="24"/>
                <w:szCs w:val="24"/>
              </w:rPr>
              <w:t>1</w:t>
            </w:r>
            <w:r w:rsidR="00BE653E">
              <w:rPr>
                <w:sz w:val="24"/>
                <w:szCs w:val="24"/>
              </w:rPr>
              <w:t>1</w:t>
            </w:r>
            <w:r w:rsidR="00743338">
              <w:rPr>
                <w:sz w:val="24"/>
                <w:szCs w:val="24"/>
              </w:rPr>
              <w:t>9</w:t>
            </w:r>
          </w:p>
        </w:tc>
        <w:tc>
          <w:tcPr>
            <w:tcW w:w="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w:t>
            </w:r>
          </w:p>
        </w:tc>
        <w:tc>
          <w:tcPr>
            <w:tcW w:w="421"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w:t>
            </w:r>
          </w:p>
        </w:tc>
        <w:tc>
          <w:tcPr>
            <w:tcW w:w="60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5"/>
              <w:jc w:val="right"/>
              <w:rPr>
                <w:sz w:val="24"/>
                <w:szCs w:val="24"/>
              </w:rPr>
            </w:pPr>
            <w:r w:rsidRPr="00EE433D">
              <w:rPr>
                <w:sz w:val="24"/>
                <w:szCs w:val="24"/>
              </w:rPr>
              <w:t>1.5</w:t>
            </w:r>
          </w:p>
        </w:tc>
      </w:tr>
      <w:tr w:rsidR="00BE1B6D" w:rsidRPr="00EE433D" w:rsidTr="00EE433D">
        <w:tblPrEx>
          <w:tblCellMar>
            <w:top w:w="0" w:type="dxa"/>
            <w:left w:w="0" w:type="dxa"/>
            <w:bottom w:w="0" w:type="dxa"/>
            <w:right w:w="0" w:type="dxa"/>
          </w:tblCellMar>
        </w:tblPrEx>
        <w:trPr>
          <w:trHeight w:val="360"/>
        </w:trPr>
        <w:tc>
          <w:tcPr>
            <w:tcW w:w="3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r w:rsidRPr="00EE433D">
              <w:rPr>
                <w:sz w:val="24"/>
                <w:szCs w:val="24"/>
              </w:rPr>
              <w:t>Totals</w:t>
            </w:r>
          </w:p>
        </w:tc>
        <w:tc>
          <w:tcPr>
            <w:tcW w:w="132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ind w:right="360"/>
              <w:jc w:val="right"/>
              <w:rPr>
                <w:sz w:val="24"/>
                <w:szCs w:val="24"/>
              </w:rPr>
            </w:pPr>
            <w:r w:rsidRPr="00EE433D">
              <w:rPr>
                <w:sz w:val="24"/>
                <w:szCs w:val="24"/>
              </w:rPr>
              <w:t>3174</w:t>
            </w:r>
          </w:p>
        </w:tc>
        <w:tc>
          <w:tcPr>
            <w:tcW w:w="36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421"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keepNext/>
              <w:spacing w:before="40" w:after="40"/>
              <w:jc w:val="center"/>
              <w:rPr>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rsidP="00387B83">
            <w:pPr>
              <w:keepNext/>
              <w:spacing w:before="40" w:after="40"/>
              <w:ind w:right="365"/>
              <w:jc w:val="right"/>
              <w:rPr>
                <w:sz w:val="24"/>
                <w:szCs w:val="24"/>
              </w:rPr>
            </w:pPr>
            <w:r w:rsidRPr="00EE433D">
              <w:rPr>
                <w:sz w:val="24"/>
                <w:szCs w:val="24"/>
              </w:rPr>
              <w:t>3,64</w:t>
            </w:r>
            <w:r w:rsidR="00387B83">
              <w:rPr>
                <w:sz w:val="24"/>
                <w:szCs w:val="24"/>
              </w:rPr>
              <w:t>4</w:t>
            </w:r>
            <w:r w:rsidRPr="00EE433D">
              <w:rPr>
                <w:sz w:val="24"/>
                <w:szCs w:val="24"/>
              </w:rPr>
              <w:t>.</w:t>
            </w:r>
            <w:r w:rsidR="00387B83">
              <w:rPr>
                <w:sz w:val="24"/>
                <w:szCs w:val="24"/>
              </w:rPr>
              <w:t>4</w:t>
            </w:r>
          </w:p>
        </w:tc>
      </w:tr>
    </w:tbl>
    <w:p w:rsidR="00BE1B6D" w:rsidRDefault="00BE1B6D">
      <w:pPr>
        <w:tabs>
          <w:tab w:val="left" w:pos="720"/>
        </w:tabs>
        <w:spacing w:before="120"/>
        <w:ind w:left="720" w:hanging="360"/>
      </w:pPr>
      <w:r>
        <w:t>*</w:t>
      </w:r>
      <w:r>
        <w:tab/>
        <w:t xml:space="preserve">The </w:t>
      </w:r>
      <w:proofErr w:type="spellStart"/>
      <w:r>
        <w:t>Dereg</w:t>
      </w:r>
      <w:proofErr w:type="spellEnd"/>
      <w:r>
        <w:t xml:space="preserve"> Rule streamlines the requirements for small PHAs with fewer than 250 units.  Because small PHAs only are assessed under PHAS </w:t>
      </w:r>
      <w:proofErr w:type="spellStart"/>
      <w:r>
        <w:t>biennally</w:t>
      </w:r>
      <w:proofErr w:type="spellEnd"/>
      <w:r>
        <w:t xml:space="preserve"> under the </w:t>
      </w:r>
      <w:proofErr w:type="spellStart"/>
      <w:r>
        <w:t>Dereg</w:t>
      </w:r>
      <w:proofErr w:type="spellEnd"/>
      <w:r>
        <w:t xml:space="preserve"> Rule, the frequency of the requirement is shown as .5.</w:t>
      </w:r>
    </w:p>
    <w:p w:rsidR="00BE1B6D" w:rsidRDefault="00BE1B6D">
      <w:pPr>
        <w:tabs>
          <w:tab w:val="left" w:pos="720"/>
        </w:tabs>
        <w:spacing w:before="120"/>
        <w:ind w:left="720" w:hanging="360"/>
      </w:pPr>
      <w:r>
        <w:t>**</w:t>
      </w:r>
      <w:r>
        <w:tab/>
        <w:t xml:space="preserve">Under the </w:t>
      </w:r>
      <w:proofErr w:type="spellStart"/>
      <w:r>
        <w:t>Dereg</w:t>
      </w:r>
      <w:proofErr w:type="spellEnd"/>
      <w:r>
        <w:t xml:space="preserve"> Rule, PHAs with fewer than 250 units that are designated “troubled” are assessed annually.  The numbers above are based on the number of small PHAs that have been designated “troubled” during the most recent four reporting quarters. </w:t>
      </w:r>
    </w:p>
    <w:p w:rsidR="00BE1B6D" w:rsidRDefault="00BE1B6D">
      <w:pPr>
        <w:tabs>
          <w:tab w:val="left" w:pos="720"/>
        </w:tabs>
        <w:spacing w:before="120"/>
        <w:ind w:left="720" w:hanging="360"/>
      </w:pPr>
      <w:r>
        <w:t>*** PHAs are not required to submit information for physical condition and/or neighborhood environment.  For th</w:t>
      </w:r>
      <w:r w:rsidR="00800B07">
        <w:t>e past four quarters, there was</w:t>
      </w:r>
      <w:r>
        <w:t xml:space="preserve"> an average of </w:t>
      </w:r>
      <w:r w:rsidR="00743338">
        <w:t>1</w:t>
      </w:r>
      <w:r w:rsidR="00881643">
        <w:t>1</w:t>
      </w:r>
      <w:r w:rsidR="00743338">
        <w:t>9</w:t>
      </w:r>
      <w:r>
        <w:t xml:space="preserve"> PHAs that </w:t>
      </w:r>
      <w:r w:rsidR="00D35F56">
        <w:t>were provided with this adjustment</w:t>
      </w:r>
      <w:r>
        <w:t xml:space="preserve">. </w:t>
      </w:r>
    </w:p>
    <w:p w:rsidR="00BE1B6D" w:rsidRDefault="00BE1B6D"/>
    <w:p w:rsidR="00BE1B6D" w:rsidRDefault="00BE1B6D">
      <w:pPr>
        <w:pStyle w:val="BodyText3"/>
        <w:overflowPunct w:val="0"/>
        <w:autoSpaceDE w:val="0"/>
        <w:autoSpaceDN w:val="0"/>
        <w:adjustRightInd w:val="0"/>
        <w:ind w:left="360" w:firstLine="360"/>
        <w:textAlignment w:val="baseline"/>
      </w:pPr>
      <w:r>
        <w:t xml:space="preserve">The estimated annual costs to respondents are provided in the table, below, and also reflect the biennial reporting for PHAs with 250 or fewer units in accordance with the </w:t>
      </w:r>
      <w:proofErr w:type="spellStart"/>
      <w:r>
        <w:t>Dereg</w:t>
      </w:r>
      <w:proofErr w:type="spellEnd"/>
      <w:r>
        <w:t xml:space="preserve"> final rule.  The hourly cost for response is assuming a Manager’s annual salary of $</w:t>
      </w:r>
      <w:r w:rsidR="00EE433D">
        <w:t>6</w:t>
      </w:r>
      <w:r w:rsidR="00881643">
        <w:t>2</w:t>
      </w:r>
      <w:r>
        <w:t>,</w:t>
      </w:r>
      <w:r w:rsidR="00881643">
        <w:t>467</w:t>
      </w:r>
      <w:r>
        <w:t xml:space="preserve"> at a GS-1</w:t>
      </w:r>
      <w:r w:rsidR="00EE433D">
        <w:t>1</w:t>
      </w:r>
      <w:r>
        <w:t>/1 level rate (Salary Table 20</w:t>
      </w:r>
      <w:r w:rsidR="00881643">
        <w:t>1</w:t>
      </w:r>
      <w:r>
        <w:t>0-GS) or an hourly rate of $</w:t>
      </w:r>
      <w:r w:rsidR="00EE433D">
        <w:t>3</w:t>
      </w:r>
      <w:r w:rsidR="00881643">
        <w:t>0</w:t>
      </w:r>
      <w:r>
        <w:t>.</w:t>
      </w:r>
      <w:r w:rsidR="00881643">
        <w:t>03</w:t>
      </w:r>
      <w:r w:rsidR="00EE433D">
        <w:t>.</w:t>
      </w:r>
    </w:p>
    <w:p w:rsidR="00BE1B6D" w:rsidRPr="00EE433D" w:rsidRDefault="00BE1B6D">
      <w:pPr>
        <w:pStyle w:val="Heading6"/>
        <w:spacing w:after="120"/>
        <w:rPr>
          <w:szCs w:val="24"/>
        </w:rPr>
      </w:pPr>
      <w:r w:rsidRPr="00EE433D">
        <w:rPr>
          <w:szCs w:val="24"/>
        </w:rPr>
        <w:lastRenderedPageBreak/>
        <w:t>Total Estimated Annual Costs to Respondents</w:t>
      </w:r>
    </w:p>
    <w:tbl>
      <w:tblPr>
        <w:tblW w:w="9175" w:type="dxa"/>
        <w:jc w:val="center"/>
        <w:tblLayout w:type="fixed"/>
        <w:tblCellMar>
          <w:left w:w="0" w:type="dxa"/>
          <w:right w:w="0" w:type="dxa"/>
        </w:tblCellMar>
        <w:tblLook w:val="0000"/>
      </w:tblPr>
      <w:tblGrid>
        <w:gridCol w:w="2040"/>
        <w:gridCol w:w="1465"/>
        <w:gridCol w:w="1530"/>
        <w:gridCol w:w="450"/>
        <w:gridCol w:w="1635"/>
        <w:gridCol w:w="435"/>
        <w:gridCol w:w="1620"/>
      </w:tblGrid>
      <w:tr w:rsidR="00BE1B6D" w:rsidRPr="00EE433D">
        <w:tblPrEx>
          <w:tblCellMar>
            <w:top w:w="0" w:type="dxa"/>
            <w:left w:w="0" w:type="dxa"/>
            <w:bottom w:w="0" w:type="dxa"/>
            <w:right w:w="0" w:type="dxa"/>
          </w:tblCellMar>
        </w:tblPrEx>
        <w:trPr>
          <w:trHeight w:val="510"/>
          <w:jc w:val="center"/>
        </w:trPr>
        <w:tc>
          <w:tcPr>
            <w:tcW w:w="204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spacing w:before="40" w:after="40"/>
              <w:rPr>
                <w:sz w:val="24"/>
                <w:szCs w:val="24"/>
                <w:u w:val="single"/>
              </w:rPr>
            </w:pPr>
          </w:p>
        </w:tc>
        <w:tc>
          <w:tcPr>
            <w:tcW w:w="1465"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spacing w:before="40" w:after="40"/>
              <w:jc w:val="center"/>
              <w:rPr>
                <w:b/>
                <w:sz w:val="24"/>
                <w:szCs w:val="24"/>
              </w:rPr>
            </w:pPr>
            <w:r w:rsidRPr="003C3B7C">
              <w:rPr>
                <w:b/>
                <w:sz w:val="24"/>
                <w:szCs w:val="24"/>
              </w:rPr>
              <w:t>Number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spacing w:before="40" w:after="40"/>
              <w:jc w:val="center"/>
              <w:rPr>
                <w:b/>
                <w:sz w:val="24"/>
                <w:szCs w:val="24"/>
              </w:rPr>
            </w:pPr>
            <w:r w:rsidRPr="003C3B7C">
              <w:rPr>
                <w:b/>
                <w:sz w:val="24"/>
                <w:szCs w:val="24"/>
              </w:rPr>
              <w:t>Total Burden Hours</w:t>
            </w:r>
          </w:p>
        </w:tc>
        <w:tc>
          <w:tcPr>
            <w:tcW w:w="450"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spacing w:before="40" w:after="40"/>
              <w:jc w:val="center"/>
              <w:rPr>
                <w:b/>
                <w:sz w:val="24"/>
                <w:szCs w:val="24"/>
              </w:rPr>
            </w:pPr>
            <w:r w:rsidRPr="003C3B7C">
              <w:rPr>
                <w:b/>
                <w:sz w:val="24"/>
                <w:szCs w:val="24"/>
              </w:rPr>
              <w:t>X</w:t>
            </w:r>
          </w:p>
        </w:tc>
        <w:tc>
          <w:tcPr>
            <w:tcW w:w="1635"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spacing w:before="40" w:after="40"/>
              <w:jc w:val="center"/>
              <w:rPr>
                <w:b/>
                <w:sz w:val="24"/>
                <w:szCs w:val="24"/>
              </w:rPr>
            </w:pPr>
            <w:r w:rsidRPr="003C3B7C">
              <w:rPr>
                <w:b/>
                <w:sz w:val="24"/>
                <w:szCs w:val="24"/>
              </w:rPr>
              <w:t>Hourly Rate</w:t>
            </w:r>
          </w:p>
        </w:tc>
        <w:tc>
          <w:tcPr>
            <w:tcW w:w="435"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spacing w:before="40" w:after="40"/>
              <w:jc w:val="center"/>
              <w:rPr>
                <w:b/>
                <w:sz w:val="24"/>
                <w:szCs w:val="24"/>
              </w:rPr>
            </w:pPr>
            <w:r w:rsidRPr="003C3B7C">
              <w:rPr>
                <w:b/>
                <w:sz w:val="24"/>
                <w:szCs w:val="24"/>
              </w:rPr>
              <w:t>=</w:t>
            </w:r>
          </w:p>
        </w:tc>
        <w:tc>
          <w:tcPr>
            <w:tcW w:w="1620" w:type="dxa"/>
            <w:tcBorders>
              <w:top w:val="single" w:sz="4" w:space="0" w:color="auto"/>
              <w:left w:val="single" w:sz="4" w:space="0" w:color="auto"/>
              <w:bottom w:val="single" w:sz="4" w:space="0" w:color="auto"/>
              <w:right w:val="single" w:sz="4" w:space="0" w:color="auto"/>
            </w:tcBorders>
            <w:vAlign w:val="center"/>
          </w:tcPr>
          <w:p w:rsidR="00BE1B6D" w:rsidRPr="003C3B7C" w:rsidRDefault="00BE1B6D">
            <w:pPr>
              <w:spacing w:before="40" w:after="40"/>
              <w:jc w:val="center"/>
              <w:rPr>
                <w:b/>
                <w:sz w:val="24"/>
                <w:szCs w:val="24"/>
              </w:rPr>
            </w:pPr>
            <w:r w:rsidRPr="003C3B7C">
              <w:rPr>
                <w:b/>
                <w:sz w:val="24"/>
                <w:szCs w:val="24"/>
              </w:rPr>
              <w:t>Annualized Cost</w:t>
            </w:r>
          </w:p>
        </w:tc>
      </w:tr>
      <w:tr w:rsidR="00BE1B6D" w:rsidRPr="00EE433D">
        <w:tblPrEx>
          <w:tblCellMar>
            <w:top w:w="0" w:type="dxa"/>
            <w:left w:w="0" w:type="dxa"/>
            <w:bottom w:w="0" w:type="dxa"/>
            <w:right w:w="0" w:type="dxa"/>
          </w:tblCellMar>
        </w:tblPrEx>
        <w:trPr>
          <w:trHeight w:val="255"/>
          <w:jc w:val="center"/>
        </w:trPr>
        <w:tc>
          <w:tcPr>
            <w:tcW w:w="204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spacing w:before="40" w:after="40"/>
              <w:rPr>
                <w:sz w:val="24"/>
                <w:szCs w:val="24"/>
              </w:rPr>
            </w:pPr>
            <w:r w:rsidRPr="00EE433D">
              <w:rPr>
                <w:sz w:val="24"/>
                <w:szCs w:val="24"/>
              </w:rPr>
              <w:t>MASS Submission</w:t>
            </w:r>
          </w:p>
        </w:tc>
        <w:tc>
          <w:tcPr>
            <w:tcW w:w="146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spacing w:before="40" w:after="40"/>
              <w:jc w:val="center"/>
              <w:rPr>
                <w:sz w:val="24"/>
                <w:szCs w:val="24"/>
              </w:rPr>
            </w:pPr>
            <w:r w:rsidRPr="00EE433D">
              <w:rPr>
                <w:sz w:val="24"/>
                <w:szCs w:val="24"/>
              </w:rPr>
              <w:t>3174</w:t>
            </w:r>
          </w:p>
        </w:tc>
        <w:tc>
          <w:tcPr>
            <w:tcW w:w="153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rsidP="00387B83">
            <w:pPr>
              <w:spacing w:before="40" w:after="40"/>
              <w:jc w:val="center"/>
              <w:rPr>
                <w:sz w:val="24"/>
                <w:szCs w:val="24"/>
              </w:rPr>
            </w:pPr>
            <w:r w:rsidRPr="00EE433D">
              <w:rPr>
                <w:sz w:val="24"/>
                <w:szCs w:val="24"/>
              </w:rPr>
              <w:t>364</w:t>
            </w:r>
            <w:r w:rsidR="00387B83">
              <w:rPr>
                <w:sz w:val="24"/>
                <w:szCs w:val="24"/>
              </w:rPr>
              <w:t>4</w:t>
            </w:r>
          </w:p>
        </w:tc>
        <w:tc>
          <w:tcPr>
            <w:tcW w:w="45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spacing w:before="40" w:after="40"/>
              <w:jc w:val="center"/>
              <w:rPr>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rsidP="00881643">
            <w:pPr>
              <w:spacing w:before="40" w:after="40"/>
              <w:jc w:val="center"/>
              <w:rPr>
                <w:sz w:val="24"/>
                <w:szCs w:val="24"/>
              </w:rPr>
            </w:pPr>
            <w:r w:rsidRPr="00EE433D">
              <w:rPr>
                <w:sz w:val="24"/>
                <w:szCs w:val="24"/>
              </w:rPr>
              <w:t>$</w:t>
            </w:r>
            <w:r w:rsidR="00EE433D" w:rsidRPr="00EE433D">
              <w:rPr>
                <w:sz w:val="24"/>
                <w:szCs w:val="24"/>
              </w:rPr>
              <w:t>3</w:t>
            </w:r>
            <w:r w:rsidR="00881643">
              <w:rPr>
                <w:sz w:val="24"/>
                <w:szCs w:val="24"/>
              </w:rPr>
              <w:t>0</w:t>
            </w:r>
            <w:r w:rsidRPr="00EE433D">
              <w:rPr>
                <w:sz w:val="24"/>
                <w:szCs w:val="24"/>
              </w:rPr>
              <w:t>.</w:t>
            </w:r>
            <w:r w:rsidR="00881643">
              <w:rPr>
                <w:sz w:val="24"/>
                <w:szCs w:val="24"/>
              </w:rPr>
              <w:t>03</w:t>
            </w:r>
          </w:p>
        </w:tc>
        <w:tc>
          <w:tcPr>
            <w:tcW w:w="435"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pPr>
              <w:spacing w:before="40" w:after="4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BE1B6D" w:rsidRPr="00EE433D" w:rsidRDefault="00BE1B6D" w:rsidP="00881643">
            <w:pPr>
              <w:spacing w:before="40" w:after="40"/>
              <w:jc w:val="center"/>
              <w:rPr>
                <w:sz w:val="24"/>
                <w:szCs w:val="24"/>
              </w:rPr>
            </w:pPr>
            <w:r w:rsidRPr="00EE433D">
              <w:rPr>
                <w:sz w:val="24"/>
                <w:szCs w:val="24"/>
              </w:rPr>
              <w:t>$</w:t>
            </w:r>
            <w:r w:rsidR="00881643">
              <w:rPr>
                <w:sz w:val="24"/>
                <w:szCs w:val="24"/>
              </w:rPr>
              <w:t>109</w:t>
            </w:r>
            <w:r w:rsidRPr="00EE433D">
              <w:rPr>
                <w:sz w:val="24"/>
                <w:szCs w:val="24"/>
              </w:rPr>
              <w:t>,</w:t>
            </w:r>
            <w:r w:rsidR="00881643">
              <w:rPr>
                <w:sz w:val="24"/>
                <w:szCs w:val="24"/>
              </w:rPr>
              <w:t>429</w:t>
            </w:r>
            <w:r w:rsidRPr="00EE433D">
              <w:rPr>
                <w:sz w:val="24"/>
                <w:szCs w:val="24"/>
              </w:rPr>
              <w:t>.</w:t>
            </w:r>
            <w:r w:rsidR="00881643">
              <w:rPr>
                <w:sz w:val="24"/>
                <w:szCs w:val="24"/>
              </w:rPr>
              <w:t>32</w:t>
            </w:r>
          </w:p>
        </w:tc>
      </w:tr>
    </w:tbl>
    <w:p w:rsidR="00BE1B6D" w:rsidRDefault="00BE1B6D">
      <w:pPr>
        <w:pStyle w:val="BodyTextIndent"/>
        <w:keepLines w:val="0"/>
        <w:tabs>
          <w:tab w:val="clear" w:pos="360"/>
          <w:tab w:val="clear" w:pos="720"/>
        </w:tabs>
        <w:ind w:left="0"/>
        <w:rPr>
          <w:noProof w:val="0"/>
        </w:rPr>
      </w:pPr>
    </w:p>
    <w:p w:rsidR="00BE1B6D" w:rsidRDefault="00BE1B6D">
      <w:pPr>
        <w:numPr>
          <w:ilvl w:val="0"/>
          <w:numId w:val="36"/>
        </w:numPr>
        <w:rPr>
          <w:sz w:val="24"/>
        </w:rPr>
      </w:pPr>
      <w:r>
        <w:rPr>
          <w:sz w:val="24"/>
        </w:rPr>
        <w:t xml:space="preserve">No other costs are associated with the collection of this information.  </w:t>
      </w:r>
    </w:p>
    <w:p w:rsidR="00BE1B6D" w:rsidRDefault="00BE1B6D">
      <w:pPr>
        <w:ind w:left="72"/>
        <w:rPr>
          <w:sz w:val="24"/>
        </w:rPr>
      </w:pPr>
    </w:p>
    <w:p w:rsidR="00BE1B6D" w:rsidRDefault="00BE1B6D">
      <w:pPr>
        <w:numPr>
          <w:ilvl w:val="0"/>
          <w:numId w:val="34"/>
        </w:numPr>
        <w:rPr>
          <w:sz w:val="24"/>
        </w:rPr>
      </w:pPr>
      <w:r>
        <w:rPr>
          <w:sz w:val="24"/>
        </w:rPr>
        <w:t>The estimated annualized costs to the federal government, based on the GS-1</w:t>
      </w:r>
      <w:r w:rsidR="00EE433D">
        <w:rPr>
          <w:sz w:val="24"/>
        </w:rPr>
        <w:t>2</w:t>
      </w:r>
      <w:r>
        <w:rPr>
          <w:sz w:val="24"/>
        </w:rPr>
        <w:t>/1 level rate are provided in the table, below.  The GS-1</w:t>
      </w:r>
      <w:r w:rsidR="00EE433D">
        <w:rPr>
          <w:sz w:val="24"/>
        </w:rPr>
        <w:t>2</w:t>
      </w:r>
      <w:r>
        <w:rPr>
          <w:sz w:val="24"/>
        </w:rPr>
        <w:t>/1 level rate is the average salary for MASS analysts and managers.  The hourly cost for response is assuming a Manager’s annual salary of $</w:t>
      </w:r>
      <w:r w:rsidR="00EE433D">
        <w:rPr>
          <w:sz w:val="24"/>
        </w:rPr>
        <w:t>7</w:t>
      </w:r>
      <w:r w:rsidR="00881643">
        <w:rPr>
          <w:sz w:val="24"/>
        </w:rPr>
        <w:t>4</w:t>
      </w:r>
      <w:r>
        <w:rPr>
          <w:sz w:val="24"/>
        </w:rPr>
        <w:t>,</w:t>
      </w:r>
      <w:r w:rsidR="00881643">
        <w:rPr>
          <w:sz w:val="24"/>
        </w:rPr>
        <w:t>872</w:t>
      </w:r>
      <w:r>
        <w:rPr>
          <w:sz w:val="24"/>
        </w:rPr>
        <w:t xml:space="preserve"> at a GS-1</w:t>
      </w:r>
      <w:r w:rsidR="00EE433D">
        <w:rPr>
          <w:sz w:val="24"/>
        </w:rPr>
        <w:t>2</w:t>
      </w:r>
      <w:r>
        <w:rPr>
          <w:sz w:val="24"/>
        </w:rPr>
        <w:t>/1 level rate (Salary Table 20</w:t>
      </w:r>
      <w:r w:rsidR="00881643">
        <w:rPr>
          <w:sz w:val="24"/>
        </w:rPr>
        <w:t>1</w:t>
      </w:r>
      <w:r>
        <w:rPr>
          <w:sz w:val="24"/>
        </w:rPr>
        <w:t>0-GS) or an hourly rate of $</w:t>
      </w:r>
      <w:r w:rsidR="00881643">
        <w:rPr>
          <w:sz w:val="24"/>
        </w:rPr>
        <w:t>36.00</w:t>
      </w:r>
      <w:r w:rsidR="00EE433D">
        <w:rPr>
          <w:sz w:val="24"/>
        </w:rPr>
        <w:t>.</w:t>
      </w:r>
      <w:r w:rsidR="001812A8">
        <w:rPr>
          <w:sz w:val="24"/>
        </w:rPr>
        <w:t xml:space="preserve">  It is estimated that it take the MASS analyst approximately 20 minutes to review each submission.</w:t>
      </w:r>
    </w:p>
    <w:p w:rsidR="00BE1B6D" w:rsidRPr="00EE433D" w:rsidRDefault="00BE1B6D">
      <w:pPr>
        <w:pStyle w:val="Heading6"/>
        <w:spacing w:before="120" w:after="120"/>
        <w:rPr>
          <w:szCs w:val="24"/>
        </w:rPr>
      </w:pPr>
      <w:r w:rsidRPr="00EE433D">
        <w:rPr>
          <w:szCs w:val="24"/>
        </w:rPr>
        <w:t>Total Estimated Annual Costs to the Federal Government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40"/>
        <w:gridCol w:w="1465"/>
        <w:gridCol w:w="1530"/>
        <w:gridCol w:w="450"/>
        <w:gridCol w:w="1635"/>
        <w:gridCol w:w="435"/>
        <w:gridCol w:w="1620"/>
      </w:tblGrid>
      <w:tr w:rsidR="00BE1B6D" w:rsidRPr="00EE433D">
        <w:tblPrEx>
          <w:tblCellMar>
            <w:top w:w="0" w:type="dxa"/>
            <w:left w:w="0" w:type="dxa"/>
            <w:bottom w:w="0" w:type="dxa"/>
            <w:right w:w="0" w:type="dxa"/>
          </w:tblCellMar>
        </w:tblPrEx>
        <w:trPr>
          <w:trHeight w:val="510"/>
          <w:jc w:val="center"/>
        </w:trPr>
        <w:tc>
          <w:tcPr>
            <w:tcW w:w="2040" w:type="dxa"/>
            <w:vAlign w:val="center"/>
          </w:tcPr>
          <w:p w:rsidR="00BE1B6D" w:rsidRPr="00EE433D" w:rsidRDefault="00BE1B6D">
            <w:pPr>
              <w:spacing w:before="40" w:after="40"/>
              <w:rPr>
                <w:sz w:val="24"/>
                <w:szCs w:val="24"/>
              </w:rPr>
            </w:pPr>
          </w:p>
        </w:tc>
        <w:tc>
          <w:tcPr>
            <w:tcW w:w="1465" w:type="dxa"/>
            <w:vAlign w:val="center"/>
          </w:tcPr>
          <w:p w:rsidR="00BE1B6D" w:rsidRPr="003C3B7C" w:rsidRDefault="00BE1B6D">
            <w:pPr>
              <w:spacing w:before="40" w:after="40"/>
              <w:jc w:val="center"/>
              <w:rPr>
                <w:b/>
                <w:sz w:val="24"/>
                <w:szCs w:val="24"/>
              </w:rPr>
            </w:pPr>
            <w:r w:rsidRPr="003C3B7C">
              <w:rPr>
                <w:b/>
                <w:sz w:val="24"/>
                <w:szCs w:val="24"/>
              </w:rPr>
              <w:t>Number of Respondents</w:t>
            </w:r>
          </w:p>
        </w:tc>
        <w:tc>
          <w:tcPr>
            <w:tcW w:w="1530" w:type="dxa"/>
            <w:vAlign w:val="center"/>
          </w:tcPr>
          <w:p w:rsidR="00BE1B6D" w:rsidRPr="003C3B7C" w:rsidRDefault="00BE1B6D">
            <w:pPr>
              <w:spacing w:before="40" w:after="40"/>
              <w:jc w:val="center"/>
              <w:rPr>
                <w:b/>
                <w:sz w:val="24"/>
                <w:szCs w:val="24"/>
              </w:rPr>
            </w:pPr>
            <w:r w:rsidRPr="003C3B7C">
              <w:rPr>
                <w:b/>
                <w:sz w:val="24"/>
                <w:szCs w:val="24"/>
              </w:rPr>
              <w:t>Total Burden Hours</w:t>
            </w:r>
          </w:p>
        </w:tc>
        <w:tc>
          <w:tcPr>
            <w:tcW w:w="450" w:type="dxa"/>
            <w:vAlign w:val="center"/>
          </w:tcPr>
          <w:p w:rsidR="00BE1B6D" w:rsidRPr="003C3B7C" w:rsidRDefault="00BE1B6D">
            <w:pPr>
              <w:spacing w:before="40" w:after="40"/>
              <w:jc w:val="center"/>
              <w:rPr>
                <w:b/>
                <w:sz w:val="24"/>
                <w:szCs w:val="24"/>
              </w:rPr>
            </w:pPr>
            <w:r w:rsidRPr="003C3B7C">
              <w:rPr>
                <w:b/>
                <w:sz w:val="24"/>
                <w:szCs w:val="24"/>
              </w:rPr>
              <w:t>X</w:t>
            </w:r>
          </w:p>
        </w:tc>
        <w:tc>
          <w:tcPr>
            <w:tcW w:w="1635" w:type="dxa"/>
            <w:vAlign w:val="center"/>
          </w:tcPr>
          <w:p w:rsidR="00BE1B6D" w:rsidRPr="003C3B7C" w:rsidRDefault="00BE1B6D">
            <w:pPr>
              <w:spacing w:before="40" w:after="40"/>
              <w:jc w:val="center"/>
              <w:rPr>
                <w:b/>
                <w:sz w:val="24"/>
                <w:szCs w:val="24"/>
              </w:rPr>
            </w:pPr>
            <w:r w:rsidRPr="003C3B7C">
              <w:rPr>
                <w:b/>
                <w:sz w:val="24"/>
                <w:szCs w:val="24"/>
              </w:rPr>
              <w:t>Hourly Rate</w:t>
            </w:r>
          </w:p>
        </w:tc>
        <w:tc>
          <w:tcPr>
            <w:tcW w:w="435" w:type="dxa"/>
            <w:vAlign w:val="center"/>
          </w:tcPr>
          <w:p w:rsidR="00BE1B6D" w:rsidRPr="003C3B7C" w:rsidRDefault="00BE1B6D">
            <w:pPr>
              <w:spacing w:before="40" w:after="40"/>
              <w:jc w:val="center"/>
              <w:rPr>
                <w:b/>
                <w:sz w:val="24"/>
                <w:szCs w:val="24"/>
              </w:rPr>
            </w:pPr>
            <w:r w:rsidRPr="003C3B7C">
              <w:rPr>
                <w:b/>
                <w:sz w:val="24"/>
                <w:szCs w:val="24"/>
              </w:rPr>
              <w:t>=</w:t>
            </w:r>
          </w:p>
        </w:tc>
        <w:tc>
          <w:tcPr>
            <w:tcW w:w="1620" w:type="dxa"/>
            <w:vAlign w:val="center"/>
          </w:tcPr>
          <w:p w:rsidR="00BE1B6D" w:rsidRPr="003C3B7C" w:rsidRDefault="00BE1B6D">
            <w:pPr>
              <w:spacing w:before="40" w:after="40"/>
              <w:jc w:val="center"/>
              <w:rPr>
                <w:b/>
                <w:sz w:val="24"/>
                <w:szCs w:val="24"/>
              </w:rPr>
            </w:pPr>
            <w:r w:rsidRPr="003C3B7C">
              <w:rPr>
                <w:b/>
                <w:sz w:val="24"/>
                <w:szCs w:val="24"/>
              </w:rPr>
              <w:t>Annualized Cost</w:t>
            </w:r>
          </w:p>
        </w:tc>
      </w:tr>
      <w:tr w:rsidR="00BE1B6D" w:rsidRPr="00EE433D">
        <w:tblPrEx>
          <w:tblCellMar>
            <w:top w:w="0" w:type="dxa"/>
            <w:left w:w="0" w:type="dxa"/>
            <w:bottom w:w="0" w:type="dxa"/>
            <w:right w:w="0" w:type="dxa"/>
          </w:tblCellMar>
        </w:tblPrEx>
        <w:trPr>
          <w:trHeight w:val="255"/>
          <w:jc w:val="center"/>
        </w:trPr>
        <w:tc>
          <w:tcPr>
            <w:tcW w:w="2040" w:type="dxa"/>
            <w:vAlign w:val="center"/>
          </w:tcPr>
          <w:p w:rsidR="00BE1B6D" w:rsidRPr="00EE433D" w:rsidRDefault="00BE1B6D">
            <w:pPr>
              <w:spacing w:before="40" w:after="40"/>
              <w:rPr>
                <w:sz w:val="24"/>
                <w:szCs w:val="24"/>
              </w:rPr>
            </w:pPr>
            <w:r w:rsidRPr="00EE433D">
              <w:rPr>
                <w:sz w:val="24"/>
                <w:szCs w:val="24"/>
              </w:rPr>
              <w:t>MASS Submission</w:t>
            </w:r>
          </w:p>
        </w:tc>
        <w:tc>
          <w:tcPr>
            <w:tcW w:w="1465" w:type="dxa"/>
            <w:vAlign w:val="center"/>
          </w:tcPr>
          <w:p w:rsidR="00BE1B6D" w:rsidRPr="00EE433D" w:rsidRDefault="00BE1B6D">
            <w:pPr>
              <w:spacing w:before="40" w:after="40"/>
              <w:jc w:val="center"/>
              <w:rPr>
                <w:sz w:val="24"/>
                <w:szCs w:val="24"/>
              </w:rPr>
            </w:pPr>
            <w:r w:rsidRPr="00EE433D">
              <w:rPr>
                <w:sz w:val="24"/>
                <w:szCs w:val="24"/>
              </w:rPr>
              <w:t>3174</w:t>
            </w:r>
          </w:p>
        </w:tc>
        <w:tc>
          <w:tcPr>
            <w:tcW w:w="1530" w:type="dxa"/>
            <w:vAlign w:val="center"/>
          </w:tcPr>
          <w:p w:rsidR="00BE1B6D" w:rsidRPr="00EE433D" w:rsidRDefault="001812A8">
            <w:pPr>
              <w:spacing w:before="40" w:after="40"/>
              <w:jc w:val="center"/>
              <w:rPr>
                <w:sz w:val="24"/>
                <w:szCs w:val="24"/>
              </w:rPr>
            </w:pPr>
            <w:r>
              <w:rPr>
                <w:sz w:val="24"/>
                <w:szCs w:val="24"/>
              </w:rPr>
              <w:t>105</w:t>
            </w:r>
            <w:r w:rsidR="00BE1B6D" w:rsidRPr="00EE433D">
              <w:rPr>
                <w:sz w:val="24"/>
                <w:szCs w:val="24"/>
              </w:rPr>
              <w:t>8</w:t>
            </w:r>
          </w:p>
        </w:tc>
        <w:tc>
          <w:tcPr>
            <w:tcW w:w="450" w:type="dxa"/>
            <w:vAlign w:val="center"/>
          </w:tcPr>
          <w:p w:rsidR="00BE1B6D" w:rsidRPr="00EE433D" w:rsidRDefault="00BE1B6D">
            <w:pPr>
              <w:spacing w:before="40" w:after="40"/>
              <w:jc w:val="center"/>
              <w:rPr>
                <w:sz w:val="24"/>
                <w:szCs w:val="24"/>
              </w:rPr>
            </w:pPr>
          </w:p>
        </w:tc>
        <w:tc>
          <w:tcPr>
            <w:tcW w:w="1635" w:type="dxa"/>
            <w:vAlign w:val="center"/>
          </w:tcPr>
          <w:p w:rsidR="00BE1B6D" w:rsidRPr="00EE433D" w:rsidRDefault="00BE1B6D" w:rsidP="00881643">
            <w:pPr>
              <w:spacing w:before="40" w:after="40"/>
              <w:jc w:val="center"/>
              <w:rPr>
                <w:sz w:val="24"/>
                <w:szCs w:val="24"/>
              </w:rPr>
            </w:pPr>
            <w:r w:rsidRPr="00EE433D">
              <w:rPr>
                <w:sz w:val="24"/>
                <w:szCs w:val="24"/>
              </w:rPr>
              <w:t>$</w:t>
            </w:r>
            <w:r w:rsidR="00881643">
              <w:rPr>
                <w:sz w:val="24"/>
                <w:szCs w:val="24"/>
              </w:rPr>
              <w:t>36.00</w:t>
            </w:r>
          </w:p>
        </w:tc>
        <w:tc>
          <w:tcPr>
            <w:tcW w:w="435" w:type="dxa"/>
            <w:vAlign w:val="center"/>
          </w:tcPr>
          <w:p w:rsidR="00BE1B6D" w:rsidRPr="00EE433D" w:rsidRDefault="00BE1B6D">
            <w:pPr>
              <w:spacing w:before="40" w:after="40"/>
              <w:jc w:val="center"/>
              <w:rPr>
                <w:sz w:val="24"/>
                <w:szCs w:val="24"/>
              </w:rPr>
            </w:pPr>
          </w:p>
        </w:tc>
        <w:tc>
          <w:tcPr>
            <w:tcW w:w="1620" w:type="dxa"/>
            <w:vAlign w:val="center"/>
          </w:tcPr>
          <w:p w:rsidR="00BE1B6D" w:rsidRPr="00EE433D" w:rsidRDefault="00BE1B6D" w:rsidP="00881643">
            <w:pPr>
              <w:spacing w:before="40" w:after="40"/>
              <w:jc w:val="center"/>
              <w:rPr>
                <w:sz w:val="24"/>
                <w:szCs w:val="24"/>
              </w:rPr>
            </w:pPr>
            <w:r w:rsidRPr="00EE433D">
              <w:rPr>
                <w:sz w:val="24"/>
                <w:szCs w:val="24"/>
              </w:rPr>
              <w:t>$</w:t>
            </w:r>
            <w:r w:rsidR="001812A8">
              <w:rPr>
                <w:sz w:val="24"/>
                <w:szCs w:val="24"/>
              </w:rPr>
              <w:t>3</w:t>
            </w:r>
            <w:r w:rsidR="00881643">
              <w:rPr>
                <w:sz w:val="24"/>
                <w:szCs w:val="24"/>
              </w:rPr>
              <w:t>8</w:t>
            </w:r>
            <w:r w:rsidRPr="00EE433D">
              <w:rPr>
                <w:sz w:val="24"/>
                <w:szCs w:val="24"/>
              </w:rPr>
              <w:t>,</w:t>
            </w:r>
            <w:r w:rsidR="00881643">
              <w:rPr>
                <w:sz w:val="24"/>
                <w:szCs w:val="24"/>
              </w:rPr>
              <w:t>088</w:t>
            </w:r>
          </w:p>
        </w:tc>
      </w:tr>
    </w:tbl>
    <w:p w:rsidR="00BE1B6D" w:rsidRDefault="00BE1B6D">
      <w:pPr>
        <w:tabs>
          <w:tab w:val="left" w:pos="360"/>
        </w:tabs>
        <w:ind w:left="360" w:hanging="360"/>
        <w:rPr>
          <w:color w:val="000000"/>
          <w:sz w:val="24"/>
        </w:rPr>
      </w:pPr>
    </w:p>
    <w:p w:rsidR="00855341" w:rsidRPr="00003C41" w:rsidRDefault="00003C41" w:rsidP="00003C41">
      <w:pPr>
        <w:pStyle w:val="BodyTextIndent"/>
        <w:keepLines w:val="0"/>
        <w:numPr>
          <w:ilvl w:val="0"/>
          <w:numId w:val="34"/>
        </w:numPr>
        <w:tabs>
          <w:tab w:val="clear" w:pos="720"/>
        </w:tabs>
      </w:pPr>
      <w:r>
        <w:rPr>
          <w:noProof w:val="0"/>
        </w:rPr>
        <w:t>This is a</w:t>
      </w:r>
      <w:r w:rsidR="00D35F56">
        <w:rPr>
          <w:noProof w:val="0"/>
        </w:rPr>
        <w:t>n extension of a currently approved collection.</w:t>
      </w:r>
      <w:r w:rsidRPr="00003C41">
        <w:rPr>
          <w:color w:val="000000"/>
        </w:rPr>
        <w:t xml:space="preserve">  HUD has steady-state maintenance for the management operations subsystem, and will be utilizing the </w:t>
      </w:r>
      <w:r w:rsidR="00D5224A">
        <w:rPr>
          <w:color w:val="000000"/>
        </w:rPr>
        <w:t xml:space="preserve">management operations certification </w:t>
      </w:r>
      <w:r w:rsidR="003A3E47">
        <w:rPr>
          <w:color w:val="000000"/>
        </w:rPr>
        <w:t xml:space="preserve">and </w:t>
      </w:r>
      <w:r w:rsidRPr="00003C41">
        <w:rPr>
          <w:color w:val="000000"/>
        </w:rPr>
        <w:t xml:space="preserve">subsystem for PHAs </w:t>
      </w:r>
      <w:r w:rsidR="00D35F56">
        <w:rPr>
          <w:color w:val="000000"/>
        </w:rPr>
        <w:t xml:space="preserve">beginning </w:t>
      </w:r>
      <w:r w:rsidRPr="00003C41">
        <w:rPr>
          <w:color w:val="000000"/>
        </w:rPr>
        <w:t>with fiscal year ending June 30, 20</w:t>
      </w:r>
      <w:r w:rsidR="00D35F56">
        <w:rPr>
          <w:color w:val="000000"/>
        </w:rPr>
        <w:t>1</w:t>
      </w:r>
      <w:r w:rsidRPr="00003C41">
        <w:rPr>
          <w:color w:val="000000"/>
        </w:rPr>
        <w:t xml:space="preserve">0.  </w:t>
      </w:r>
      <w:r w:rsidR="00BE1B6D" w:rsidRPr="00003C41">
        <w:rPr>
          <w:color w:val="000000"/>
        </w:rPr>
        <w:t xml:space="preserve">The reporting burden has </w:t>
      </w:r>
      <w:r w:rsidR="00D35F56">
        <w:rPr>
          <w:color w:val="000000"/>
        </w:rPr>
        <w:t xml:space="preserve">not </w:t>
      </w:r>
      <w:r w:rsidR="00BE1B6D" w:rsidRPr="00003C41">
        <w:rPr>
          <w:color w:val="000000"/>
        </w:rPr>
        <w:t>changed</w:t>
      </w:r>
      <w:r w:rsidR="002A7277">
        <w:rPr>
          <w:color w:val="000000"/>
        </w:rPr>
        <w:t>.</w:t>
      </w:r>
      <w:r w:rsidR="00BE1B6D" w:rsidRPr="00003C41">
        <w:t xml:space="preserve">  </w:t>
      </w:r>
      <w:r w:rsidR="00855341" w:rsidRPr="00003C41">
        <w:t xml:space="preserve">  </w:t>
      </w:r>
    </w:p>
    <w:p w:rsidR="00855341" w:rsidRDefault="00855341" w:rsidP="00855341">
      <w:pPr>
        <w:ind w:left="360"/>
        <w:rPr>
          <w:sz w:val="24"/>
        </w:rPr>
      </w:pPr>
    </w:p>
    <w:p w:rsidR="00BE1B6D" w:rsidRDefault="00855341">
      <w:pPr>
        <w:numPr>
          <w:ilvl w:val="0"/>
          <w:numId w:val="34"/>
        </w:numPr>
        <w:rPr>
          <w:sz w:val="24"/>
        </w:rPr>
      </w:pPr>
      <w:r>
        <w:rPr>
          <w:noProof/>
          <w:sz w:val="24"/>
        </w:rPr>
        <w:t>This information will not be published.  However, t</w:t>
      </w:r>
      <w:r w:rsidR="00BE1B6D">
        <w:rPr>
          <w:sz w:val="24"/>
        </w:rPr>
        <w:t>he PHAS regulation provides that each PHA shall post its overall PHAS score and status within two weeks of receipt of its overall score and status.  The PHAS regulation sets forth the time schedule for the annual management operations submission process.  For all of the proceeding, see 24 CFR Part 902.</w:t>
      </w:r>
    </w:p>
    <w:p w:rsidR="00BE1B6D" w:rsidRDefault="00BE1B6D">
      <w:pPr>
        <w:rPr>
          <w:sz w:val="24"/>
        </w:rPr>
      </w:pPr>
    </w:p>
    <w:p w:rsidR="001812A8" w:rsidRDefault="001812A8" w:rsidP="001812A8">
      <w:pPr>
        <w:numPr>
          <w:ilvl w:val="0"/>
          <w:numId w:val="37"/>
        </w:numPr>
        <w:rPr>
          <w:sz w:val="24"/>
        </w:rPr>
      </w:pPr>
      <w:r>
        <w:rPr>
          <w:sz w:val="24"/>
        </w:rPr>
        <w:t>HUD is not seeking approval to not display the expiration date of the OMB approval.  The OMB number and expiration date will be displayed on a “Disclosure Statement” that will be the first screen that is viewed on each of the automated forms after OMB approval is received.</w:t>
      </w:r>
    </w:p>
    <w:p w:rsidR="001812A8" w:rsidRDefault="001812A8" w:rsidP="001812A8">
      <w:pPr>
        <w:rPr>
          <w:color w:val="000000"/>
          <w:sz w:val="24"/>
        </w:rPr>
      </w:pPr>
    </w:p>
    <w:p w:rsidR="00BE1B6D" w:rsidRDefault="00BE1B6D" w:rsidP="001812A8">
      <w:pPr>
        <w:numPr>
          <w:ilvl w:val="0"/>
          <w:numId w:val="37"/>
        </w:numPr>
        <w:rPr>
          <w:sz w:val="24"/>
        </w:rPr>
      </w:pPr>
      <w:r>
        <w:rPr>
          <w:sz w:val="24"/>
        </w:rPr>
        <w:t>There are no exceptions to the certification statement identified in Item 19 of the form OMB 83-I.</w:t>
      </w:r>
    </w:p>
    <w:p w:rsidR="00BE1B6D" w:rsidRDefault="00BE1B6D">
      <w:pPr>
        <w:tabs>
          <w:tab w:val="left" w:pos="360"/>
          <w:tab w:val="left" w:pos="720"/>
        </w:tabs>
        <w:rPr>
          <w:color w:val="000000"/>
        </w:rPr>
      </w:pPr>
    </w:p>
    <w:p w:rsidR="00BE1B6D" w:rsidRDefault="00BE1B6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BE1B6D" w:rsidRDefault="00BE1B6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BE1B6D" w:rsidRDefault="00BE1B6D">
      <w:pPr>
        <w:keepLines/>
        <w:tabs>
          <w:tab w:val="left" w:pos="360"/>
          <w:tab w:val="left" w:pos="720"/>
        </w:tabs>
        <w:ind w:left="360"/>
        <w:rPr>
          <w:rFonts w:ascii="Helvetica" w:hAnsi="Helvetica"/>
          <w:color w:val="000000"/>
          <w:sz w:val="16"/>
        </w:rPr>
      </w:pPr>
      <w:r>
        <w:rPr>
          <w:color w:val="000000"/>
          <w:sz w:val="22"/>
        </w:rPr>
        <w:fldChar w:fldCharType="begin">
          <w:ffData>
            <w:name w:val="Text22"/>
            <w:enabled/>
            <w:calcOnExit w:val="0"/>
            <w:textInput/>
          </w:ffData>
        </w:fldChar>
      </w:r>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r w:rsidR="00855341" w:rsidRPr="00855341">
        <w:rPr>
          <w:noProof/>
          <w:sz w:val="24"/>
        </w:rPr>
        <w:t xml:space="preserve"> </w:t>
      </w:r>
    </w:p>
    <w:sectPr w:rsidR="00BE1B6D">
      <w:pgSz w:w="12240" w:h="15840"/>
      <w:pgMar w:top="475" w:right="720" w:bottom="475" w:left="605" w:header="475" w:footer="475" w:gutter="0"/>
      <w:cols w:space="480" w:equalWidth="0">
        <w:col w:w="10795"/>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679" w:rsidRDefault="00790679">
      <w:r>
        <w:separator/>
      </w:r>
    </w:p>
  </w:endnote>
  <w:endnote w:type="continuationSeparator" w:id="0">
    <w:p w:rsidR="00790679" w:rsidRDefault="00790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679" w:rsidRDefault="00790679">
      <w:r>
        <w:separator/>
      </w:r>
    </w:p>
  </w:footnote>
  <w:footnote w:type="continuationSeparator" w:id="0">
    <w:p w:rsidR="00790679" w:rsidRDefault="007906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625791F"/>
    <w:multiLevelType w:val="hybridMultilevel"/>
    <w:tmpl w:val="D264F8BC"/>
    <w:lvl w:ilvl="0" w:tplc="29FC2FB0">
      <w:start w:val="2"/>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463A7"/>
    <w:multiLevelType w:val="hybridMultilevel"/>
    <w:tmpl w:val="1AEEA17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042924"/>
    <w:multiLevelType w:val="hybridMultilevel"/>
    <w:tmpl w:val="EED85CA6"/>
    <w:lvl w:ilvl="0" w:tplc="8D00C7A4">
      <w:start w:val="1"/>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46C1AFC"/>
    <w:multiLevelType w:val="hybridMultilevel"/>
    <w:tmpl w:val="C66222A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C57117"/>
    <w:multiLevelType w:val="hybridMultilevel"/>
    <w:tmpl w:val="BC14DEB8"/>
    <w:lvl w:ilvl="0" w:tplc="00B21A02">
      <w:start w:val="11"/>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A96B83"/>
    <w:multiLevelType w:val="hybridMultilevel"/>
    <w:tmpl w:val="7D36F3BC"/>
    <w:lvl w:ilvl="0" w:tplc="00B21A02">
      <w:start w:val="11"/>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FC067F"/>
    <w:multiLevelType w:val="hybridMultilevel"/>
    <w:tmpl w:val="EADEDD8E"/>
    <w:lvl w:ilvl="0" w:tplc="301AC3D6">
      <w:start w:val="13"/>
      <w:numFmt w:val="decimal"/>
      <w:lvlText w:val="%1."/>
      <w:lvlJc w:val="left"/>
      <w:pPr>
        <w:tabs>
          <w:tab w:val="num" w:pos="360"/>
        </w:tabs>
        <w:ind w:left="288" w:hanging="288"/>
      </w:pPr>
      <w:rPr>
        <w:rFonts w:hint="default"/>
      </w:rPr>
    </w:lvl>
    <w:lvl w:ilvl="1" w:tplc="0409000F">
      <w:start w:val="1"/>
      <w:numFmt w:val="decimal"/>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nsid w:val="25FB58F0"/>
    <w:multiLevelType w:val="hybridMultilevel"/>
    <w:tmpl w:val="78EC8B9C"/>
    <w:lvl w:ilvl="0" w:tplc="BC082510">
      <w:start w:val="13"/>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2E7099"/>
    <w:multiLevelType w:val="hybridMultilevel"/>
    <w:tmpl w:val="EF2ACF70"/>
    <w:lvl w:ilvl="0" w:tplc="BC082510">
      <w:start w:val="13"/>
      <w:numFmt w:val="decimal"/>
      <w:lvlText w:val="%1."/>
      <w:lvlJc w:val="left"/>
      <w:pPr>
        <w:tabs>
          <w:tab w:val="num" w:pos="432"/>
        </w:tabs>
        <w:ind w:left="360" w:hanging="288"/>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2">
    <w:nsid w:val="2D6D7002"/>
    <w:multiLevelType w:val="hybridMultilevel"/>
    <w:tmpl w:val="A846165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49242A"/>
    <w:multiLevelType w:val="hybridMultilevel"/>
    <w:tmpl w:val="37F03FB2"/>
    <w:lvl w:ilvl="0" w:tplc="BAFAC300">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FC0258"/>
    <w:multiLevelType w:val="singleLevel"/>
    <w:tmpl w:val="08564BF6"/>
    <w:lvl w:ilvl="0">
      <w:start w:val="2"/>
      <w:numFmt w:val="upperLetter"/>
      <w:lvlText w:val="%1."/>
      <w:lvlJc w:val="left"/>
      <w:pPr>
        <w:tabs>
          <w:tab w:val="num" w:pos="360"/>
        </w:tabs>
        <w:ind w:left="360" w:hanging="360"/>
      </w:pPr>
      <w:rPr>
        <w:b/>
        <w:i w:val="0"/>
        <w:sz w:val="24"/>
      </w:rPr>
    </w:lvl>
  </w:abstractNum>
  <w:abstractNum w:abstractNumId="15">
    <w:nsid w:val="314143AA"/>
    <w:multiLevelType w:val="hybridMultilevel"/>
    <w:tmpl w:val="0950897E"/>
    <w:lvl w:ilvl="0" w:tplc="8D00C7A4">
      <w:start w:val="1"/>
      <w:numFmt w:val="decimal"/>
      <w:lvlText w:val="%1."/>
      <w:lvlJc w:val="left"/>
      <w:pPr>
        <w:tabs>
          <w:tab w:val="num" w:pos="360"/>
        </w:tabs>
        <w:ind w:left="288" w:hanging="288"/>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88647F"/>
    <w:multiLevelType w:val="hybridMultilevel"/>
    <w:tmpl w:val="66B225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7F51AC"/>
    <w:multiLevelType w:val="hybridMultilevel"/>
    <w:tmpl w:val="ECB8EE1A"/>
    <w:lvl w:ilvl="0" w:tplc="98DA6D1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2403FF"/>
    <w:multiLevelType w:val="hybridMultilevel"/>
    <w:tmpl w:val="17465E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DB4BD8"/>
    <w:multiLevelType w:val="hybridMultilevel"/>
    <w:tmpl w:val="BE0E930E"/>
    <w:lvl w:ilvl="0" w:tplc="06A2E35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EF7571"/>
    <w:multiLevelType w:val="hybridMultilevel"/>
    <w:tmpl w:val="7C704A92"/>
    <w:lvl w:ilvl="0" w:tplc="BC082510">
      <w:start w:val="13"/>
      <w:numFmt w:val="decimal"/>
      <w:lvlText w:val="%1."/>
      <w:lvlJc w:val="left"/>
      <w:pPr>
        <w:tabs>
          <w:tab w:val="num" w:pos="432"/>
        </w:tabs>
        <w:ind w:left="360" w:hanging="288"/>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2">
    <w:nsid w:val="4FB929A3"/>
    <w:multiLevelType w:val="singleLevel"/>
    <w:tmpl w:val="4AE80956"/>
    <w:lvl w:ilvl="0">
      <w:start w:val="1"/>
      <w:numFmt w:val="decimal"/>
      <w:lvlText w:val="%1."/>
      <w:lvlJc w:val="left"/>
      <w:pPr>
        <w:tabs>
          <w:tab w:val="num" w:pos="360"/>
        </w:tabs>
        <w:ind w:left="360" w:hanging="360"/>
      </w:pPr>
      <w:rPr>
        <w:b w:val="0"/>
        <w:i w:val="0"/>
        <w:sz w:val="24"/>
        <w:u w:val="none"/>
      </w:rPr>
    </w:lvl>
  </w:abstractNum>
  <w:abstractNum w:abstractNumId="2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D234CC"/>
    <w:multiLevelType w:val="hybridMultilevel"/>
    <w:tmpl w:val="79D0B98A"/>
    <w:lvl w:ilvl="0" w:tplc="4FF25224">
      <w:start w:val="13"/>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5D0543"/>
    <w:multiLevelType w:val="hybridMultilevel"/>
    <w:tmpl w:val="08C4C74C"/>
    <w:lvl w:ilvl="0" w:tplc="AC026150">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4E32662"/>
    <w:multiLevelType w:val="hybridMultilevel"/>
    <w:tmpl w:val="730C30DE"/>
    <w:lvl w:ilvl="0" w:tplc="8D00C7A4">
      <w:start w:val="1"/>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4349A9"/>
    <w:multiLevelType w:val="hybridMultilevel"/>
    <w:tmpl w:val="273453C6"/>
    <w:lvl w:ilvl="0" w:tplc="2B84B584">
      <w:start w:val="15"/>
      <w:numFmt w:val="decimal"/>
      <w:lvlText w:val="%1."/>
      <w:lvlJc w:val="left"/>
      <w:pPr>
        <w:tabs>
          <w:tab w:val="num" w:pos="360"/>
        </w:tabs>
        <w:ind w:left="144" w:hanging="144"/>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F80D28"/>
    <w:multiLevelType w:val="hybridMultilevel"/>
    <w:tmpl w:val="BC7EC202"/>
    <w:lvl w:ilvl="0" w:tplc="29FC2FB0">
      <w:start w:val="2"/>
      <w:numFmt w:val="decimal"/>
      <w:lvlText w:val="%1."/>
      <w:lvlJc w:val="left"/>
      <w:pPr>
        <w:tabs>
          <w:tab w:val="num" w:pos="360"/>
        </w:tabs>
        <w:ind w:left="288" w:hanging="288"/>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27C5569"/>
    <w:multiLevelType w:val="hybridMultilevel"/>
    <w:tmpl w:val="DA72DAAE"/>
    <w:lvl w:ilvl="0" w:tplc="AE70A19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1">
    <w:nsid w:val="76991470"/>
    <w:multiLevelType w:val="hybridMultilevel"/>
    <w:tmpl w:val="8E98E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7E7B81"/>
    <w:multiLevelType w:val="hybridMultilevel"/>
    <w:tmpl w:val="CE7265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859323D"/>
    <w:multiLevelType w:val="hybridMultilevel"/>
    <w:tmpl w:val="50402826"/>
    <w:lvl w:ilvl="0" w:tplc="3C563F00">
      <w:start w:val="1"/>
      <w:numFmt w:val="decimal"/>
      <w:lvlText w:val="%1."/>
      <w:lvlJc w:val="left"/>
      <w:pPr>
        <w:tabs>
          <w:tab w:val="num" w:pos="720"/>
        </w:tabs>
        <w:ind w:left="720" w:hanging="360"/>
      </w:pPr>
      <w:rPr>
        <w:rFonts w:hint="default"/>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6">
    <w:nsid w:val="7D770CE1"/>
    <w:multiLevelType w:val="hybridMultilevel"/>
    <w:tmpl w:val="04FED118"/>
    <w:lvl w:ilvl="0" w:tplc="7CC4CD0C">
      <w:start w:val="4"/>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4"/>
  </w:num>
  <w:num w:numId="4">
    <w:abstractNumId w:val="34"/>
  </w:num>
  <w:num w:numId="5">
    <w:abstractNumId w:val="30"/>
  </w:num>
  <w:num w:numId="6">
    <w:abstractNumId w:val="3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3"/>
  </w:num>
  <w:num w:numId="10">
    <w:abstractNumId w:val="22"/>
  </w:num>
  <w:num w:numId="11">
    <w:abstractNumId w:val="13"/>
  </w:num>
  <w:num w:numId="12">
    <w:abstractNumId w:val="33"/>
  </w:num>
  <w:num w:numId="13">
    <w:abstractNumId w:val="15"/>
  </w:num>
  <w:num w:numId="14">
    <w:abstractNumId w:val="3"/>
  </w:num>
  <w:num w:numId="15">
    <w:abstractNumId w:val="26"/>
  </w:num>
  <w:num w:numId="16">
    <w:abstractNumId w:val="8"/>
  </w:num>
  <w:num w:numId="17">
    <w:abstractNumId w:val="2"/>
  </w:num>
  <w:num w:numId="18">
    <w:abstractNumId w:val="36"/>
  </w:num>
  <w:num w:numId="19">
    <w:abstractNumId w:val="7"/>
  </w:num>
  <w:num w:numId="20">
    <w:abstractNumId w:val="10"/>
  </w:num>
  <w:num w:numId="21">
    <w:abstractNumId w:val="11"/>
  </w:num>
  <w:num w:numId="22">
    <w:abstractNumId w:val="20"/>
  </w:num>
  <w:num w:numId="23">
    <w:abstractNumId w:val="9"/>
  </w:num>
  <w:num w:numId="24">
    <w:abstractNumId w:val="16"/>
  </w:num>
  <w:num w:numId="25">
    <w:abstractNumId w:val="14"/>
  </w:num>
  <w:num w:numId="26">
    <w:abstractNumId w:val="28"/>
  </w:num>
  <w:num w:numId="27">
    <w:abstractNumId w:val="32"/>
  </w:num>
  <w:num w:numId="28">
    <w:abstractNumId w:val="17"/>
  </w:num>
  <w:num w:numId="29">
    <w:abstractNumId w:val="1"/>
  </w:num>
  <w:num w:numId="30">
    <w:abstractNumId w:val="29"/>
  </w:num>
  <w:num w:numId="31">
    <w:abstractNumId w:val="27"/>
  </w:num>
  <w:num w:numId="32">
    <w:abstractNumId w:val="6"/>
  </w:num>
  <w:num w:numId="33">
    <w:abstractNumId w:val="12"/>
  </w:num>
  <w:num w:numId="34">
    <w:abstractNumId w:val="25"/>
  </w:num>
  <w:num w:numId="35">
    <w:abstractNumId w:val="18"/>
  </w:num>
  <w:num w:numId="36">
    <w:abstractNumId w:val="24"/>
  </w:num>
  <w:num w:numId="37">
    <w:abstractNumId w:val="19"/>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B3010"/>
    <w:rsid w:val="00003C41"/>
    <w:rsid w:val="0010129F"/>
    <w:rsid w:val="001812A8"/>
    <w:rsid w:val="00261426"/>
    <w:rsid w:val="00273DA6"/>
    <w:rsid w:val="00296DAF"/>
    <w:rsid w:val="002A4556"/>
    <w:rsid w:val="002A7277"/>
    <w:rsid w:val="002E0078"/>
    <w:rsid w:val="00387B83"/>
    <w:rsid w:val="003A3E47"/>
    <w:rsid w:val="003A44AC"/>
    <w:rsid w:val="003C3B7C"/>
    <w:rsid w:val="00464644"/>
    <w:rsid w:val="004E65EE"/>
    <w:rsid w:val="004E7B97"/>
    <w:rsid w:val="005278FC"/>
    <w:rsid w:val="00554C03"/>
    <w:rsid w:val="006D4055"/>
    <w:rsid w:val="0073511C"/>
    <w:rsid w:val="00743338"/>
    <w:rsid w:val="00790679"/>
    <w:rsid w:val="007E2CB7"/>
    <w:rsid w:val="00800B07"/>
    <w:rsid w:val="00802F0D"/>
    <w:rsid w:val="00855341"/>
    <w:rsid w:val="00881643"/>
    <w:rsid w:val="00882045"/>
    <w:rsid w:val="00925EEC"/>
    <w:rsid w:val="00972D41"/>
    <w:rsid w:val="00B93B18"/>
    <w:rsid w:val="00BE1B6D"/>
    <w:rsid w:val="00BE653E"/>
    <w:rsid w:val="00BF728B"/>
    <w:rsid w:val="00C128B1"/>
    <w:rsid w:val="00D35F56"/>
    <w:rsid w:val="00D5224A"/>
    <w:rsid w:val="00DB666D"/>
    <w:rsid w:val="00DC131A"/>
    <w:rsid w:val="00DD0C7B"/>
    <w:rsid w:val="00E03906"/>
    <w:rsid w:val="00E27979"/>
    <w:rsid w:val="00EB3010"/>
    <w:rsid w:val="00EE433D"/>
    <w:rsid w:val="00EF60B6"/>
    <w:rsid w:val="00F04C08"/>
    <w:rsid w:val="00F137E0"/>
    <w:rsid w:val="00FF1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360"/>
      <w:outlineLvl w:val="0"/>
    </w:pPr>
    <w:rPr>
      <w:sz w:val="24"/>
    </w:rPr>
  </w:style>
  <w:style w:type="paragraph" w:styleId="Heading2">
    <w:name w:val="heading 2"/>
    <w:basedOn w:val="Normal"/>
    <w:next w:val="Normal"/>
    <w:qFormat/>
    <w:pPr>
      <w:keepNext/>
      <w:ind w:left="2160" w:firstLine="720"/>
      <w:outlineLvl w:val="1"/>
    </w:pPr>
    <w:rPr>
      <w:b/>
      <w:sz w:val="24"/>
    </w:rPr>
  </w:style>
  <w:style w:type="paragraph" w:styleId="Heading3">
    <w:name w:val="heading 3"/>
    <w:basedOn w:val="Normal"/>
    <w:next w:val="Normal"/>
    <w:qFormat/>
    <w:pPr>
      <w:keepNext/>
      <w:overflowPunct/>
      <w:autoSpaceDE/>
      <w:autoSpaceDN/>
      <w:adjustRightInd/>
      <w:textAlignment w:val="auto"/>
      <w:outlineLvl w:val="2"/>
    </w:pPr>
    <w:rPr>
      <w:b/>
      <w:bCs/>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outlineLvl w:val="4"/>
    </w:pPr>
    <w:rPr>
      <w:b/>
      <w:bCs/>
      <w:sz w:val="24"/>
    </w:rPr>
  </w:style>
  <w:style w:type="paragraph" w:styleId="Heading6">
    <w:name w:val="heading 6"/>
    <w:basedOn w:val="Normal"/>
    <w:next w:val="Normal"/>
    <w:qFormat/>
    <w:pPr>
      <w:keepNext/>
      <w:overflowPunct/>
      <w:autoSpaceDE/>
      <w:autoSpaceDN/>
      <w:adjustRightInd/>
      <w:jc w:val="center"/>
      <w:textAlignment w:val="auto"/>
      <w:outlineLvl w:val="5"/>
    </w:pPr>
    <w:rPr>
      <w:b/>
      <w:bCs/>
      <w:sz w:val="24"/>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6"/>
    </w:pPr>
    <w:rPr>
      <w:b/>
      <w:bCs/>
      <w:color w:val="000000"/>
      <w:sz w:val="24"/>
    </w:rPr>
  </w:style>
  <w:style w:type="paragraph" w:styleId="Heading8">
    <w:name w:val="heading 8"/>
    <w:basedOn w:val="Normal"/>
    <w:next w:val="Normal"/>
    <w:qFormat/>
    <w:pPr>
      <w:keepNext/>
      <w:tabs>
        <w:tab w:val="left" w:pos="240"/>
      </w:tabs>
      <w:spacing w:after="40"/>
      <w:ind w:left="120" w:right="-120"/>
      <w:outlineLvl w:val="7"/>
    </w:pPr>
    <w:rPr>
      <w:rFonts w:ascii="Helvetica" w:hAnsi="Helvetica"/>
      <w:b/>
      <w:bCs/>
      <w:color w:val="000000"/>
      <w:sz w:val="18"/>
    </w:rPr>
  </w:style>
  <w:style w:type="paragraph" w:styleId="Heading9">
    <w:name w:val="heading 9"/>
    <w:basedOn w:val="Normal"/>
    <w:next w:val="Normal"/>
    <w:qFormat/>
    <w:pPr>
      <w:keepNext/>
      <w:tabs>
        <w:tab w:val="left" w:pos="360"/>
      </w:tabs>
      <w:spacing w:after="120"/>
      <w:ind w:left="360" w:hanging="360"/>
      <w:jc w:val="center"/>
      <w:outlineLvl w:val="8"/>
    </w:pPr>
    <w:rPr>
      <w:rFonts w:ascii="Helvetica" w:hAnsi="Helvetica"/>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keepLines/>
      <w:tabs>
        <w:tab w:val="left" w:pos="360"/>
        <w:tab w:val="left" w:pos="720"/>
      </w:tabs>
      <w:ind w:left="360"/>
    </w:pPr>
    <w:rPr>
      <w:noProof/>
      <w:sz w:val="24"/>
    </w:rPr>
  </w:style>
  <w:style w:type="paragraph" w:styleId="BodyTextIndent2">
    <w:name w:val="Body Text Indent 2"/>
    <w:basedOn w:val="Normal"/>
    <w:pPr>
      <w:keepLines/>
      <w:tabs>
        <w:tab w:val="left" w:pos="360"/>
        <w:tab w:val="left" w:pos="720"/>
      </w:tabs>
      <w:ind w:left="360" w:hanging="360"/>
    </w:pPr>
    <w:rPr>
      <w:noProof/>
      <w:sz w:val="24"/>
    </w:rPr>
  </w:style>
  <w:style w:type="paragraph" w:styleId="BodyText">
    <w:name w:val="Body Text"/>
    <w:basedOn w:val="Normal"/>
    <w:pPr>
      <w:keepLines/>
      <w:tabs>
        <w:tab w:val="left" w:pos="360"/>
        <w:tab w:val="left" w:pos="720"/>
      </w:tabs>
      <w:overflowPunct/>
      <w:autoSpaceDE/>
      <w:autoSpaceDN/>
      <w:adjustRightInd/>
      <w:textAlignment w:val="auto"/>
    </w:pPr>
    <w:rPr>
      <w:noProof/>
      <w:sz w:val="22"/>
    </w:rPr>
  </w:style>
  <w:style w:type="paragraph" w:styleId="BodyTextIndent3">
    <w:name w:val="Body Text Indent 3"/>
    <w:basedOn w:val="Normal"/>
    <w:pPr>
      <w:keepLines/>
      <w:spacing w:after="80"/>
      <w:ind w:left="360" w:hanging="72"/>
    </w:pPr>
    <w:rPr>
      <w:sz w:val="24"/>
    </w:rPr>
  </w:style>
  <w:style w:type="paragraph" w:styleId="BodyText3">
    <w:name w:val="Body Text 3"/>
    <w:basedOn w:val="Normal"/>
    <w:pPr>
      <w:overflowPunct/>
      <w:autoSpaceDE/>
      <w:autoSpaceDN/>
      <w:adjustRightInd/>
      <w:textAlignment w:val="auto"/>
    </w:pPr>
    <w:rPr>
      <w:sz w:val="24"/>
    </w:rPr>
  </w:style>
  <w:style w:type="paragraph" w:styleId="BlockText">
    <w:name w:val="Block Text"/>
    <w:basedOn w:val="Normal"/>
    <w:pPr>
      <w:tabs>
        <w:tab w:val="left" w:pos="240"/>
      </w:tabs>
      <w:spacing w:after="60"/>
      <w:ind w:left="120" w:right="-120"/>
    </w:pPr>
    <w:rPr>
      <w:color w:val="000000"/>
      <w:sz w:val="22"/>
    </w:rPr>
  </w:style>
  <w:style w:type="paragraph" w:styleId="ListParagraph">
    <w:name w:val="List Paragraph"/>
    <w:basedOn w:val="Normal"/>
    <w:uiPriority w:val="34"/>
    <w:qFormat/>
    <w:rsid w:val="004E65E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A4CFD-4250-4057-8097-38E570D3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83-I-OMB.DOT</Template>
  <TotalTime>1</TotalTime>
  <Pages>4</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2</cp:revision>
  <cp:lastPrinted>2009-06-25T17:10:00Z</cp:lastPrinted>
  <dcterms:created xsi:type="dcterms:W3CDTF">2010-06-30T19:26:00Z</dcterms:created>
  <dcterms:modified xsi:type="dcterms:W3CDTF">2010-06-30T19:26:00Z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1575512312</vt:i4>
  </property>
  <property fmtid="{D5CDD505-2E9C-101B-9397-08002B2CF9AE}" pid="3" name="_NewReviewCycle">
    <vt:lpwstr/>
  </property>
  <property fmtid="{D5CDD505-2E9C-101B-9397-08002B2CF9AE}" pid="4" name="_EmailSubject">
    <vt:lpwstr>ROCIS upload and submission for 2535-0106 Public Housing Assessment System - Management Operations Certification</vt:lpwstr>
  </property>
  <property fmtid="{D5CDD505-2E9C-101B-9397-08002B2CF9AE}" pid="5" name="_AuthorEmail">
    <vt:lpwstr>Dacia.A.Rogers@hud.gov</vt:lpwstr>
  </property>
  <property fmtid="{D5CDD505-2E9C-101B-9397-08002B2CF9AE}" pid="6" name="_AuthorEmailDisplayName">
    <vt:lpwstr>Rogers, Dacia A</vt:lpwstr>
  </property>
  <property fmtid="{D5CDD505-2E9C-101B-9397-08002B2CF9AE}" pid="7" name="_PreviousAdHocReviewCycleID">
    <vt:i4>1194699528</vt:i4>
  </property>
  <property fmtid="{D5CDD505-2E9C-101B-9397-08002B2CF9AE}" pid="8" name="_ReviewingToolsShownOnce">
    <vt:lpwstr/>
  </property>
</Properties>
</file>