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99E" w:rsidRDefault="0092199E" w:rsidP="0092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 xml:space="preserve">Supporting Statement for </w:t>
      </w:r>
      <w:proofErr w:type="spellStart"/>
      <w:r>
        <w:rPr>
          <w:rFonts w:ascii="Helvetica" w:hAnsi="Helvetica"/>
          <w:b/>
          <w:sz w:val="28"/>
        </w:rPr>
        <w:t>Youthbuild</w:t>
      </w:r>
      <w:proofErr w:type="spellEnd"/>
      <w:r>
        <w:rPr>
          <w:rFonts w:ascii="Helvetica" w:hAnsi="Helvetica"/>
          <w:b/>
          <w:sz w:val="28"/>
        </w:rPr>
        <w:t xml:space="preserve"> Program</w:t>
      </w:r>
    </w:p>
    <w:p w:rsidR="0092199E" w:rsidRDefault="0092199E" w:rsidP="009219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2199E" w:rsidRDefault="0092199E" w:rsidP="009219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92199E" w:rsidRDefault="0092199E" w:rsidP="0092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92199E" w:rsidRDefault="0092199E" w:rsidP="0092199E">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199E" w:rsidRDefault="0092199E" w:rsidP="0092199E">
      <w:pPr>
        <w:keepLines/>
        <w:tabs>
          <w:tab w:val="left" w:pos="360"/>
        </w:tabs>
        <w:spacing w:after="80"/>
        <w:ind w:left="360"/>
        <w:rPr>
          <w:sz w:val="18"/>
        </w:rPr>
      </w:pPr>
      <w:r>
        <w:rPr>
          <w:sz w:val="18"/>
        </w:rPr>
        <w:t xml:space="preserve">The </w:t>
      </w:r>
      <w:proofErr w:type="spellStart"/>
      <w:r>
        <w:rPr>
          <w:sz w:val="18"/>
        </w:rPr>
        <w:t>Youthbuild</w:t>
      </w:r>
      <w:proofErr w:type="spellEnd"/>
      <w:r>
        <w:rPr>
          <w:sz w:val="18"/>
        </w:rPr>
        <w:t xml:space="preserve"> program is authorized under subtitle D of title IV of the Cranston Gonzales national Affordable Housing Act (42 USC 8011), as added by section 164 of the Housing and Community development Act of 1992 (</w:t>
      </w:r>
      <w:proofErr w:type="spellStart"/>
      <w:r>
        <w:rPr>
          <w:sz w:val="18"/>
        </w:rPr>
        <w:t>Pub.L</w:t>
      </w:r>
      <w:proofErr w:type="spellEnd"/>
      <w:r>
        <w:rPr>
          <w:sz w:val="18"/>
        </w:rPr>
        <w:t>. 102-550).  The program regulations are at 24 CFR §585.  Grants are awarded to projects that provide educational and training opportunities to high school dropouts while increasing the supply of affordable housing.</w:t>
      </w:r>
    </w:p>
    <w:p w:rsidR="0092199E" w:rsidRDefault="0092199E" w:rsidP="0092199E">
      <w:pPr>
        <w:keepLines/>
        <w:tabs>
          <w:tab w:val="left" w:pos="360"/>
        </w:tabs>
        <w:spacing w:after="80"/>
        <w:ind w:left="360"/>
        <w:rPr>
          <w:sz w:val="18"/>
        </w:rPr>
      </w:pPr>
      <w:r>
        <w:rPr>
          <w:sz w:val="18"/>
        </w:rPr>
        <w:t xml:space="preserve">Beginning with Fiscal Year 2007, the </w:t>
      </w:r>
      <w:proofErr w:type="spellStart"/>
      <w:r>
        <w:rPr>
          <w:sz w:val="18"/>
        </w:rPr>
        <w:t>Youthbuild</w:t>
      </w:r>
      <w:proofErr w:type="spellEnd"/>
      <w:r>
        <w:rPr>
          <w:sz w:val="18"/>
        </w:rPr>
        <w:t xml:space="preserve"> Transfer Act of 2006, Public Law 190-282, transferred the program to the Department of Labor.  The </w:t>
      </w:r>
      <w:proofErr w:type="spellStart"/>
      <w:r>
        <w:rPr>
          <w:sz w:val="18"/>
        </w:rPr>
        <w:t>Youthbuild</w:t>
      </w:r>
      <w:proofErr w:type="spellEnd"/>
      <w:r>
        <w:rPr>
          <w:sz w:val="18"/>
        </w:rPr>
        <w:t xml:space="preserve"> Transfer Act provides authority to HUD to administer grants from FY 2006 and earlier until closeout.</w:t>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92199E" w:rsidRDefault="0092199E" w:rsidP="0092199E">
      <w:pPr>
        <w:pStyle w:val="BodyTextIndent"/>
      </w:pPr>
      <w:r>
        <w:t xml:space="preserve">Since the year 2000, the post award responsibilities have been delegated to HUD’s Field Offices, Community Planning and Development.  These divisions are the Department’s liaison to the </w:t>
      </w:r>
      <w:proofErr w:type="spellStart"/>
      <w:r>
        <w:t>Youthbuild</w:t>
      </w:r>
      <w:proofErr w:type="spellEnd"/>
      <w:r>
        <w:t xml:space="preserve"> grantees and have the responsibility to collect, receive, review, and monitor the program activities through the semi-annual and close-out reports.  The information that is collected is used to assess performance and evaluate overall risk for monitoring.  HUD’s CPD Field Office divisions will retain this responsibility for FY 2006 and earlier grants until grant close-out.</w:t>
      </w:r>
    </w:p>
    <w:p w:rsidR="0092199E" w:rsidRDefault="0092199E" w:rsidP="0092199E">
      <w:pPr>
        <w:tabs>
          <w:tab w:val="left" w:pos="360"/>
        </w:tabs>
        <w:rPr>
          <w:sz w:val="18"/>
        </w:rPr>
      </w:pPr>
    </w:p>
    <w:p w:rsidR="0092199E" w:rsidRDefault="0092199E" w:rsidP="0092199E">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2199E" w:rsidRDefault="0092199E" w:rsidP="0092199E">
      <w:pPr>
        <w:pStyle w:val="BodyTextIndent"/>
      </w:pPr>
      <w:r>
        <w:t>HUD has used GRANTS.GOV for application submission for the FY 2005 and FY 2006 cycles.  However, given the transfer of the program to the Department of Labor, post approval program submissions will not be collected electronically.</w:t>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92199E" w:rsidRDefault="0092199E" w:rsidP="0092199E">
      <w:pPr>
        <w:keepLines/>
        <w:tabs>
          <w:tab w:val="left" w:pos="360"/>
        </w:tabs>
        <w:spacing w:after="80"/>
        <w:ind w:left="360"/>
        <w:rPr>
          <w:sz w:val="18"/>
        </w:rPr>
      </w:pPr>
    </w:p>
    <w:p w:rsidR="0092199E" w:rsidRDefault="0092199E" w:rsidP="0092199E">
      <w:pPr>
        <w:keepLines/>
        <w:tabs>
          <w:tab w:val="left" w:pos="360"/>
        </w:tabs>
        <w:spacing w:after="80"/>
        <w:ind w:left="360"/>
        <w:rPr>
          <w:sz w:val="18"/>
        </w:rPr>
      </w:pPr>
      <w:r>
        <w:rPr>
          <w:sz w:val="18"/>
        </w:rPr>
        <w:t>Each funded program is a new program.  Information collected is unique to that program.</w:t>
      </w:r>
    </w:p>
    <w:p w:rsidR="0092199E" w:rsidRDefault="0092199E" w:rsidP="0092199E">
      <w:pPr>
        <w:keepLines/>
        <w:tabs>
          <w:tab w:val="left" w:pos="360"/>
          <w:tab w:val="left" w:pos="720"/>
        </w:tabs>
        <w:ind w:left="360"/>
        <w:rPr>
          <w:sz w:val="18"/>
        </w:rPr>
      </w:pP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92199E" w:rsidRDefault="00DA05EE" w:rsidP="0092199E">
      <w:pPr>
        <w:keepLines/>
        <w:tabs>
          <w:tab w:val="left" w:pos="360"/>
          <w:tab w:val="left" w:pos="720"/>
        </w:tabs>
        <w:ind w:left="360"/>
        <w:rPr>
          <w:sz w:val="18"/>
        </w:rPr>
      </w:pPr>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92199E">
        <w:rPr>
          <w:noProof/>
          <w:sz w:val="22"/>
        </w:rPr>
        <w:t>The collection of information does not impact small businesses or other small entities.</w:t>
      </w:r>
      <w:r>
        <w:rPr>
          <w:sz w:val="22"/>
        </w:rPr>
        <w:fldChar w:fldCharType="end"/>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92199E" w:rsidRDefault="0092199E" w:rsidP="0092199E">
      <w:pPr>
        <w:keepLines/>
        <w:tabs>
          <w:tab w:val="left" w:pos="360"/>
          <w:tab w:val="left" w:pos="720"/>
        </w:tabs>
        <w:ind w:left="360"/>
        <w:rPr>
          <w:sz w:val="18"/>
        </w:rPr>
      </w:pPr>
    </w:p>
    <w:p w:rsidR="0092199E" w:rsidRDefault="0092199E" w:rsidP="0092199E">
      <w:pPr>
        <w:keepLines/>
        <w:tabs>
          <w:tab w:val="left" w:pos="360"/>
          <w:tab w:val="left" w:pos="720"/>
        </w:tabs>
        <w:ind w:left="360"/>
        <w:rPr>
          <w:sz w:val="18"/>
        </w:rPr>
      </w:pPr>
      <w:r>
        <w:rPr>
          <w:sz w:val="18"/>
        </w:rPr>
        <w:t xml:space="preserve">Without the information collection, grantees would not be able to report progress, make </w:t>
      </w:r>
      <w:proofErr w:type="spellStart"/>
      <w:r>
        <w:rPr>
          <w:sz w:val="18"/>
        </w:rPr>
        <w:t>drawdowns</w:t>
      </w:r>
      <w:proofErr w:type="spellEnd"/>
      <w:r>
        <w:rPr>
          <w:sz w:val="18"/>
        </w:rPr>
        <w:t xml:space="preserve"> or close-out the funded grants.</w:t>
      </w:r>
    </w:p>
    <w:p w:rsidR="0092199E" w:rsidRDefault="0092199E" w:rsidP="0092199E">
      <w:pPr>
        <w:tabs>
          <w:tab w:val="left" w:pos="360"/>
        </w:tabs>
        <w:ind w:left="360" w:hanging="360"/>
        <w:rPr>
          <w:sz w:val="18"/>
        </w:rPr>
      </w:pPr>
    </w:p>
    <w:p w:rsidR="0092199E" w:rsidRDefault="0092199E" w:rsidP="0092199E">
      <w:pPr>
        <w:numPr>
          <w:ilvl w:val="0"/>
          <w:numId w:val="1"/>
        </w:numPr>
        <w:tabs>
          <w:tab w:val="left" w:pos="360"/>
        </w:tabs>
        <w:rPr>
          <w:sz w:val="18"/>
        </w:rPr>
      </w:pPr>
      <w:r>
        <w:rPr>
          <w:sz w:val="18"/>
        </w:rPr>
        <w:t xml:space="preserve">Explain any special circumstances that would cause an information collection to be conducted in a manner: </w:t>
      </w:r>
    </w:p>
    <w:p w:rsidR="0092199E" w:rsidRDefault="0092199E" w:rsidP="0092199E">
      <w:pPr>
        <w:numPr>
          <w:ilvl w:val="0"/>
          <w:numId w:val="2"/>
        </w:numPr>
        <w:tabs>
          <w:tab w:val="left" w:pos="600"/>
        </w:tabs>
        <w:rPr>
          <w:sz w:val="18"/>
        </w:rPr>
      </w:pPr>
      <w:r>
        <w:rPr>
          <w:sz w:val="18"/>
        </w:rPr>
        <w:t xml:space="preserve">requiring respondents to report information to the agency more than quarterly; </w:t>
      </w:r>
    </w:p>
    <w:p w:rsidR="0092199E" w:rsidRDefault="0092199E" w:rsidP="0092199E">
      <w:pPr>
        <w:numPr>
          <w:ilvl w:val="0"/>
          <w:numId w:val="2"/>
        </w:numPr>
        <w:tabs>
          <w:tab w:val="left" w:pos="600"/>
        </w:tabs>
        <w:rPr>
          <w:sz w:val="18"/>
        </w:rPr>
      </w:pPr>
      <w:r>
        <w:rPr>
          <w:sz w:val="18"/>
        </w:rPr>
        <w:t xml:space="preserve">requiring respondents to prepare a written response to a collection of information in fewer than 30 days after receipt of it; </w:t>
      </w:r>
    </w:p>
    <w:p w:rsidR="0092199E" w:rsidRDefault="0092199E" w:rsidP="0092199E">
      <w:pPr>
        <w:numPr>
          <w:ilvl w:val="0"/>
          <w:numId w:val="2"/>
        </w:numPr>
        <w:tabs>
          <w:tab w:val="left" w:pos="600"/>
        </w:tabs>
        <w:rPr>
          <w:sz w:val="18"/>
        </w:rPr>
      </w:pPr>
      <w:r>
        <w:rPr>
          <w:sz w:val="18"/>
        </w:rPr>
        <w:t xml:space="preserve">requiring respondents to submit more than an original and two copies of any document; </w:t>
      </w:r>
    </w:p>
    <w:p w:rsidR="0092199E" w:rsidRDefault="0092199E" w:rsidP="0092199E">
      <w:pPr>
        <w:numPr>
          <w:ilvl w:val="0"/>
          <w:numId w:val="2"/>
        </w:numPr>
        <w:tabs>
          <w:tab w:val="left" w:pos="600"/>
        </w:tabs>
        <w:rPr>
          <w:sz w:val="18"/>
        </w:rPr>
      </w:pPr>
      <w:r>
        <w:rPr>
          <w:sz w:val="18"/>
        </w:rPr>
        <w:t xml:space="preserve">requiring respondents to retain records other than health, medical, government contract, grant-in-aid, or tax records for more than three years; </w:t>
      </w:r>
    </w:p>
    <w:p w:rsidR="0092199E" w:rsidRDefault="0092199E" w:rsidP="0092199E">
      <w:pPr>
        <w:numPr>
          <w:ilvl w:val="0"/>
          <w:numId w:val="2"/>
        </w:numPr>
        <w:tabs>
          <w:tab w:val="left" w:pos="600"/>
        </w:tabs>
        <w:rPr>
          <w:sz w:val="18"/>
        </w:rPr>
      </w:pPr>
      <w:r>
        <w:rPr>
          <w:sz w:val="18"/>
        </w:rPr>
        <w:t xml:space="preserve">in connection with a statistical survey, that is not designed to produce valid and reliable results than can be generalized to the universe of study; </w:t>
      </w:r>
    </w:p>
    <w:p w:rsidR="0092199E" w:rsidRDefault="0092199E" w:rsidP="0092199E">
      <w:pPr>
        <w:numPr>
          <w:ilvl w:val="0"/>
          <w:numId w:val="2"/>
        </w:numPr>
        <w:tabs>
          <w:tab w:val="left" w:pos="600"/>
        </w:tabs>
        <w:rPr>
          <w:sz w:val="18"/>
        </w:rPr>
      </w:pPr>
      <w:r>
        <w:rPr>
          <w:sz w:val="18"/>
        </w:rPr>
        <w:t xml:space="preserve">requiring the use of a statistical data classification that has not been reviewed and approved by OMB; </w:t>
      </w:r>
    </w:p>
    <w:p w:rsidR="0092199E" w:rsidRDefault="0092199E" w:rsidP="0092199E">
      <w:pPr>
        <w:numPr>
          <w:ilvl w:val="0"/>
          <w:numId w:val="2"/>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2199E" w:rsidRDefault="0092199E" w:rsidP="0092199E">
      <w:pPr>
        <w:keepLines/>
        <w:numPr>
          <w:ilvl w:val="0"/>
          <w:numId w:val="2"/>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92199E" w:rsidRDefault="00DA05EE" w:rsidP="0092199E">
      <w:pPr>
        <w:keepLines/>
        <w:tabs>
          <w:tab w:val="left" w:pos="360"/>
          <w:tab w:val="left" w:pos="720"/>
        </w:tabs>
        <w:ind w:left="360"/>
        <w:rPr>
          <w:sz w:val="18"/>
        </w:rPr>
      </w:pPr>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B708D3">
        <w:rPr>
          <w:noProof/>
          <w:sz w:val="22"/>
        </w:rPr>
        <w:t>There are</w:t>
      </w:r>
      <w:r w:rsidR="0092199E">
        <w:rPr>
          <w:noProof/>
          <w:sz w:val="22"/>
        </w:rPr>
        <w:t xml:space="preserve"> no special circumstances that require information collection to be conducted in the manner listed in this item.</w:t>
      </w:r>
      <w:r>
        <w:rPr>
          <w:sz w:val="22"/>
        </w:rPr>
        <w:fldChar w:fldCharType="end"/>
      </w:r>
    </w:p>
    <w:p w:rsidR="0092199E" w:rsidRDefault="0092199E" w:rsidP="0092199E">
      <w:pPr>
        <w:tabs>
          <w:tab w:val="left" w:pos="360"/>
        </w:tabs>
        <w:ind w:left="360" w:hanging="360"/>
        <w:rPr>
          <w:sz w:val="18"/>
        </w:rPr>
      </w:pPr>
    </w:p>
    <w:p w:rsidR="0092199E" w:rsidRDefault="0092199E" w:rsidP="0092199E">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2199E" w:rsidRDefault="0092199E" w:rsidP="0092199E">
      <w:pPr>
        <w:numPr>
          <w:ilvl w:val="0"/>
          <w:numId w:val="2"/>
        </w:numPr>
        <w:tabs>
          <w:tab w:val="left" w:pos="360"/>
        </w:tabs>
        <w:ind w:left="480"/>
        <w:rPr>
          <w:sz w:val="18"/>
        </w:rPr>
      </w:pPr>
      <w:r>
        <w:rPr>
          <w:sz w:val="18"/>
        </w:rPr>
        <w:lastRenderedPageBreak/>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2199E" w:rsidRDefault="0092199E" w:rsidP="0092199E">
      <w:pPr>
        <w:keepLines/>
        <w:numPr>
          <w:ilvl w:val="0"/>
          <w:numId w:val="2"/>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2199E" w:rsidRDefault="0092199E" w:rsidP="0092199E">
      <w:pPr>
        <w:tabs>
          <w:tab w:val="left" w:pos="360"/>
        </w:tabs>
        <w:ind w:left="360" w:hanging="360"/>
        <w:rPr>
          <w:sz w:val="18"/>
        </w:rPr>
      </w:pPr>
    </w:p>
    <w:p w:rsidR="0092199E" w:rsidRDefault="0092199E" w:rsidP="0092199E">
      <w:pPr>
        <w:pStyle w:val="BodyTextIndent"/>
        <w:keepLines w:val="0"/>
        <w:spacing w:after="0"/>
      </w:pPr>
      <w:r>
        <w:t xml:space="preserve">The </w:t>
      </w:r>
      <w:r w:rsidR="006A5A5F">
        <w:t xml:space="preserve">Federal Register </w:t>
      </w:r>
      <w:r>
        <w:t xml:space="preserve">Notice requesting </w:t>
      </w:r>
      <w:r w:rsidR="006A5A5F">
        <w:t xml:space="preserve">comment </w:t>
      </w:r>
      <w:r w:rsidR="00016779">
        <w:t xml:space="preserve">was published on </w:t>
      </w:r>
      <w:r w:rsidR="006A5A5F">
        <w:t>April 13, 2010, Volume 75, Page 18873.  No comments were received.</w:t>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92199E" w:rsidRDefault="00DA05EE" w:rsidP="0092199E">
      <w:pPr>
        <w:keepLines/>
        <w:tabs>
          <w:tab w:val="left" w:pos="360"/>
          <w:tab w:val="left" w:pos="720"/>
        </w:tabs>
        <w:ind w:left="360"/>
        <w:rPr>
          <w:sz w:val="18"/>
        </w:rPr>
      </w:pPr>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92199E">
        <w:rPr>
          <w:noProof/>
          <w:sz w:val="22"/>
        </w:rPr>
        <w:t>Information collection does not involve any payment or gifts to respondents other than remuneration of contractor or grantees.</w:t>
      </w:r>
      <w:r>
        <w:rPr>
          <w:sz w:val="22"/>
        </w:rPr>
        <w:fldChar w:fldCharType="end"/>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92199E" w:rsidRDefault="00DA05EE" w:rsidP="0092199E">
      <w:pPr>
        <w:keepLines/>
        <w:tabs>
          <w:tab w:val="left" w:pos="360"/>
          <w:tab w:val="left" w:pos="720"/>
        </w:tabs>
        <w:ind w:left="360"/>
        <w:rPr>
          <w:sz w:val="18"/>
        </w:rPr>
      </w:pPr>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92199E">
        <w:rPr>
          <w:noProof/>
          <w:sz w:val="22"/>
        </w:rPr>
        <w:t>No confidentiality promised.</w:t>
      </w:r>
      <w:r>
        <w:rPr>
          <w:sz w:val="22"/>
        </w:rPr>
        <w:fldChar w:fldCharType="end"/>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199E" w:rsidRDefault="00DA05EE" w:rsidP="0092199E">
      <w:pPr>
        <w:keepLines/>
        <w:tabs>
          <w:tab w:val="left" w:pos="360"/>
          <w:tab w:val="left" w:pos="720"/>
        </w:tabs>
        <w:ind w:left="360"/>
        <w:rPr>
          <w:sz w:val="18"/>
        </w:rPr>
      </w:pPr>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92199E">
        <w:rPr>
          <w:noProof/>
          <w:sz w:val="22"/>
        </w:rPr>
        <w:t>No requests are made for information of a sensitive nature.</w:t>
      </w:r>
      <w:r>
        <w:rPr>
          <w:sz w:val="22"/>
        </w:rPr>
        <w:fldChar w:fldCharType="end"/>
      </w:r>
    </w:p>
    <w:p w:rsidR="0092199E" w:rsidRDefault="0092199E" w:rsidP="0092199E">
      <w:pPr>
        <w:tabs>
          <w:tab w:val="left" w:pos="360"/>
        </w:tabs>
        <w:ind w:left="360" w:hanging="360"/>
        <w:rPr>
          <w:sz w:val="18"/>
        </w:rPr>
      </w:pPr>
    </w:p>
    <w:p w:rsidR="0092199E" w:rsidRDefault="00117668" w:rsidP="00117668">
      <w:pPr>
        <w:tabs>
          <w:tab w:val="left" w:pos="360"/>
        </w:tabs>
        <w:ind w:left="360" w:hanging="360"/>
        <w:rPr>
          <w:sz w:val="18"/>
        </w:rPr>
      </w:pPr>
      <w:r>
        <w:rPr>
          <w:sz w:val="18"/>
        </w:rPr>
        <w:t>12.</w:t>
      </w:r>
      <w:r>
        <w:rPr>
          <w:sz w:val="18"/>
        </w:rPr>
        <w:tab/>
        <w:t>E</w:t>
      </w:r>
      <w:r w:rsidR="0092199E">
        <w:rPr>
          <w:sz w:val="18"/>
        </w:rPr>
        <w:t>stimates of the hour burden of the collection of information</w:t>
      </w:r>
      <w:r>
        <w:rPr>
          <w:sz w:val="18"/>
        </w:rPr>
        <w:t>:</w:t>
      </w:r>
    </w:p>
    <w:p w:rsidR="0092199E" w:rsidRDefault="0092199E" w:rsidP="0092199E">
      <w:pPr>
        <w:keepLines/>
        <w:tabs>
          <w:tab w:val="left" w:pos="480"/>
        </w:tabs>
        <w:spacing w:after="80"/>
        <w:rPr>
          <w:sz w:val="18"/>
        </w:rPr>
      </w:pPr>
    </w:p>
    <w:tbl>
      <w:tblPr>
        <w:tblW w:w="0" w:type="auto"/>
        <w:tblInd w:w="468" w:type="dxa"/>
        <w:tblLook w:val="04A0"/>
      </w:tblPr>
      <w:tblGrid>
        <w:gridCol w:w="2520"/>
        <w:gridCol w:w="1418"/>
        <w:gridCol w:w="1372"/>
        <w:gridCol w:w="1170"/>
        <w:gridCol w:w="1350"/>
      </w:tblGrid>
      <w:tr w:rsidR="0092199E" w:rsidTr="0092199E">
        <w:tc>
          <w:tcPr>
            <w:tcW w:w="2520" w:type="dxa"/>
            <w:vAlign w:val="center"/>
            <w:hideMark/>
          </w:tcPr>
          <w:p w:rsidR="0092199E" w:rsidRDefault="0092199E">
            <w:pPr>
              <w:keepLines/>
              <w:tabs>
                <w:tab w:val="left" w:pos="480"/>
              </w:tabs>
              <w:spacing w:after="80"/>
              <w:rPr>
                <w:sz w:val="18"/>
              </w:rPr>
            </w:pPr>
            <w:r>
              <w:rPr>
                <w:sz w:val="18"/>
              </w:rPr>
              <w:t>Submissions</w:t>
            </w:r>
          </w:p>
        </w:tc>
        <w:tc>
          <w:tcPr>
            <w:tcW w:w="1418" w:type="dxa"/>
            <w:vAlign w:val="center"/>
            <w:hideMark/>
          </w:tcPr>
          <w:p w:rsidR="0092199E" w:rsidRDefault="00F07438" w:rsidP="00F07438">
            <w:pPr>
              <w:keepLines/>
              <w:tabs>
                <w:tab w:val="left" w:pos="480"/>
              </w:tabs>
              <w:spacing w:after="80"/>
              <w:rPr>
                <w:sz w:val="18"/>
              </w:rPr>
            </w:pPr>
            <w:r>
              <w:rPr>
                <w:sz w:val="18"/>
              </w:rPr>
              <w:t xml:space="preserve"># of Respondents and Responses      </w:t>
            </w:r>
          </w:p>
        </w:tc>
        <w:tc>
          <w:tcPr>
            <w:tcW w:w="1372" w:type="dxa"/>
            <w:vAlign w:val="center"/>
            <w:hideMark/>
          </w:tcPr>
          <w:p w:rsidR="0092199E" w:rsidRDefault="0092199E">
            <w:pPr>
              <w:keepLines/>
              <w:tabs>
                <w:tab w:val="left" w:pos="480"/>
              </w:tabs>
              <w:spacing w:after="80"/>
              <w:rPr>
                <w:sz w:val="18"/>
              </w:rPr>
            </w:pPr>
            <w:r>
              <w:rPr>
                <w:sz w:val="18"/>
              </w:rPr>
              <w:t>Annual Burden Hours</w:t>
            </w:r>
          </w:p>
        </w:tc>
        <w:tc>
          <w:tcPr>
            <w:tcW w:w="1170" w:type="dxa"/>
            <w:vAlign w:val="center"/>
            <w:hideMark/>
          </w:tcPr>
          <w:p w:rsidR="0092199E" w:rsidRDefault="0092199E">
            <w:pPr>
              <w:keepLines/>
              <w:tabs>
                <w:tab w:val="left" w:pos="480"/>
              </w:tabs>
              <w:spacing w:after="80"/>
              <w:rPr>
                <w:sz w:val="18"/>
              </w:rPr>
            </w:pPr>
            <w:r>
              <w:rPr>
                <w:sz w:val="18"/>
              </w:rPr>
              <w:t>Total</w:t>
            </w:r>
            <w:r w:rsidR="00F07438">
              <w:rPr>
                <w:sz w:val="18"/>
              </w:rPr>
              <w:t xml:space="preserve">    </w:t>
            </w:r>
          </w:p>
        </w:tc>
        <w:tc>
          <w:tcPr>
            <w:tcW w:w="1350" w:type="dxa"/>
            <w:vAlign w:val="center"/>
            <w:hideMark/>
          </w:tcPr>
          <w:p w:rsidR="0092199E" w:rsidRDefault="0092199E">
            <w:pPr>
              <w:keepLines/>
              <w:tabs>
                <w:tab w:val="left" w:pos="480"/>
              </w:tabs>
              <w:spacing w:after="80"/>
              <w:rPr>
                <w:sz w:val="18"/>
              </w:rPr>
            </w:pPr>
            <w:r>
              <w:rPr>
                <w:sz w:val="18"/>
              </w:rPr>
              <w:t>Annualized Cost @ $8/hour</w:t>
            </w:r>
          </w:p>
        </w:tc>
      </w:tr>
      <w:tr w:rsidR="0092199E" w:rsidTr="0092199E">
        <w:trPr>
          <w:trHeight w:val="662"/>
        </w:trPr>
        <w:tc>
          <w:tcPr>
            <w:tcW w:w="2520" w:type="dxa"/>
            <w:vAlign w:val="center"/>
            <w:hideMark/>
          </w:tcPr>
          <w:p w:rsidR="0092199E" w:rsidRDefault="0092199E">
            <w:pPr>
              <w:keepLines/>
              <w:tabs>
                <w:tab w:val="left" w:pos="480"/>
              </w:tabs>
              <w:spacing w:after="80"/>
              <w:rPr>
                <w:sz w:val="18"/>
              </w:rPr>
            </w:pPr>
            <w:r>
              <w:rPr>
                <w:sz w:val="18"/>
              </w:rPr>
              <w:t>Semi-Annual reports for all open grants (2 x 86)</w:t>
            </w:r>
          </w:p>
        </w:tc>
        <w:tc>
          <w:tcPr>
            <w:tcW w:w="1418" w:type="dxa"/>
            <w:vAlign w:val="center"/>
            <w:hideMark/>
          </w:tcPr>
          <w:p w:rsidR="0092199E" w:rsidRDefault="00F07438" w:rsidP="00F07438">
            <w:pPr>
              <w:keepLines/>
              <w:tabs>
                <w:tab w:val="left" w:pos="480"/>
              </w:tabs>
              <w:spacing w:after="80"/>
              <w:rPr>
                <w:sz w:val="18"/>
              </w:rPr>
            </w:pPr>
            <w:r>
              <w:rPr>
                <w:sz w:val="18"/>
              </w:rPr>
              <w:t xml:space="preserve">86           2   172  </w:t>
            </w:r>
          </w:p>
        </w:tc>
        <w:tc>
          <w:tcPr>
            <w:tcW w:w="1372" w:type="dxa"/>
            <w:vAlign w:val="center"/>
            <w:hideMark/>
          </w:tcPr>
          <w:p w:rsidR="0092199E" w:rsidRDefault="00F07438">
            <w:pPr>
              <w:keepLines/>
              <w:tabs>
                <w:tab w:val="left" w:pos="480"/>
              </w:tabs>
              <w:spacing w:after="80"/>
              <w:rPr>
                <w:sz w:val="18"/>
              </w:rPr>
            </w:pPr>
            <w:r>
              <w:rPr>
                <w:sz w:val="18"/>
              </w:rPr>
              <w:t>20</w:t>
            </w:r>
          </w:p>
        </w:tc>
        <w:tc>
          <w:tcPr>
            <w:tcW w:w="1170" w:type="dxa"/>
            <w:vAlign w:val="center"/>
            <w:hideMark/>
          </w:tcPr>
          <w:p w:rsidR="0092199E" w:rsidRDefault="0092199E">
            <w:pPr>
              <w:keepLines/>
              <w:tabs>
                <w:tab w:val="left" w:pos="480"/>
              </w:tabs>
              <w:spacing w:after="80"/>
              <w:rPr>
                <w:sz w:val="18"/>
              </w:rPr>
            </w:pPr>
            <w:r>
              <w:rPr>
                <w:sz w:val="18"/>
              </w:rPr>
              <w:t>3440</w:t>
            </w:r>
          </w:p>
        </w:tc>
        <w:tc>
          <w:tcPr>
            <w:tcW w:w="1350" w:type="dxa"/>
            <w:vAlign w:val="center"/>
            <w:hideMark/>
          </w:tcPr>
          <w:p w:rsidR="0092199E" w:rsidRDefault="0092199E">
            <w:pPr>
              <w:keepLines/>
              <w:tabs>
                <w:tab w:val="left" w:pos="480"/>
              </w:tabs>
              <w:spacing w:after="80"/>
              <w:rPr>
                <w:sz w:val="18"/>
              </w:rPr>
            </w:pPr>
            <w:r>
              <w:rPr>
                <w:sz w:val="18"/>
              </w:rPr>
              <w:t>$27,520</w:t>
            </w:r>
          </w:p>
        </w:tc>
      </w:tr>
      <w:tr w:rsidR="0092199E" w:rsidTr="0092199E">
        <w:trPr>
          <w:trHeight w:val="662"/>
        </w:trPr>
        <w:tc>
          <w:tcPr>
            <w:tcW w:w="2520" w:type="dxa"/>
            <w:vAlign w:val="center"/>
            <w:hideMark/>
          </w:tcPr>
          <w:p w:rsidR="0092199E" w:rsidRDefault="0092199E">
            <w:pPr>
              <w:keepLines/>
              <w:tabs>
                <w:tab w:val="left" w:pos="480"/>
              </w:tabs>
              <w:spacing w:after="80"/>
              <w:rPr>
                <w:sz w:val="18"/>
              </w:rPr>
            </w:pPr>
            <w:r>
              <w:rPr>
                <w:sz w:val="18"/>
              </w:rPr>
              <w:t>Total</w:t>
            </w:r>
          </w:p>
        </w:tc>
        <w:tc>
          <w:tcPr>
            <w:tcW w:w="1418" w:type="dxa"/>
            <w:vAlign w:val="center"/>
            <w:hideMark/>
          </w:tcPr>
          <w:p w:rsidR="0092199E" w:rsidRDefault="00F07438">
            <w:pPr>
              <w:keepLines/>
              <w:tabs>
                <w:tab w:val="left" w:pos="480"/>
              </w:tabs>
              <w:spacing w:after="80"/>
              <w:rPr>
                <w:sz w:val="18"/>
              </w:rPr>
            </w:pPr>
            <w:r>
              <w:rPr>
                <w:sz w:val="18"/>
              </w:rPr>
              <w:t>86          2    172</w:t>
            </w:r>
          </w:p>
        </w:tc>
        <w:tc>
          <w:tcPr>
            <w:tcW w:w="1372" w:type="dxa"/>
            <w:vAlign w:val="center"/>
            <w:hideMark/>
          </w:tcPr>
          <w:p w:rsidR="0092199E" w:rsidRDefault="00F07438">
            <w:pPr>
              <w:keepLines/>
              <w:tabs>
                <w:tab w:val="left" w:pos="480"/>
              </w:tabs>
              <w:spacing w:after="80"/>
              <w:rPr>
                <w:sz w:val="18"/>
              </w:rPr>
            </w:pPr>
            <w:r>
              <w:rPr>
                <w:sz w:val="18"/>
              </w:rPr>
              <w:t>20</w:t>
            </w:r>
          </w:p>
        </w:tc>
        <w:tc>
          <w:tcPr>
            <w:tcW w:w="1170" w:type="dxa"/>
            <w:vAlign w:val="center"/>
            <w:hideMark/>
          </w:tcPr>
          <w:p w:rsidR="0092199E" w:rsidRDefault="0092199E">
            <w:pPr>
              <w:keepLines/>
              <w:tabs>
                <w:tab w:val="left" w:pos="480"/>
              </w:tabs>
              <w:spacing w:after="80"/>
              <w:rPr>
                <w:sz w:val="18"/>
              </w:rPr>
            </w:pPr>
            <w:r>
              <w:rPr>
                <w:sz w:val="18"/>
              </w:rPr>
              <w:t>3440</w:t>
            </w:r>
          </w:p>
        </w:tc>
        <w:tc>
          <w:tcPr>
            <w:tcW w:w="1350" w:type="dxa"/>
            <w:vAlign w:val="center"/>
            <w:hideMark/>
          </w:tcPr>
          <w:p w:rsidR="0092199E" w:rsidRDefault="0092199E">
            <w:pPr>
              <w:keepLines/>
              <w:tabs>
                <w:tab w:val="left" w:pos="480"/>
              </w:tabs>
              <w:spacing w:after="80"/>
              <w:rPr>
                <w:sz w:val="18"/>
              </w:rPr>
            </w:pPr>
            <w:r>
              <w:rPr>
                <w:sz w:val="18"/>
              </w:rPr>
              <w:t>$27,520</w:t>
            </w:r>
          </w:p>
        </w:tc>
      </w:tr>
    </w:tbl>
    <w:p w:rsidR="0092199E" w:rsidRDefault="0092199E" w:rsidP="0092199E">
      <w:pPr>
        <w:tabs>
          <w:tab w:val="left" w:pos="360"/>
        </w:tabs>
        <w:ind w:left="360" w:hanging="360"/>
        <w:rPr>
          <w:sz w:val="18"/>
        </w:rPr>
      </w:pPr>
    </w:p>
    <w:p w:rsidR="0092199E" w:rsidRDefault="0092199E" w:rsidP="00117668">
      <w:p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r w:rsidR="00117668">
        <w:rPr>
          <w:sz w:val="18"/>
        </w:rPr>
        <w:t xml:space="preserve">  </w:t>
      </w:r>
      <w:r w:rsidR="00DA05EE">
        <w:rPr>
          <w:sz w:val="22"/>
        </w:rPr>
        <w:fldChar w:fldCharType="begin">
          <w:ffData>
            <w:name w:val="Text22"/>
            <w:enabled/>
            <w:calcOnExit w:val="0"/>
            <w:textInput/>
          </w:ffData>
        </w:fldChar>
      </w:r>
      <w:r>
        <w:rPr>
          <w:sz w:val="22"/>
        </w:rPr>
        <w:instrText xml:space="preserve"> FORMTEXT </w:instrText>
      </w:r>
      <w:r w:rsidR="00DA05EE">
        <w:rPr>
          <w:sz w:val="22"/>
        </w:rPr>
      </w:r>
      <w:r w:rsidR="00DA05EE">
        <w:rPr>
          <w:sz w:val="22"/>
        </w:rPr>
        <w:fldChar w:fldCharType="separate"/>
      </w:r>
      <w:r>
        <w:rPr>
          <w:noProof/>
          <w:sz w:val="22"/>
        </w:rPr>
        <w:t>There are no additional costs other than those shown in #12.</w:t>
      </w:r>
      <w:r w:rsidR="00DA05EE">
        <w:rPr>
          <w:sz w:val="22"/>
        </w:rPr>
        <w:fldChar w:fldCharType="end"/>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rPr>
          <w:sz w:val="18"/>
        </w:rPr>
      </w:pPr>
      <w:r>
        <w:rPr>
          <w:sz w:val="18"/>
        </w:rPr>
        <w:t>14.</w:t>
      </w:r>
      <w:r>
        <w:rPr>
          <w:sz w:val="18"/>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2199E" w:rsidRDefault="00DA05EE" w:rsidP="0092199E">
      <w:pPr>
        <w:keepLines/>
        <w:tabs>
          <w:tab w:val="left" w:pos="360"/>
          <w:tab w:val="left" w:pos="720"/>
        </w:tabs>
        <w:ind w:left="360"/>
        <w:rPr>
          <w:noProof/>
          <w:sz w:val="22"/>
        </w:rPr>
      </w:pPr>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92199E">
        <w:rPr>
          <w:noProof/>
          <w:sz w:val="22"/>
        </w:rPr>
        <w:t xml:space="preserve">Annualized Cost to the Federal Government:  Grant Administration     </w:t>
      </w:r>
    </w:p>
    <w:p w:rsidR="0092199E" w:rsidRDefault="0092199E" w:rsidP="0092199E">
      <w:pPr>
        <w:keepLines/>
        <w:tabs>
          <w:tab w:val="left" w:pos="360"/>
          <w:tab w:val="left" w:pos="720"/>
        </w:tabs>
        <w:ind w:left="360"/>
        <w:rPr>
          <w:sz w:val="18"/>
        </w:rPr>
      </w:pPr>
      <w:r>
        <w:rPr>
          <w:noProof/>
          <w:sz w:val="22"/>
        </w:rPr>
        <w:t>172 semi-annual reports $40/hr x  5 hours  = $</w:t>
      </w:r>
      <w:r w:rsidR="00DA05EE">
        <w:rPr>
          <w:sz w:val="22"/>
        </w:rPr>
        <w:fldChar w:fldCharType="end"/>
      </w:r>
      <w:r>
        <w:rPr>
          <w:sz w:val="22"/>
        </w:rPr>
        <w:t>34,400</w:t>
      </w:r>
      <w:r>
        <w:rPr>
          <w:sz w:val="18"/>
        </w:rPr>
        <w:t xml:space="preserve"> </w:t>
      </w:r>
    </w:p>
    <w:p w:rsidR="0092199E" w:rsidRDefault="0092199E" w:rsidP="0092199E">
      <w:pPr>
        <w:keepLines/>
        <w:tabs>
          <w:tab w:val="left" w:pos="360"/>
          <w:tab w:val="left" w:pos="720"/>
        </w:tabs>
        <w:ind w:left="360"/>
        <w:rPr>
          <w:sz w:val="18"/>
        </w:rPr>
      </w:pPr>
    </w:p>
    <w:p w:rsidR="0092199E" w:rsidRDefault="0092199E" w:rsidP="0092199E">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92199E" w:rsidRDefault="001D6B02" w:rsidP="0092199E">
      <w:pPr>
        <w:keepLines/>
        <w:tabs>
          <w:tab w:val="left" w:pos="360"/>
        </w:tabs>
        <w:spacing w:after="80"/>
        <w:ind w:left="360" w:hanging="360"/>
        <w:rPr>
          <w:sz w:val="18"/>
        </w:rPr>
      </w:pPr>
      <w:r>
        <w:rPr>
          <w:sz w:val="18"/>
        </w:rPr>
        <w:tab/>
        <w:t>This is a</w:t>
      </w:r>
      <w:r w:rsidR="00117668">
        <w:rPr>
          <w:sz w:val="18"/>
        </w:rPr>
        <w:t xml:space="preserve"> reinstatement without change of a previously</w:t>
      </w:r>
      <w:r w:rsidR="0092199E">
        <w:rPr>
          <w:sz w:val="18"/>
        </w:rPr>
        <w:t xml:space="preserve"> approved collection.   Beginning in fiscal year 2007, the </w:t>
      </w:r>
      <w:proofErr w:type="spellStart"/>
      <w:r w:rsidR="0092199E">
        <w:rPr>
          <w:sz w:val="18"/>
        </w:rPr>
        <w:t>Youthbuild</w:t>
      </w:r>
      <w:proofErr w:type="spellEnd"/>
      <w:r w:rsidR="0092199E">
        <w:rPr>
          <w:sz w:val="18"/>
        </w:rPr>
        <w:t xml:space="preserve"> Program transferred to the Department of Labor.  This information collection is for gra</w:t>
      </w:r>
      <w:r>
        <w:rPr>
          <w:sz w:val="18"/>
        </w:rPr>
        <w:t>nt administration only.  HUD</w:t>
      </w:r>
      <w:r w:rsidR="0092199E">
        <w:rPr>
          <w:sz w:val="18"/>
        </w:rPr>
        <w:t xml:space="preserve"> </w:t>
      </w:r>
      <w:r>
        <w:rPr>
          <w:sz w:val="18"/>
        </w:rPr>
        <w:t xml:space="preserve">will retain this responsibility for all Fiscal Year </w:t>
      </w:r>
      <w:r w:rsidR="0092199E">
        <w:rPr>
          <w:sz w:val="18"/>
        </w:rPr>
        <w:t xml:space="preserve">2006 and earlier grants until grant closeout.    </w:t>
      </w:r>
    </w:p>
    <w:p w:rsidR="0092199E" w:rsidRDefault="0092199E" w:rsidP="0092199E">
      <w:pPr>
        <w:tabs>
          <w:tab w:val="left" w:pos="360"/>
        </w:tabs>
        <w:ind w:left="360" w:hanging="360"/>
        <w:rPr>
          <w:sz w:val="18"/>
        </w:rPr>
      </w:pPr>
    </w:p>
    <w:p w:rsidR="0092199E" w:rsidRDefault="0092199E" w:rsidP="00B04E3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B04E3C">
        <w:rPr>
          <w:sz w:val="18"/>
        </w:rPr>
        <w:t xml:space="preserve">  </w:t>
      </w:r>
      <w:r w:rsidR="00DA05EE">
        <w:rPr>
          <w:sz w:val="22"/>
        </w:rPr>
        <w:fldChar w:fldCharType="begin">
          <w:ffData>
            <w:name w:val="Text22"/>
            <w:enabled/>
            <w:calcOnExit w:val="0"/>
            <w:textInput/>
          </w:ffData>
        </w:fldChar>
      </w:r>
      <w:r>
        <w:rPr>
          <w:sz w:val="22"/>
        </w:rPr>
        <w:instrText xml:space="preserve"> FORMTEXT </w:instrText>
      </w:r>
      <w:r w:rsidR="00DA05EE">
        <w:rPr>
          <w:sz w:val="22"/>
        </w:rPr>
      </w:r>
      <w:r w:rsidR="00DA05EE">
        <w:rPr>
          <w:sz w:val="22"/>
        </w:rPr>
        <w:fldChar w:fldCharType="separate"/>
      </w:r>
      <w:r>
        <w:rPr>
          <w:sz w:val="22"/>
        </w:rPr>
        <w:t xml:space="preserve">Results will not be published. </w:t>
      </w:r>
      <w:r w:rsidR="00DA05EE">
        <w:rPr>
          <w:sz w:val="22"/>
        </w:rPr>
        <w:fldChar w:fldCharType="end"/>
      </w:r>
    </w:p>
    <w:p w:rsidR="0092199E" w:rsidRDefault="0092199E" w:rsidP="0092199E">
      <w:pPr>
        <w:tabs>
          <w:tab w:val="left" w:pos="360"/>
        </w:tabs>
        <w:ind w:left="360" w:hanging="360"/>
        <w:rPr>
          <w:sz w:val="18"/>
        </w:rPr>
      </w:pPr>
    </w:p>
    <w:p w:rsidR="0092199E" w:rsidRDefault="0092199E" w:rsidP="00B04E3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r w:rsidR="00B04E3C">
        <w:rPr>
          <w:sz w:val="18"/>
        </w:rPr>
        <w:t xml:space="preserve">  </w:t>
      </w:r>
      <w:r w:rsidR="00DA05EE">
        <w:rPr>
          <w:sz w:val="22"/>
        </w:rPr>
        <w:fldChar w:fldCharType="begin">
          <w:ffData>
            <w:name w:val="Text22"/>
            <w:enabled/>
            <w:calcOnExit w:val="0"/>
            <w:textInput/>
          </w:ffData>
        </w:fldChar>
      </w:r>
      <w:r>
        <w:rPr>
          <w:sz w:val="22"/>
        </w:rPr>
        <w:instrText xml:space="preserve"> FORMTEXT </w:instrText>
      </w:r>
      <w:r w:rsidR="00DA05EE">
        <w:rPr>
          <w:sz w:val="22"/>
        </w:rPr>
      </w:r>
      <w:r w:rsidR="00DA05EE">
        <w:rPr>
          <w:sz w:val="22"/>
        </w:rPr>
        <w:fldChar w:fldCharType="separate"/>
      </w:r>
      <w:r>
        <w:rPr>
          <w:sz w:val="22"/>
        </w:rPr>
        <w:t>Expiration date for OMB approval will be displayed</w:t>
      </w:r>
      <w:r w:rsidR="00DA05EE">
        <w:rPr>
          <w:sz w:val="22"/>
        </w:rPr>
        <w:fldChar w:fldCharType="end"/>
      </w:r>
    </w:p>
    <w:p w:rsidR="0092199E" w:rsidRDefault="0092199E" w:rsidP="0092199E">
      <w:pPr>
        <w:tabs>
          <w:tab w:val="left" w:pos="360"/>
        </w:tabs>
        <w:ind w:left="360" w:hanging="360"/>
        <w:rPr>
          <w:sz w:val="18"/>
        </w:rPr>
      </w:pPr>
    </w:p>
    <w:p w:rsidR="0092199E" w:rsidRDefault="0092199E" w:rsidP="0092199E">
      <w:pPr>
        <w:keepLines/>
        <w:tabs>
          <w:tab w:val="left" w:pos="360"/>
        </w:tabs>
        <w:spacing w:after="80"/>
        <w:ind w:left="360" w:hanging="360"/>
      </w:pPr>
      <w:r>
        <w:rPr>
          <w:sz w:val="18"/>
        </w:rPr>
        <w:t>18.</w:t>
      </w:r>
      <w:r>
        <w:rPr>
          <w:sz w:val="18"/>
        </w:rPr>
        <w:tab/>
        <w:t>Explain each exception to the certification statement identified in item 19.</w:t>
      </w:r>
    </w:p>
    <w:p w:rsidR="0092199E" w:rsidRDefault="0092199E" w:rsidP="0092199E">
      <w:pPr>
        <w:tabs>
          <w:tab w:val="left" w:pos="360"/>
          <w:tab w:val="left" w:pos="720"/>
        </w:tabs>
        <w:ind w:left="360"/>
      </w:pPr>
    </w:p>
    <w:p w:rsidR="0092199E" w:rsidRDefault="0092199E" w:rsidP="0092199E">
      <w:pPr>
        <w:tabs>
          <w:tab w:val="left" w:pos="360"/>
          <w:tab w:val="left" w:pos="720"/>
        </w:tabs>
        <w:ind w:left="360"/>
      </w:pPr>
      <w:r>
        <w:t>There are not exceptions to the certification statement.</w:t>
      </w:r>
    </w:p>
    <w:p w:rsidR="0092199E" w:rsidRDefault="0092199E" w:rsidP="0092199E">
      <w:pPr>
        <w:tabs>
          <w:tab w:val="left" w:pos="360"/>
          <w:tab w:val="left" w:pos="720"/>
        </w:tabs>
      </w:pPr>
    </w:p>
    <w:p w:rsidR="0092199E" w:rsidRDefault="0092199E" w:rsidP="0092199E">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2199E" w:rsidRDefault="0092199E" w:rsidP="0092199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781C90" w:rsidRDefault="00DA05EE" w:rsidP="0092199E">
      <w:r>
        <w:rPr>
          <w:sz w:val="22"/>
        </w:rPr>
        <w:fldChar w:fldCharType="begin">
          <w:ffData>
            <w:name w:val="Text22"/>
            <w:enabled/>
            <w:calcOnExit w:val="0"/>
            <w:textInput/>
          </w:ffData>
        </w:fldChar>
      </w:r>
      <w:r w:rsidR="0092199E">
        <w:rPr>
          <w:sz w:val="22"/>
        </w:rPr>
        <w:instrText xml:space="preserve"> FORMTEXT </w:instrText>
      </w:r>
      <w:r>
        <w:rPr>
          <w:sz w:val="22"/>
        </w:rPr>
      </w:r>
      <w:r>
        <w:rPr>
          <w:sz w:val="22"/>
        </w:rPr>
        <w:fldChar w:fldCharType="separate"/>
      </w:r>
      <w:r w:rsidR="0092199E">
        <w:rPr>
          <w:noProof/>
          <w:sz w:val="22"/>
        </w:rPr>
        <w:t>None</w:t>
      </w:r>
      <w:r>
        <w:rPr>
          <w:sz w:val="22"/>
        </w:rPr>
        <w:fldChar w:fldCharType="end"/>
      </w:r>
    </w:p>
    <w:sectPr w:rsidR="00781C90" w:rsidSect="00BC14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pPr>
        <w:ind w:left="0" w:firstLine="0"/>
      </w:pPr>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num w:numId="1">
    <w:abstractNumId w:val="1"/>
    <w:lvlOverride w:ilvl="0">
      <w:startOverride w:val="7"/>
    </w:lvlOverride>
  </w:num>
  <w:num w:numId="2">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00"/>
  <w:displayHorizontalDrawingGridEvery w:val="2"/>
  <w:characterSpacingControl w:val="doNotCompress"/>
  <w:compat/>
  <w:rsids>
    <w:rsidRoot w:val="0092199E"/>
    <w:rsid w:val="00016779"/>
    <w:rsid w:val="00117668"/>
    <w:rsid w:val="001D6B02"/>
    <w:rsid w:val="002C5A42"/>
    <w:rsid w:val="006A5A5F"/>
    <w:rsid w:val="006C0D42"/>
    <w:rsid w:val="007108C7"/>
    <w:rsid w:val="00781C90"/>
    <w:rsid w:val="0092199E"/>
    <w:rsid w:val="00A34B88"/>
    <w:rsid w:val="00B04E3C"/>
    <w:rsid w:val="00B708D3"/>
    <w:rsid w:val="00BC14D7"/>
    <w:rsid w:val="00DA05EE"/>
    <w:rsid w:val="00F07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99E"/>
    <w:pPr>
      <w:overflowPunct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92199E"/>
    <w:pPr>
      <w:keepLines/>
      <w:tabs>
        <w:tab w:val="left" w:pos="360"/>
      </w:tabs>
      <w:spacing w:after="80"/>
      <w:ind w:left="360"/>
    </w:pPr>
    <w:rPr>
      <w:sz w:val="18"/>
    </w:rPr>
  </w:style>
  <w:style w:type="character" w:customStyle="1" w:styleId="BodyTextIndentChar">
    <w:name w:val="Body Text Indent Char"/>
    <w:basedOn w:val="DefaultParagraphFont"/>
    <w:link w:val="BodyTextIndent"/>
    <w:rsid w:val="0092199E"/>
    <w:rPr>
      <w:sz w:val="18"/>
    </w:rPr>
  </w:style>
</w:styles>
</file>

<file path=word/webSettings.xml><?xml version="1.0" encoding="utf-8"?>
<w:webSettings xmlns:r="http://schemas.openxmlformats.org/officeDocument/2006/relationships" xmlns:w="http://schemas.openxmlformats.org/wordprocessingml/2006/main">
  <w:divs>
    <w:div w:id="5111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3</cp:revision>
  <dcterms:created xsi:type="dcterms:W3CDTF">2010-08-17T17:39:00Z</dcterms:created>
  <dcterms:modified xsi:type="dcterms:W3CDTF">2010-08-17T17:41:00Z</dcterms:modified>
</cp:coreProperties>
</file>