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9D" w:rsidRDefault="003A1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3A109D" w:rsidRDefault="003A109D">
      <w:pPr>
        <w:pStyle w:val="Heading1"/>
      </w:pPr>
      <w:r>
        <w:t>Financial Statement of Corporate Application for Cooperative</w:t>
      </w: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Housing Mortgage</w:t>
      </w: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2502-0058</w:t>
      </w: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(Form HUD-93232-A)</w:t>
      </w: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3A109D" w:rsidRDefault="003A10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color w:val="000000"/>
          <w:sz w:val="24"/>
        </w:rPr>
      </w:pPr>
      <w:r>
        <w:rPr>
          <w:rFonts w:ascii="Helvetica" w:hAnsi="Helvetica"/>
          <w:b/>
          <w:sz w:val="24"/>
        </w:rPr>
        <w:t xml:space="preserve">A. </w:t>
      </w:r>
      <w:r>
        <w:rPr>
          <w:rFonts w:ascii="Helvetica" w:hAnsi="Helvetica"/>
          <w:b/>
          <w:sz w:val="24"/>
        </w:rPr>
        <w:tab/>
        <w:t>Justi</w:t>
      </w:r>
      <w:r>
        <w:rPr>
          <w:rFonts w:ascii="Helvetica" w:hAnsi="Helvetica"/>
          <w:b/>
          <w:color w:val="000000"/>
          <w:sz w:val="24"/>
        </w:rPr>
        <w:t xml:space="preserve">fication    </w:t>
      </w:r>
    </w:p>
    <w:p w:rsidR="003A109D" w:rsidRDefault="003A1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3A109D" w:rsidRDefault="003A1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r>
        <w:rPr>
          <w:color w:val="000000"/>
          <w:sz w:val="24"/>
        </w:rPr>
        <w:t>1.</w:t>
      </w:r>
      <w:r>
        <w:rPr>
          <w:color w:val="000000"/>
          <w:sz w:val="24"/>
        </w:rPr>
        <w:tab/>
      </w:r>
      <w:r>
        <w:rPr>
          <w:sz w:val="24"/>
        </w:rPr>
        <w:t>Sections 213 and 221(d</w:t>
      </w:r>
      <w:proofErr w:type="gramStart"/>
      <w:r>
        <w:rPr>
          <w:sz w:val="24"/>
        </w:rPr>
        <w:t>)(</w:t>
      </w:r>
      <w:proofErr w:type="gramEnd"/>
      <w:r>
        <w:rPr>
          <w:sz w:val="24"/>
        </w:rPr>
        <w:t xml:space="preserve">3) of the National Housing Act, as amended authorizes the Secretary to insure mortgages covering property held by a non-profit cooperative ownership-housing corporation. Section 213 insures mortgage loans to facilitate the construction, substantial rehabilitation, and purchase of cooperative housing projects. Each member shares in the ownership of the whole project with the exclusive right to occupy a specific unit and to participate in project operations through the purchase of stock. </w:t>
      </w:r>
    </w:p>
    <w:p w:rsidR="003A109D" w:rsidRDefault="003A109D">
      <w:pPr>
        <w:rPr>
          <w:sz w:val="24"/>
        </w:rPr>
      </w:pPr>
    </w:p>
    <w:p w:rsidR="003A109D" w:rsidRDefault="003A109D">
      <w:pPr>
        <w:ind w:left="360"/>
        <w:rPr>
          <w:sz w:val="24"/>
        </w:rPr>
      </w:pPr>
      <w:r>
        <w:rPr>
          <w:sz w:val="24"/>
        </w:rPr>
        <w:t>“Any mortgage insured under this section shall provide for complete amortization by periodic payments within such terms as the Secretary may prescribe but not to exceed forty years from the beginning of amortization of the mortgage…”</w:t>
      </w:r>
    </w:p>
    <w:p w:rsidR="003A109D" w:rsidRDefault="003A109D">
      <w:pPr>
        <w:rPr>
          <w:sz w:val="24"/>
        </w:rPr>
      </w:pPr>
    </w:p>
    <w:p w:rsidR="003A109D" w:rsidRDefault="003A109D">
      <w:pPr>
        <w:ind w:left="360"/>
        <w:rPr>
          <w:sz w:val="24"/>
        </w:rPr>
      </w:pPr>
      <w:r>
        <w:rPr>
          <w:sz w:val="24"/>
        </w:rPr>
        <w:t>The Department is required to determine the capacity of the borrower corporation and the individual members to meet the statutory requirements for repayment. The Department must review the applicant’s financial and credit history to determine whether there is a potential risk to the Insurance Fund.</w:t>
      </w:r>
    </w:p>
    <w:p w:rsidR="003A109D" w:rsidRDefault="003A109D">
      <w:pPr>
        <w:rPr>
          <w:sz w:val="24"/>
        </w:rPr>
      </w:pPr>
    </w:p>
    <w:p w:rsidR="003A109D" w:rsidRDefault="003A109D">
      <w:pPr>
        <w:pStyle w:val="BodyTextIndent"/>
      </w:pPr>
      <w:r>
        <w:t>2.</w:t>
      </w:r>
      <w:r>
        <w:tab/>
        <w:t>The Department is required to conduct a credit investigation of all applicants applying for mortgage insurance.  Credit reports on the individual members and their personal financial statements are submitted on HUD-93232-A in order to determine their credit standing, ability to pay, and stability of employment.  An analysis of the financial capacity will assist the Department in accurately assessing the credit risk in regards to the loan amount and amortization period.</w:t>
      </w:r>
    </w:p>
    <w:p w:rsidR="003A109D" w:rsidRDefault="003A109D">
      <w:pPr>
        <w:rPr>
          <w:sz w:val="24"/>
        </w:rPr>
      </w:pPr>
    </w:p>
    <w:p w:rsidR="003A109D" w:rsidRDefault="003A109D">
      <w:pPr>
        <w:pStyle w:val="BodyTextIndent"/>
      </w:pPr>
      <w:r>
        <w:t>3.</w:t>
      </w:r>
      <w:r>
        <w:tab/>
      </w:r>
      <w:r w:rsidR="00625A7C">
        <w:t>The collection of information does not involve the use of automation.  HUD and the Office of Housing are undergoing a transformation of the IT infrastructure which will dictate the type of automated systems that will be developed.  It is imperative that the automatic system developed adequately address concern for confidentiality (due to the nature of data reported) and the need and ability to capture E-signatures.  Until the IT transformation has materialized, it is difficult to establish a viable electronic intake process that will be sustained.</w:t>
      </w:r>
    </w:p>
    <w:p w:rsidR="003A109D" w:rsidRDefault="003A109D">
      <w:pPr>
        <w:rPr>
          <w:sz w:val="24"/>
        </w:rPr>
      </w:pPr>
    </w:p>
    <w:p w:rsidR="003A109D" w:rsidRDefault="003A109D">
      <w:pPr>
        <w:pStyle w:val="BodyTextIndent"/>
      </w:pPr>
      <w:r>
        <w:t>4.</w:t>
      </w:r>
      <w:r>
        <w:tab/>
      </w:r>
      <w:r w:rsidR="00625A7C">
        <w:t>This information is not collected elsewhere.  A review of Multifamily Housing information collections confirms that no other information collection provides this particular information.</w:t>
      </w:r>
    </w:p>
    <w:p w:rsidR="003A109D" w:rsidRDefault="003A109D">
      <w:pPr>
        <w:rPr>
          <w:sz w:val="24"/>
        </w:rPr>
      </w:pPr>
    </w:p>
    <w:p w:rsidR="003A109D" w:rsidRDefault="003A109D">
      <w:pPr>
        <w:pStyle w:val="BodyTextIndent"/>
      </w:pPr>
      <w:r>
        <w:t>5.</w:t>
      </w:r>
      <w:r>
        <w:tab/>
        <w:t>There are no small businesses or other small entities involved in the collection of this information.</w:t>
      </w:r>
    </w:p>
    <w:p w:rsidR="003A109D" w:rsidRDefault="003A109D">
      <w:pPr>
        <w:rPr>
          <w:sz w:val="24"/>
        </w:rPr>
      </w:pPr>
    </w:p>
    <w:p w:rsidR="003A109D" w:rsidRDefault="003A109D">
      <w:pPr>
        <w:pStyle w:val="BodyTextIndent"/>
      </w:pPr>
      <w:r>
        <w:t>6.</w:t>
      </w:r>
      <w:r>
        <w:tab/>
        <w:t xml:space="preserve">The information is collected only once, with the mortgage insurance application and the form is required to receive benefits.   </w:t>
      </w:r>
    </w:p>
    <w:p w:rsidR="003A109D" w:rsidRDefault="003A109D">
      <w:pPr>
        <w:rPr>
          <w:sz w:val="24"/>
        </w:rPr>
      </w:pPr>
    </w:p>
    <w:p w:rsidR="003A109D" w:rsidRDefault="003A109D">
      <w:pPr>
        <w:pStyle w:val="BodyTextIndent"/>
      </w:pPr>
      <w:r>
        <w:t>7.</w:t>
      </w:r>
      <w:r>
        <w:tab/>
        <w:t>The need for this type of information has not changed since the programs were enacted.  Each borrower and cooperative corporation must be found to posses the capability and financial capacity to meet repayment terms of the insured mortgage.  There have been no changes to the statutory requirements that these loans are viable and the form has proved adequate and satisfactory for carrying out that task.</w:t>
      </w:r>
    </w:p>
    <w:p w:rsidR="00C81980" w:rsidRDefault="00C81980">
      <w:pPr>
        <w:pStyle w:val="BodyTextIndent"/>
      </w:pPr>
    </w:p>
    <w:p w:rsidR="00C81980" w:rsidRDefault="00C81980">
      <w:pPr>
        <w:pStyle w:val="BodyTextIndent"/>
      </w:pPr>
    </w:p>
    <w:p w:rsidR="003A109D" w:rsidRDefault="003A109D">
      <w:pPr>
        <w:pStyle w:val="BodyTextIndent"/>
      </w:pPr>
    </w:p>
    <w:p w:rsidR="00C81980" w:rsidRDefault="003A109D">
      <w:pPr>
        <w:pStyle w:val="BodyTextIndent"/>
      </w:pPr>
      <w:r>
        <w:lastRenderedPageBreak/>
        <w:t xml:space="preserve">8.   Information collected is conducted in a manner consistent with the guidelines of 5 CFR 1320.8(d).  The Notice announcing this collection of information appeared in the </w:t>
      </w:r>
      <w:r>
        <w:rPr>
          <w:i/>
          <w:iCs/>
        </w:rPr>
        <w:t xml:space="preserve">Federal Register </w:t>
      </w:r>
      <w:r>
        <w:t xml:space="preserve">on </w:t>
      </w:r>
      <w:r w:rsidR="00667191">
        <w:t>04</w:t>
      </w:r>
      <w:r w:rsidR="00A85402">
        <w:t>/</w:t>
      </w:r>
      <w:r w:rsidR="00667191">
        <w:t>22</w:t>
      </w:r>
      <w:r w:rsidR="00A85402">
        <w:t>/</w:t>
      </w:r>
      <w:r w:rsidR="00667191">
        <w:t>2010</w:t>
      </w:r>
      <w:r w:rsidR="00A85402">
        <w:t xml:space="preserve">, </w:t>
      </w:r>
      <w:r>
        <w:t xml:space="preserve">Vol. </w:t>
      </w:r>
      <w:r w:rsidR="00667191">
        <w:t>75</w:t>
      </w:r>
    </w:p>
    <w:p w:rsidR="003A109D" w:rsidRDefault="003A109D">
      <w:pPr>
        <w:pStyle w:val="BodyTextIndent"/>
      </w:pPr>
      <w:proofErr w:type="gramStart"/>
      <w:r>
        <w:t>No.</w:t>
      </w:r>
      <w:r w:rsidR="00A85402">
        <w:t xml:space="preserve"> </w:t>
      </w:r>
      <w:r w:rsidR="00667191">
        <w:t>77</w:t>
      </w:r>
      <w:r>
        <w:t xml:space="preserve">, </w:t>
      </w:r>
      <w:r w:rsidR="0025411D">
        <w:t>page</w:t>
      </w:r>
      <w:r w:rsidR="00A85402">
        <w:t xml:space="preserve"> </w:t>
      </w:r>
      <w:r w:rsidR="00667191">
        <w:t>21019</w:t>
      </w:r>
      <w:r w:rsidR="0025411D">
        <w:t>.</w:t>
      </w:r>
      <w:proofErr w:type="gramEnd"/>
      <w:r w:rsidR="0025411D">
        <w:t xml:space="preserve"> </w:t>
      </w:r>
      <w:r>
        <w:t xml:space="preserve">  </w:t>
      </w:r>
      <w:r w:rsidR="003B7565">
        <w:t xml:space="preserve">No </w:t>
      </w:r>
      <w:r w:rsidR="00A85402">
        <w:t>c</w:t>
      </w:r>
      <w:r w:rsidR="00C81980">
        <w:t>omments</w:t>
      </w:r>
      <w:r w:rsidR="00660AEA">
        <w:t xml:space="preserve"> </w:t>
      </w:r>
      <w:r>
        <w:t>received.</w:t>
      </w:r>
    </w:p>
    <w:p w:rsidR="003A109D" w:rsidRDefault="003A109D">
      <w:pPr>
        <w:rPr>
          <w:sz w:val="24"/>
        </w:rPr>
      </w:pPr>
    </w:p>
    <w:p w:rsidR="003A109D" w:rsidRDefault="003A109D">
      <w:pPr>
        <w:pStyle w:val="BodyTextIndent"/>
      </w:pPr>
      <w:r>
        <w:t>9.</w:t>
      </w:r>
      <w:r>
        <w:tab/>
        <w:t>There will be no gifts or payments given to respondents.</w:t>
      </w:r>
    </w:p>
    <w:p w:rsidR="003A109D" w:rsidRDefault="003A109D">
      <w:pPr>
        <w:rPr>
          <w:sz w:val="24"/>
        </w:rPr>
      </w:pPr>
    </w:p>
    <w:p w:rsidR="003A109D" w:rsidRDefault="003A109D">
      <w:pPr>
        <w:pStyle w:val="BodyTextIndent"/>
      </w:pPr>
      <w:r>
        <w:t>10.</w:t>
      </w:r>
      <w:r>
        <w:tab/>
        <w:t xml:space="preserve">There is no assurance of </w:t>
      </w:r>
      <w:r w:rsidR="00625A7C">
        <w:t>confidentiality</w:t>
      </w:r>
      <w:r w:rsidR="00AB3665">
        <w:t xml:space="preserve"> provided.</w:t>
      </w:r>
    </w:p>
    <w:p w:rsidR="003A109D" w:rsidRDefault="003A109D">
      <w:pPr>
        <w:rPr>
          <w:sz w:val="24"/>
        </w:rPr>
      </w:pPr>
    </w:p>
    <w:p w:rsidR="003A109D" w:rsidRDefault="003A109D">
      <w:pPr>
        <w:pStyle w:val="BodyTextIndent"/>
      </w:pPr>
      <w:r>
        <w:t>11.</w:t>
      </w:r>
      <w:r>
        <w:tab/>
        <w:t>There are no questions of a sensitive nature.</w:t>
      </w:r>
    </w:p>
    <w:p w:rsidR="003A109D" w:rsidRDefault="003A109D">
      <w:pPr>
        <w:pStyle w:val="BodyTextIndent"/>
      </w:pPr>
    </w:p>
    <w:p w:rsidR="003A109D" w:rsidRDefault="003A109D">
      <w:pPr>
        <w:tabs>
          <w:tab w:val="left" w:pos="2715"/>
        </w:tabs>
        <w:rPr>
          <w:sz w:val="24"/>
        </w:rPr>
      </w:pPr>
      <w:r>
        <w:rPr>
          <w:sz w:val="24"/>
        </w:rPr>
        <w:t>12. Annual Burden Estimate:</w:t>
      </w:r>
      <w:r>
        <w:rPr>
          <w:sz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3"/>
        <w:gridCol w:w="1443"/>
        <w:gridCol w:w="1321"/>
        <w:gridCol w:w="1321"/>
        <w:gridCol w:w="1286"/>
        <w:gridCol w:w="1205"/>
        <w:gridCol w:w="1286"/>
        <w:gridCol w:w="1233"/>
      </w:tblGrid>
      <w:tr w:rsidR="003A109D">
        <w:tc>
          <w:tcPr>
            <w:tcW w:w="1453" w:type="dxa"/>
          </w:tcPr>
          <w:p w:rsidR="003A109D" w:rsidRDefault="003A109D">
            <w:pPr>
              <w:jc w:val="center"/>
              <w:rPr>
                <w:sz w:val="18"/>
              </w:rPr>
            </w:pPr>
            <w:r>
              <w:rPr>
                <w:sz w:val="18"/>
              </w:rPr>
              <w:t>Information Collection</w:t>
            </w:r>
          </w:p>
        </w:tc>
        <w:tc>
          <w:tcPr>
            <w:tcW w:w="1443" w:type="dxa"/>
          </w:tcPr>
          <w:p w:rsidR="003A109D" w:rsidRDefault="003A109D">
            <w:pPr>
              <w:jc w:val="center"/>
              <w:rPr>
                <w:sz w:val="18"/>
              </w:rPr>
            </w:pPr>
            <w:r>
              <w:rPr>
                <w:sz w:val="18"/>
              </w:rPr>
              <w:t>Number of Respondents</w:t>
            </w:r>
          </w:p>
        </w:tc>
        <w:tc>
          <w:tcPr>
            <w:tcW w:w="1321" w:type="dxa"/>
          </w:tcPr>
          <w:p w:rsidR="003A109D" w:rsidRDefault="003A109D">
            <w:pPr>
              <w:jc w:val="center"/>
              <w:rPr>
                <w:sz w:val="18"/>
              </w:rPr>
            </w:pPr>
            <w:r>
              <w:rPr>
                <w:sz w:val="18"/>
              </w:rPr>
              <w:t>Frequency of Responses</w:t>
            </w:r>
          </w:p>
        </w:tc>
        <w:tc>
          <w:tcPr>
            <w:tcW w:w="1321" w:type="dxa"/>
          </w:tcPr>
          <w:p w:rsidR="003A109D" w:rsidRDefault="003A109D">
            <w:pPr>
              <w:jc w:val="center"/>
              <w:rPr>
                <w:sz w:val="18"/>
              </w:rPr>
            </w:pPr>
            <w:r>
              <w:rPr>
                <w:sz w:val="18"/>
              </w:rPr>
              <w:t>Total Annual Responses</w:t>
            </w:r>
          </w:p>
        </w:tc>
        <w:tc>
          <w:tcPr>
            <w:tcW w:w="1286" w:type="dxa"/>
          </w:tcPr>
          <w:p w:rsidR="003A109D" w:rsidRDefault="003A109D">
            <w:pPr>
              <w:jc w:val="center"/>
              <w:rPr>
                <w:sz w:val="18"/>
              </w:rPr>
            </w:pPr>
            <w:r>
              <w:rPr>
                <w:sz w:val="18"/>
              </w:rPr>
              <w:t>Burden Hour Per Response</w:t>
            </w:r>
          </w:p>
        </w:tc>
        <w:tc>
          <w:tcPr>
            <w:tcW w:w="1205" w:type="dxa"/>
          </w:tcPr>
          <w:p w:rsidR="003A109D" w:rsidRDefault="003A109D">
            <w:pPr>
              <w:jc w:val="center"/>
              <w:rPr>
                <w:sz w:val="18"/>
              </w:rPr>
            </w:pPr>
            <w:r>
              <w:rPr>
                <w:sz w:val="18"/>
              </w:rPr>
              <w:t>Total Annual Burden Hours</w:t>
            </w:r>
          </w:p>
        </w:tc>
        <w:tc>
          <w:tcPr>
            <w:tcW w:w="1286" w:type="dxa"/>
          </w:tcPr>
          <w:p w:rsidR="003A109D" w:rsidRDefault="003A109D">
            <w:pPr>
              <w:jc w:val="center"/>
              <w:rPr>
                <w:sz w:val="18"/>
              </w:rPr>
            </w:pPr>
            <w:r>
              <w:rPr>
                <w:sz w:val="18"/>
              </w:rPr>
              <w:t xml:space="preserve">Hourly Cost </w:t>
            </w:r>
          </w:p>
        </w:tc>
        <w:tc>
          <w:tcPr>
            <w:tcW w:w="1233" w:type="dxa"/>
          </w:tcPr>
          <w:p w:rsidR="003A109D" w:rsidRDefault="003A109D">
            <w:pPr>
              <w:jc w:val="center"/>
              <w:rPr>
                <w:sz w:val="18"/>
              </w:rPr>
            </w:pPr>
            <w:r>
              <w:rPr>
                <w:sz w:val="18"/>
              </w:rPr>
              <w:t>Annual Cost</w:t>
            </w:r>
          </w:p>
        </w:tc>
      </w:tr>
      <w:tr w:rsidR="003A109D">
        <w:trPr>
          <w:trHeight w:val="572"/>
        </w:trPr>
        <w:tc>
          <w:tcPr>
            <w:tcW w:w="1453" w:type="dxa"/>
          </w:tcPr>
          <w:p w:rsidR="003A109D" w:rsidRDefault="003A109D">
            <w:pPr>
              <w:jc w:val="center"/>
              <w:rPr>
                <w:sz w:val="18"/>
              </w:rPr>
            </w:pPr>
            <w:r>
              <w:rPr>
                <w:sz w:val="18"/>
              </w:rPr>
              <w:t>HUD-93232-A</w:t>
            </w:r>
          </w:p>
        </w:tc>
        <w:tc>
          <w:tcPr>
            <w:tcW w:w="1443" w:type="dxa"/>
          </w:tcPr>
          <w:p w:rsidR="003A109D" w:rsidRDefault="001D697E">
            <w:pPr>
              <w:jc w:val="center"/>
              <w:rPr>
                <w:sz w:val="18"/>
              </w:rPr>
            </w:pPr>
            <w:r>
              <w:rPr>
                <w:sz w:val="18"/>
              </w:rPr>
              <w:t>27</w:t>
            </w:r>
          </w:p>
        </w:tc>
        <w:tc>
          <w:tcPr>
            <w:tcW w:w="1321" w:type="dxa"/>
          </w:tcPr>
          <w:p w:rsidR="003A109D" w:rsidRDefault="003A109D">
            <w:pPr>
              <w:jc w:val="center"/>
              <w:rPr>
                <w:sz w:val="18"/>
              </w:rPr>
            </w:pPr>
            <w:r>
              <w:rPr>
                <w:sz w:val="18"/>
              </w:rPr>
              <w:t>1</w:t>
            </w:r>
          </w:p>
        </w:tc>
        <w:tc>
          <w:tcPr>
            <w:tcW w:w="1321" w:type="dxa"/>
          </w:tcPr>
          <w:p w:rsidR="003A109D" w:rsidRDefault="001D697E">
            <w:pPr>
              <w:jc w:val="center"/>
              <w:rPr>
                <w:sz w:val="18"/>
              </w:rPr>
            </w:pPr>
            <w:r>
              <w:rPr>
                <w:sz w:val="18"/>
              </w:rPr>
              <w:t>27</w:t>
            </w:r>
          </w:p>
        </w:tc>
        <w:tc>
          <w:tcPr>
            <w:tcW w:w="1286" w:type="dxa"/>
          </w:tcPr>
          <w:p w:rsidR="003A109D" w:rsidRDefault="003A109D">
            <w:pPr>
              <w:jc w:val="center"/>
              <w:rPr>
                <w:sz w:val="18"/>
              </w:rPr>
            </w:pPr>
            <w:r>
              <w:rPr>
                <w:sz w:val="18"/>
              </w:rPr>
              <w:t>1</w:t>
            </w:r>
          </w:p>
        </w:tc>
        <w:tc>
          <w:tcPr>
            <w:tcW w:w="1205" w:type="dxa"/>
          </w:tcPr>
          <w:p w:rsidR="003A109D" w:rsidRDefault="001D697E">
            <w:pPr>
              <w:jc w:val="center"/>
              <w:rPr>
                <w:sz w:val="18"/>
              </w:rPr>
            </w:pPr>
            <w:r>
              <w:rPr>
                <w:sz w:val="18"/>
              </w:rPr>
              <w:t>27</w:t>
            </w:r>
          </w:p>
        </w:tc>
        <w:tc>
          <w:tcPr>
            <w:tcW w:w="1286" w:type="dxa"/>
          </w:tcPr>
          <w:p w:rsidR="003A109D" w:rsidRDefault="003A109D">
            <w:pPr>
              <w:jc w:val="center"/>
              <w:rPr>
                <w:sz w:val="18"/>
              </w:rPr>
            </w:pPr>
            <w:r>
              <w:rPr>
                <w:sz w:val="18"/>
              </w:rPr>
              <w:t>$20.00</w:t>
            </w:r>
          </w:p>
        </w:tc>
        <w:tc>
          <w:tcPr>
            <w:tcW w:w="1233" w:type="dxa"/>
          </w:tcPr>
          <w:p w:rsidR="003A109D" w:rsidRDefault="003A109D" w:rsidP="001D697E">
            <w:pPr>
              <w:jc w:val="center"/>
              <w:rPr>
                <w:sz w:val="18"/>
              </w:rPr>
            </w:pPr>
            <w:r>
              <w:rPr>
                <w:sz w:val="18"/>
              </w:rPr>
              <w:t>$</w:t>
            </w:r>
            <w:r w:rsidR="001D697E">
              <w:rPr>
                <w:sz w:val="18"/>
              </w:rPr>
              <w:t>540.00</w:t>
            </w:r>
          </w:p>
        </w:tc>
      </w:tr>
      <w:tr w:rsidR="003A109D">
        <w:tc>
          <w:tcPr>
            <w:tcW w:w="1453" w:type="dxa"/>
          </w:tcPr>
          <w:p w:rsidR="003A109D" w:rsidRDefault="003A109D">
            <w:pPr>
              <w:pStyle w:val="Heading3"/>
              <w:jc w:val="center"/>
              <w:rPr>
                <w:sz w:val="18"/>
              </w:rPr>
            </w:pPr>
            <w:r>
              <w:rPr>
                <w:sz w:val="18"/>
              </w:rPr>
              <w:t>Totals</w:t>
            </w:r>
          </w:p>
        </w:tc>
        <w:tc>
          <w:tcPr>
            <w:tcW w:w="1443" w:type="dxa"/>
          </w:tcPr>
          <w:p w:rsidR="003A109D" w:rsidRDefault="001D697E">
            <w:pPr>
              <w:jc w:val="center"/>
              <w:rPr>
                <w:b/>
                <w:bCs/>
                <w:sz w:val="18"/>
              </w:rPr>
            </w:pPr>
            <w:r>
              <w:rPr>
                <w:b/>
                <w:bCs/>
                <w:sz w:val="18"/>
              </w:rPr>
              <w:t>27</w:t>
            </w:r>
          </w:p>
        </w:tc>
        <w:tc>
          <w:tcPr>
            <w:tcW w:w="1321" w:type="dxa"/>
          </w:tcPr>
          <w:p w:rsidR="003A109D" w:rsidRDefault="003A109D">
            <w:pPr>
              <w:jc w:val="center"/>
              <w:rPr>
                <w:b/>
                <w:bCs/>
                <w:sz w:val="18"/>
              </w:rPr>
            </w:pPr>
          </w:p>
        </w:tc>
        <w:tc>
          <w:tcPr>
            <w:tcW w:w="1321" w:type="dxa"/>
          </w:tcPr>
          <w:p w:rsidR="003A109D" w:rsidRDefault="001D697E" w:rsidP="00660AEA">
            <w:pPr>
              <w:jc w:val="center"/>
              <w:rPr>
                <w:b/>
                <w:bCs/>
                <w:sz w:val="18"/>
              </w:rPr>
            </w:pPr>
            <w:r>
              <w:rPr>
                <w:b/>
                <w:bCs/>
                <w:sz w:val="18"/>
              </w:rPr>
              <w:t>27</w:t>
            </w:r>
          </w:p>
        </w:tc>
        <w:tc>
          <w:tcPr>
            <w:tcW w:w="1286" w:type="dxa"/>
          </w:tcPr>
          <w:p w:rsidR="003A109D" w:rsidRDefault="00A85402">
            <w:pPr>
              <w:jc w:val="center"/>
              <w:rPr>
                <w:b/>
                <w:bCs/>
                <w:sz w:val="18"/>
              </w:rPr>
            </w:pPr>
            <w:r>
              <w:rPr>
                <w:b/>
                <w:bCs/>
                <w:sz w:val="18"/>
              </w:rPr>
              <w:t>1</w:t>
            </w:r>
          </w:p>
        </w:tc>
        <w:tc>
          <w:tcPr>
            <w:tcW w:w="1205" w:type="dxa"/>
          </w:tcPr>
          <w:p w:rsidR="003A109D" w:rsidRDefault="001D697E">
            <w:pPr>
              <w:jc w:val="center"/>
              <w:rPr>
                <w:b/>
                <w:bCs/>
                <w:sz w:val="18"/>
              </w:rPr>
            </w:pPr>
            <w:r>
              <w:rPr>
                <w:b/>
                <w:bCs/>
                <w:sz w:val="18"/>
              </w:rPr>
              <w:t>27</w:t>
            </w:r>
          </w:p>
        </w:tc>
        <w:tc>
          <w:tcPr>
            <w:tcW w:w="1286" w:type="dxa"/>
          </w:tcPr>
          <w:p w:rsidR="003A109D" w:rsidRDefault="003A109D">
            <w:pPr>
              <w:jc w:val="center"/>
              <w:rPr>
                <w:b/>
                <w:bCs/>
                <w:sz w:val="18"/>
              </w:rPr>
            </w:pPr>
          </w:p>
        </w:tc>
        <w:tc>
          <w:tcPr>
            <w:tcW w:w="1233" w:type="dxa"/>
          </w:tcPr>
          <w:p w:rsidR="003A109D" w:rsidRDefault="001D697E" w:rsidP="00660AEA">
            <w:pPr>
              <w:jc w:val="center"/>
              <w:rPr>
                <w:b/>
                <w:bCs/>
                <w:sz w:val="18"/>
              </w:rPr>
            </w:pPr>
            <w:r>
              <w:rPr>
                <w:b/>
                <w:bCs/>
                <w:sz w:val="18"/>
              </w:rPr>
              <w:t>$540.00</w:t>
            </w:r>
          </w:p>
        </w:tc>
      </w:tr>
    </w:tbl>
    <w:p w:rsidR="003A109D" w:rsidRDefault="003A109D">
      <w:pPr>
        <w:jc w:val="center"/>
        <w:rPr>
          <w:sz w:val="24"/>
        </w:rPr>
      </w:pPr>
    </w:p>
    <w:p w:rsidR="003A109D" w:rsidRDefault="003A109D">
      <w:pPr>
        <w:tabs>
          <w:tab w:val="center" w:pos="2280"/>
          <w:tab w:val="center" w:pos="3720"/>
          <w:tab w:val="center" w:pos="5160"/>
          <w:tab w:val="center" w:pos="6360"/>
          <w:tab w:val="center" w:pos="7560"/>
          <w:tab w:val="center" w:pos="8640"/>
        </w:tabs>
        <w:ind w:left="360"/>
      </w:pPr>
      <w:r>
        <w:t>**Information collection includes HUD 93232-A, credit report</w:t>
      </w:r>
      <w:r w:rsidR="00625A7C">
        <w:t>, Request</w:t>
      </w:r>
      <w:r>
        <w:t xml:space="preserve"> for Verification of Deposit </w:t>
      </w:r>
      <w:r w:rsidR="00625A7C">
        <w:t>and Request</w:t>
      </w:r>
      <w:r>
        <w:t xml:space="preserve"> for Verification of Employment  </w:t>
      </w:r>
    </w:p>
    <w:p w:rsidR="003A109D" w:rsidRDefault="003A109D">
      <w:pPr>
        <w:jc w:val="center"/>
        <w:rPr>
          <w:sz w:val="24"/>
        </w:rPr>
      </w:pPr>
    </w:p>
    <w:p w:rsidR="003A109D" w:rsidRDefault="003A109D">
      <w:pPr>
        <w:pStyle w:val="BodyTextIndent"/>
      </w:pPr>
      <w:r>
        <w:t>13.</w:t>
      </w:r>
      <w:r>
        <w:tab/>
        <w:t>There are no additional costs to the respondents.</w:t>
      </w:r>
    </w:p>
    <w:p w:rsidR="003A109D" w:rsidRDefault="003A109D">
      <w:pPr>
        <w:ind w:left="360" w:hanging="360"/>
        <w:rPr>
          <w:sz w:val="24"/>
        </w:rPr>
      </w:pPr>
    </w:p>
    <w:p w:rsidR="003A109D" w:rsidRDefault="003A109D">
      <w:pPr>
        <w:pStyle w:val="BodyTextIndent"/>
      </w:pPr>
      <w:r>
        <w:t>14. 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6"/>
        <w:gridCol w:w="1427"/>
        <w:gridCol w:w="1343"/>
        <w:gridCol w:w="1327"/>
        <w:gridCol w:w="1343"/>
        <w:gridCol w:w="1332"/>
      </w:tblGrid>
      <w:tr w:rsidR="003A109D">
        <w:tc>
          <w:tcPr>
            <w:tcW w:w="1076" w:type="dxa"/>
          </w:tcPr>
          <w:p w:rsidR="003A109D" w:rsidRDefault="003A109D">
            <w:pPr>
              <w:jc w:val="center"/>
              <w:rPr>
                <w:sz w:val="18"/>
              </w:rPr>
            </w:pPr>
            <w:r>
              <w:rPr>
                <w:sz w:val="18"/>
              </w:rPr>
              <w:t>Information Collection</w:t>
            </w:r>
          </w:p>
        </w:tc>
        <w:tc>
          <w:tcPr>
            <w:tcW w:w="1427" w:type="dxa"/>
          </w:tcPr>
          <w:p w:rsidR="003A109D" w:rsidRDefault="003A109D">
            <w:pPr>
              <w:jc w:val="center"/>
              <w:rPr>
                <w:sz w:val="18"/>
              </w:rPr>
            </w:pPr>
            <w:r>
              <w:rPr>
                <w:sz w:val="18"/>
              </w:rPr>
              <w:t>Number of Respondents</w:t>
            </w:r>
          </w:p>
        </w:tc>
        <w:tc>
          <w:tcPr>
            <w:tcW w:w="1343" w:type="dxa"/>
          </w:tcPr>
          <w:p w:rsidR="003A109D" w:rsidRDefault="003A109D">
            <w:pPr>
              <w:jc w:val="center"/>
              <w:rPr>
                <w:sz w:val="18"/>
              </w:rPr>
            </w:pPr>
            <w:r>
              <w:rPr>
                <w:sz w:val="18"/>
              </w:rPr>
              <w:t>Hours per Response</w:t>
            </w:r>
          </w:p>
        </w:tc>
        <w:tc>
          <w:tcPr>
            <w:tcW w:w="1327" w:type="dxa"/>
          </w:tcPr>
          <w:p w:rsidR="003A109D" w:rsidRDefault="003A109D">
            <w:pPr>
              <w:jc w:val="center"/>
              <w:rPr>
                <w:sz w:val="18"/>
              </w:rPr>
            </w:pPr>
            <w:r>
              <w:rPr>
                <w:sz w:val="18"/>
              </w:rPr>
              <w:t>Total Annual Hours</w:t>
            </w:r>
          </w:p>
        </w:tc>
        <w:tc>
          <w:tcPr>
            <w:tcW w:w="1343" w:type="dxa"/>
          </w:tcPr>
          <w:p w:rsidR="003A109D" w:rsidRDefault="003A109D">
            <w:pPr>
              <w:jc w:val="center"/>
              <w:rPr>
                <w:sz w:val="18"/>
              </w:rPr>
            </w:pPr>
            <w:r>
              <w:rPr>
                <w:sz w:val="18"/>
              </w:rPr>
              <w:t>Hourly Cost</w:t>
            </w:r>
          </w:p>
        </w:tc>
        <w:tc>
          <w:tcPr>
            <w:tcW w:w="1332" w:type="dxa"/>
          </w:tcPr>
          <w:p w:rsidR="003A109D" w:rsidRDefault="003A109D">
            <w:pPr>
              <w:jc w:val="center"/>
              <w:rPr>
                <w:sz w:val="18"/>
              </w:rPr>
            </w:pPr>
            <w:r>
              <w:rPr>
                <w:sz w:val="18"/>
              </w:rPr>
              <w:t>Annual Cost</w:t>
            </w:r>
          </w:p>
        </w:tc>
      </w:tr>
      <w:tr w:rsidR="003A109D">
        <w:trPr>
          <w:trHeight w:val="572"/>
        </w:trPr>
        <w:tc>
          <w:tcPr>
            <w:tcW w:w="1076" w:type="dxa"/>
          </w:tcPr>
          <w:p w:rsidR="003A109D" w:rsidRDefault="003A109D">
            <w:pPr>
              <w:jc w:val="center"/>
              <w:rPr>
                <w:sz w:val="18"/>
              </w:rPr>
            </w:pPr>
            <w:r>
              <w:rPr>
                <w:sz w:val="18"/>
              </w:rPr>
              <w:t>HUD-93232-A</w:t>
            </w:r>
          </w:p>
        </w:tc>
        <w:tc>
          <w:tcPr>
            <w:tcW w:w="1427" w:type="dxa"/>
          </w:tcPr>
          <w:p w:rsidR="003A109D" w:rsidRDefault="00F26413">
            <w:pPr>
              <w:jc w:val="center"/>
              <w:rPr>
                <w:sz w:val="18"/>
              </w:rPr>
            </w:pPr>
            <w:r>
              <w:rPr>
                <w:sz w:val="18"/>
              </w:rPr>
              <w:t>27</w:t>
            </w:r>
          </w:p>
        </w:tc>
        <w:tc>
          <w:tcPr>
            <w:tcW w:w="1343" w:type="dxa"/>
          </w:tcPr>
          <w:p w:rsidR="003A109D" w:rsidRDefault="00F26413">
            <w:pPr>
              <w:jc w:val="center"/>
              <w:rPr>
                <w:sz w:val="18"/>
              </w:rPr>
            </w:pPr>
            <w:r>
              <w:rPr>
                <w:sz w:val="18"/>
              </w:rPr>
              <w:t>1</w:t>
            </w:r>
          </w:p>
        </w:tc>
        <w:tc>
          <w:tcPr>
            <w:tcW w:w="1327" w:type="dxa"/>
          </w:tcPr>
          <w:p w:rsidR="003A109D" w:rsidRDefault="00F26413" w:rsidP="000875B3">
            <w:pPr>
              <w:rPr>
                <w:sz w:val="18"/>
              </w:rPr>
            </w:pPr>
            <w:r>
              <w:rPr>
                <w:sz w:val="18"/>
              </w:rPr>
              <w:t xml:space="preserve">         27</w:t>
            </w:r>
          </w:p>
        </w:tc>
        <w:tc>
          <w:tcPr>
            <w:tcW w:w="1343" w:type="dxa"/>
          </w:tcPr>
          <w:p w:rsidR="003A109D" w:rsidRDefault="0025411D" w:rsidP="0025411D">
            <w:pPr>
              <w:jc w:val="center"/>
              <w:rPr>
                <w:sz w:val="18"/>
              </w:rPr>
            </w:pPr>
            <w:r>
              <w:rPr>
                <w:sz w:val="18"/>
              </w:rPr>
              <w:t>$40.79</w:t>
            </w:r>
          </w:p>
        </w:tc>
        <w:tc>
          <w:tcPr>
            <w:tcW w:w="1332" w:type="dxa"/>
          </w:tcPr>
          <w:p w:rsidR="003A109D" w:rsidRDefault="003A109D" w:rsidP="00F26413">
            <w:pPr>
              <w:jc w:val="center"/>
              <w:rPr>
                <w:sz w:val="18"/>
              </w:rPr>
            </w:pPr>
            <w:r>
              <w:rPr>
                <w:sz w:val="18"/>
              </w:rPr>
              <w:t>$</w:t>
            </w:r>
            <w:r w:rsidR="00F26413">
              <w:rPr>
                <w:sz w:val="18"/>
              </w:rPr>
              <w:t>1,101.33</w:t>
            </w:r>
          </w:p>
        </w:tc>
      </w:tr>
      <w:tr w:rsidR="003A109D">
        <w:tc>
          <w:tcPr>
            <w:tcW w:w="1076" w:type="dxa"/>
          </w:tcPr>
          <w:p w:rsidR="003A109D" w:rsidRDefault="003A109D">
            <w:pPr>
              <w:pStyle w:val="Heading3"/>
              <w:jc w:val="center"/>
              <w:rPr>
                <w:sz w:val="18"/>
              </w:rPr>
            </w:pPr>
            <w:r>
              <w:rPr>
                <w:sz w:val="18"/>
              </w:rPr>
              <w:t>Totals</w:t>
            </w:r>
          </w:p>
        </w:tc>
        <w:tc>
          <w:tcPr>
            <w:tcW w:w="1427" w:type="dxa"/>
          </w:tcPr>
          <w:p w:rsidR="003A109D" w:rsidRDefault="00F26413">
            <w:pPr>
              <w:jc w:val="center"/>
              <w:rPr>
                <w:b/>
                <w:bCs/>
                <w:sz w:val="18"/>
              </w:rPr>
            </w:pPr>
            <w:r>
              <w:rPr>
                <w:b/>
                <w:bCs/>
                <w:sz w:val="18"/>
              </w:rPr>
              <w:t>27</w:t>
            </w:r>
          </w:p>
        </w:tc>
        <w:tc>
          <w:tcPr>
            <w:tcW w:w="1343" w:type="dxa"/>
          </w:tcPr>
          <w:p w:rsidR="003A109D" w:rsidRDefault="003A109D">
            <w:pPr>
              <w:jc w:val="center"/>
              <w:rPr>
                <w:b/>
                <w:bCs/>
                <w:sz w:val="18"/>
              </w:rPr>
            </w:pPr>
          </w:p>
        </w:tc>
        <w:tc>
          <w:tcPr>
            <w:tcW w:w="1327" w:type="dxa"/>
          </w:tcPr>
          <w:p w:rsidR="003A109D" w:rsidRDefault="00F26413">
            <w:pPr>
              <w:jc w:val="center"/>
              <w:rPr>
                <w:b/>
                <w:bCs/>
                <w:sz w:val="18"/>
              </w:rPr>
            </w:pPr>
            <w:r>
              <w:rPr>
                <w:b/>
                <w:bCs/>
                <w:sz w:val="18"/>
              </w:rPr>
              <w:t>27</w:t>
            </w:r>
          </w:p>
        </w:tc>
        <w:tc>
          <w:tcPr>
            <w:tcW w:w="1343" w:type="dxa"/>
          </w:tcPr>
          <w:p w:rsidR="003A109D" w:rsidRDefault="003A109D">
            <w:pPr>
              <w:jc w:val="center"/>
              <w:rPr>
                <w:b/>
                <w:bCs/>
                <w:sz w:val="18"/>
              </w:rPr>
            </w:pPr>
          </w:p>
        </w:tc>
        <w:tc>
          <w:tcPr>
            <w:tcW w:w="1332" w:type="dxa"/>
          </w:tcPr>
          <w:p w:rsidR="003A109D" w:rsidRDefault="003A109D" w:rsidP="00F26413">
            <w:pPr>
              <w:jc w:val="center"/>
              <w:rPr>
                <w:b/>
                <w:bCs/>
                <w:sz w:val="18"/>
              </w:rPr>
            </w:pPr>
            <w:r>
              <w:rPr>
                <w:b/>
                <w:bCs/>
                <w:sz w:val="18"/>
              </w:rPr>
              <w:t>$</w:t>
            </w:r>
            <w:r w:rsidR="00F26413">
              <w:rPr>
                <w:b/>
                <w:bCs/>
                <w:sz w:val="18"/>
              </w:rPr>
              <w:t>1,101.33</w:t>
            </w:r>
          </w:p>
        </w:tc>
      </w:tr>
    </w:tbl>
    <w:p w:rsidR="00C01FDE" w:rsidRDefault="003A109D">
      <w:pPr>
        <w:rPr>
          <w:sz w:val="18"/>
        </w:rPr>
      </w:pPr>
      <w:r>
        <w:rPr>
          <w:sz w:val="18"/>
        </w:rPr>
        <w:t xml:space="preserve">        Estimated cost based on the annul salary of a </w:t>
      </w:r>
      <w:r w:rsidR="0025411D">
        <w:rPr>
          <w:sz w:val="18"/>
        </w:rPr>
        <w:t>GS12,</w:t>
      </w:r>
      <w:r w:rsidR="0039787E">
        <w:rPr>
          <w:sz w:val="18"/>
        </w:rPr>
        <w:t xml:space="preserve"> step 5 </w:t>
      </w:r>
      <w:r w:rsidR="00C01FDE">
        <w:rPr>
          <w:sz w:val="18"/>
        </w:rPr>
        <w:t xml:space="preserve">of </w:t>
      </w:r>
      <w:r w:rsidR="0039787E">
        <w:rPr>
          <w:sz w:val="18"/>
        </w:rPr>
        <w:t>$40.79</w:t>
      </w:r>
      <w:r>
        <w:rPr>
          <w:sz w:val="18"/>
        </w:rPr>
        <w:t xml:space="preserve"> </w:t>
      </w:r>
      <w:r w:rsidR="00C01FDE">
        <w:rPr>
          <w:sz w:val="18"/>
        </w:rPr>
        <w:t>(</w:t>
      </w:r>
      <w:r>
        <w:rPr>
          <w:sz w:val="18"/>
        </w:rPr>
        <w:t xml:space="preserve">Housing Project Manager reviewing </w:t>
      </w:r>
    </w:p>
    <w:p w:rsidR="003A109D" w:rsidRDefault="00C01FDE">
      <w:pPr>
        <w:rPr>
          <w:sz w:val="18"/>
        </w:rPr>
      </w:pPr>
      <w:r>
        <w:rPr>
          <w:sz w:val="18"/>
        </w:rPr>
        <w:t xml:space="preserve">        </w:t>
      </w:r>
      <w:proofErr w:type="gramStart"/>
      <w:r w:rsidR="003A109D">
        <w:rPr>
          <w:sz w:val="18"/>
        </w:rPr>
        <w:t>the</w:t>
      </w:r>
      <w:proofErr w:type="gramEnd"/>
      <w:r w:rsidR="003A109D">
        <w:rPr>
          <w:sz w:val="18"/>
        </w:rPr>
        <w:t xml:space="preserve"> information</w:t>
      </w:r>
      <w:r>
        <w:rPr>
          <w:sz w:val="18"/>
        </w:rPr>
        <w:t>).</w:t>
      </w:r>
    </w:p>
    <w:p w:rsidR="003A109D" w:rsidRDefault="003A109D">
      <w:pPr>
        <w:rPr>
          <w:sz w:val="24"/>
        </w:rPr>
      </w:pPr>
    </w:p>
    <w:p w:rsidR="003A109D" w:rsidRDefault="003A109D">
      <w:pPr>
        <w:pStyle w:val="BodyTextIndent"/>
      </w:pPr>
      <w:r>
        <w:t xml:space="preserve">15. </w:t>
      </w:r>
      <w:r w:rsidR="00C01FDE">
        <w:t xml:space="preserve">This is </w:t>
      </w:r>
      <w:r w:rsidR="003B7565">
        <w:t>a</w:t>
      </w:r>
      <w:r w:rsidR="00C01FDE">
        <w:t xml:space="preserve"> </w:t>
      </w:r>
      <w:r w:rsidR="003B7565">
        <w:t>revision of a current</w:t>
      </w:r>
      <w:r w:rsidR="00C01FDE">
        <w:t xml:space="preserve"> approved collection</w:t>
      </w:r>
      <w:r w:rsidR="000875B3">
        <w:t xml:space="preserve">.    The </w:t>
      </w:r>
      <w:r w:rsidR="00F26413">
        <w:t>decreases in the number of respondents reflect</w:t>
      </w:r>
      <w:r w:rsidR="000875B3">
        <w:t xml:space="preserve"> a decreased use of</w:t>
      </w:r>
      <w:r w:rsidR="00E84F90">
        <w:t xml:space="preserve"> the program which is a direct reflection </w:t>
      </w:r>
      <w:r w:rsidR="000875B3">
        <w:t xml:space="preserve">on the </w:t>
      </w:r>
      <w:r w:rsidR="00E84F90">
        <w:t xml:space="preserve">declining </w:t>
      </w:r>
      <w:r w:rsidR="000875B3">
        <w:t>housing economy.</w:t>
      </w:r>
      <w:r>
        <w:t xml:space="preserve"> </w:t>
      </w:r>
    </w:p>
    <w:p w:rsidR="003A109D" w:rsidRDefault="003A109D">
      <w:pPr>
        <w:rPr>
          <w:sz w:val="24"/>
        </w:rPr>
      </w:pPr>
    </w:p>
    <w:p w:rsidR="003A109D" w:rsidRDefault="003A109D">
      <w:pPr>
        <w:pStyle w:val="BodyTextIndent"/>
      </w:pPr>
      <w:r>
        <w:t>16.</w:t>
      </w:r>
      <w:r>
        <w:tab/>
        <w:t>The collection of information is not scheduled for publication.</w:t>
      </w:r>
    </w:p>
    <w:p w:rsidR="003A109D" w:rsidRDefault="003A109D">
      <w:pPr>
        <w:rPr>
          <w:sz w:val="24"/>
        </w:rPr>
      </w:pPr>
    </w:p>
    <w:p w:rsidR="003A109D" w:rsidRDefault="003A109D">
      <w:pPr>
        <w:pStyle w:val="BodyTextIndent"/>
      </w:pPr>
      <w:r>
        <w:t>17.</w:t>
      </w:r>
      <w:r>
        <w:tab/>
        <w:t>OMB expiration date will be displayed on the appropriate form.</w:t>
      </w:r>
    </w:p>
    <w:p w:rsidR="003A109D" w:rsidRDefault="003A109D">
      <w:pPr>
        <w:rPr>
          <w:sz w:val="24"/>
        </w:rPr>
      </w:pPr>
    </w:p>
    <w:p w:rsidR="003A109D" w:rsidRDefault="003A109D">
      <w:pPr>
        <w:pStyle w:val="BodyTextIndent"/>
      </w:pPr>
      <w:r>
        <w:t>18.</w:t>
      </w:r>
      <w:r>
        <w:tab/>
        <w:t>There will be no exceptions to the “certification statement”.</w:t>
      </w:r>
    </w:p>
    <w:p w:rsidR="003A109D" w:rsidRDefault="003A109D">
      <w:pPr>
        <w:tabs>
          <w:tab w:val="left" w:pos="360"/>
          <w:tab w:val="left" w:pos="720"/>
        </w:tabs>
        <w:rPr>
          <w:color w:val="000000"/>
          <w:sz w:val="24"/>
        </w:rPr>
      </w:pPr>
    </w:p>
    <w:p w:rsidR="003A109D" w:rsidRDefault="003A109D">
      <w:pPr>
        <w:tabs>
          <w:tab w:val="left" w:pos="360"/>
          <w:tab w:val="left" w:pos="720"/>
        </w:tabs>
        <w:rPr>
          <w:color w:val="000000"/>
          <w:sz w:val="24"/>
        </w:rPr>
      </w:pPr>
    </w:p>
    <w:p w:rsidR="003A109D" w:rsidRDefault="003A109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3A109D" w:rsidRDefault="003A109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3A109D" w:rsidRDefault="003A109D">
      <w:pPr>
        <w:keepLines/>
        <w:tabs>
          <w:tab w:val="left" w:pos="360"/>
          <w:tab w:val="left" w:pos="720"/>
        </w:tabs>
        <w:ind w:left="360"/>
        <w:rPr>
          <w:color w:val="000000"/>
          <w:sz w:val="24"/>
        </w:rPr>
      </w:pPr>
      <w:r>
        <w:rPr>
          <w:color w:val="000000"/>
          <w:sz w:val="24"/>
        </w:rPr>
        <w:t>There will be no statistical methods used in this collection of information.</w:t>
      </w:r>
    </w:p>
    <w:p w:rsidR="003A109D" w:rsidRDefault="003A109D">
      <w:pPr>
        <w:keepLines/>
        <w:tabs>
          <w:tab w:val="left" w:pos="360"/>
          <w:tab w:val="left" w:pos="720"/>
        </w:tabs>
        <w:rPr>
          <w:color w:val="000000"/>
          <w:sz w:val="24"/>
        </w:rPr>
      </w:pPr>
    </w:p>
    <w:p w:rsidR="003A109D" w:rsidRDefault="003A109D">
      <w:pPr>
        <w:tabs>
          <w:tab w:val="left" w:pos="240"/>
        </w:tabs>
        <w:rPr>
          <w:color w:val="000000"/>
          <w:sz w:val="24"/>
        </w:rPr>
      </w:pPr>
    </w:p>
    <w:sectPr w:rsidR="003A109D" w:rsidSect="00C9593C">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15" w:rsidRDefault="00471E15">
      <w:r>
        <w:separator/>
      </w:r>
    </w:p>
  </w:endnote>
  <w:endnote w:type="continuationSeparator" w:id="0">
    <w:p w:rsidR="00471E15" w:rsidRDefault="00471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5F" w:rsidRDefault="000B5C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2F4" w:rsidRDefault="00F63538">
    <w:pPr>
      <w:pStyle w:val="Footer"/>
      <w:framePr w:wrap="around" w:vAnchor="text" w:hAnchor="margin" w:xAlign="center" w:y="1"/>
      <w:rPr>
        <w:rStyle w:val="PageNumber"/>
      </w:rPr>
    </w:pPr>
    <w:r>
      <w:rPr>
        <w:rStyle w:val="PageNumber"/>
      </w:rPr>
      <w:fldChar w:fldCharType="begin"/>
    </w:r>
    <w:r w:rsidR="00DF22F4">
      <w:rPr>
        <w:rStyle w:val="PageNumber"/>
      </w:rPr>
      <w:instrText xml:space="preserve">PAGE  </w:instrText>
    </w:r>
    <w:r>
      <w:rPr>
        <w:rStyle w:val="PageNumber"/>
      </w:rPr>
      <w:fldChar w:fldCharType="separate"/>
    </w:r>
    <w:r w:rsidR="00AB3665">
      <w:rPr>
        <w:rStyle w:val="PageNumber"/>
        <w:noProof/>
      </w:rPr>
      <w:t>2</w:t>
    </w:r>
    <w:r>
      <w:rPr>
        <w:rStyle w:val="PageNumber"/>
      </w:rPr>
      <w:fldChar w:fldCharType="end"/>
    </w:r>
  </w:p>
  <w:p w:rsidR="00DF22F4" w:rsidRDefault="00DF22F4">
    <w:pPr>
      <w:pStyle w:val="Footer"/>
      <w:pBdr>
        <w:top w:val="single" w:sz="6" w:space="1" w:color="auto"/>
      </w:pBdr>
      <w:tabs>
        <w:tab w:val="clear" w:pos="4320"/>
        <w:tab w:val="clear" w:pos="8640"/>
        <w:tab w:val="right" w:pos="10920"/>
      </w:tabs>
      <w:ind w:left="-120" w:right="-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2F4" w:rsidRDefault="00DF22F4">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15" w:rsidRDefault="00471E15">
      <w:r>
        <w:separator/>
      </w:r>
    </w:p>
  </w:footnote>
  <w:footnote w:type="continuationSeparator" w:id="0">
    <w:p w:rsidR="00471E15" w:rsidRDefault="00471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5F" w:rsidRDefault="000B5C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5F" w:rsidRDefault="000B5C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5F" w:rsidRDefault="000B5C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5A80563"/>
    <w:multiLevelType w:val="hybridMultilevel"/>
    <w:tmpl w:val="4FBEA2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C32186"/>
    <w:multiLevelType w:val="hybridMultilevel"/>
    <w:tmpl w:val="D84EC46A"/>
    <w:lvl w:ilvl="0" w:tplc="04090015">
      <w:start w:val="1"/>
      <w:numFmt w:val="upperLetter"/>
      <w:lvlText w:val="%1."/>
      <w:lvlJc w:val="left"/>
      <w:pPr>
        <w:tabs>
          <w:tab w:val="num" w:pos="720"/>
        </w:tabs>
        <w:ind w:left="720" w:hanging="360"/>
      </w:pPr>
      <w:rPr>
        <w:rFonts w:hint="default"/>
      </w:rPr>
    </w:lvl>
    <w:lvl w:ilvl="1" w:tplc="A46A0A4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9"/>
  </w:num>
  <w:num w:numId="3">
    <w:abstractNumId w:val="1"/>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07242"/>
    <w:rsid w:val="000875B3"/>
    <w:rsid w:val="000A29FE"/>
    <w:rsid w:val="000B5C5F"/>
    <w:rsid w:val="000D54E6"/>
    <w:rsid w:val="000E0BCA"/>
    <w:rsid w:val="001D697E"/>
    <w:rsid w:val="001D6D03"/>
    <w:rsid w:val="00232D4F"/>
    <w:rsid w:val="0025411D"/>
    <w:rsid w:val="0029316F"/>
    <w:rsid w:val="002C2C5C"/>
    <w:rsid w:val="0037682D"/>
    <w:rsid w:val="0039787E"/>
    <w:rsid w:val="003A109D"/>
    <w:rsid w:val="003B603F"/>
    <w:rsid w:val="003B7565"/>
    <w:rsid w:val="004610FF"/>
    <w:rsid w:val="0046689C"/>
    <w:rsid w:val="00471E15"/>
    <w:rsid w:val="004828A8"/>
    <w:rsid w:val="00615B8B"/>
    <w:rsid w:val="00625A7C"/>
    <w:rsid w:val="00660AEA"/>
    <w:rsid w:val="00667191"/>
    <w:rsid w:val="007718E9"/>
    <w:rsid w:val="00783243"/>
    <w:rsid w:val="007A4786"/>
    <w:rsid w:val="008754CE"/>
    <w:rsid w:val="008D083B"/>
    <w:rsid w:val="008E1373"/>
    <w:rsid w:val="009A07C0"/>
    <w:rsid w:val="00A32A0E"/>
    <w:rsid w:val="00A85402"/>
    <w:rsid w:val="00AB3665"/>
    <w:rsid w:val="00B34702"/>
    <w:rsid w:val="00BD237D"/>
    <w:rsid w:val="00C01FDE"/>
    <w:rsid w:val="00C81980"/>
    <w:rsid w:val="00C9593C"/>
    <w:rsid w:val="00CB6219"/>
    <w:rsid w:val="00D37D88"/>
    <w:rsid w:val="00D5003B"/>
    <w:rsid w:val="00DE1267"/>
    <w:rsid w:val="00DF22F4"/>
    <w:rsid w:val="00E07242"/>
    <w:rsid w:val="00E36C8E"/>
    <w:rsid w:val="00E84F90"/>
    <w:rsid w:val="00EC7830"/>
    <w:rsid w:val="00F26413"/>
    <w:rsid w:val="00F63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3C"/>
    <w:pPr>
      <w:overflowPunct w:val="0"/>
      <w:autoSpaceDE w:val="0"/>
      <w:autoSpaceDN w:val="0"/>
      <w:adjustRightInd w:val="0"/>
      <w:textAlignment w:val="baseline"/>
    </w:pPr>
  </w:style>
  <w:style w:type="paragraph" w:styleId="Heading1">
    <w:name w:val="heading 1"/>
    <w:basedOn w:val="Normal"/>
    <w:next w:val="Normal"/>
    <w:qFormat/>
    <w:rsid w:val="00C9593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C9593C"/>
    <w:pPr>
      <w:keepNext/>
      <w:ind w:left="360"/>
      <w:outlineLvl w:val="1"/>
    </w:pPr>
    <w:rPr>
      <w:sz w:val="24"/>
    </w:rPr>
  </w:style>
  <w:style w:type="paragraph" w:styleId="Heading3">
    <w:name w:val="heading 3"/>
    <w:basedOn w:val="Normal"/>
    <w:next w:val="Normal"/>
    <w:qFormat/>
    <w:rsid w:val="00C9593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593C"/>
    <w:pPr>
      <w:tabs>
        <w:tab w:val="center" w:pos="4320"/>
        <w:tab w:val="right" w:pos="8640"/>
      </w:tabs>
    </w:pPr>
  </w:style>
  <w:style w:type="paragraph" w:styleId="Footer">
    <w:name w:val="footer"/>
    <w:basedOn w:val="Normal"/>
    <w:semiHidden/>
    <w:rsid w:val="00C9593C"/>
    <w:pPr>
      <w:tabs>
        <w:tab w:val="center" w:pos="4320"/>
        <w:tab w:val="right" w:pos="8640"/>
      </w:tabs>
    </w:pPr>
  </w:style>
  <w:style w:type="character" w:styleId="PageNumber">
    <w:name w:val="page number"/>
    <w:basedOn w:val="DefaultParagraphFont"/>
    <w:semiHidden/>
    <w:rsid w:val="00C9593C"/>
  </w:style>
  <w:style w:type="paragraph" w:styleId="Title">
    <w:name w:val="Title"/>
    <w:basedOn w:val="Normal"/>
    <w:qFormat/>
    <w:rsid w:val="00C9593C"/>
    <w:pPr>
      <w:jc w:val="center"/>
    </w:pPr>
    <w:rPr>
      <w:rFonts w:ascii="Helvetica" w:hAnsi="Helvetica"/>
      <w:b/>
      <w:sz w:val="28"/>
    </w:rPr>
  </w:style>
  <w:style w:type="paragraph" w:styleId="PlainText">
    <w:name w:val="Plain Text"/>
    <w:basedOn w:val="Normal"/>
    <w:semiHidden/>
    <w:rsid w:val="00C9593C"/>
    <w:rPr>
      <w:rFonts w:ascii="Courier New" w:hAnsi="Courier New"/>
    </w:rPr>
  </w:style>
  <w:style w:type="paragraph" w:styleId="BodyTextIndent">
    <w:name w:val="Body Text Indent"/>
    <w:basedOn w:val="Normal"/>
    <w:semiHidden/>
    <w:rsid w:val="00C9593C"/>
    <w:pPr>
      <w:ind w:left="360" w:hanging="360"/>
    </w:pPr>
    <w:rPr>
      <w:sz w:val="24"/>
    </w:rPr>
  </w:style>
  <w:style w:type="paragraph" w:styleId="DocumentMap">
    <w:name w:val="Document Map"/>
    <w:basedOn w:val="Normal"/>
    <w:semiHidden/>
    <w:rsid w:val="00C9593C"/>
    <w:pPr>
      <w:shd w:val="clear" w:color="auto" w:fill="000080"/>
    </w:pPr>
    <w:rPr>
      <w:rFonts w:ascii="Tahoma" w:hAnsi="Tahoma" w:cs="Tahoma"/>
    </w:rPr>
  </w:style>
  <w:style w:type="paragraph" w:styleId="Revision">
    <w:name w:val="Revision"/>
    <w:hidden/>
    <w:uiPriority w:val="99"/>
    <w:semiHidden/>
    <w:rsid w:val="0029316F"/>
  </w:style>
  <w:style w:type="paragraph" w:styleId="BalloonText">
    <w:name w:val="Balloon Text"/>
    <w:basedOn w:val="Normal"/>
    <w:link w:val="BalloonTextChar"/>
    <w:uiPriority w:val="99"/>
    <w:semiHidden/>
    <w:unhideWhenUsed/>
    <w:rsid w:val="0029316F"/>
    <w:rPr>
      <w:rFonts w:ascii="Tahoma" w:hAnsi="Tahoma" w:cs="Tahoma"/>
      <w:sz w:val="16"/>
      <w:szCs w:val="16"/>
    </w:rPr>
  </w:style>
  <w:style w:type="character" w:customStyle="1" w:styleId="BalloonTextChar">
    <w:name w:val="Balloon Text Char"/>
    <w:basedOn w:val="DefaultParagraphFont"/>
    <w:link w:val="BalloonText"/>
    <w:uiPriority w:val="99"/>
    <w:semiHidden/>
    <w:rsid w:val="0029316F"/>
    <w:rPr>
      <w:rFonts w:ascii="Tahoma" w:hAnsi="Tahoma" w:cs="Tahoma"/>
      <w:sz w:val="16"/>
      <w:szCs w:val="16"/>
    </w:rPr>
  </w:style>
  <w:style w:type="character" w:styleId="CommentReference">
    <w:name w:val="annotation reference"/>
    <w:basedOn w:val="DefaultParagraphFont"/>
    <w:uiPriority w:val="99"/>
    <w:semiHidden/>
    <w:unhideWhenUsed/>
    <w:rsid w:val="0046689C"/>
    <w:rPr>
      <w:sz w:val="16"/>
      <w:szCs w:val="16"/>
    </w:rPr>
  </w:style>
  <w:style w:type="paragraph" w:styleId="CommentText">
    <w:name w:val="annotation text"/>
    <w:basedOn w:val="Normal"/>
    <w:link w:val="CommentTextChar"/>
    <w:uiPriority w:val="99"/>
    <w:semiHidden/>
    <w:unhideWhenUsed/>
    <w:rsid w:val="0046689C"/>
  </w:style>
  <w:style w:type="character" w:customStyle="1" w:styleId="CommentTextChar">
    <w:name w:val="Comment Text Char"/>
    <w:basedOn w:val="DefaultParagraphFont"/>
    <w:link w:val="CommentText"/>
    <w:uiPriority w:val="99"/>
    <w:semiHidden/>
    <w:rsid w:val="0046689C"/>
  </w:style>
  <w:style w:type="paragraph" w:styleId="CommentSubject">
    <w:name w:val="annotation subject"/>
    <w:basedOn w:val="CommentText"/>
    <w:next w:val="CommentText"/>
    <w:link w:val="CommentSubjectChar"/>
    <w:uiPriority w:val="99"/>
    <w:semiHidden/>
    <w:unhideWhenUsed/>
    <w:rsid w:val="0046689C"/>
    <w:rPr>
      <w:b/>
      <w:bCs/>
    </w:rPr>
  </w:style>
  <w:style w:type="character" w:customStyle="1" w:styleId="CommentSubjectChar">
    <w:name w:val="Comment Subject Char"/>
    <w:basedOn w:val="CommentTextChar"/>
    <w:link w:val="CommentSubject"/>
    <w:uiPriority w:val="99"/>
    <w:semiHidden/>
    <w:rsid w:val="004668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3BD4-C603-431C-ACE4-612E0FD6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4</cp:revision>
  <cp:lastPrinted>2010-03-04T21:02:00Z</cp:lastPrinted>
  <dcterms:created xsi:type="dcterms:W3CDTF">2010-07-21T13:24:00Z</dcterms:created>
  <dcterms:modified xsi:type="dcterms:W3CDTF">2010-07-29T16:33:00Z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-746309533</vt:i4>
  </property>
  <property fmtid="{D5CDD505-2E9C-101B-9397-08002B2CF9AE}" pid="3" name="_NewReviewCycle">
    <vt:lpwstr/>
  </property>
  <property fmtid="{D5CDD505-2E9C-101B-9397-08002B2CF9AE}" pid="4" name="_EmailSubject">
    <vt:lpwstr>2502-0058   Financial Statement of Corporate Application for Cooperative Housing Mortgage</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ReviewingToolsShownOnce">
    <vt:lpwstr/>
  </property>
</Properties>
</file>