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70F" w:rsidRDefault="00B8070F" w:rsidP="00B8070F">
      <w:pPr>
        <w:jc w:val="center"/>
        <w:rPr>
          <w:b/>
          <w:bCs/>
        </w:rPr>
      </w:pPr>
      <w:r w:rsidRPr="00DD18A6">
        <w:rPr>
          <w:b/>
          <w:bCs/>
        </w:rPr>
        <w:t>S</w:t>
      </w:r>
      <w:r>
        <w:rPr>
          <w:b/>
          <w:bCs/>
        </w:rPr>
        <w:t>UPPORTING</w:t>
      </w:r>
      <w:r w:rsidRPr="00DD18A6">
        <w:rPr>
          <w:b/>
          <w:bCs/>
        </w:rPr>
        <w:t xml:space="preserve"> S</w:t>
      </w:r>
      <w:r>
        <w:rPr>
          <w:b/>
          <w:bCs/>
        </w:rPr>
        <w:t>TATEMENT</w:t>
      </w:r>
    </w:p>
    <w:p w:rsidR="00B8070F" w:rsidRDefault="00B8070F" w:rsidP="00B8070F">
      <w:pPr>
        <w:jc w:val="center"/>
      </w:pPr>
      <w:r>
        <w:rPr>
          <w:b/>
          <w:bCs/>
        </w:rPr>
        <w:t>ENVIRONMENTAL PROTECTION AGENCY</w:t>
      </w:r>
      <w:r w:rsidRPr="00DD18A6">
        <w:rPr>
          <w:b/>
          <w:bCs/>
        </w:rPr>
        <w:t xml:space="preserve"> </w:t>
      </w:r>
    </w:p>
    <w:p w:rsidR="00B8070F" w:rsidRPr="00DD18A6" w:rsidRDefault="00B8070F" w:rsidP="00B8070F">
      <w:pPr>
        <w:jc w:val="center"/>
      </w:pPr>
    </w:p>
    <w:p w:rsidR="00B8070F" w:rsidRPr="00DD18A6" w:rsidRDefault="00B8070F" w:rsidP="00B8070F">
      <w:pPr>
        <w:jc w:val="center"/>
      </w:pPr>
    </w:p>
    <w:p w:rsidR="00B8070F" w:rsidRPr="00DD18A6" w:rsidRDefault="00B8070F" w:rsidP="00B8070F">
      <w:pPr>
        <w:rPr>
          <w:b/>
          <w:bCs/>
        </w:rPr>
      </w:pPr>
      <w:r w:rsidRPr="00DD18A6">
        <w:rPr>
          <w:b/>
          <w:bCs/>
        </w:rPr>
        <w:t>1.  Identification of the Information Collection</w:t>
      </w:r>
    </w:p>
    <w:p w:rsidR="00B8070F" w:rsidRPr="00DD18A6" w:rsidRDefault="00B8070F" w:rsidP="00B8070F">
      <w:pPr>
        <w:rPr>
          <w:b/>
          <w:bCs/>
        </w:rPr>
      </w:pPr>
    </w:p>
    <w:p w:rsidR="00B8070F" w:rsidRPr="00DD18A6" w:rsidRDefault="00B8070F" w:rsidP="00B8070F">
      <w:pPr>
        <w:ind w:firstLine="720"/>
        <w:rPr>
          <w:b/>
          <w:bCs/>
        </w:rPr>
      </w:pPr>
      <w:r w:rsidRPr="00DD18A6">
        <w:rPr>
          <w:b/>
          <w:bCs/>
        </w:rPr>
        <w:t>1(a</w:t>
      </w:r>
      <w:proofErr w:type="gramStart"/>
      <w:r w:rsidRPr="00DD18A6">
        <w:rPr>
          <w:b/>
          <w:bCs/>
        </w:rPr>
        <w:t>)  Title</w:t>
      </w:r>
      <w:proofErr w:type="gramEnd"/>
      <w:r w:rsidRPr="00DD18A6">
        <w:rPr>
          <w:b/>
          <w:bCs/>
        </w:rPr>
        <w:t xml:space="preserve"> of the Information Collection</w:t>
      </w:r>
    </w:p>
    <w:p w:rsidR="00B8070F" w:rsidRPr="00DD18A6" w:rsidRDefault="00B8070F" w:rsidP="00B8070F">
      <w:pPr>
        <w:rPr>
          <w:b/>
          <w:bCs/>
        </w:rPr>
      </w:pPr>
    </w:p>
    <w:p w:rsidR="00B8070F" w:rsidRDefault="00B8070F" w:rsidP="00B8070F">
      <w:r w:rsidRPr="007E7C6E">
        <w:rPr>
          <w:bCs/>
        </w:rPr>
        <w:t>NSPS for the Graphic Arts Indust</w:t>
      </w:r>
      <w:r>
        <w:rPr>
          <w:bCs/>
        </w:rPr>
        <w:t>ry (40 CFR Part 60, Subpart QQ)</w:t>
      </w:r>
      <w:r w:rsidRPr="00DD18A6">
        <w:t xml:space="preserve"> (Renewal)</w:t>
      </w:r>
      <w:r>
        <w:t xml:space="preserve">, </w:t>
      </w:r>
    </w:p>
    <w:p w:rsidR="00B8070F" w:rsidRPr="00723D81" w:rsidRDefault="00B8070F" w:rsidP="00B8070F">
      <w:pPr>
        <w:rPr>
          <w:bCs/>
        </w:rPr>
      </w:pPr>
      <w:r>
        <w:t xml:space="preserve">EPA ICR Number 0657.10, OMB Control number 2060-0105 </w:t>
      </w:r>
    </w:p>
    <w:p w:rsidR="00B8070F" w:rsidRPr="00DD18A6" w:rsidRDefault="00B8070F" w:rsidP="00B8070F">
      <w:pPr>
        <w:rPr>
          <w:b/>
          <w:bCs/>
        </w:rPr>
      </w:pPr>
    </w:p>
    <w:p w:rsidR="00B8070F" w:rsidRPr="00DD18A6" w:rsidRDefault="00B8070F" w:rsidP="00B8070F">
      <w:pPr>
        <w:ind w:firstLine="720"/>
      </w:pPr>
      <w:r w:rsidRPr="00DD18A6">
        <w:rPr>
          <w:b/>
          <w:bCs/>
        </w:rPr>
        <w:t>1(b</w:t>
      </w:r>
      <w:proofErr w:type="gramStart"/>
      <w:r w:rsidRPr="00DD18A6">
        <w:rPr>
          <w:b/>
          <w:bCs/>
        </w:rPr>
        <w:t>)  Short</w:t>
      </w:r>
      <w:proofErr w:type="gramEnd"/>
      <w:r w:rsidRPr="00DD18A6">
        <w:rPr>
          <w:b/>
          <w:bCs/>
        </w:rPr>
        <w:t xml:space="preserve"> Characterization/Abstract</w:t>
      </w:r>
    </w:p>
    <w:p w:rsidR="00B8070F" w:rsidRPr="00DD18A6" w:rsidRDefault="00B8070F" w:rsidP="00B8070F"/>
    <w:p w:rsidR="00B8070F" w:rsidRDefault="00B8070F" w:rsidP="00B8070F">
      <w:pPr>
        <w:ind w:firstLine="720"/>
      </w:pPr>
      <w:r>
        <w:t xml:space="preserve">The New Source Performance Standards (NSPS) for the Graphic Arts Industry (40 CFR part 60, subpart QQ) were proposed on October 28, 1980, and promulgated on November 8, 1982.  These standards apply to the following affected facilities in NSPS subpart QQ: each publication rotogravure printing press (not including proof presses) commencing construction, modification or reconstruction after the date of a proposal.  This information is being collected to assure compliance with 40 CFR </w:t>
      </w:r>
      <w:proofErr w:type="gramStart"/>
      <w:r>
        <w:t>part</w:t>
      </w:r>
      <w:proofErr w:type="gramEnd"/>
      <w:r>
        <w:t xml:space="preserve"> 60, subpart QQ.</w:t>
      </w:r>
    </w:p>
    <w:p w:rsidR="00B8070F" w:rsidRDefault="00B8070F" w:rsidP="00B8070F">
      <w:pPr>
        <w:ind w:firstLine="720"/>
      </w:pPr>
    </w:p>
    <w:p w:rsidR="00B8070F" w:rsidRDefault="00B8070F" w:rsidP="00B8070F">
      <w:pPr>
        <w:ind w:firstLine="720"/>
      </w:pPr>
      <w:r>
        <w:t xml:space="preserve">Approximately 19 facilities are currently subject to the standard, and it is estimated that one additional facility will begin operations and will become subject to the standard over the next three years.  It is assumed that 30 percent of those facilities will add or modify a press at their facility during the three-year period. </w:t>
      </w:r>
    </w:p>
    <w:p w:rsidR="00B8070F" w:rsidRDefault="00B8070F" w:rsidP="00B8070F">
      <w:pPr>
        <w:pBdr>
          <w:top w:val="single" w:sz="6" w:space="0" w:color="FFFFFF"/>
          <w:left w:val="single" w:sz="6" w:space="0" w:color="FFFFFF"/>
          <w:bottom w:val="single" w:sz="6" w:space="0" w:color="FFFFFF"/>
          <w:right w:val="single" w:sz="6" w:space="0" w:color="FFFFFF"/>
        </w:pBdr>
        <w:tabs>
          <w:tab w:val="left" w:pos="7830"/>
        </w:tabs>
        <w:ind w:firstLine="720"/>
      </w:pPr>
      <w:r>
        <w:tab/>
      </w:r>
    </w:p>
    <w:p w:rsidR="00B8070F" w:rsidRDefault="00B8070F" w:rsidP="00B8070F">
      <w:pPr>
        <w:pBdr>
          <w:top w:val="single" w:sz="6" w:space="0" w:color="FFFFFF"/>
          <w:left w:val="single" w:sz="6" w:space="0" w:color="FFFFFF"/>
          <w:bottom w:val="single" w:sz="6" w:space="0" w:color="FFFFFF"/>
          <w:right w:val="single" w:sz="6" w:space="0" w:color="FFFFFF"/>
        </w:pBdr>
        <w:ind w:firstLine="720"/>
      </w:pPr>
      <w:r>
        <w:t xml:space="preserve">The current ICR is based on the most recently approved Information Collection Request (ICR).  The cost of this ICR will be </w:t>
      </w:r>
      <w:r w:rsidRPr="00F5116F">
        <w:t>$</w:t>
      </w:r>
      <w:r>
        <w:t>163,005 (rounded).  All reports are sent to the delegated State, or local authority.  In the event that there is no such delegated authority, the reports are sent directly to the EPA Regional Office.</w:t>
      </w:r>
    </w:p>
    <w:p w:rsidR="00B8070F" w:rsidRDefault="00B8070F" w:rsidP="00B8070F">
      <w:pPr>
        <w:pBdr>
          <w:top w:val="single" w:sz="6" w:space="0" w:color="FFFFFF"/>
          <w:left w:val="single" w:sz="6" w:space="0" w:color="FFFFFF"/>
          <w:bottom w:val="single" w:sz="6" w:space="0" w:color="FFFFFF"/>
          <w:right w:val="single" w:sz="6" w:space="0" w:color="FFFFFF"/>
        </w:pBdr>
      </w:pPr>
    </w:p>
    <w:p w:rsidR="00B8070F" w:rsidRDefault="00B8070F" w:rsidP="00B8070F">
      <w:pPr>
        <w:ind w:firstLine="720"/>
      </w:pPr>
      <w:r w:rsidRPr="00BB7794">
        <w:t xml:space="preserve">The active (previous) ICR had the following Terms of Clearance (TOC): </w:t>
      </w:r>
    </w:p>
    <w:p w:rsidR="00B8070F" w:rsidRDefault="00B8070F" w:rsidP="00B8070F">
      <w:pPr>
        <w:ind w:firstLine="720"/>
      </w:pPr>
    </w:p>
    <w:p w:rsidR="00B8070F" w:rsidRPr="000D2542" w:rsidRDefault="00B8070F" w:rsidP="00B8070F">
      <w:pPr>
        <w:ind w:left="1440" w:right="1440"/>
      </w:pPr>
      <w:r w:rsidRPr="000D2542">
        <w:t>The burden and cost assumptions and calculations for the respondents and the agency should be updated in the next renewal.</w:t>
      </w:r>
    </w:p>
    <w:p w:rsidR="00B8070F" w:rsidRDefault="00B8070F" w:rsidP="00B8070F">
      <w:pPr>
        <w:pBdr>
          <w:top w:val="single" w:sz="6" w:space="0" w:color="FFFFFF"/>
          <w:left w:val="single" w:sz="6" w:space="0" w:color="FFFFFF"/>
          <w:bottom w:val="single" w:sz="6" w:space="0" w:color="FFFFFF"/>
          <w:right w:val="single" w:sz="6" w:space="0" w:color="FFFFFF"/>
        </w:pBdr>
      </w:pPr>
    </w:p>
    <w:p w:rsidR="00B8070F" w:rsidRDefault="00B8070F" w:rsidP="00B8070F">
      <w:pPr>
        <w:widowControl/>
        <w:ind w:firstLine="720"/>
      </w:pPr>
      <w:r>
        <w:t>EPA has addressed the items of concern in the TOC as instructed by OMB in the active ICR.  See sections 6(b) and 6(c) for updated labor figures and attached Tables 1 &amp; 2 for the specific calculations.</w:t>
      </w:r>
    </w:p>
    <w:p w:rsidR="00B8070F" w:rsidRPr="00DD18A6" w:rsidRDefault="00B8070F" w:rsidP="00B8070F">
      <w:pPr>
        <w:pBdr>
          <w:top w:val="single" w:sz="6" w:space="0" w:color="FFFFFF"/>
          <w:left w:val="single" w:sz="6" w:space="0" w:color="FFFFFF"/>
          <w:bottom w:val="single" w:sz="6" w:space="0" w:color="FFFFFF"/>
          <w:right w:val="single" w:sz="6" w:space="0" w:color="FFFFFF"/>
        </w:pBdr>
      </w:pPr>
    </w:p>
    <w:p w:rsidR="00B8070F" w:rsidRPr="00DD18A6" w:rsidRDefault="00B8070F" w:rsidP="00B8070F">
      <w:pPr>
        <w:pBdr>
          <w:top w:val="single" w:sz="6" w:space="0" w:color="FFFFFF"/>
          <w:left w:val="single" w:sz="6" w:space="0" w:color="FFFFFF"/>
          <w:bottom w:val="single" w:sz="6" w:space="0" w:color="FFFFFF"/>
          <w:right w:val="single" w:sz="6" w:space="0" w:color="FFFFFF"/>
        </w:pBdr>
      </w:pPr>
      <w:r w:rsidRPr="00DD18A6">
        <w:rPr>
          <w:b/>
          <w:bCs/>
        </w:rPr>
        <w:t>2.  Need for and Use of the Collection</w:t>
      </w:r>
    </w:p>
    <w:p w:rsidR="00B8070F" w:rsidRPr="00DD18A6" w:rsidRDefault="00B8070F" w:rsidP="00B8070F">
      <w:pPr>
        <w:pBdr>
          <w:top w:val="single" w:sz="6" w:space="0" w:color="FFFFFF"/>
          <w:left w:val="single" w:sz="6" w:space="0" w:color="FFFFFF"/>
          <w:bottom w:val="single" w:sz="6" w:space="0" w:color="FFFFFF"/>
          <w:right w:val="single" w:sz="6" w:space="0" w:color="FFFFFF"/>
        </w:pBd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pPr>
      <w:r w:rsidRPr="00DD18A6">
        <w:rPr>
          <w:b/>
          <w:bCs/>
        </w:rPr>
        <w:t>2(a</w:t>
      </w:r>
      <w:proofErr w:type="gramStart"/>
      <w:r w:rsidRPr="00DD18A6">
        <w:rPr>
          <w:b/>
          <w:bCs/>
        </w:rPr>
        <w:t>)  Need</w:t>
      </w:r>
      <w:proofErr w:type="gramEnd"/>
      <w:r w:rsidRPr="00DD18A6">
        <w:rPr>
          <w:b/>
          <w:bCs/>
        </w:rPr>
        <w:t>/Authority for the Collection</w:t>
      </w:r>
    </w:p>
    <w:p w:rsidR="00B8070F" w:rsidRPr="00DD18A6" w:rsidRDefault="00B8070F" w:rsidP="00B8070F">
      <w:pPr>
        <w:pBdr>
          <w:top w:val="single" w:sz="6" w:space="0" w:color="FFFFFF"/>
          <w:left w:val="single" w:sz="6" w:space="0" w:color="FFFFFF"/>
          <w:bottom w:val="single" w:sz="6" w:space="0" w:color="FFFFFF"/>
          <w:right w:val="single" w:sz="6" w:space="0" w:color="FFFFFF"/>
        </w:pBd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pPr>
      <w:r w:rsidRPr="00DD18A6">
        <w:t xml:space="preserve">The EPA is charged under Section 111 of the Clean Air Act (CAA), as amended, to establish standards of performance for new stationary sources that reflect: </w:t>
      </w:r>
    </w:p>
    <w:p w:rsidR="00B8070F" w:rsidRPr="00DD18A6" w:rsidRDefault="00B8070F" w:rsidP="00B8070F">
      <w:pPr>
        <w:pBdr>
          <w:top w:val="single" w:sz="6" w:space="0" w:color="FFFFFF"/>
          <w:left w:val="single" w:sz="6" w:space="0" w:color="FFFFFF"/>
          <w:bottom w:val="single" w:sz="6" w:space="0" w:color="FFFFFF"/>
          <w:right w:val="single" w:sz="6" w:space="0" w:color="FFFFFF"/>
        </w:pBdr>
      </w:pPr>
    </w:p>
    <w:p w:rsidR="00B8070F" w:rsidRPr="00DD18A6" w:rsidRDefault="00B8070F" w:rsidP="00B8070F">
      <w:pPr>
        <w:pBdr>
          <w:top w:val="single" w:sz="6" w:space="0" w:color="FFFFFF"/>
          <w:left w:val="single" w:sz="6" w:space="0" w:color="FFFFFF"/>
          <w:bottom w:val="single" w:sz="6" w:space="0" w:color="FFFFFF"/>
          <w:right w:val="single" w:sz="6" w:space="0" w:color="FFFFFF"/>
        </w:pBdr>
        <w:ind w:left="1440" w:right="1440"/>
      </w:pPr>
      <w:r w:rsidRPr="00DD18A6">
        <w:rPr>
          <w:b/>
          <w:bCs/>
        </w:rPr>
        <w:t>. . .</w:t>
      </w:r>
      <w:r w:rsidRPr="00DD18A6">
        <w:t xml:space="preserve"> </w:t>
      </w:r>
      <w:proofErr w:type="gramStart"/>
      <w:r w:rsidRPr="00DD18A6">
        <w:t>application</w:t>
      </w:r>
      <w:proofErr w:type="gramEnd"/>
      <w:r w:rsidRPr="00DD18A6">
        <w:t xml:space="preserve"> of the best technological system of continuous emissions reduction which (taking into consideration the cost of </w:t>
      </w:r>
      <w:r w:rsidRPr="00DD18A6">
        <w:lastRenderedPageBreak/>
        <w:t>achieving such emissions reduction, or any non-air quality health and environmental impact and energy requirements) the Administrator determines has been adequately demonstrated.  Section 111(a</w:t>
      </w:r>
      <w:proofErr w:type="gramStart"/>
      <w:r w:rsidRPr="00DD18A6">
        <w:t>)(</w:t>
      </w:r>
      <w:proofErr w:type="gramEnd"/>
      <w:r w:rsidRPr="00DD18A6">
        <w:t>l).</w:t>
      </w:r>
    </w:p>
    <w:p w:rsidR="00B8070F" w:rsidRPr="00DD18A6" w:rsidRDefault="00B8070F" w:rsidP="00B8070F">
      <w:pPr>
        <w:pBdr>
          <w:top w:val="single" w:sz="6" w:space="0" w:color="FFFFFF"/>
          <w:left w:val="single" w:sz="6" w:space="0" w:color="FFFFFF"/>
          <w:bottom w:val="single" w:sz="6" w:space="0" w:color="FFFFFF"/>
          <w:right w:val="single" w:sz="6" w:space="0" w:color="FFFFFF"/>
        </w:pBdr>
      </w:pPr>
    </w:p>
    <w:p w:rsidR="00B8070F" w:rsidRPr="00DD18A6" w:rsidRDefault="00B8070F" w:rsidP="00B8070F">
      <w:pPr>
        <w:pBdr>
          <w:top w:val="single" w:sz="6" w:space="0" w:color="FFFFFF"/>
          <w:left w:val="single" w:sz="6" w:space="0" w:color="FFFFFF"/>
          <w:bottom w:val="single" w:sz="6" w:space="0" w:color="FFFFFF"/>
          <w:right w:val="single" w:sz="6" w:space="0" w:color="FFFFFF"/>
        </w:pBdr>
      </w:pPr>
      <w:r w:rsidRPr="00DD18A6">
        <w:t xml:space="preserve">The Agency refers to this charge as selecting the best demonstrated technology (BDT).  Section 111 also requires that the Administrator review and, if appropriate, revise such standards every </w:t>
      </w:r>
      <w:r>
        <w:t>eight</w:t>
      </w:r>
      <w:r w:rsidRPr="00DD18A6">
        <w:t xml:space="preserve"> years.</w:t>
      </w:r>
    </w:p>
    <w:p w:rsidR="00B8070F" w:rsidRPr="00DD18A6" w:rsidRDefault="00B8070F" w:rsidP="00B8070F">
      <w:pPr>
        <w:pBdr>
          <w:top w:val="single" w:sz="6" w:space="0" w:color="FFFFFF"/>
          <w:left w:val="single" w:sz="6" w:space="0" w:color="FFFFFF"/>
          <w:bottom w:val="single" w:sz="6" w:space="0" w:color="FFFFFF"/>
          <w:right w:val="single" w:sz="6" w:space="0" w:color="FFFFFF"/>
        </w:pBd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pPr>
      <w:r w:rsidRPr="00DD18A6">
        <w:t xml:space="preserve">In addition, Section 114(a) states that the Administrator may require any owner or operator subject to any requirement of this Act to: </w:t>
      </w:r>
    </w:p>
    <w:p w:rsidR="00B8070F" w:rsidRPr="00DD18A6" w:rsidRDefault="00B8070F" w:rsidP="00B8070F">
      <w:pPr>
        <w:pBdr>
          <w:top w:val="single" w:sz="6" w:space="0" w:color="FFFFFF"/>
          <w:left w:val="single" w:sz="6" w:space="0" w:color="FFFFFF"/>
          <w:bottom w:val="single" w:sz="6" w:space="0" w:color="FFFFFF"/>
          <w:right w:val="single" w:sz="6" w:space="0" w:color="FFFFFF"/>
        </w:pBdr>
      </w:pPr>
    </w:p>
    <w:p w:rsidR="00B8070F" w:rsidRPr="00DD18A6" w:rsidRDefault="00B8070F" w:rsidP="00B8070F">
      <w:pPr>
        <w:pBdr>
          <w:top w:val="single" w:sz="6" w:space="0" w:color="FFFFFF"/>
          <w:left w:val="single" w:sz="6" w:space="0" w:color="FFFFFF"/>
          <w:bottom w:val="single" w:sz="6" w:space="0" w:color="FFFFFF"/>
          <w:right w:val="single" w:sz="6" w:space="0" w:color="FFFFFF"/>
        </w:pBdr>
        <w:ind w:left="1440" w:right="1440"/>
      </w:pPr>
      <w:r w:rsidRPr="00DD18A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8070F" w:rsidRPr="00DD18A6" w:rsidRDefault="00B8070F" w:rsidP="00B8070F">
      <w:pPr>
        <w:pBdr>
          <w:top w:val="single" w:sz="6" w:space="0" w:color="FFFFFF"/>
          <w:left w:val="single" w:sz="6" w:space="0" w:color="FFFFFF"/>
          <w:bottom w:val="single" w:sz="6" w:space="0" w:color="FFFFFF"/>
          <w:right w:val="single" w:sz="6" w:space="0" w:color="FFFFFF"/>
        </w:pBd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t>In the Administrator’</w:t>
      </w:r>
      <w:r w:rsidRPr="00DD18A6">
        <w:t>s judgment,</w:t>
      </w:r>
      <w:r w:rsidRPr="005B60CC">
        <w:t xml:space="preserve"> </w:t>
      </w:r>
      <w:r w:rsidRPr="00DD18A6">
        <w:rPr>
          <w:color w:val="000000"/>
        </w:rPr>
        <w:t xml:space="preserve">Volatile Organic Compound (VOC) emissions from </w:t>
      </w:r>
      <w:r>
        <w:t>publication rotogravure printing presses</w:t>
      </w:r>
      <w:r w:rsidRPr="00DD18A6">
        <w:rPr>
          <w:color w:val="000000"/>
        </w:rPr>
        <w:t xml:space="preserve"> cause or contribute to air pollution that may reasonably be anticipated to endanger public health or welfare.  Therefore, the NSPS were promulgated for this source category at 40 CFR </w:t>
      </w:r>
      <w:proofErr w:type="gramStart"/>
      <w:r>
        <w:rPr>
          <w:color w:val="000000"/>
        </w:rPr>
        <w:t>part</w:t>
      </w:r>
      <w:proofErr w:type="gramEnd"/>
      <w:r>
        <w:rPr>
          <w:color w:val="000000"/>
        </w:rPr>
        <w:t xml:space="preserve"> 60, subpart QQ</w:t>
      </w:r>
      <w:r w:rsidRPr="00DD18A6">
        <w:rPr>
          <w:color w:val="000000"/>
        </w:rPr>
        <w:t>.</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r w:rsidRPr="00DD18A6">
        <w:rPr>
          <w:b/>
          <w:bCs/>
          <w:color w:val="000000"/>
        </w:rPr>
        <w:t>2(b</w:t>
      </w:r>
      <w:proofErr w:type="gramStart"/>
      <w:r w:rsidRPr="00DD18A6">
        <w:rPr>
          <w:b/>
          <w:bCs/>
          <w:color w:val="000000"/>
        </w:rPr>
        <w:t>)  Practical</w:t>
      </w:r>
      <w:proofErr w:type="gramEnd"/>
      <w:r w:rsidRPr="00DD18A6">
        <w:rPr>
          <w:b/>
          <w:bCs/>
          <w:color w:val="000000"/>
        </w:rPr>
        <w:t xml:space="preserve"> Utility/Users of the Data</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r w:rsidRPr="00DD18A6">
        <w:rPr>
          <w:color w:val="000000"/>
        </w:rPr>
        <w:t xml:space="preserve"> </w:t>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The control of emissions of Volatile Organic Compounds (VOCs) from </w:t>
      </w:r>
      <w:r>
        <w:t>publication rotogravure printing presses</w:t>
      </w:r>
      <w:r w:rsidRPr="00DD18A6">
        <w:rPr>
          <w:color w:val="000000"/>
        </w:rPr>
        <w:t xml:space="preserve"> requires not only the installation of properly designed equipment, but also the operation and maintenance of that equipment.  Emissions of VOCs from </w:t>
      </w:r>
      <w:r>
        <w:t xml:space="preserve">publication rotogravure printing presses </w:t>
      </w:r>
      <w:r w:rsidRPr="00DD18A6">
        <w:rPr>
          <w:color w:val="000000"/>
        </w:rPr>
        <w:t xml:space="preserve">are the result of the operation </w:t>
      </w:r>
      <w:r>
        <w:t>of the affected facilities</w:t>
      </w:r>
      <w:r w:rsidRPr="00DD18A6">
        <w:rPr>
          <w:color w:val="000000"/>
        </w:rPr>
        <w:t xml:space="preserve">.  The subject standards are achieved by </w:t>
      </w:r>
      <w:r>
        <w:t>the capture of VOC emissions using control technology and leak detection and repair procedures.</w:t>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ensures compliance with the applicable regulations which where promulgated in accordance with the Clean Air Act.  The collected information is also used for targeting inspections and as evidence in legal proceedings.</w:t>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facility’s initial capability to comply with the emission standard. Continuous emission monitors are used to ensure compliance with the standard at all times.</w:t>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lastRenderedPageBreak/>
        <w:t xml:space="preserve">The notifications required in the </w:t>
      </w:r>
      <w:r>
        <w:rPr>
          <w:color w:val="000000"/>
        </w:rPr>
        <w:t>standard</w:t>
      </w:r>
      <w:r w:rsidRPr="00DD18A6" w:rsidDel="005B60CC">
        <w:rPr>
          <w:color w:val="000000"/>
        </w:rPr>
        <w:t xml:space="preserve"> </w:t>
      </w:r>
      <w:r w:rsidRPr="00DD18A6">
        <w:rPr>
          <w:color w:val="000000"/>
        </w:rPr>
        <w:t xml:space="preserve">are used to inform the Agency or delegated authority when a source becomes subject to the requirements of the regulations.  The reviewing authority may then inspect the source to check if the pollution control devices are properly installed and operated and the </w:t>
      </w:r>
      <w:r>
        <w:rPr>
          <w:color w:val="000000"/>
        </w:rPr>
        <w:t xml:space="preserve">standards </w:t>
      </w:r>
      <w:r w:rsidRPr="00DD18A6">
        <w:rPr>
          <w:color w:val="000000"/>
        </w:rPr>
        <w:t xml:space="preserve">are being met.  </w:t>
      </w:r>
      <w:r>
        <w:rPr>
          <w:color w:val="000000"/>
        </w:rPr>
        <w:t xml:space="preserve">The performance test may also be observed. </w:t>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0A4999">
        <w:t>required semiannual reports</w:t>
      </w:r>
      <w:r>
        <w:rPr>
          <w:color w:val="000000"/>
        </w:rPr>
        <w:t xml:space="preserve"> are used to determine periods of excess emissions, identify problems at the facility, verify operation/maintenance procedures, and for compliance determinations.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r w:rsidRPr="00DD18A6">
        <w:rPr>
          <w:b/>
          <w:bCs/>
          <w:color w:val="000000"/>
        </w:rPr>
        <w:t>3.  Non</w:t>
      </w:r>
      <w:r>
        <w:rPr>
          <w:b/>
          <w:bCs/>
          <w:color w:val="000000"/>
        </w:rPr>
        <w:t>-</w:t>
      </w:r>
      <w:r w:rsidRPr="00DD18A6">
        <w:rPr>
          <w:b/>
          <w:bCs/>
          <w:color w:val="000000"/>
        </w:rPr>
        <w:t>duplication, Consultations, and Other Collection Criteria</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The requested recordkeeping and reporting are required under 40 CFR part 60, </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roofErr w:type="gramStart"/>
      <w:r w:rsidRPr="00DD18A6">
        <w:rPr>
          <w:color w:val="000000"/>
        </w:rPr>
        <w:t>subpart</w:t>
      </w:r>
      <w:proofErr w:type="gramEnd"/>
      <w:r w:rsidRPr="00DD18A6">
        <w:rPr>
          <w:color w:val="000000"/>
        </w:rPr>
        <w:t xml:space="preserve"> </w:t>
      </w:r>
      <w:r>
        <w:rPr>
          <w:color w:val="000000"/>
        </w:rPr>
        <w:t>QQ</w:t>
      </w:r>
      <w:r w:rsidRPr="00DD18A6">
        <w:rPr>
          <w:color w:val="000000"/>
        </w:rPr>
        <w:t>.</w:t>
      </w:r>
    </w:p>
    <w:p w:rsidR="00B8070F" w:rsidRPr="00DD18A6" w:rsidRDefault="00B8070F" w:rsidP="00B8070F">
      <w:pPr>
        <w:pBdr>
          <w:top w:val="single" w:sz="6" w:space="0" w:color="FFFFFF"/>
          <w:left w:val="single" w:sz="6" w:space="0" w:color="FFFFFF"/>
          <w:bottom w:val="single" w:sz="6" w:space="0" w:color="FFFFFF"/>
          <w:right w:val="single" w:sz="6" w:space="0" w:color="FFFFFF"/>
        </w:pBdr>
        <w:rPr>
          <w:b/>
          <w:bCs/>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r w:rsidRPr="00DD18A6">
        <w:rPr>
          <w:b/>
          <w:bCs/>
          <w:color w:val="000000"/>
        </w:rPr>
        <w:t>3(a</w:t>
      </w:r>
      <w:proofErr w:type="gramStart"/>
      <w:r w:rsidRPr="00DD18A6">
        <w:rPr>
          <w:b/>
          <w:bCs/>
          <w:color w:val="000000"/>
        </w:rPr>
        <w:t>)  Non</w:t>
      </w:r>
      <w:proofErr w:type="gramEnd"/>
      <w:r>
        <w:rPr>
          <w:b/>
          <w:bCs/>
          <w:color w:val="000000"/>
        </w:rPr>
        <w:t>-</w:t>
      </w:r>
      <w:r w:rsidRPr="00DD18A6">
        <w:rPr>
          <w:b/>
          <w:bCs/>
          <w:color w:val="000000"/>
        </w:rPr>
        <w:t>duplication</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 If the subject standards have not been delegated, the information is sent directly to the appropriate EPA regional office.  Otherwise, the information is sent directly to the delegated state</w:t>
      </w:r>
      <w:r>
        <w:rPr>
          <w:color w:val="000000"/>
        </w:rPr>
        <w:t>,</w:t>
      </w:r>
      <w:r w:rsidRPr="00DD18A6">
        <w:rPr>
          <w:color w:val="000000"/>
        </w:rPr>
        <w:t xml:space="preserve"> or local agency.  If a state or local agency has adopted </w:t>
      </w:r>
      <w:r>
        <w:rPr>
          <w:color w:val="000000"/>
        </w:rPr>
        <w:t>its</w:t>
      </w:r>
      <w:r w:rsidRPr="00DD18A6">
        <w:rPr>
          <w:color w:val="000000"/>
        </w:rPr>
        <w:t xml:space="preserve"> own similar standards to implement the Federal standards, a copy of the report submitted to the state</w:t>
      </w:r>
      <w:r>
        <w:rPr>
          <w:color w:val="000000"/>
        </w:rPr>
        <w:t>,</w:t>
      </w:r>
      <w:r w:rsidRPr="00DD18A6">
        <w:rPr>
          <w:color w:val="000000"/>
        </w:rPr>
        <w:t xml:space="preserve"> or local agency can be sent to the Administrator in lieu of the report required by the Federal standards.  Therefore, no duplication exists.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3(b</w:t>
      </w:r>
      <w:proofErr w:type="gramStart"/>
      <w:r w:rsidRPr="00DD18A6">
        <w:rPr>
          <w:b/>
          <w:bCs/>
          <w:color w:val="000000"/>
        </w:rPr>
        <w:t>)  Public</w:t>
      </w:r>
      <w:proofErr w:type="gramEnd"/>
      <w:r w:rsidRPr="00DD18A6">
        <w:rPr>
          <w:b/>
          <w:bCs/>
          <w:color w:val="000000"/>
        </w:rPr>
        <w:t xml:space="preserve"> Notice Required Prior to ICR Submission to OMB</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An announcement of a public comment period for the renewal of this ICR was published in the </w:t>
      </w:r>
      <w:r w:rsidRPr="00DD18A6">
        <w:rPr>
          <w:color w:val="000000"/>
          <w:u w:val="single"/>
        </w:rPr>
        <w:t>Federal</w:t>
      </w:r>
      <w:r w:rsidRPr="00DD18A6">
        <w:rPr>
          <w:color w:val="000000"/>
        </w:rPr>
        <w:t xml:space="preserve"> </w:t>
      </w:r>
      <w:r w:rsidRPr="00DD18A6">
        <w:rPr>
          <w:color w:val="000000"/>
          <w:u w:val="single"/>
        </w:rPr>
        <w:t>Register</w:t>
      </w:r>
      <w:r w:rsidRPr="00DD18A6">
        <w:rPr>
          <w:color w:val="000000"/>
        </w:rPr>
        <w:t xml:space="preserve"> on </w:t>
      </w:r>
      <w:r>
        <w:rPr>
          <w:color w:val="000000"/>
        </w:rPr>
        <w:t>July 8, 2009</w:t>
      </w:r>
      <w:r w:rsidRPr="00DD18A6">
        <w:rPr>
          <w:color w:val="000000"/>
        </w:rPr>
        <w:t xml:space="preserve"> (</w:t>
      </w:r>
      <w:r>
        <w:rPr>
          <w:color w:val="000000"/>
        </w:rPr>
        <w:t xml:space="preserve">74 </w:t>
      </w:r>
      <w:r w:rsidRPr="00C13E58">
        <w:rPr>
          <w:color w:val="000000"/>
          <w:u w:val="single"/>
        </w:rPr>
        <w:t>FR</w:t>
      </w:r>
      <w:r>
        <w:rPr>
          <w:color w:val="000000"/>
        </w:rPr>
        <w:t xml:space="preserve"> 32581</w:t>
      </w:r>
      <w:r w:rsidRPr="00DD18A6">
        <w:rPr>
          <w:color w:val="000000"/>
        </w:rPr>
        <w:t xml:space="preserve">).  No comments were received on the burden published in the </w:t>
      </w:r>
      <w:r w:rsidRPr="00DD18A6">
        <w:rPr>
          <w:color w:val="000000"/>
          <w:u w:val="single"/>
        </w:rPr>
        <w:t>Federal</w:t>
      </w:r>
      <w:r w:rsidRPr="00DD18A6">
        <w:rPr>
          <w:color w:val="000000"/>
        </w:rPr>
        <w:t xml:space="preserve"> </w:t>
      </w:r>
      <w:r w:rsidRPr="00DD18A6">
        <w:rPr>
          <w:color w:val="000000"/>
          <w:u w:val="single"/>
        </w:rPr>
        <w:t>Register</w:t>
      </w:r>
      <w:r w:rsidRPr="00DD18A6">
        <w:rPr>
          <w:color w:val="000000"/>
        </w:rPr>
        <w:t>.</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r w:rsidRPr="00DD18A6">
        <w:rPr>
          <w:b/>
          <w:bCs/>
          <w:color w:val="000000"/>
        </w:rPr>
        <w:t>3(c</w:t>
      </w:r>
      <w:proofErr w:type="gramStart"/>
      <w:r w:rsidRPr="00DD18A6">
        <w:rPr>
          <w:b/>
          <w:bCs/>
          <w:color w:val="000000"/>
        </w:rPr>
        <w:t>)  Consultations</w:t>
      </w:r>
      <w:proofErr w:type="gramEnd"/>
    </w:p>
    <w:p w:rsidR="00B8070F"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p>
    <w:p w:rsidR="00B8070F" w:rsidRPr="00723D81" w:rsidRDefault="00B8070F" w:rsidP="00B8070F">
      <w:pPr>
        <w:pBdr>
          <w:top w:val="single" w:sz="6" w:space="0" w:color="FFFFFF"/>
          <w:left w:val="single" w:sz="6" w:space="0" w:color="FFFFFF"/>
          <w:bottom w:val="single" w:sz="6" w:space="0" w:color="FFFFFF"/>
          <w:right w:val="single" w:sz="6" w:space="0" w:color="FFFFFF"/>
        </w:pBdr>
        <w:ind w:firstLine="720"/>
        <w:rPr>
          <w:rFonts w:eastAsia="Batang"/>
          <w:lang w:eastAsia="ko-KR"/>
        </w:rPr>
      </w:pPr>
      <w:r w:rsidRPr="00723D81">
        <w:rPr>
          <w:bCs/>
        </w:rPr>
        <w:t xml:space="preserve">It is our policy to respond after a thorough review of comments received since the last ICR renewal as well as those submitted in response to the first </w:t>
      </w:r>
      <w:r w:rsidRPr="00723D81">
        <w:rPr>
          <w:bCs/>
          <w:u w:val="single"/>
        </w:rPr>
        <w:t>Federal Register</w:t>
      </w:r>
      <w:r w:rsidRPr="00723D81">
        <w:rPr>
          <w:bCs/>
        </w:rPr>
        <w:t xml:space="preserve"> notice.  </w:t>
      </w:r>
      <w:r w:rsidRPr="00723D81">
        <w:t xml:space="preserve">In this case, no comments were received.  </w:t>
      </w:r>
    </w:p>
    <w:p w:rsidR="00B8070F" w:rsidRPr="00410A9C" w:rsidRDefault="00B8070F" w:rsidP="00B8070F">
      <w:pPr>
        <w:spacing w:line="240" w:lineRule="atLeast"/>
        <w:ind w:firstLine="720"/>
        <w:rPr>
          <w:rFonts w:eastAsia="Batang"/>
          <w:color w:val="000000"/>
          <w:lang w:eastAsia="ko-KR"/>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3(d</w:t>
      </w:r>
      <w:proofErr w:type="gramStart"/>
      <w:r w:rsidRPr="00DD18A6">
        <w:rPr>
          <w:b/>
          <w:bCs/>
          <w:color w:val="000000"/>
        </w:rPr>
        <w:t>)  Effects</w:t>
      </w:r>
      <w:proofErr w:type="gramEnd"/>
      <w:r w:rsidRPr="00DD18A6">
        <w:rPr>
          <w:b/>
          <w:bCs/>
          <w:color w:val="000000"/>
        </w:rPr>
        <w:t xml:space="preserve"> of Less Frequent Collection</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w:t>
      </w:r>
      <w:r>
        <w:rPr>
          <w:color w:val="000000"/>
        </w:rPr>
        <w:t>proper</w:t>
      </w:r>
      <w:r w:rsidRPr="00DD18A6">
        <w:rPr>
          <w:color w:val="000000"/>
        </w:rPr>
        <w:t xml:space="preserve"> operation and maintenance of control equipment </w:t>
      </w:r>
      <w:r>
        <w:rPr>
          <w:color w:val="000000"/>
        </w:rPr>
        <w:t>and the possibility of detecting violations would be less likely.</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r w:rsidRPr="00DD18A6">
        <w:rPr>
          <w:b/>
          <w:bCs/>
          <w:color w:val="000000"/>
        </w:rPr>
        <w:t>3(e</w:t>
      </w:r>
      <w:proofErr w:type="gramStart"/>
      <w:r w:rsidRPr="00DD18A6">
        <w:rPr>
          <w:b/>
          <w:bCs/>
          <w:color w:val="000000"/>
        </w:rPr>
        <w:t>)  General</w:t>
      </w:r>
      <w:proofErr w:type="gramEnd"/>
      <w:r w:rsidRPr="00DD18A6">
        <w:rPr>
          <w:b/>
          <w:bCs/>
          <w:color w:val="000000"/>
        </w:rPr>
        <w:t xml:space="preserve"> Guidelines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None of these reporting or recordkeeping requirements violate</w:t>
      </w:r>
      <w:r>
        <w:rPr>
          <w:color w:val="000000"/>
        </w:rPr>
        <w:t>s</w:t>
      </w:r>
      <w:r w:rsidRPr="00DD18A6">
        <w:rPr>
          <w:color w:val="000000"/>
        </w:rPr>
        <w:t xml:space="preserve"> any of the regulations established by OMB at 5 CFR Part 1320, Section 1320.5.</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3(f</w:t>
      </w:r>
      <w:proofErr w:type="gramStart"/>
      <w:r w:rsidRPr="00DD18A6">
        <w:rPr>
          <w:b/>
          <w:bCs/>
          <w:color w:val="000000"/>
        </w:rPr>
        <w:t>)  Confidentiality</w:t>
      </w:r>
      <w:proofErr w:type="gramEnd"/>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pPr>
      <w:r w:rsidRPr="00DD18A6">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Pr>
          <w:color w:val="000000"/>
        </w:rPr>
        <w:t xml:space="preserve">(CBI) </w:t>
      </w:r>
      <w:r w:rsidRPr="00DD18A6">
        <w:rPr>
          <w:color w:val="000000"/>
        </w:rPr>
        <w:t xml:space="preserve">(see 40 CFR 2; 41 </w:t>
      </w:r>
      <w:r w:rsidRPr="00DD18A6">
        <w:rPr>
          <w:color w:val="000000"/>
          <w:u w:val="single"/>
        </w:rPr>
        <w:t>FR</w:t>
      </w:r>
      <w:r w:rsidRPr="00DD18A6">
        <w:rPr>
          <w:color w:val="000000"/>
        </w:rPr>
        <w:t xml:space="preserve"> 36902, September 1, 1976; amended by 43 </w:t>
      </w:r>
      <w:r w:rsidRPr="00DD18A6">
        <w:rPr>
          <w:color w:val="000000"/>
          <w:u w:val="single"/>
        </w:rPr>
        <w:t>FR</w:t>
      </w:r>
      <w:r w:rsidRPr="00DD18A6">
        <w:rPr>
          <w:color w:val="000000"/>
        </w:rPr>
        <w:t xml:space="preserve"> 40000, September 8, 1978; 43 </w:t>
      </w:r>
      <w:r w:rsidRPr="00DD18A6">
        <w:rPr>
          <w:color w:val="000000"/>
          <w:u w:val="single"/>
        </w:rPr>
        <w:t>FR</w:t>
      </w:r>
      <w:r w:rsidRPr="00DD18A6">
        <w:rPr>
          <w:color w:val="000000"/>
        </w:rPr>
        <w:t xml:space="preserve"> 42251, September 20, 1978; 44 </w:t>
      </w:r>
      <w:r w:rsidRPr="00DD18A6">
        <w:rPr>
          <w:color w:val="000000"/>
          <w:u w:val="single"/>
        </w:rPr>
        <w:t>FR</w:t>
      </w:r>
      <w:r w:rsidRPr="00DD18A6">
        <w:rPr>
          <w:color w:val="000000"/>
        </w:rPr>
        <w:t xml:space="preserve"> 17674, March 23, 1979).</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3(g</w:t>
      </w:r>
      <w:proofErr w:type="gramStart"/>
      <w:r w:rsidRPr="00DD18A6">
        <w:rPr>
          <w:b/>
          <w:bCs/>
          <w:color w:val="000000"/>
        </w:rPr>
        <w:t>)  Sensitive</w:t>
      </w:r>
      <w:proofErr w:type="gramEnd"/>
      <w:r w:rsidRPr="00DD18A6">
        <w:rPr>
          <w:b/>
          <w:bCs/>
          <w:color w:val="000000"/>
        </w:rPr>
        <w:t xml:space="preserve"> Questions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rPr>
          <w:b/>
          <w:bCs/>
          <w:color w:val="000000"/>
        </w:rPr>
      </w:pPr>
      <w:r w:rsidRPr="00DD18A6">
        <w:rPr>
          <w:b/>
          <w:bCs/>
          <w:color w:val="000000"/>
        </w:rPr>
        <w:t>4.  The Respondents and the Information Requested</w:t>
      </w:r>
    </w:p>
    <w:p w:rsidR="00B8070F" w:rsidRPr="00DD18A6" w:rsidRDefault="00B8070F" w:rsidP="00B8070F">
      <w:pPr>
        <w:pBdr>
          <w:top w:val="single" w:sz="6" w:space="0" w:color="FFFFFF"/>
          <w:left w:val="single" w:sz="6" w:space="0" w:color="FFFFFF"/>
          <w:bottom w:val="single" w:sz="6" w:space="0" w:color="FFFFFF"/>
          <w:right w:val="single" w:sz="6" w:space="0" w:color="FFFFFF"/>
        </w:pBdr>
        <w:rPr>
          <w:b/>
          <w:bCs/>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4(a</w:t>
      </w:r>
      <w:proofErr w:type="gramStart"/>
      <w:r w:rsidRPr="00DD18A6">
        <w:rPr>
          <w:b/>
          <w:bCs/>
          <w:color w:val="000000"/>
        </w:rPr>
        <w:t>)  Respondents</w:t>
      </w:r>
      <w:proofErr w:type="gramEnd"/>
      <w:r w:rsidRPr="00DD18A6">
        <w:rPr>
          <w:b/>
          <w:bCs/>
          <w:color w:val="000000"/>
        </w:rPr>
        <w:t>/SIC and NAICS Codes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The respondents to the recordkeeping and reporting requirements are magnetic tape manufacturers.  The SIC code for the respondents affected by the standards is SIC (United States Standard Industrial Classification) </w:t>
      </w:r>
      <w:r>
        <w:rPr>
          <w:color w:val="000000"/>
        </w:rPr>
        <w:t>2754</w:t>
      </w:r>
      <w:r w:rsidRPr="00DD18A6">
        <w:rPr>
          <w:color w:val="000000"/>
        </w:rPr>
        <w:t xml:space="preserve"> which corresponds to the NAICS (The North American Industry Classification System) </w:t>
      </w:r>
      <w:r>
        <w:rPr>
          <w:color w:val="000000"/>
        </w:rPr>
        <w:t>323111</w:t>
      </w:r>
      <w:r w:rsidRPr="00DD18A6">
        <w:rPr>
          <w:color w:val="000000"/>
        </w:rPr>
        <w:t xml:space="preserve"> for </w:t>
      </w:r>
      <w:r>
        <w:t>Graphic Arts Industry</w:t>
      </w:r>
      <w:r w:rsidRPr="00DD18A6">
        <w:rPr>
          <w:color w:val="000000"/>
        </w:rPr>
        <w:t>.</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4(b</w:t>
      </w:r>
      <w:proofErr w:type="gramStart"/>
      <w:r w:rsidRPr="00DD18A6">
        <w:rPr>
          <w:b/>
          <w:bCs/>
          <w:color w:val="000000"/>
        </w:rPr>
        <w:t>)  Information</w:t>
      </w:r>
      <w:proofErr w:type="gramEnd"/>
      <w:r w:rsidRPr="00DD18A6">
        <w:rPr>
          <w:b/>
          <w:bCs/>
          <w:color w:val="000000"/>
        </w:rPr>
        <w:t xml:space="preserve"> Requested</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1440"/>
        <w:rPr>
          <w:color w:val="000000"/>
        </w:rPr>
      </w:pPr>
      <w:r w:rsidRPr="00DD18A6">
        <w:rPr>
          <w:b/>
          <w:bCs/>
          <w:color w:val="000000"/>
        </w:rPr>
        <w:t>(</w:t>
      </w:r>
      <w:proofErr w:type="spellStart"/>
      <w:r w:rsidRPr="00DD18A6">
        <w:rPr>
          <w:b/>
          <w:bCs/>
          <w:color w:val="000000"/>
        </w:rPr>
        <w:t>i</w:t>
      </w:r>
      <w:proofErr w:type="spellEnd"/>
      <w:r w:rsidRPr="00DD18A6">
        <w:rPr>
          <w:b/>
          <w:bCs/>
          <w:color w:val="000000"/>
        </w:rPr>
        <w:t>)  Data Items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tabs>
          <w:tab w:val="left" w:pos="1005"/>
        </w:tabs>
        <w:rPr>
          <w:color w:val="000000"/>
        </w:rPr>
      </w:pPr>
      <w:r w:rsidRPr="00DD18A6">
        <w:rPr>
          <w:color w:val="000000"/>
        </w:rPr>
        <w:t xml:space="preserve">All data in this ICR that is recorded and/or reported is required by 40 CFR </w:t>
      </w:r>
      <w:proofErr w:type="gramStart"/>
      <w:r w:rsidRPr="00DD18A6">
        <w:rPr>
          <w:color w:val="000000"/>
        </w:rPr>
        <w:t>part</w:t>
      </w:r>
      <w:proofErr w:type="gramEnd"/>
      <w:r w:rsidRPr="00DD18A6">
        <w:rPr>
          <w:color w:val="000000"/>
        </w:rPr>
        <w:t xml:space="preserve"> 60, subpart </w:t>
      </w:r>
      <w:r>
        <w:rPr>
          <w:color w:val="000000"/>
        </w:rPr>
        <w:t>QQ</w:t>
      </w:r>
      <w:r w:rsidRPr="00DD18A6">
        <w:rPr>
          <w:color w:val="000000"/>
        </w:rPr>
        <w:t>.</w:t>
      </w:r>
    </w:p>
    <w:p w:rsidR="00B8070F" w:rsidRPr="002D09D5" w:rsidRDefault="00B8070F" w:rsidP="00B8070F">
      <w:pPr>
        <w:pBdr>
          <w:top w:val="single" w:sz="6" w:space="0" w:color="FFFFFF"/>
          <w:left w:val="single" w:sz="6" w:space="0" w:color="FFFFFF"/>
          <w:bottom w:val="single" w:sz="6" w:space="0" w:color="FFFFFF"/>
          <w:right w:val="single" w:sz="6" w:space="0" w:color="FFFFFF"/>
        </w:pBdr>
        <w:tabs>
          <w:tab w:val="left" w:pos="1005"/>
        </w:tabs>
      </w:pPr>
    </w:p>
    <w:p w:rsidR="00B8070F" w:rsidRDefault="00B8070F" w:rsidP="00B8070F">
      <w:pPr>
        <w:pBdr>
          <w:top w:val="single" w:sz="6" w:space="0" w:color="FFFFFF"/>
          <w:left w:val="single" w:sz="6" w:space="0" w:color="FFFFFF"/>
          <w:bottom w:val="single" w:sz="6" w:space="0" w:color="FFFFFF"/>
          <w:right w:val="single" w:sz="6" w:space="0" w:color="FFFFFF"/>
        </w:pBdr>
        <w:ind w:firstLine="720"/>
      </w:pPr>
      <w:r>
        <w:t>A source must make the following reports: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B8070F" w:rsidRPr="00DD18A6" w:rsidTr="00663C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FE2725" w:rsidRDefault="00B8070F" w:rsidP="00663C40">
            <w:pPr>
              <w:pBdr>
                <w:top w:val="single" w:sz="6" w:space="0" w:color="FFFFFF"/>
                <w:left w:val="single" w:sz="6" w:space="0" w:color="FFFFFF"/>
                <w:bottom w:val="single" w:sz="6" w:space="0" w:color="FFFFFF"/>
                <w:right w:val="single" w:sz="6" w:space="0" w:color="FFFFFF"/>
              </w:pBdr>
              <w:spacing w:after="58"/>
              <w:jc w:val="center"/>
              <w:rPr>
                <w:b/>
                <w:color w:val="000000"/>
              </w:rPr>
            </w:pPr>
            <w:r w:rsidRPr="00FE2725">
              <w:rPr>
                <w:b/>
                <w:color w:val="000000"/>
              </w:rPr>
              <w:t>Notifications</w:t>
            </w:r>
            <w:r>
              <w:rPr>
                <w:b/>
                <w:color w:val="000000"/>
              </w:rPr>
              <w:t xml:space="preserve"> and Reports</w:t>
            </w:r>
          </w:p>
        </w:tc>
      </w:tr>
      <w:tr w:rsidR="00B8070F" w:rsidRPr="00DD18A6"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60.7(a)(1)</w:t>
            </w:r>
          </w:p>
        </w:tc>
      </w:tr>
      <w:tr w:rsidR="00B8070F" w:rsidRPr="00DD18A6"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Actual startup</w:t>
            </w:r>
          </w:p>
        </w:tc>
        <w:tc>
          <w:tcPr>
            <w:tcW w:w="234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60.7(a)(3)</w:t>
            </w:r>
          </w:p>
        </w:tc>
      </w:tr>
      <w:tr w:rsidR="00B8070F" w:rsidRPr="00DD18A6"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60.8(a)</w:t>
            </w:r>
            <w:r>
              <w:rPr>
                <w:color w:val="000000"/>
              </w:rPr>
              <w:t xml:space="preserve"> and 60.433 (e)(6)</w:t>
            </w:r>
          </w:p>
        </w:tc>
      </w:tr>
      <w:tr w:rsidR="00B8070F" w:rsidRPr="00DD18A6" w:rsidTr="00663C40">
        <w:trPr>
          <w:jc w:val="center"/>
        </w:trPr>
        <w:tc>
          <w:tcPr>
            <w:tcW w:w="702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60.8(d)</w:t>
            </w:r>
          </w:p>
        </w:tc>
      </w:tr>
      <w:tr w:rsidR="00B8070F" w:rsidRPr="00DD18A6" w:rsidTr="00663C40">
        <w:trPr>
          <w:trHeight w:hRule="exact" w:val="543"/>
          <w:jc w:val="center"/>
        </w:trPr>
        <w:tc>
          <w:tcPr>
            <w:tcW w:w="702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60.7(a)(4)</w:t>
            </w:r>
          </w:p>
        </w:tc>
      </w:tr>
      <w:tr w:rsidR="00B8070F" w:rsidRPr="00DD18A6" w:rsidTr="00663C40">
        <w:trPr>
          <w:trHeight w:hRule="exact" w:val="543"/>
          <w:jc w:val="center"/>
        </w:trPr>
        <w:tc>
          <w:tcPr>
            <w:tcW w:w="702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Pr>
                <w:color w:val="000000"/>
              </w:rPr>
              <w:t>Semiannual Reports</w:t>
            </w:r>
          </w:p>
        </w:tc>
        <w:tc>
          <w:tcPr>
            <w:tcW w:w="234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Pr>
                <w:color w:val="000000"/>
              </w:rPr>
              <w:t>60.7(c)</w:t>
            </w:r>
          </w:p>
        </w:tc>
      </w:tr>
    </w:tbl>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A source must keep the following records:</w:t>
      </w: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3600"/>
        <w:rPr>
          <w:color w:val="000000"/>
        </w:rPr>
      </w:pPr>
    </w:p>
    <w:tbl>
      <w:tblPr>
        <w:tblW w:w="0" w:type="auto"/>
        <w:jc w:val="center"/>
        <w:tblLayout w:type="fixed"/>
        <w:tblCellMar>
          <w:left w:w="120" w:type="dxa"/>
          <w:right w:w="120" w:type="dxa"/>
        </w:tblCellMar>
        <w:tblLook w:val="0000"/>
      </w:tblPr>
      <w:tblGrid>
        <w:gridCol w:w="7110"/>
        <w:gridCol w:w="2250"/>
      </w:tblGrid>
      <w:tr w:rsidR="00B8070F" w:rsidRPr="00DD18A6" w:rsidTr="00663C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FE2725" w:rsidRDefault="00B8070F" w:rsidP="00663C40">
            <w:pPr>
              <w:pBdr>
                <w:top w:val="single" w:sz="6" w:space="0" w:color="FFFFFF"/>
                <w:left w:val="single" w:sz="6" w:space="0" w:color="FFFFFF"/>
                <w:bottom w:val="single" w:sz="6" w:space="0" w:color="FFFFFF"/>
                <w:right w:val="single" w:sz="6" w:space="0" w:color="FFFFFF"/>
              </w:pBdr>
              <w:spacing w:after="58"/>
              <w:jc w:val="center"/>
              <w:rPr>
                <w:b/>
                <w:color w:val="000000"/>
              </w:rPr>
            </w:pPr>
            <w:r w:rsidRPr="00FE2725">
              <w:rPr>
                <w:b/>
                <w:color w:val="000000"/>
              </w:rPr>
              <w:t>Recordkeeping</w:t>
            </w:r>
          </w:p>
        </w:tc>
      </w:tr>
      <w:tr w:rsidR="00B8070F" w:rsidRPr="00DD18A6"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 xml:space="preserve">Startups, shutdowns, malfunctions </w:t>
            </w:r>
          </w:p>
        </w:tc>
        <w:tc>
          <w:tcPr>
            <w:tcW w:w="225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 xml:space="preserve">60.7(b) </w:t>
            </w:r>
          </w:p>
        </w:tc>
      </w:tr>
      <w:tr w:rsidR="00B8070F" w:rsidRPr="00DD18A6"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t>Records necessary to determine conditions of the performance test</w:t>
            </w:r>
            <w:r>
              <w:rPr>
                <w:color w:val="000000"/>
              </w:rPr>
              <w:t>.</w:t>
            </w:r>
          </w:p>
        </w:tc>
        <w:tc>
          <w:tcPr>
            <w:tcW w:w="225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60.7</w:t>
            </w:r>
            <w:r>
              <w:rPr>
                <w:color w:val="000000"/>
              </w:rPr>
              <w:t xml:space="preserve">(f), </w:t>
            </w:r>
            <w:r>
              <w:t>60.8(c), and 60.433(a)(5)</w:t>
            </w:r>
          </w:p>
        </w:tc>
      </w:tr>
      <w:tr w:rsidR="00B8070F" w:rsidRPr="00DD18A6"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Default="00B8070F" w:rsidP="00663C40">
            <w:r>
              <w:t xml:space="preserve">Records showing information to make monthly calculations </w:t>
            </w: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proofErr w:type="gramStart"/>
            <w:r>
              <w:t>of</w:t>
            </w:r>
            <w:proofErr w:type="gramEnd"/>
            <w:r>
              <w:t xml:space="preserve"> emissions.</w:t>
            </w:r>
          </w:p>
        </w:tc>
        <w:tc>
          <w:tcPr>
            <w:tcW w:w="225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60.7</w:t>
            </w:r>
            <w:r>
              <w:rPr>
                <w:color w:val="000000"/>
              </w:rPr>
              <w:t xml:space="preserve">(f), </w:t>
            </w:r>
            <w:r>
              <w:t>and 60.434(a)</w:t>
            </w:r>
          </w:p>
        </w:tc>
      </w:tr>
      <w:tr w:rsidR="00B8070F" w:rsidRPr="00DD18A6" w:rsidTr="00663C40">
        <w:trPr>
          <w:jc w:val="center"/>
        </w:trPr>
        <w:tc>
          <w:tcPr>
            <w:tcW w:w="711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Records are required</w:t>
            </w:r>
            <w:r>
              <w:rPr>
                <w:color w:val="000000"/>
              </w:rPr>
              <w:t xml:space="preserve">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60.7</w:t>
            </w:r>
            <w:r>
              <w:rPr>
                <w:color w:val="000000"/>
              </w:rPr>
              <w:t>(f)</w:t>
            </w:r>
          </w:p>
        </w:tc>
      </w:tr>
    </w:tbl>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r w:rsidRPr="00DD18A6">
        <w:rPr>
          <w:color w:val="000000"/>
          <w:u w:val="single"/>
        </w:rPr>
        <w:t>Electronic Reporting</w:t>
      </w:r>
    </w:p>
    <w:p w:rsidR="00B8070F" w:rsidRPr="00DD18A6" w:rsidRDefault="00B8070F" w:rsidP="00B8070F">
      <w:pPr>
        <w:pBdr>
          <w:top w:val="single" w:sz="6" w:space="0" w:color="FFFFFF"/>
          <w:left w:val="single" w:sz="6" w:space="0" w:color="FFFFFF"/>
          <w:bottom w:val="single" w:sz="6" w:space="0" w:color="FFFFFF"/>
          <w:right w:val="single" w:sz="6" w:space="0" w:color="FFFFFF"/>
        </w:pBdr>
        <w:tabs>
          <w:tab w:val="left" w:pos="2865"/>
        </w:tabs>
        <w:rPr>
          <w:color w:val="000000"/>
        </w:rPr>
      </w:pPr>
      <w:r>
        <w:rPr>
          <w:color w:val="000000"/>
        </w:rPr>
        <w:tab/>
      </w: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Currently, sources are using monitoring equipment that provides parameter data in an automated way, e.g., </w:t>
      </w:r>
      <w:r>
        <w:t xml:space="preserve">solvent recovery systems or a solvent vapor capture system to control emissions.  </w:t>
      </w:r>
      <w:r w:rsidRPr="00DD18A6">
        <w:rPr>
          <w:color w:val="000000"/>
        </w:rPr>
        <w:t>Although personnel at the source still need to evaluate the data, this type of monitoring equipment has significantly reduced the burden associated with monitoring and recordkeeping.  In addition, some regulatory agencies are setting up electronic reporting systems to allow sources to report electronically which is reducing the reporting burden.  However, electronic reporting systems are still not widely used by the regulatory agencies.  It is estimated that approximately 10 percent of the respondents use electronic reporting.</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left="1440"/>
        <w:rPr>
          <w:color w:val="000000"/>
        </w:rPr>
      </w:pPr>
      <w:r w:rsidRPr="00DD18A6">
        <w:rPr>
          <w:b/>
          <w:bCs/>
          <w:color w:val="000000"/>
        </w:rPr>
        <w:t>ii</w:t>
      </w:r>
      <w:proofErr w:type="gramStart"/>
      <w:r w:rsidRPr="00DD18A6">
        <w:rPr>
          <w:b/>
          <w:bCs/>
          <w:color w:val="000000"/>
        </w:rPr>
        <w:t>.  Respondent</w:t>
      </w:r>
      <w:proofErr w:type="gramEnd"/>
      <w:r w:rsidRPr="00DD18A6">
        <w:rPr>
          <w:b/>
          <w:bCs/>
          <w:color w:val="000000"/>
        </w:rPr>
        <w:t xml:space="preserve"> Activities</w:t>
      </w: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1440"/>
        <w:rPr>
          <w:color w:val="000000"/>
        </w:rPr>
      </w:pPr>
    </w:p>
    <w:tbl>
      <w:tblPr>
        <w:tblW w:w="0" w:type="auto"/>
        <w:jc w:val="center"/>
        <w:tblLayout w:type="fixed"/>
        <w:tblCellMar>
          <w:left w:w="120" w:type="dxa"/>
          <w:right w:w="120" w:type="dxa"/>
        </w:tblCellMar>
        <w:tblLook w:val="0000"/>
      </w:tblPr>
      <w:tblGrid>
        <w:gridCol w:w="9360"/>
      </w:tblGrid>
      <w:tr w:rsidR="00B8070F" w:rsidRPr="00DD18A6" w:rsidTr="00663C40">
        <w:trPr>
          <w:tblHeade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877B04" w:rsidRDefault="00B8070F" w:rsidP="00663C40">
            <w:pPr>
              <w:pBdr>
                <w:top w:val="single" w:sz="6" w:space="0" w:color="FFFFFF"/>
                <w:left w:val="single" w:sz="6" w:space="0" w:color="FFFFFF"/>
                <w:bottom w:val="single" w:sz="6" w:space="0" w:color="FFFFFF"/>
                <w:right w:val="single" w:sz="6" w:space="0" w:color="FFFFFF"/>
              </w:pBdr>
              <w:spacing w:after="58"/>
              <w:jc w:val="center"/>
              <w:rPr>
                <w:b/>
                <w:color w:val="000000"/>
              </w:rPr>
            </w:pPr>
            <w:r w:rsidRPr="00877B04">
              <w:rPr>
                <w:b/>
                <w:color w:val="000000"/>
              </w:rPr>
              <w:t>Respondent Activities</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Read instructions.</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t>Perform initial performance test, Reference Method 24A test, and repeat performance tests if necessary.</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tabs>
                <w:tab w:val="left" w:pos="1440"/>
              </w:tabs>
              <w:spacing w:line="120" w:lineRule="exact"/>
              <w:rPr>
                <w:color w:val="000000"/>
              </w:rPr>
            </w:pPr>
            <w:r>
              <w:rPr>
                <w:color w:val="000000"/>
              </w:rPr>
              <w:tab/>
            </w: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Write the notifications and reports listed above.</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Enter information required to be recorded above.</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Submit the required reports developing, acquiring, installing, and utilizing technology and systems for the purpose of collecting, validating, and verifying information.</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 xml:space="preserve">Develop, acquire, install, and utilize technology and systems for the purpose of processing and </w:t>
            </w:r>
            <w:r w:rsidRPr="00DD18A6">
              <w:rPr>
                <w:color w:val="000000"/>
              </w:rPr>
              <w:lastRenderedPageBreak/>
              <w:t>maintaining information.</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Develop, acquire, install, and utilize technology and systems for the purpose of disclosing and providing information.</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Default="00B8070F" w:rsidP="00663C40">
            <w:pPr>
              <w:spacing w:line="120" w:lineRule="exact"/>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t>Adjust the existing ways to comply with any previously applicable instructions and requirements.</w:t>
            </w:r>
          </w:p>
        </w:tc>
      </w:tr>
      <w:tr w:rsidR="00B8070F" w:rsidRPr="00DD18A6" w:rsidTr="00663C40">
        <w:trPr>
          <w:jc w:val="center"/>
        </w:trPr>
        <w:tc>
          <w:tcPr>
            <w:tcW w:w="9360" w:type="dxa"/>
            <w:tcBorders>
              <w:top w:val="single" w:sz="7" w:space="0" w:color="000000"/>
              <w:left w:val="single" w:sz="7" w:space="0" w:color="000000"/>
              <w:bottom w:val="single" w:sz="7" w:space="0" w:color="000000"/>
              <w:right w:val="single" w:sz="7" w:space="0" w:color="000000"/>
            </w:tcBorders>
          </w:tcPr>
          <w:p w:rsidR="00B8070F" w:rsidRDefault="00B8070F" w:rsidP="00663C40">
            <w:pPr>
              <w:spacing w:line="120" w:lineRule="exact"/>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t>Train personnel to be able to respond to a collection of information.</w:t>
            </w:r>
          </w:p>
        </w:tc>
      </w:tr>
      <w:tr w:rsidR="00B8070F" w:rsidRPr="00DD18A6" w:rsidTr="00663C40">
        <w:trPr>
          <w:trHeight w:val="532"/>
          <w:jc w:val="center"/>
        </w:trPr>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spacing w:after="58"/>
              <w:rPr>
                <w:color w:val="000000"/>
              </w:rPr>
            </w:pPr>
            <w:r w:rsidRPr="00DD18A6">
              <w:rPr>
                <w:color w:val="000000"/>
              </w:rPr>
              <w:t>Transmit, or otherwise disclose the information.</w:t>
            </w:r>
          </w:p>
        </w:tc>
      </w:tr>
    </w:tbl>
    <w:p w:rsidR="00B8070F" w:rsidRDefault="00B8070F" w:rsidP="00B8070F">
      <w:pPr>
        <w:pBdr>
          <w:top w:val="single" w:sz="6" w:space="0" w:color="FFFFFF"/>
          <w:left w:val="single" w:sz="6" w:space="0" w:color="FFFFFF"/>
          <w:bottom w:val="single" w:sz="6" w:space="0" w:color="FFFFFF"/>
          <w:right w:val="single" w:sz="6" w:space="0" w:color="FFFFFF"/>
        </w:pBdr>
        <w:rPr>
          <w:b/>
          <w:bCs/>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pPr>
      <w:r>
        <w:t>Currently, sources are using automated monitoring equipment that provides parameter data.  Although personnel at the source still need to evaluate the data, this type of monitoring equipment has significantly reduced the burden associated with monitoring and recordkeeping.</w:t>
      </w: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rPr>
          <w:b/>
          <w:bCs/>
          <w:color w:val="000000"/>
        </w:rPr>
      </w:pPr>
      <w:r w:rsidRPr="00DD18A6">
        <w:rPr>
          <w:b/>
          <w:bCs/>
          <w:color w:val="000000"/>
        </w:rPr>
        <w:t>5.  The Information Collected -- Agency Activities, Collection Methodology, and Information Management</w:t>
      </w:r>
    </w:p>
    <w:p w:rsidR="00B8070F" w:rsidRPr="00DD18A6" w:rsidRDefault="00B8070F" w:rsidP="00B8070F">
      <w:pPr>
        <w:pBdr>
          <w:top w:val="single" w:sz="6" w:space="0" w:color="FFFFFF"/>
          <w:left w:val="single" w:sz="6" w:space="0" w:color="FFFFFF"/>
          <w:bottom w:val="single" w:sz="6" w:space="0" w:color="FFFFFF"/>
          <w:right w:val="single" w:sz="6" w:space="0" w:color="FFFFFF"/>
        </w:pBdr>
        <w:rPr>
          <w:b/>
          <w:bCs/>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left="720"/>
        <w:rPr>
          <w:b/>
          <w:bCs/>
          <w:color w:val="000000"/>
        </w:rPr>
      </w:pPr>
      <w:r w:rsidRPr="00DD18A6">
        <w:rPr>
          <w:b/>
          <w:bCs/>
          <w:color w:val="000000"/>
        </w:rPr>
        <w:t>5(a</w:t>
      </w:r>
      <w:proofErr w:type="gramStart"/>
      <w:r w:rsidRPr="00DD18A6">
        <w:rPr>
          <w:b/>
          <w:bCs/>
          <w:color w:val="000000"/>
        </w:rPr>
        <w:t>)  Agency</w:t>
      </w:r>
      <w:proofErr w:type="gramEnd"/>
      <w:r w:rsidRPr="00DD18A6">
        <w:rPr>
          <w:b/>
          <w:bCs/>
          <w:color w:val="000000"/>
        </w:rPr>
        <w:t xml:space="preserve"> Activities</w:t>
      </w:r>
    </w:p>
    <w:p w:rsidR="00B8070F" w:rsidRPr="00DD18A6" w:rsidRDefault="00B8070F" w:rsidP="00B8070F">
      <w:pPr>
        <w:pBdr>
          <w:top w:val="single" w:sz="6" w:space="0" w:color="FFFFFF"/>
          <w:left w:val="single" w:sz="6" w:space="0" w:color="FFFFFF"/>
          <w:bottom w:val="single" w:sz="6" w:space="0" w:color="FFFFFF"/>
          <w:right w:val="single" w:sz="6" w:space="0" w:color="FFFFFF"/>
        </w:pBdr>
        <w:rPr>
          <w:b/>
          <w:bCs/>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EPA conducts the following activities in connection with the acquisition, analysis, storage, and distribution of the required information.</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B8070F" w:rsidRPr="00DD18A6" w:rsidTr="00663C40">
        <w:trPr>
          <w:tblHeader/>
        </w:trPr>
        <w:tc>
          <w:tcPr>
            <w:tcW w:w="9360" w:type="dxa"/>
            <w:tcBorders>
              <w:top w:val="single" w:sz="7" w:space="0" w:color="000000"/>
              <w:left w:val="single" w:sz="7" w:space="0" w:color="000000"/>
              <w:bottom w:val="single" w:sz="7" w:space="0" w:color="000000"/>
              <w:right w:val="single" w:sz="7" w:space="0" w:color="000000"/>
            </w:tcBorders>
          </w:tcPr>
          <w:p w:rsidR="00B8070F" w:rsidRPr="00877B04" w:rsidRDefault="00B8070F" w:rsidP="00663C40">
            <w:pPr>
              <w:spacing w:line="120" w:lineRule="exact"/>
              <w:jc w:val="center"/>
              <w:rPr>
                <w:b/>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jc w:val="center"/>
              <w:rPr>
                <w:color w:val="000000"/>
              </w:rPr>
            </w:pPr>
            <w:r w:rsidRPr="00877B04">
              <w:rPr>
                <w:b/>
                <w:color w:val="000000"/>
              </w:rPr>
              <w:t>Agency Activities</w:t>
            </w:r>
          </w:p>
        </w:tc>
      </w:tr>
      <w:tr w:rsidR="00B8070F" w:rsidRPr="00DD18A6" w:rsidTr="00663C40">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Observe initial performance tests and repeat performance tests if necessary.</w:t>
            </w:r>
          </w:p>
        </w:tc>
      </w:tr>
      <w:tr w:rsidR="00B8070F" w:rsidRPr="00DD18A6" w:rsidTr="00663C40">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Review notifications and reports, including performance test reports, and excess emissions reports, required to be submitted by industry.</w:t>
            </w:r>
          </w:p>
        </w:tc>
      </w:tr>
      <w:tr w:rsidR="00B8070F" w:rsidRPr="00DD18A6" w:rsidTr="00663C40">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Audit facility records.</w:t>
            </w:r>
          </w:p>
        </w:tc>
      </w:tr>
      <w:tr w:rsidR="00B8070F" w:rsidRPr="00DD18A6" w:rsidTr="00663C40">
        <w:tc>
          <w:tcPr>
            <w:tcW w:w="9360" w:type="dxa"/>
            <w:tcBorders>
              <w:top w:val="single" w:sz="7" w:space="0" w:color="000000"/>
              <w:left w:val="single" w:sz="7" w:space="0" w:color="000000"/>
              <w:bottom w:val="single" w:sz="7" w:space="0" w:color="000000"/>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8"/>
              <w:rPr>
                <w:color w:val="000000"/>
              </w:rPr>
            </w:pPr>
            <w:r w:rsidRPr="00DD18A6">
              <w:rPr>
                <w:color w:val="000000"/>
              </w:rPr>
              <w:t>Input, analyze, and maintain data in the Air Facility System (AFS).</w:t>
            </w:r>
          </w:p>
        </w:tc>
      </w:tr>
    </w:tbl>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5(b</w:t>
      </w:r>
      <w:proofErr w:type="gramStart"/>
      <w:r w:rsidRPr="00DD18A6">
        <w:rPr>
          <w:b/>
          <w:bCs/>
          <w:color w:val="000000"/>
        </w:rPr>
        <w:t>)  Collection</w:t>
      </w:r>
      <w:proofErr w:type="gramEnd"/>
      <w:r w:rsidRPr="00DD18A6">
        <w:rPr>
          <w:b/>
          <w:bCs/>
          <w:color w:val="000000"/>
        </w:rPr>
        <w:t xml:space="preserve"> Methodology and Management</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Following notification of startup, the reviewing authority might inspect the source to determine whether the pollution control devices are properly installed and operated.   Performance test reports are used by the Agency to discern a source</w:t>
      </w:r>
      <w:r>
        <w:rPr>
          <w:color w:val="000000"/>
        </w:rPr>
        <w:t>’</w:t>
      </w:r>
      <w:r w:rsidRPr="00DD18A6">
        <w:rPr>
          <w:color w:val="000000"/>
        </w:rPr>
        <w:t xml:space="preserve">s initial capability to comply with the emission standard, and note the operating conditions under which compliance was achieved.  Data and records maintained by the respondents are tabulated and published for use in </w:t>
      </w:r>
      <w:r w:rsidRPr="00DD18A6">
        <w:rPr>
          <w:color w:val="000000"/>
        </w:rPr>
        <w:lastRenderedPageBreak/>
        <w:t xml:space="preserve">compliance and enforcement programs.  </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Information contained in the reports is entered into the AFS which is operated and maintained by EPA</w:t>
      </w:r>
      <w:r>
        <w:rPr>
          <w:color w:val="000000"/>
        </w:rPr>
        <w:t>’</w:t>
      </w:r>
      <w:r w:rsidRPr="00DD18A6">
        <w:rPr>
          <w:color w:val="000000"/>
        </w:rPr>
        <w:t>s Office of Compliance.  AFS is EPA</w:t>
      </w:r>
      <w:r>
        <w:rPr>
          <w:color w:val="000000"/>
        </w:rPr>
        <w:t>’</w:t>
      </w:r>
      <w:r w:rsidRPr="00DD18A6">
        <w:rPr>
          <w:color w:val="000000"/>
        </w:rPr>
        <w:t xml:space="preserve">s database for the collection, maintenance, and retrieval of compliance data for </w:t>
      </w:r>
      <w:r>
        <w:rPr>
          <w:color w:val="000000"/>
        </w:rPr>
        <w:t>approximately</w:t>
      </w:r>
      <w:r w:rsidRPr="00DD18A6">
        <w:rPr>
          <w:color w:val="000000"/>
        </w:rPr>
        <w:t xml:space="preserve"> 1</w:t>
      </w:r>
      <w:r>
        <w:rPr>
          <w:color w:val="000000"/>
        </w:rPr>
        <w:t>25</w:t>
      </w:r>
      <w:r w:rsidRPr="00DD18A6">
        <w:rPr>
          <w:color w:val="000000"/>
        </w:rPr>
        <w:t>,000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 The records required by this regulation must be retained by the owner or operator for two years.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5(c</w:t>
      </w:r>
      <w:proofErr w:type="gramStart"/>
      <w:r w:rsidRPr="00DD18A6">
        <w:rPr>
          <w:b/>
          <w:bCs/>
          <w:color w:val="000000"/>
        </w:rPr>
        <w:t>)  Small</w:t>
      </w:r>
      <w:proofErr w:type="gramEnd"/>
      <w:r w:rsidRPr="00DD18A6">
        <w:rPr>
          <w:b/>
          <w:bCs/>
          <w:color w:val="000000"/>
        </w:rPr>
        <w:t xml:space="preserve"> Entity Flexibility</w:t>
      </w:r>
    </w:p>
    <w:p w:rsidR="00B8070F" w:rsidRPr="00DD18A6" w:rsidRDefault="00B8070F" w:rsidP="00B8070F">
      <w:pPr>
        <w:pBdr>
          <w:top w:val="single" w:sz="6" w:space="0" w:color="FFFFFF"/>
          <w:left w:val="single" w:sz="6" w:space="0" w:color="FFFFFF"/>
          <w:bottom w:val="single" w:sz="6" w:space="0" w:color="FFFFFF"/>
          <w:right w:val="single" w:sz="6" w:space="0" w:color="FFFFFF"/>
        </w:pBdr>
        <w:tabs>
          <w:tab w:val="left" w:pos="1575"/>
        </w:tabs>
        <w:rPr>
          <w:color w:val="000000"/>
        </w:rPr>
      </w:pPr>
      <w:r>
        <w:rPr>
          <w:color w:val="000000"/>
        </w:rPr>
        <w:tab/>
      </w:r>
    </w:p>
    <w:p w:rsidR="00B8070F" w:rsidRDefault="00B8070F" w:rsidP="00B8070F">
      <w:pPr>
        <w:pBdr>
          <w:top w:val="single" w:sz="6" w:space="0" w:color="FFFFFF"/>
          <w:left w:val="single" w:sz="6" w:space="0" w:color="FFFFFF"/>
          <w:bottom w:val="single" w:sz="6" w:space="0" w:color="FFFFFF"/>
          <w:right w:val="single" w:sz="6" w:space="0" w:color="FFFFFF"/>
        </w:pBdr>
      </w:pPr>
      <w:r>
        <w:t>There are no small businesses affected by this standard.</w:t>
      </w:r>
      <w:r w:rsidDel="009E6C99">
        <w:t xml:space="preserve"> </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5(d</w:t>
      </w:r>
      <w:proofErr w:type="gramStart"/>
      <w:r w:rsidRPr="00DD18A6">
        <w:rPr>
          <w:b/>
          <w:bCs/>
          <w:color w:val="000000"/>
        </w:rPr>
        <w:t>)  Collection</w:t>
      </w:r>
      <w:proofErr w:type="gramEnd"/>
      <w:r w:rsidRPr="00DD18A6">
        <w:rPr>
          <w:b/>
          <w:bCs/>
          <w:color w:val="000000"/>
        </w:rPr>
        <w:t xml:space="preserve"> Schedule</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ind w:firstLine="720"/>
        <w:rPr>
          <w:b/>
          <w:bCs/>
        </w:rPr>
      </w:pPr>
      <w:r w:rsidRPr="00DD18A6">
        <w:rPr>
          <w:color w:val="000000"/>
        </w:rPr>
        <w:t>The specific frequency for each information collection activity within this request is shown</w:t>
      </w:r>
      <w:r>
        <w:rPr>
          <w:color w:val="000000"/>
        </w:rPr>
        <w:t xml:space="preserve"> below</w:t>
      </w:r>
      <w:r w:rsidRPr="00DD18A6">
        <w:rPr>
          <w:color w:val="000000"/>
        </w:rPr>
        <w:t xml:space="preserve"> in Table 1: Annual Respondent Burden and Cost</w:t>
      </w:r>
      <w:r>
        <w:rPr>
          <w:color w:val="000000"/>
        </w:rPr>
        <w:t xml:space="preserve"> for</w:t>
      </w:r>
      <w:r w:rsidRPr="00745B6A">
        <w:t xml:space="preserve"> </w:t>
      </w:r>
      <w:r w:rsidRPr="00745B6A">
        <w:rPr>
          <w:color w:val="000000"/>
        </w:rPr>
        <w:t xml:space="preserve">NSPS for </w:t>
      </w:r>
      <w:r>
        <w:t xml:space="preserve">the Graphic Arts Industry (40 CFR </w:t>
      </w:r>
      <w:proofErr w:type="gramStart"/>
      <w:r>
        <w:t>part</w:t>
      </w:r>
      <w:proofErr w:type="gramEnd"/>
      <w:r>
        <w:t xml:space="preserve"> 60, subpart QQ) (Renewal).</w:t>
      </w: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rPr>
          <w:b/>
          <w:bCs/>
          <w:color w:val="000000"/>
        </w:rPr>
      </w:pPr>
      <w:r w:rsidRPr="00DD18A6">
        <w:rPr>
          <w:b/>
          <w:bCs/>
          <w:color w:val="000000"/>
        </w:rPr>
        <w:t>6.  Estimating the Burden and Cost of the Collection</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t>
      </w:r>
      <w:proofErr w:type="gramStart"/>
      <w:r w:rsidRPr="00DD18A6">
        <w:rPr>
          <w:color w:val="000000"/>
        </w:rPr>
        <w:t>Where appropriate, specific tasks and major assumptions have been identified.</w:t>
      </w:r>
      <w:proofErr w:type="gramEnd"/>
      <w:r w:rsidRPr="00DD18A6">
        <w:rPr>
          <w:color w:val="000000"/>
        </w:rPr>
        <w:t xml:space="preserve">  Responses to this information collection are mandatory.</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The Agency may not conduct</w:t>
      </w:r>
      <w:r>
        <w:rPr>
          <w:color w:val="000000"/>
        </w:rPr>
        <w:t>,</w:t>
      </w:r>
      <w:r w:rsidRPr="00DD18A6">
        <w:rPr>
          <w:color w:val="000000"/>
        </w:rPr>
        <w:t xml:space="preserve"> or sponsor, and a person is not required to respond to, a collection of information unless it displays a currently valid OMB Control Number.</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6(a</w:t>
      </w:r>
      <w:proofErr w:type="gramStart"/>
      <w:r w:rsidRPr="00DD18A6">
        <w:rPr>
          <w:b/>
          <w:bCs/>
          <w:color w:val="000000"/>
        </w:rPr>
        <w:t>)  Estimating</w:t>
      </w:r>
      <w:proofErr w:type="gramEnd"/>
      <w:r w:rsidRPr="00DD18A6">
        <w:rPr>
          <w:b/>
          <w:bCs/>
          <w:color w:val="000000"/>
        </w:rPr>
        <w:t xml:space="preserve"> Respondent Burden</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The av</w:t>
      </w:r>
      <w:r>
        <w:rPr>
          <w:color w:val="000000"/>
        </w:rPr>
        <w:t>erage annual burden to industry o</w:t>
      </w:r>
      <w:r w:rsidRPr="00DD18A6">
        <w:rPr>
          <w:color w:val="000000"/>
        </w:rPr>
        <w:t xml:space="preserve">ver the next three years from these recordkeeping and reporting requirements is estimated to be </w:t>
      </w:r>
      <w:r>
        <w:rPr>
          <w:color w:val="000000"/>
        </w:rPr>
        <w:t>1,718</w:t>
      </w:r>
      <w:r w:rsidRPr="00DD18A6">
        <w:rPr>
          <w:color w:val="000000"/>
        </w:rPr>
        <w:t xml:space="preserve"> (Total Labor Hours from Table 1).  </w:t>
      </w:r>
      <w:r w:rsidRPr="00AD4BE5">
        <w:t>The recordkeeping hours shown in Table 1 are</w:t>
      </w:r>
      <w:r>
        <w:t xml:space="preserve"> 1,353</w:t>
      </w:r>
      <w:r w:rsidRPr="00AD4BE5">
        <w:t xml:space="preserve">.  </w:t>
      </w:r>
      <w:r w:rsidRPr="000E59A4">
        <w:t>The reporting requirement hours shown in Table 1 are</w:t>
      </w:r>
      <w:r>
        <w:t xml:space="preserve"> 365</w:t>
      </w:r>
      <w:r w:rsidRPr="000E59A4">
        <w:t xml:space="preserve">.  </w:t>
      </w:r>
      <w:r w:rsidRPr="00DD18A6">
        <w:rPr>
          <w:color w:val="000000"/>
        </w:rPr>
        <w:t>These hours are based on Agency studies and background documents from the development of the regulation, Agency knowledge and experience with the</w:t>
      </w:r>
      <w:r w:rsidRPr="00DD18A6">
        <w:rPr>
          <w:color w:val="FF0000"/>
        </w:rPr>
        <w:t xml:space="preserve"> </w:t>
      </w:r>
      <w:r w:rsidRPr="00DD18A6">
        <w:rPr>
          <w:color w:val="000000"/>
        </w:rPr>
        <w:t>NSPS program, the previously approved ICR, and any comments received.</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r w:rsidRPr="00DD18A6">
        <w:rPr>
          <w:b/>
          <w:bCs/>
          <w:color w:val="000000"/>
        </w:rPr>
        <w:t>6(b</w:t>
      </w:r>
      <w:proofErr w:type="gramStart"/>
      <w:r w:rsidRPr="00DD18A6">
        <w:rPr>
          <w:b/>
          <w:bCs/>
          <w:color w:val="000000"/>
        </w:rPr>
        <w:t>)  Estimating</w:t>
      </w:r>
      <w:proofErr w:type="gramEnd"/>
      <w:r w:rsidRPr="00DD18A6">
        <w:rPr>
          <w:b/>
          <w:bCs/>
          <w:color w:val="000000"/>
        </w:rPr>
        <w:t xml:space="preserve"> Respondent Costs</w:t>
      </w:r>
    </w:p>
    <w:p w:rsidR="00B8070F" w:rsidRPr="00DD18A6" w:rsidRDefault="00B8070F" w:rsidP="00B8070F">
      <w:pPr>
        <w:pBdr>
          <w:top w:val="single" w:sz="6" w:space="0" w:color="FFFFFF"/>
          <w:left w:val="single" w:sz="6" w:space="0" w:color="FFFFFF"/>
          <w:bottom w:val="single" w:sz="6" w:space="0" w:color="FFFFFF"/>
          <w:right w:val="single" w:sz="6" w:space="0" w:color="FFFFFF"/>
        </w:pBdr>
        <w:rPr>
          <w:b/>
          <w:bCs/>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1440"/>
        <w:rPr>
          <w:color w:val="000000"/>
        </w:rPr>
      </w:pPr>
      <w:r w:rsidRPr="00DD18A6">
        <w:rPr>
          <w:b/>
          <w:bCs/>
          <w:color w:val="000000"/>
        </w:rPr>
        <w:t>(</w:t>
      </w:r>
      <w:proofErr w:type="spellStart"/>
      <w:r w:rsidRPr="00DD18A6">
        <w:rPr>
          <w:b/>
          <w:bCs/>
          <w:color w:val="000000"/>
        </w:rPr>
        <w:t>i</w:t>
      </w:r>
      <w:proofErr w:type="spellEnd"/>
      <w:r w:rsidRPr="00DD18A6">
        <w:rPr>
          <w:b/>
          <w:bCs/>
          <w:color w:val="000000"/>
        </w:rPr>
        <w:t>)  Estimating Labor Costs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This ICR uses the following labor rates: </w:t>
      </w:r>
    </w:p>
    <w:p w:rsidR="00B8070F"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$114.49 ($54.52 + 110%)   </w:t>
      </w:r>
    </w:p>
    <w:p w:rsidR="00B8070F" w:rsidRDefault="00B8070F" w:rsidP="00B8070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$98.20 ($46.76 + 110%)</w:t>
      </w:r>
    </w:p>
    <w:p w:rsidR="00B8070F" w:rsidRDefault="00B8070F" w:rsidP="00B8070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$48.53 ($23.11 + 110%)</w:t>
      </w:r>
    </w:p>
    <w:p w:rsidR="00B8070F"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September 2009, “Table 2. </w:t>
      </w:r>
      <w:proofErr w:type="gramStart"/>
      <w:r>
        <w:rPr>
          <w:color w:val="000000"/>
        </w:rPr>
        <w:t>Civilian Workers, by occupational and industry group.”</w:t>
      </w:r>
      <w:proofErr w:type="gramEnd"/>
      <w:r>
        <w:rPr>
          <w:color w:val="000000"/>
        </w:rPr>
        <w:t xml:space="preserve">  The rates are from column 1, “Total compensation.”  The rates have been increased by 110 percent to account for the benefit packages available to those employed by private industry.</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1440"/>
        <w:rPr>
          <w:b/>
          <w:bCs/>
          <w:color w:val="000000"/>
        </w:rPr>
      </w:pPr>
      <w:r w:rsidRPr="00DD18A6">
        <w:rPr>
          <w:b/>
          <w:bCs/>
          <w:color w:val="000000"/>
        </w:rPr>
        <w:t>(ii)  Estimating Capital and Operations and Maintenance Costs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r w:rsidRPr="00DD18A6">
        <w:rPr>
          <w:color w:val="000000"/>
        </w:rPr>
        <w:t xml:space="preserve"> </w:t>
      </w:r>
    </w:p>
    <w:p w:rsidR="00B8070F" w:rsidRDefault="00B8070F" w:rsidP="00B8070F">
      <w:pPr>
        <w:ind w:firstLine="720"/>
      </w:pPr>
      <w:r>
        <w:t>The only costs to the regulated industry resulting from information collection activities required by the subject standard are labor costs.  There are no capital/startup or operation and maintenance costs.</w:t>
      </w:r>
    </w:p>
    <w:p w:rsidR="00B8070F" w:rsidRPr="00DD18A6" w:rsidRDefault="00B8070F" w:rsidP="00B8070F">
      <w:pPr>
        <w:pBdr>
          <w:top w:val="single" w:sz="6" w:space="0" w:color="FFFFFF"/>
          <w:left w:val="single" w:sz="6" w:space="0" w:color="FFFFFF"/>
          <w:bottom w:val="single" w:sz="6" w:space="0" w:color="FFFFFF"/>
          <w:right w:val="single" w:sz="6" w:space="0" w:color="FFFFFF"/>
        </w:pBdr>
        <w:tabs>
          <w:tab w:val="left" w:pos="915"/>
        </w:tabs>
        <w:rPr>
          <w:color w:val="000000"/>
        </w:rPr>
      </w:pPr>
      <w:r>
        <w:rPr>
          <w:color w:val="000000"/>
        </w:rPr>
        <w:tab/>
      </w: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1440"/>
        <w:rPr>
          <w:color w:val="000000"/>
        </w:rPr>
      </w:pPr>
      <w:r w:rsidRPr="00DD18A6">
        <w:rPr>
          <w:b/>
          <w:bCs/>
          <w:color w:val="000000"/>
        </w:rPr>
        <w:t>(iii)  Capital/Startup vs. Operating and Maintenance (O&amp;M) Costs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ind w:firstLine="720"/>
      </w:pPr>
      <w:r>
        <w:t>The only types of industry cost associated with the information collection activity in the regulations are labor costs.  There are no capital/startup or operation and maintenance costs, because the equipment used by the respondent is the same equipment used in their day-to-day operations to maintain quality control over the surface coating produced for sale.</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6(c</w:t>
      </w:r>
      <w:proofErr w:type="gramStart"/>
      <w:r w:rsidRPr="00DD18A6">
        <w:rPr>
          <w:b/>
          <w:bCs/>
          <w:color w:val="000000"/>
        </w:rPr>
        <w:t>)  Estimating</w:t>
      </w:r>
      <w:proofErr w:type="gramEnd"/>
      <w:r w:rsidRPr="00DD18A6">
        <w:rPr>
          <w:b/>
          <w:bCs/>
          <w:color w:val="000000"/>
        </w:rPr>
        <w:t xml:space="preserve"> Agency Burden and Cost</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The only costs to the Agency are those costs associated with analysis of</w:t>
      </w:r>
      <w:r>
        <w:rPr>
          <w:color w:val="000000"/>
        </w:rPr>
        <w:t xml:space="preserve"> the reported information.  EPA’</w:t>
      </w:r>
      <w:r w:rsidRPr="00DD18A6">
        <w:rPr>
          <w:color w:val="000000"/>
        </w:rPr>
        <w:t>s overall compliance and enforcement program includes activities such as the examination of records maintained by the respondents, periodic inspection of sources of emissions, and the publication and distribution of collected information.</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rPr>
          <w:color w:val="000000"/>
        </w:rPr>
      </w:pPr>
      <w:r w:rsidRPr="00DD18A6">
        <w:rPr>
          <w:color w:val="000000"/>
        </w:rPr>
        <w:t>The average annual Agency cost during the three years of the ICR is estimated to be $</w:t>
      </w:r>
      <w:r>
        <w:rPr>
          <w:color w:val="000000"/>
        </w:rPr>
        <w:t>13,797 (rounded)</w:t>
      </w:r>
      <w:r w:rsidRPr="00DD18A6">
        <w:rPr>
          <w:color w:val="000000"/>
        </w:rPr>
        <w:t xml:space="preserve">.  </w:t>
      </w:r>
    </w:p>
    <w:p w:rsidR="00B8070F"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B8070F" w:rsidRPr="00D2273E" w:rsidRDefault="00B8070F" w:rsidP="00B8070F"/>
    <w:p w:rsidR="00B8070F" w:rsidRPr="00D2273E" w:rsidRDefault="00B8070F" w:rsidP="00B8070F">
      <w:r>
        <w:tab/>
      </w:r>
      <w:r w:rsidRPr="00D2273E">
        <w:tab/>
        <w:t>Managerial</w:t>
      </w:r>
      <w:r w:rsidRPr="00D2273E">
        <w:tab/>
        <w:t>$6</w:t>
      </w:r>
      <w:r>
        <w:t>2.27</w:t>
      </w:r>
      <w:r w:rsidRPr="00D2273E">
        <w:t xml:space="preserve"> (GS-13, Step 5, $38.</w:t>
      </w:r>
      <w:r>
        <w:t>92</w:t>
      </w:r>
      <w:r w:rsidRPr="00D2273E">
        <w:t xml:space="preserve"> + 60%) </w:t>
      </w:r>
    </w:p>
    <w:p w:rsidR="00B8070F" w:rsidRPr="00D2273E" w:rsidRDefault="00B8070F" w:rsidP="00B8070F">
      <w:r>
        <w:tab/>
      </w:r>
      <w:r w:rsidRPr="00D2273E">
        <w:tab/>
        <w:t>Technical</w:t>
      </w:r>
      <w:r w:rsidRPr="00D2273E">
        <w:tab/>
        <w:t>$4</w:t>
      </w:r>
      <w:r>
        <w:t>6</w:t>
      </w:r>
      <w:r w:rsidRPr="00D2273E">
        <w:t>.</w:t>
      </w:r>
      <w:r>
        <w:t>21</w:t>
      </w:r>
      <w:r w:rsidRPr="00D2273E">
        <w:t xml:space="preserve"> (GS-12, Step 1, $28.</w:t>
      </w:r>
      <w:r>
        <w:t>88</w:t>
      </w:r>
      <w:r w:rsidRPr="00D2273E">
        <w:t xml:space="preserve"> + 60%)</w:t>
      </w:r>
    </w:p>
    <w:p w:rsidR="00B8070F" w:rsidRPr="00D2273E" w:rsidRDefault="00B8070F" w:rsidP="00B8070F">
      <w:r>
        <w:tab/>
      </w:r>
      <w:r w:rsidRPr="00D2273E">
        <w:tab/>
        <w:t>Clerical</w:t>
      </w:r>
      <w:r w:rsidRPr="00D2273E">
        <w:tab/>
        <w:t>$2</w:t>
      </w:r>
      <w:r>
        <w:t>5.01</w:t>
      </w:r>
      <w:r w:rsidRPr="00D2273E">
        <w:t xml:space="preserve"> (GS-6, Step 3, $15.</w:t>
      </w:r>
      <w:r>
        <w:t>63</w:t>
      </w:r>
      <w:r w:rsidRPr="00D2273E">
        <w:t xml:space="preserve"> + 60%)</w:t>
      </w:r>
    </w:p>
    <w:p w:rsidR="00B8070F"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r>
        <w:rPr>
          <w:color w:val="000000"/>
        </w:rPr>
        <w:t xml:space="preserve">These rates are from the Office of Personnel Management (OPM), 2010 General Schedule, which excludes </w:t>
      </w:r>
      <w:proofErr w:type="gramStart"/>
      <w:r>
        <w:rPr>
          <w:color w:val="000000"/>
        </w:rPr>
        <w:t>locality</w:t>
      </w:r>
      <w:proofErr w:type="gramEnd"/>
      <w:r>
        <w:rPr>
          <w:color w:val="000000"/>
        </w:rPr>
        <w:t xml:space="preserve"> rates of pay.  The rates have been increased by 60 percent to account for the benefit packages available to government employees</w:t>
      </w:r>
      <w:r w:rsidRPr="007A0634">
        <w:t>.</w:t>
      </w:r>
      <w:r w:rsidRPr="00DD18A6">
        <w:rPr>
          <w:color w:val="000000"/>
        </w:rPr>
        <w:t xml:space="preserve">  Details upon which this estimate is based appear</w:t>
      </w:r>
      <w:r>
        <w:rPr>
          <w:color w:val="000000"/>
        </w:rPr>
        <w:t xml:space="preserve"> below</w:t>
      </w:r>
      <w:r w:rsidRPr="00DD18A6">
        <w:rPr>
          <w:color w:val="000000"/>
        </w:rPr>
        <w:t xml:space="preserve"> in Table 2: </w:t>
      </w:r>
      <w:r>
        <w:rPr>
          <w:color w:val="000000"/>
        </w:rPr>
        <w:t xml:space="preserve">Average </w:t>
      </w:r>
      <w:r w:rsidRPr="00DD18A6">
        <w:rPr>
          <w:color w:val="000000"/>
        </w:rPr>
        <w:t>Annual Agency Burden and Cost</w:t>
      </w:r>
      <w:r>
        <w:rPr>
          <w:color w:val="000000"/>
        </w:rPr>
        <w:t xml:space="preserve"> for</w:t>
      </w:r>
      <w:r w:rsidRPr="00DD18A6">
        <w:rPr>
          <w:color w:val="000000"/>
        </w:rPr>
        <w:t xml:space="preserve"> NSPS for </w:t>
      </w:r>
      <w:r>
        <w:t>the Graphic Arts Industry (40 CFR Part 60, Subpart QQ) (Renewal).</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r w:rsidRPr="00DD18A6">
        <w:rPr>
          <w:color w:val="000000"/>
        </w:rPr>
        <w:lastRenderedPageBreak/>
        <w:t>.</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b/>
          <w:bCs/>
          <w:color w:val="000000"/>
        </w:rPr>
        <w:t>6(d</w:t>
      </w:r>
      <w:proofErr w:type="gramStart"/>
      <w:r w:rsidRPr="00DD18A6">
        <w:rPr>
          <w:b/>
          <w:bCs/>
          <w:color w:val="000000"/>
        </w:rPr>
        <w:t>)  Estimating</w:t>
      </w:r>
      <w:proofErr w:type="gramEnd"/>
      <w:r w:rsidRPr="00DD18A6">
        <w:rPr>
          <w:b/>
          <w:bCs/>
          <w:color w:val="000000"/>
        </w:rPr>
        <w:t xml:space="preserve"> the Respondent Universe and Total Burden and Costs</w:t>
      </w:r>
    </w:p>
    <w:p w:rsidR="00B8070F" w:rsidRPr="00DD18A6" w:rsidRDefault="00B8070F" w:rsidP="00B8070F">
      <w:pPr>
        <w:pBdr>
          <w:top w:val="single" w:sz="6" w:space="0" w:color="FFFFFF"/>
          <w:left w:val="single" w:sz="6" w:space="0" w:color="FFFFFF"/>
          <w:bottom w:val="single" w:sz="6" w:space="0" w:color="FFFFFF"/>
          <w:right w:val="single" w:sz="6" w:space="0" w:color="FFFFFF"/>
        </w:pBdr>
        <w:tabs>
          <w:tab w:val="left" w:pos="1110"/>
        </w:tabs>
        <w:rPr>
          <w:color w:val="000000"/>
        </w:rPr>
      </w:pPr>
      <w:r>
        <w:rPr>
          <w:color w:val="000000"/>
        </w:rPr>
        <w:tab/>
      </w:r>
    </w:p>
    <w:p w:rsidR="00B8070F" w:rsidRPr="00411B58" w:rsidRDefault="00B8070F" w:rsidP="00B8070F">
      <w:pPr>
        <w:ind w:firstLine="720"/>
      </w:pPr>
      <w:r w:rsidRPr="00DD18A6">
        <w:rPr>
          <w:color w:val="000000"/>
        </w:rPr>
        <w:t xml:space="preserve">Based on our research for this ICR, </w:t>
      </w:r>
      <w:r w:rsidRPr="003B4C60">
        <w:rPr>
          <w:color w:val="000000"/>
        </w:rPr>
        <w:t xml:space="preserve">approximately </w:t>
      </w:r>
      <w:r>
        <w:rPr>
          <w:color w:val="000000"/>
        </w:rPr>
        <w:t>19</w:t>
      </w:r>
      <w:r w:rsidRPr="00DD18A6">
        <w:rPr>
          <w:color w:val="000000"/>
        </w:rPr>
        <w:t xml:space="preserve"> existing sources currently </w:t>
      </w:r>
      <w:r>
        <w:rPr>
          <w:color w:val="000000"/>
        </w:rPr>
        <w:t xml:space="preserve">are </w:t>
      </w:r>
      <w:r w:rsidRPr="00DD18A6">
        <w:rPr>
          <w:color w:val="000000"/>
        </w:rPr>
        <w:t xml:space="preserve">subject to the standard.  It is estimated that </w:t>
      </w:r>
      <w:r>
        <w:rPr>
          <w:color w:val="000000"/>
        </w:rPr>
        <w:t>one</w:t>
      </w:r>
      <w:r w:rsidRPr="00DD18A6">
        <w:rPr>
          <w:color w:val="000000"/>
        </w:rPr>
        <w:t xml:space="preserve"> additional source per year will become subject to the regulation </w:t>
      </w:r>
      <w:r>
        <w:rPr>
          <w:color w:val="000000"/>
        </w:rPr>
        <w:t>over the</w:t>
      </w:r>
      <w:r w:rsidRPr="00DD18A6">
        <w:rPr>
          <w:color w:val="000000"/>
        </w:rPr>
        <w:t xml:space="preserve"> next three years.  It is further assumed that </w:t>
      </w:r>
      <w:r>
        <w:t>and that 30 percent of the existing sources will be reconstructed or modified</w:t>
      </w:r>
      <w:r w:rsidRPr="00DD18A6">
        <w:rPr>
          <w:color w:val="000000"/>
        </w:rPr>
        <w:t xml:space="preserve"> over the next three years.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Number of respondents is calculated using the following table which addresses the three years covered by this ICR.</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sectPr w:rsidR="00B8070F" w:rsidRPr="00DD18A6" w:rsidSect="00517699">
          <w:headerReference w:type="even" r:id="rId4"/>
          <w:headerReference w:type="default" r:id="rId5"/>
          <w:pgSz w:w="12240" w:h="15840"/>
          <w:pgMar w:top="1224" w:right="1440" w:bottom="1224" w:left="1440" w:header="1224" w:footer="1224" w:gutter="0"/>
          <w:cols w:space="720"/>
          <w:noEndnote/>
          <w:titlePg/>
        </w:sectPr>
      </w:pPr>
    </w:p>
    <w:tbl>
      <w:tblPr>
        <w:tblW w:w="0" w:type="auto"/>
        <w:jc w:val="center"/>
        <w:tblLayout w:type="fixed"/>
        <w:tblCellMar>
          <w:left w:w="110" w:type="dxa"/>
          <w:right w:w="110" w:type="dxa"/>
        </w:tblCellMar>
        <w:tblLook w:val="0000"/>
      </w:tblPr>
      <w:tblGrid>
        <w:gridCol w:w="985"/>
        <w:gridCol w:w="1378"/>
        <w:gridCol w:w="1477"/>
        <w:gridCol w:w="2068"/>
        <w:gridCol w:w="1872"/>
        <w:gridCol w:w="1578"/>
      </w:tblGrid>
      <w:tr w:rsidR="00B8070F" w:rsidRPr="00DD18A6" w:rsidTr="00663C40">
        <w:trPr>
          <w:tblHeader/>
          <w:jc w:val="center"/>
        </w:trPr>
        <w:tc>
          <w:tcPr>
            <w:tcW w:w="9358" w:type="dxa"/>
            <w:gridSpan w:val="6"/>
            <w:tcBorders>
              <w:top w:val="single" w:sz="7" w:space="0" w:color="000000"/>
              <w:left w:val="single" w:sz="7" w:space="0" w:color="000000"/>
              <w:bottom w:val="single" w:sz="6" w:space="0" w:color="FFFFFF"/>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b/>
                <w:bCs/>
                <w:color w:val="000000"/>
              </w:rPr>
            </w:pPr>
            <w:r w:rsidRPr="00DD18A6">
              <w:rPr>
                <w:b/>
                <w:bCs/>
                <w:color w:val="000000"/>
              </w:rPr>
              <w:t>Number of Respondents</w:t>
            </w:r>
          </w:p>
        </w:tc>
      </w:tr>
      <w:tr w:rsidR="00B8070F" w:rsidRPr="00DD18A6" w:rsidTr="00663C40">
        <w:trPr>
          <w:jc w:val="center"/>
        </w:trPr>
        <w:tc>
          <w:tcPr>
            <w:tcW w:w="985" w:type="dxa"/>
            <w:tcBorders>
              <w:top w:val="single" w:sz="7" w:space="0" w:color="000000"/>
              <w:left w:val="single" w:sz="7" w:space="0" w:color="000000"/>
              <w:bottom w:val="single" w:sz="4" w:space="0" w:color="auto"/>
              <w:right w:val="single" w:sz="6" w:space="0" w:color="FFFFFF"/>
            </w:tcBorders>
          </w:tcPr>
          <w:p w:rsidR="00B8070F" w:rsidRPr="00DD18A6" w:rsidRDefault="00B8070F" w:rsidP="00663C40">
            <w:pPr>
              <w:spacing w:line="120" w:lineRule="exact"/>
              <w:rPr>
                <w:b/>
                <w:bCs/>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855" w:type="dxa"/>
            <w:gridSpan w:val="2"/>
            <w:tcBorders>
              <w:top w:val="single" w:sz="7" w:space="0" w:color="000000"/>
              <w:left w:val="single" w:sz="7" w:space="0" w:color="000000"/>
              <w:bottom w:val="single" w:sz="4" w:space="0" w:color="auto"/>
              <w:right w:val="single" w:sz="6" w:space="0" w:color="FFFFFF"/>
            </w:tcBorders>
          </w:tcPr>
          <w:p w:rsidR="00B8070F" w:rsidRPr="00DD18A6" w:rsidRDefault="00B8070F" w:rsidP="00663C40">
            <w:pPr>
              <w:spacing w:line="120" w:lineRule="exact"/>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18A6">
              <w:rPr>
                <w:color w:val="000000"/>
                <w:sz w:val="18"/>
                <w:szCs w:val="18"/>
              </w:rPr>
              <w:t>Respondents That Submit Reports</w:t>
            </w:r>
          </w:p>
        </w:tc>
        <w:tc>
          <w:tcPr>
            <w:tcW w:w="2068" w:type="dxa"/>
            <w:tcBorders>
              <w:top w:val="single" w:sz="7" w:space="0" w:color="000000"/>
              <w:left w:val="single" w:sz="7" w:space="0" w:color="000000"/>
              <w:bottom w:val="single" w:sz="4" w:space="0" w:color="auto"/>
              <w:right w:val="single" w:sz="6" w:space="0" w:color="FFFFFF"/>
            </w:tcBorders>
          </w:tcPr>
          <w:p w:rsidR="00B8070F" w:rsidRPr="00DD18A6" w:rsidRDefault="00B8070F" w:rsidP="00663C40">
            <w:pPr>
              <w:spacing w:line="120" w:lineRule="exact"/>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18A6">
              <w:rPr>
                <w:color w:val="000000"/>
                <w:sz w:val="18"/>
                <w:szCs w:val="18"/>
              </w:rPr>
              <w:t>Respondents That Do Not Submit Any Reports</w:t>
            </w:r>
          </w:p>
        </w:tc>
        <w:tc>
          <w:tcPr>
            <w:tcW w:w="3450" w:type="dxa"/>
            <w:gridSpan w:val="2"/>
            <w:tcBorders>
              <w:top w:val="single" w:sz="7" w:space="0" w:color="000000"/>
              <w:left w:val="single" w:sz="7" w:space="0" w:color="000000"/>
              <w:bottom w:val="single" w:sz="4" w:space="0" w:color="auto"/>
              <w:right w:val="single" w:sz="7" w:space="0" w:color="000000"/>
            </w:tcBorders>
          </w:tcPr>
          <w:p w:rsidR="00B8070F" w:rsidRPr="00DD18A6" w:rsidRDefault="00B8070F" w:rsidP="00663C40">
            <w:pPr>
              <w:spacing w:line="120" w:lineRule="exact"/>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B8070F" w:rsidRPr="00DD18A6" w:rsidTr="00663C40">
        <w:trPr>
          <w:jc w:val="center"/>
        </w:trPr>
        <w:tc>
          <w:tcPr>
            <w:tcW w:w="985" w:type="dxa"/>
            <w:tcBorders>
              <w:top w:val="single" w:sz="4" w:space="0" w:color="auto"/>
              <w:left w:val="single" w:sz="4" w:space="0" w:color="auto"/>
              <w:bottom w:val="single" w:sz="4" w:space="0" w:color="auto"/>
              <w:right w:val="single" w:sz="4" w:space="0" w:color="auto"/>
            </w:tcBorders>
            <w:vAlign w:val="bottom"/>
          </w:tcPr>
          <w:p w:rsidR="00B8070F" w:rsidRPr="00DD18A6" w:rsidRDefault="00B8070F" w:rsidP="00663C40">
            <w:pPr>
              <w:spacing w:line="120" w:lineRule="exact"/>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Year</w:t>
            </w:r>
          </w:p>
        </w:tc>
        <w:tc>
          <w:tcPr>
            <w:tcW w:w="1378"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20"/>
                <w:szCs w:val="20"/>
              </w:rPr>
            </w:pPr>
          </w:p>
          <w:p w:rsidR="00B8070F" w:rsidRPr="00DD18A6" w:rsidRDefault="00B8070F" w:rsidP="00663C40">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(A)</w:t>
            </w: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 xml:space="preserve">Number of New Respondents </w:t>
            </w:r>
          </w:p>
        </w:tc>
        <w:tc>
          <w:tcPr>
            <w:tcW w:w="1477"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20"/>
                <w:szCs w:val="20"/>
              </w:rPr>
            </w:pPr>
          </w:p>
          <w:p w:rsidR="00B8070F" w:rsidRPr="00DD18A6" w:rsidRDefault="00B8070F" w:rsidP="00663C40">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(B)</w:t>
            </w: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Number of Existing Respondents</w:t>
            </w:r>
          </w:p>
        </w:tc>
        <w:tc>
          <w:tcPr>
            <w:tcW w:w="2068"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20"/>
                <w:szCs w:val="20"/>
              </w:rPr>
            </w:pPr>
          </w:p>
          <w:p w:rsidR="00B8070F" w:rsidRPr="00DD18A6" w:rsidRDefault="00B8070F" w:rsidP="00663C40">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(C)</w:t>
            </w: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Number of Existing Respondents That Keep Records but Do Not Submit Reports</w:t>
            </w:r>
          </w:p>
        </w:tc>
        <w:tc>
          <w:tcPr>
            <w:tcW w:w="1872"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20"/>
                <w:szCs w:val="20"/>
              </w:rPr>
            </w:pPr>
          </w:p>
          <w:p w:rsidR="00B8070F" w:rsidRPr="00DD18A6" w:rsidRDefault="00B8070F" w:rsidP="00663C40">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(D)</w:t>
            </w: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Number of Existing Respondents That Are Also New Respondents</w:t>
            </w:r>
          </w:p>
        </w:tc>
        <w:tc>
          <w:tcPr>
            <w:tcW w:w="1578"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20"/>
                <w:szCs w:val="20"/>
              </w:rPr>
            </w:pPr>
          </w:p>
          <w:p w:rsidR="00B8070F" w:rsidRPr="00DD18A6" w:rsidRDefault="00B8070F" w:rsidP="00663C40">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(E)</w:t>
            </w:r>
          </w:p>
          <w:p w:rsidR="00B8070F" w:rsidRPr="00DD18A6" w:rsidRDefault="00B8070F" w:rsidP="00663C40">
            <w:pPr>
              <w:pBdr>
                <w:top w:val="single" w:sz="6" w:space="0" w:color="FFFFFF"/>
                <w:left w:val="single" w:sz="6" w:space="0" w:color="FFFFFF"/>
                <w:bottom w:val="single" w:sz="6" w:space="0" w:color="FFFFFF"/>
                <w:right w:val="single" w:sz="6" w:space="0" w:color="FFFFFF"/>
              </w:pBdr>
              <w:jc w:val="center"/>
              <w:rPr>
                <w:color w:val="000000"/>
                <w:sz w:val="20"/>
                <w:szCs w:val="20"/>
              </w:rPr>
            </w:pPr>
            <w:r w:rsidRPr="00DD18A6">
              <w:rPr>
                <w:color w:val="000000"/>
                <w:sz w:val="20"/>
                <w:szCs w:val="20"/>
              </w:rPr>
              <w:t>Number of Respondents</w:t>
            </w: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(E=A+B+C-D)</w:t>
            </w:r>
          </w:p>
        </w:tc>
      </w:tr>
      <w:tr w:rsidR="00B8070F" w:rsidRPr="00DD18A6" w:rsidTr="00663C40">
        <w:trPr>
          <w:jc w:val="center"/>
        </w:trPr>
        <w:tc>
          <w:tcPr>
            <w:tcW w:w="985"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20"/>
                <w:szCs w:val="2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18A6">
              <w:rPr>
                <w:color w:val="000000"/>
                <w:sz w:val="18"/>
                <w:szCs w:val="18"/>
              </w:rPr>
              <w:t>1</w:t>
            </w:r>
          </w:p>
        </w:tc>
        <w:tc>
          <w:tcPr>
            <w:tcW w:w="137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2.23 </w:t>
            </w:r>
            <w:r w:rsidRPr="00411B58">
              <w:rPr>
                <w:color w:val="000000"/>
                <w:sz w:val="18"/>
                <w:szCs w:val="18"/>
                <w:vertAlign w:val="superscript"/>
              </w:rPr>
              <w:t>1</w:t>
            </w:r>
          </w:p>
        </w:tc>
        <w:tc>
          <w:tcPr>
            <w:tcW w:w="1477"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c>
          <w:tcPr>
            <w:tcW w:w="206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72"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c>
          <w:tcPr>
            <w:tcW w:w="157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19.33</w:t>
            </w:r>
          </w:p>
        </w:tc>
      </w:tr>
      <w:tr w:rsidR="00B8070F" w:rsidRPr="00DD18A6" w:rsidTr="00663C40">
        <w:trPr>
          <w:jc w:val="center"/>
        </w:trPr>
        <w:tc>
          <w:tcPr>
            <w:tcW w:w="985"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18A6">
              <w:rPr>
                <w:color w:val="000000"/>
                <w:sz w:val="18"/>
                <w:szCs w:val="18"/>
              </w:rPr>
              <w:t>2</w:t>
            </w:r>
          </w:p>
        </w:tc>
        <w:tc>
          <w:tcPr>
            <w:tcW w:w="137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2.23 </w:t>
            </w:r>
            <w:r w:rsidRPr="00411B58">
              <w:rPr>
                <w:color w:val="000000"/>
                <w:sz w:val="18"/>
                <w:szCs w:val="18"/>
                <w:vertAlign w:val="superscript"/>
              </w:rPr>
              <w:t>1</w:t>
            </w:r>
          </w:p>
        </w:tc>
        <w:tc>
          <w:tcPr>
            <w:tcW w:w="1477"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c>
          <w:tcPr>
            <w:tcW w:w="206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72"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w:t>
            </w:r>
          </w:p>
        </w:tc>
        <w:tc>
          <w:tcPr>
            <w:tcW w:w="157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19.33</w:t>
            </w:r>
          </w:p>
        </w:tc>
      </w:tr>
      <w:tr w:rsidR="00B8070F" w:rsidRPr="00DD18A6" w:rsidTr="00663C40">
        <w:trPr>
          <w:jc w:val="center"/>
        </w:trPr>
        <w:tc>
          <w:tcPr>
            <w:tcW w:w="985"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DD18A6">
              <w:rPr>
                <w:color w:val="000000"/>
                <w:sz w:val="18"/>
                <w:szCs w:val="18"/>
              </w:rPr>
              <w:t>3</w:t>
            </w:r>
          </w:p>
        </w:tc>
        <w:tc>
          <w:tcPr>
            <w:tcW w:w="137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 xml:space="preserve">2.23 </w:t>
            </w:r>
            <w:r w:rsidRPr="00411B58">
              <w:rPr>
                <w:color w:val="000000"/>
                <w:sz w:val="18"/>
                <w:szCs w:val="18"/>
                <w:vertAlign w:val="superscript"/>
              </w:rPr>
              <w:t>1</w:t>
            </w:r>
          </w:p>
        </w:tc>
        <w:tc>
          <w:tcPr>
            <w:tcW w:w="1477"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w:t>
            </w:r>
          </w:p>
        </w:tc>
        <w:tc>
          <w:tcPr>
            <w:tcW w:w="206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72"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w:t>
            </w:r>
          </w:p>
        </w:tc>
        <w:tc>
          <w:tcPr>
            <w:tcW w:w="157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19.33</w:t>
            </w:r>
          </w:p>
        </w:tc>
      </w:tr>
      <w:tr w:rsidR="00B8070F" w:rsidRPr="00DD18A6" w:rsidTr="00663C40">
        <w:trPr>
          <w:jc w:val="center"/>
        </w:trPr>
        <w:tc>
          <w:tcPr>
            <w:tcW w:w="985" w:type="dxa"/>
            <w:tcBorders>
              <w:top w:val="single" w:sz="4" w:space="0" w:color="auto"/>
              <w:left w:val="single" w:sz="4" w:space="0" w:color="auto"/>
              <w:bottom w:val="single" w:sz="4" w:space="0" w:color="auto"/>
              <w:right w:val="single" w:sz="4" w:space="0" w:color="auto"/>
            </w:tcBorders>
          </w:tcPr>
          <w:p w:rsidR="00B8070F" w:rsidRPr="00DD18A6" w:rsidRDefault="00B8070F" w:rsidP="00663C40">
            <w:pPr>
              <w:spacing w:line="120" w:lineRule="exact"/>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DD18A6">
              <w:rPr>
                <w:color w:val="000000"/>
                <w:sz w:val="18"/>
                <w:szCs w:val="18"/>
              </w:rPr>
              <w:t>Average</w:t>
            </w:r>
          </w:p>
        </w:tc>
        <w:tc>
          <w:tcPr>
            <w:tcW w:w="137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 xml:space="preserve">2.23 </w:t>
            </w:r>
            <w:r w:rsidRPr="00411B58">
              <w:rPr>
                <w:color w:val="000000"/>
                <w:sz w:val="18"/>
                <w:szCs w:val="18"/>
                <w:vertAlign w:val="superscript"/>
              </w:rPr>
              <w:t>1</w:t>
            </w:r>
          </w:p>
        </w:tc>
        <w:tc>
          <w:tcPr>
            <w:tcW w:w="1477"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w:t>
            </w:r>
          </w:p>
        </w:tc>
        <w:tc>
          <w:tcPr>
            <w:tcW w:w="206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72"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1.9</w:t>
            </w:r>
          </w:p>
        </w:tc>
        <w:tc>
          <w:tcPr>
            <w:tcW w:w="1578" w:type="dxa"/>
            <w:tcBorders>
              <w:top w:val="single" w:sz="4" w:space="0" w:color="auto"/>
              <w:left w:val="single" w:sz="4" w:space="0" w:color="auto"/>
              <w:bottom w:val="single" w:sz="4" w:space="0" w:color="auto"/>
              <w:right w:val="single" w:sz="4" w:space="0" w:color="auto"/>
            </w:tcBorders>
          </w:tcPr>
          <w:p w:rsidR="00B8070F"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rPr>
            </w:pPr>
          </w:p>
          <w:p w:rsidR="00B8070F" w:rsidRPr="00411B58" w:rsidRDefault="00B8070F" w:rsidP="00663C4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11B58">
              <w:rPr>
                <w:color w:val="000000"/>
                <w:sz w:val="18"/>
                <w:szCs w:val="18"/>
              </w:rPr>
              <w:t>19 (rounded)</w:t>
            </w:r>
          </w:p>
        </w:tc>
      </w:tr>
    </w:tbl>
    <w:p w:rsidR="00B8070F" w:rsidRDefault="00B8070F" w:rsidP="00B8070F">
      <w:pPr>
        <w:ind w:firstLine="720"/>
        <w:rPr>
          <w:sz w:val="20"/>
          <w:szCs w:val="20"/>
        </w:rPr>
      </w:pPr>
      <w:proofErr w:type="gramStart"/>
      <w:r>
        <w:rPr>
          <w:sz w:val="21"/>
          <w:szCs w:val="21"/>
          <w:vertAlign w:val="superscript"/>
        </w:rPr>
        <w:t>1</w:t>
      </w:r>
      <w:r>
        <w:t xml:space="preserve">  </w:t>
      </w:r>
      <w:r>
        <w:rPr>
          <w:sz w:val="20"/>
          <w:szCs w:val="20"/>
        </w:rPr>
        <w:t>One</w:t>
      </w:r>
      <w:proofErr w:type="gramEnd"/>
      <w:r>
        <w:rPr>
          <w:sz w:val="20"/>
          <w:szCs w:val="20"/>
        </w:rPr>
        <w:t xml:space="preserve"> new facility will become subject to the standard and 5.7 facilities per year will be modified or reconstructed over the next three years.  The average per year is 2.23.</w:t>
      </w:r>
    </w:p>
    <w:p w:rsidR="00B8070F" w:rsidRPr="00DD18A6" w:rsidRDefault="00B8070F" w:rsidP="00B8070F">
      <w:pPr>
        <w:pBdr>
          <w:top w:val="single" w:sz="6" w:space="0" w:color="FFFFFF"/>
          <w:left w:val="single" w:sz="6" w:space="0" w:color="FFFFFF"/>
          <w:bottom w:val="single" w:sz="6" w:space="0" w:color="FFFFFF"/>
          <w:right w:val="single" w:sz="6" w:space="0" w:color="FFFFFF"/>
        </w:pBdr>
        <w:tabs>
          <w:tab w:val="left" w:pos="6390"/>
        </w:tabs>
        <w:ind w:firstLine="720"/>
        <w:rPr>
          <w:color w:val="000000"/>
        </w:rPr>
      </w:pPr>
      <w:r>
        <w:rPr>
          <w:color w:val="000000"/>
        </w:rPr>
        <w:tab/>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 xml:space="preserve">To avoid double-counting respondents, column D is subtracted.  As shown above, the average Number of Respondents over the three-year period of this ICR is </w:t>
      </w:r>
      <w:r>
        <w:rPr>
          <w:color w:val="000000"/>
        </w:rPr>
        <w:t>19.33.</w:t>
      </w:r>
      <w:r w:rsidRPr="00DD18A6">
        <w:rPr>
          <w:color w:val="000000"/>
        </w:rPr>
        <w:t xml:space="preserve"> </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The total number of annual responses per year is calculated using the following table:</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tblPr>
      <w:tblGrid>
        <w:gridCol w:w="2745"/>
        <w:gridCol w:w="1350"/>
        <w:gridCol w:w="1170"/>
        <w:gridCol w:w="2160"/>
        <w:gridCol w:w="1844"/>
      </w:tblGrid>
      <w:tr w:rsidR="00B8070F" w:rsidRPr="00DD18A6" w:rsidTr="00663C40">
        <w:trPr>
          <w:tblHeader/>
          <w:jc w:val="center"/>
        </w:trPr>
        <w:tc>
          <w:tcPr>
            <w:tcW w:w="9269" w:type="dxa"/>
            <w:gridSpan w:val="5"/>
            <w:tcBorders>
              <w:top w:val="single" w:sz="7" w:space="0" w:color="000000"/>
              <w:left w:val="single" w:sz="7" w:space="0" w:color="000000"/>
              <w:bottom w:val="single" w:sz="6" w:space="0" w:color="FFFFFF"/>
              <w:right w:val="single" w:sz="7" w:space="0" w:color="000000"/>
            </w:tcBorders>
          </w:tcPr>
          <w:p w:rsidR="00B8070F" w:rsidRPr="00DD18A6" w:rsidRDefault="00B8070F" w:rsidP="00663C40">
            <w:pPr>
              <w:spacing w:line="120" w:lineRule="exact"/>
              <w:rPr>
                <w:color w:val="000000"/>
              </w:rPr>
            </w:pPr>
          </w:p>
          <w:p w:rsidR="00B8070F" w:rsidRPr="00DD18A6" w:rsidRDefault="00B8070F" w:rsidP="00663C40">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DD18A6">
              <w:rPr>
                <w:b/>
                <w:bCs/>
                <w:color w:val="000000"/>
              </w:rPr>
              <w:t>Total Annual Responses</w:t>
            </w:r>
          </w:p>
        </w:tc>
      </w:tr>
      <w:tr w:rsidR="00B8070F" w:rsidRPr="009E6C99" w:rsidTr="00663C40">
        <w:trPr>
          <w:jc w:val="center"/>
        </w:trPr>
        <w:tc>
          <w:tcPr>
            <w:tcW w:w="2745" w:type="dxa"/>
            <w:tcBorders>
              <w:top w:val="single" w:sz="7" w:space="0" w:color="000000"/>
              <w:left w:val="single" w:sz="7" w:space="0" w:color="000000"/>
              <w:bottom w:val="single" w:sz="4" w:space="0" w:color="auto"/>
              <w:right w:val="single" w:sz="6" w:space="0" w:color="FFFFFF"/>
            </w:tcBorders>
          </w:tcPr>
          <w:p w:rsidR="00B8070F" w:rsidRDefault="00B8070F" w:rsidP="00663C40">
            <w:pPr>
              <w:spacing w:line="120" w:lineRule="exact"/>
              <w:rPr>
                <w:b/>
                <w:bCs/>
                <w:sz w:val="20"/>
                <w:szCs w:val="20"/>
              </w:rPr>
            </w:pPr>
          </w:p>
          <w:p w:rsidR="00B8070F" w:rsidRDefault="00B8070F" w:rsidP="00663C40">
            <w:pPr>
              <w:jc w:val="center"/>
              <w:rPr>
                <w:sz w:val="20"/>
                <w:szCs w:val="20"/>
              </w:rPr>
            </w:pPr>
            <w:r>
              <w:rPr>
                <w:sz w:val="20"/>
                <w:szCs w:val="20"/>
              </w:rPr>
              <w:t>(A)</w:t>
            </w:r>
          </w:p>
          <w:p w:rsidR="00B8070F" w:rsidRDefault="00B8070F" w:rsidP="00663C40">
            <w:pPr>
              <w:spacing w:after="52"/>
              <w:jc w:val="center"/>
              <w:rPr>
                <w:sz w:val="20"/>
                <w:szCs w:val="20"/>
              </w:rPr>
            </w:pPr>
            <w:r>
              <w:rPr>
                <w:sz w:val="20"/>
                <w:szCs w:val="20"/>
              </w:rPr>
              <w:t>Information Collection Activity</w:t>
            </w:r>
          </w:p>
        </w:tc>
        <w:tc>
          <w:tcPr>
            <w:tcW w:w="1350" w:type="dxa"/>
            <w:tcBorders>
              <w:top w:val="single" w:sz="7" w:space="0" w:color="000000"/>
              <w:left w:val="single" w:sz="7" w:space="0" w:color="000000"/>
              <w:bottom w:val="single" w:sz="4" w:space="0" w:color="auto"/>
              <w:right w:val="single" w:sz="6" w:space="0" w:color="FFFFFF"/>
            </w:tcBorders>
          </w:tcPr>
          <w:p w:rsidR="00B8070F" w:rsidRDefault="00B8070F" w:rsidP="00663C40">
            <w:pPr>
              <w:spacing w:line="120" w:lineRule="exact"/>
              <w:rPr>
                <w:sz w:val="20"/>
                <w:szCs w:val="20"/>
              </w:rPr>
            </w:pPr>
          </w:p>
          <w:p w:rsidR="00B8070F" w:rsidRDefault="00B8070F" w:rsidP="00663C40">
            <w:pPr>
              <w:jc w:val="center"/>
              <w:rPr>
                <w:sz w:val="20"/>
                <w:szCs w:val="20"/>
              </w:rPr>
            </w:pPr>
            <w:r>
              <w:rPr>
                <w:sz w:val="20"/>
                <w:szCs w:val="20"/>
              </w:rPr>
              <w:t>(B)</w:t>
            </w:r>
          </w:p>
          <w:p w:rsidR="00B8070F" w:rsidRDefault="00B8070F" w:rsidP="00663C40">
            <w:pPr>
              <w:spacing w:after="52"/>
              <w:jc w:val="center"/>
              <w:rPr>
                <w:sz w:val="20"/>
                <w:szCs w:val="20"/>
              </w:rPr>
            </w:pPr>
            <w:r>
              <w:rPr>
                <w:sz w:val="20"/>
                <w:szCs w:val="20"/>
              </w:rPr>
              <w:t xml:space="preserve">Number of Respondents </w:t>
            </w:r>
          </w:p>
        </w:tc>
        <w:tc>
          <w:tcPr>
            <w:tcW w:w="1170" w:type="dxa"/>
            <w:tcBorders>
              <w:top w:val="single" w:sz="7" w:space="0" w:color="000000"/>
              <w:left w:val="single" w:sz="7" w:space="0" w:color="000000"/>
              <w:bottom w:val="single" w:sz="4" w:space="0" w:color="auto"/>
              <w:right w:val="single" w:sz="6" w:space="0" w:color="FFFFFF"/>
            </w:tcBorders>
          </w:tcPr>
          <w:p w:rsidR="00B8070F" w:rsidRDefault="00B8070F" w:rsidP="00663C40">
            <w:pPr>
              <w:spacing w:line="120" w:lineRule="exact"/>
              <w:rPr>
                <w:sz w:val="20"/>
                <w:szCs w:val="20"/>
              </w:rPr>
            </w:pPr>
          </w:p>
          <w:p w:rsidR="00B8070F" w:rsidRDefault="00B8070F" w:rsidP="00663C40">
            <w:pPr>
              <w:jc w:val="center"/>
              <w:rPr>
                <w:sz w:val="20"/>
                <w:szCs w:val="20"/>
              </w:rPr>
            </w:pPr>
            <w:r>
              <w:rPr>
                <w:sz w:val="20"/>
                <w:szCs w:val="20"/>
              </w:rPr>
              <w:t>(C)</w:t>
            </w:r>
          </w:p>
          <w:p w:rsidR="00B8070F" w:rsidRDefault="00B8070F" w:rsidP="00663C40">
            <w:pPr>
              <w:spacing w:after="52"/>
              <w:jc w:val="center"/>
              <w:rPr>
                <w:sz w:val="20"/>
                <w:szCs w:val="20"/>
              </w:rPr>
            </w:pPr>
            <w:r>
              <w:rPr>
                <w:sz w:val="20"/>
                <w:szCs w:val="20"/>
              </w:rPr>
              <w:t>Number of Responses</w:t>
            </w:r>
          </w:p>
        </w:tc>
        <w:tc>
          <w:tcPr>
            <w:tcW w:w="2160" w:type="dxa"/>
            <w:tcBorders>
              <w:top w:val="single" w:sz="7" w:space="0" w:color="000000"/>
              <w:left w:val="single" w:sz="7" w:space="0" w:color="000000"/>
              <w:bottom w:val="single" w:sz="4" w:space="0" w:color="auto"/>
              <w:right w:val="single" w:sz="6" w:space="0" w:color="FFFFFF"/>
            </w:tcBorders>
          </w:tcPr>
          <w:p w:rsidR="00B8070F" w:rsidRDefault="00B8070F" w:rsidP="00663C40">
            <w:pPr>
              <w:spacing w:line="120" w:lineRule="exact"/>
              <w:rPr>
                <w:sz w:val="20"/>
                <w:szCs w:val="20"/>
              </w:rPr>
            </w:pPr>
          </w:p>
          <w:p w:rsidR="00B8070F" w:rsidRDefault="00B8070F" w:rsidP="00663C40">
            <w:pPr>
              <w:jc w:val="center"/>
              <w:rPr>
                <w:sz w:val="20"/>
                <w:szCs w:val="20"/>
              </w:rPr>
            </w:pPr>
            <w:r>
              <w:rPr>
                <w:sz w:val="20"/>
                <w:szCs w:val="20"/>
              </w:rPr>
              <w:t>(D)</w:t>
            </w:r>
          </w:p>
          <w:p w:rsidR="00B8070F" w:rsidRDefault="00B8070F" w:rsidP="00663C40">
            <w:pPr>
              <w:spacing w:after="52"/>
              <w:jc w:val="center"/>
              <w:rPr>
                <w:sz w:val="20"/>
                <w:szCs w:val="20"/>
              </w:rPr>
            </w:pPr>
            <w:r>
              <w:rPr>
                <w:sz w:val="20"/>
                <w:szCs w:val="20"/>
              </w:rPr>
              <w:t>Number of Existing Respondents That Keep Records But Do Not Submit Reports</w:t>
            </w:r>
          </w:p>
        </w:tc>
        <w:tc>
          <w:tcPr>
            <w:tcW w:w="1844" w:type="dxa"/>
            <w:tcBorders>
              <w:top w:val="single" w:sz="7" w:space="0" w:color="000000"/>
              <w:left w:val="single" w:sz="7" w:space="0" w:color="000000"/>
              <w:bottom w:val="single" w:sz="4" w:space="0" w:color="auto"/>
              <w:right w:val="single" w:sz="7" w:space="0" w:color="000000"/>
            </w:tcBorders>
          </w:tcPr>
          <w:p w:rsidR="00B8070F" w:rsidRDefault="00B8070F" w:rsidP="00663C40">
            <w:pPr>
              <w:spacing w:line="120" w:lineRule="exact"/>
              <w:rPr>
                <w:sz w:val="20"/>
                <w:szCs w:val="20"/>
              </w:rPr>
            </w:pPr>
          </w:p>
          <w:p w:rsidR="00B8070F" w:rsidRPr="009E6C99" w:rsidRDefault="00B8070F" w:rsidP="00663C40">
            <w:pPr>
              <w:jc w:val="center"/>
              <w:rPr>
                <w:sz w:val="20"/>
                <w:szCs w:val="20"/>
                <w:lang w:val="pt-BR"/>
              </w:rPr>
            </w:pPr>
            <w:r w:rsidRPr="009E6C99">
              <w:rPr>
                <w:sz w:val="20"/>
                <w:szCs w:val="20"/>
                <w:lang w:val="pt-BR"/>
              </w:rPr>
              <w:t>(E)</w:t>
            </w:r>
          </w:p>
          <w:p w:rsidR="00B8070F" w:rsidRPr="009E6C99" w:rsidRDefault="00B8070F" w:rsidP="00663C40">
            <w:pPr>
              <w:jc w:val="center"/>
              <w:rPr>
                <w:sz w:val="20"/>
                <w:szCs w:val="20"/>
                <w:lang w:val="pt-BR"/>
              </w:rPr>
            </w:pPr>
            <w:r w:rsidRPr="009E6C99">
              <w:rPr>
                <w:sz w:val="20"/>
                <w:szCs w:val="20"/>
                <w:lang w:val="pt-BR"/>
              </w:rPr>
              <w:t xml:space="preserve">Total Annual Responses </w:t>
            </w:r>
          </w:p>
          <w:p w:rsidR="00B8070F" w:rsidRPr="009E6C99" w:rsidRDefault="00B8070F" w:rsidP="00663C40">
            <w:pPr>
              <w:spacing w:after="52"/>
              <w:jc w:val="center"/>
              <w:rPr>
                <w:sz w:val="20"/>
                <w:szCs w:val="20"/>
                <w:lang w:val="pt-BR"/>
              </w:rPr>
            </w:pPr>
            <w:r w:rsidRPr="009E6C99">
              <w:rPr>
                <w:sz w:val="20"/>
                <w:szCs w:val="20"/>
                <w:lang w:val="pt-BR"/>
              </w:rPr>
              <w:t>E=(BxC)+D</w:t>
            </w:r>
          </w:p>
        </w:tc>
      </w:tr>
      <w:tr w:rsidR="00B8070F" w:rsidTr="00663C40">
        <w:trPr>
          <w:jc w:val="center"/>
        </w:trPr>
        <w:tc>
          <w:tcPr>
            <w:tcW w:w="2745" w:type="dxa"/>
            <w:tcBorders>
              <w:top w:val="single" w:sz="4" w:space="0" w:color="auto"/>
              <w:left w:val="single" w:sz="4" w:space="0" w:color="auto"/>
              <w:bottom w:val="single" w:sz="4" w:space="0" w:color="auto"/>
              <w:right w:val="single" w:sz="4" w:space="0" w:color="auto"/>
            </w:tcBorders>
          </w:tcPr>
          <w:p w:rsidR="00B8070F" w:rsidRPr="009E6C99" w:rsidRDefault="00B8070F" w:rsidP="00663C40">
            <w:pPr>
              <w:spacing w:line="120" w:lineRule="exact"/>
              <w:rPr>
                <w:sz w:val="20"/>
                <w:szCs w:val="20"/>
                <w:lang w:val="pt-BR"/>
              </w:rPr>
            </w:pPr>
          </w:p>
          <w:p w:rsidR="00B8070F" w:rsidRDefault="00B8070F" w:rsidP="00663C40">
            <w:pPr>
              <w:spacing w:after="52"/>
              <w:rPr>
                <w:sz w:val="20"/>
                <w:szCs w:val="20"/>
              </w:rPr>
            </w:pPr>
            <w:r>
              <w:rPr>
                <w:sz w:val="20"/>
                <w:szCs w:val="20"/>
              </w:rPr>
              <w:t xml:space="preserve">Notification of construction/ </w:t>
            </w:r>
            <w:r>
              <w:rPr>
                <w:sz w:val="20"/>
                <w:szCs w:val="20"/>
              </w:rPr>
              <w:lastRenderedPageBreak/>
              <w:t>reconstruction</w:t>
            </w:r>
          </w:p>
        </w:tc>
        <w:tc>
          <w:tcPr>
            <w:tcW w:w="135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2.23</w:t>
            </w:r>
          </w:p>
        </w:tc>
        <w:tc>
          <w:tcPr>
            <w:tcW w:w="117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1</w:t>
            </w:r>
          </w:p>
        </w:tc>
        <w:tc>
          <w:tcPr>
            <w:tcW w:w="216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N/A</w:t>
            </w:r>
          </w:p>
        </w:tc>
        <w:tc>
          <w:tcPr>
            <w:tcW w:w="1844"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2.23</w:t>
            </w:r>
          </w:p>
        </w:tc>
      </w:tr>
      <w:tr w:rsidR="00B8070F" w:rsidTr="00663C40">
        <w:trPr>
          <w:jc w:val="center"/>
        </w:trPr>
        <w:tc>
          <w:tcPr>
            <w:tcW w:w="2745"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rPr>
                <w:sz w:val="20"/>
                <w:szCs w:val="20"/>
              </w:rPr>
            </w:pPr>
            <w:r>
              <w:rPr>
                <w:sz w:val="20"/>
                <w:szCs w:val="20"/>
              </w:rPr>
              <w:t>Notification of actual startup</w:t>
            </w:r>
          </w:p>
        </w:tc>
        <w:tc>
          <w:tcPr>
            <w:tcW w:w="135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2.23</w:t>
            </w:r>
          </w:p>
        </w:tc>
        <w:tc>
          <w:tcPr>
            <w:tcW w:w="117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1</w:t>
            </w:r>
          </w:p>
        </w:tc>
        <w:tc>
          <w:tcPr>
            <w:tcW w:w="216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N/A</w:t>
            </w:r>
          </w:p>
        </w:tc>
        <w:tc>
          <w:tcPr>
            <w:tcW w:w="1844"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2.23</w:t>
            </w:r>
          </w:p>
        </w:tc>
      </w:tr>
      <w:tr w:rsidR="00B8070F" w:rsidTr="00663C40">
        <w:trPr>
          <w:jc w:val="center"/>
        </w:trPr>
        <w:tc>
          <w:tcPr>
            <w:tcW w:w="2745"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rPr>
                <w:sz w:val="20"/>
                <w:szCs w:val="20"/>
              </w:rPr>
            </w:pPr>
            <w:r>
              <w:rPr>
                <w:sz w:val="20"/>
                <w:szCs w:val="20"/>
              </w:rPr>
              <w:t>Notification of initial performance test</w:t>
            </w:r>
          </w:p>
        </w:tc>
        <w:tc>
          <w:tcPr>
            <w:tcW w:w="135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2.23</w:t>
            </w:r>
          </w:p>
        </w:tc>
        <w:tc>
          <w:tcPr>
            <w:tcW w:w="117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1</w:t>
            </w:r>
          </w:p>
        </w:tc>
        <w:tc>
          <w:tcPr>
            <w:tcW w:w="216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N/A</w:t>
            </w:r>
          </w:p>
        </w:tc>
        <w:tc>
          <w:tcPr>
            <w:tcW w:w="1844"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2.23</w:t>
            </w:r>
          </w:p>
        </w:tc>
      </w:tr>
      <w:tr w:rsidR="00B8070F" w:rsidTr="00663C40">
        <w:trPr>
          <w:jc w:val="center"/>
        </w:trPr>
        <w:tc>
          <w:tcPr>
            <w:tcW w:w="2745"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rPr>
                <w:sz w:val="20"/>
                <w:szCs w:val="20"/>
              </w:rPr>
            </w:pPr>
            <w:r>
              <w:rPr>
                <w:sz w:val="20"/>
                <w:szCs w:val="20"/>
              </w:rPr>
              <w:t>Initial performance test report</w:t>
            </w:r>
          </w:p>
        </w:tc>
        <w:tc>
          <w:tcPr>
            <w:tcW w:w="135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2.23</w:t>
            </w:r>
          </w:p>
        </w:tc>
        <w:tc>
          <w:tcPr>
            <w:tcW w:w="117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1</w:t>
            </w:r>
          </w:p>
        </w:tc>
        <w:tc>
          <w:tcPr>
            <w:tcW w:w="216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N/A</w:t>
            </w:r>
          </w:p>
        </w:tc>
        <w:tc>
          <w:tcPr>
            <w:tcW w:w="1844"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2.23</w:t>
            </w:r>
          </w:p>
        </w:tc>
      </w:tr>
      <w:tr w:rsidR="00B8070F" w:rsidTr="00663C40">
        <w:trPr>
          <w:jc w:val="center"/>
        </w:trPr>
        <w:tc>
          <w:tcPr>
            <w:tcW w:w="2745"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rPr>
                <w:sz w:val="20"/>
                <w:szCs w:val="20"/>
              </w:rPr>
            </w:pPr>
            <w:r>
              <w:rPr>
                <w:sz w:val="20"/>
                <w:szCs w:val="20"/>
              </w:rPr>
              <w:t>Semiannual reports</w:t>
            </w:r>
          </w:p>
        </w:tc>
        <w:tc>
          <w:tcPr>
            <w:tcW w:w="135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19</w:t>
            </w:r>
          </w:p>
        </w:tc>
        <w:tc>
          <w:tcPr>
            <w:tcW w:w="117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2</w:t>
            </w:r>
          </w:p>
        </w:tc>
        <w:tc>
          <w:tcPr>
            <w:tcW w:w="216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N/A</w:t>
            </w:r>
          </w:p>
        </w:tc>
        <w:tc>
          <w:tcPr>
            <w:tcW w:w="1844"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38</w:t>
            </w:r>
          </w:p>
        </w:tc>
      </w:tr>
      <w:tr w:rsidR="00B8070F" w:rsidTr="00663C40">
        <w:trPr>
          <w:jc w:val="center"/>
        </w:trPr>
        <w:tc>
          <w:tcPr>
            <w:tcW w:w="2745"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Total</w:t>
            </w:r>
          </w:p>
        </w:tc>
        <w:tc>
          <w:tcPr>
            <w:tcW w:w="1844" w:type="dxa"/>
            <w:tcBorders>
              <w:top w:val="single" w:sz="4" w:space="0" w:color="auto"/>
              <w:left w:val="single" w:sz="4" w:space="0" w:color="auto"/>
              <w:bottom w:val="single" w:sz="4" w:space="0" w:color="auto"/>
              <w:right w:val="single" w:sz="4" w:space="0" w:color="auto"/>
            </w:tcBorders>
          </w:tcPr>
          <w:p w:rsidR="00B8070F" w:rsidRDefault="00B8070F" w:rsidP="00663C40">
            <w:pPr>
              <w:spacing w:line="120" w:lineRule="exact"/>
              <w:rPr>
                <w:sz w:val="20"/>
                <w:szCs w:val="20"/>
              </w:rPr>
            </w:pPr>
          </w:p>
          <w:p w:rsidR="00B8070F" w:rsidRDefault="00B8070F" w:rsidP="00663C40">
            <w:pPr>
              <w:spacing w:after="52"/>
              <w:jc w:val="center"/>
              <w:rPr>
                <w:sz w:val="20"/>
                <w:szCs w:val="20"/>
              </w:rPr>
            </w:pPr>
            <w:r>
              <w:rPr>
                <w:sz w:val="20"/>
                <w:szCs w:val="20"/>
              </w:rPr>
              <w:t>47 (rounded)</w:t>
            </w:r>
          </w:p>
        </w:tc>
      </w:tr>
    </w:tbl>
    <w:p w:rsidR="00B8070F" w:rsidRDefault="00B8070F" w:rsidP="00B8070F"/>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The number of Total Annual Responses is</w:t>
      </w:r>
      <w:r w:rsidRPr="00DD18A6">
        <w:rPr>
          <w:color w:val="FF0000"/>
        </w:rPr>
        <w:t xml:space="preserve"> </w:t>
      </w:r>
      <w:r>
        <w:rPr>
          <w:color w:val="000000"/>
        </w:rPr>
        <w:t>47</w:t>
      </w:r>
      <w:r w:rsidRPr="00DD18A6">
        <w:rPr>
          <w:color w:val="000000"/>
        </w:rPr>
        <w:t xml:space="preserve">.  </w:t>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The total annual labor costs are $</w:t>
      </w:r>
      <w:r>
        <w:rPr>
          <w:color w:val="000000"/>
        </w:rPr>
        <w:t>163,005</w:t>
      </w:r>
      <w:r w:rsidRPr="00DD18A6">
        <w:rPr>
          <w:color w:val="000000"/>
        </w:rPr>
        <w:t xml:space="preserve">.  Details regarding these estimates may be found </w:t>
      </w:r>
      <w:r>
        <w:rPr>
          <w:color w:val="000000"/>
        </w:rPr>
        <w:t xml:space="preserve">below </w:t>
      </w:r>
      <w:r w:rsidRPr="00DD18A6">
        <w:rPr>
          <w:color w:val="000000"/>
        </w:rPr>
        <w:t>in Table 1: Annual Respondent Burden and Cost</w:t>
      </w:r>
      <w:r>
        <w:rPr>
          <w:color w:val="000000"/>
        </w:rPr>
        <w:t xml:space="preserve"> for</w:t>
      </w:r>
      <w:r w:rsidRPr="00DD18A6">
        <w:rPr>
          <w:color w:val="000000"/>
        </w:rPr>
        <w:t xml:space="preserve"> NSPS for </w:t>
      </w:r>
      <w:r>
        <w:rPr>
          <w:color w:val="000000"/>
        </w:rPr>
        <w:t xml:space="preserve">the </w:t>
      </w:r>
      <w:r>
        <w:t xml:space="preserve">Graphic Arts Industry (40 CFR </w:t>
      </w:r>
      <w:proofErr w:type="gramStart"/>
      <w:r>
        <w:t>part</w:t>
      </w:r>
      <w:proofErr w:type="gramEnd"/>
      <w:r>
        <w:t xml:space="preserve"> 60, subpart QQ) (Renewal)</w:t>
      </w:r>
      <w:r w:rsidRPr="00DD18A6">
        <w:rPr>
          <w:color w:val="000000"/>
        </w:rPr>
        <w:t>.</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r w:rsidRPr="00DD18A6">
        <w:rPr>
          <w:color w:val="000000"/>
        </w:rPr>
        <w:t xml:space="preserve"> </w:t>
      </w: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sidRPr="00DD18A6">
        <w:rPr>
          <w:color w:val="000000"/>
        </w:rPr>
        <w:t>Note that the total annual capital and O&amp;M costs to the regulated entity are $</w:t>
      </w:r>
      <w:r>
        <w:rPr>
          <w:color w:val="000000"/>
        </w:rPr>
        <w:t>0</w:t>
      </w:r>
      <w:r w:rsidRPr="00DD18A6">
        <w:rPr>
          <w:color w:val="000000"/>
        </w:rPr>
        <w:t>.  These costs are detailed in Section 6(b</w:t>
      </w:r>
      <w:proofErr w:type="gramStart"/>
      <w:r w:rsidRPr="00DD18A6">
        <w:rPr>
          <w:color w:val="000000"/>
        </w:rPr>
        <w:t>)(</w:t>
      </w:r>
      <w:proofErr w:type="gramEnd"/>
      <w:r w:rsidRPr="00DD18A6">
        <w:rPr>
          <w:color w:val="000000"/>
        </w:rPr>
        <w:t>iii), Capital/Startup vs. Operation and Maintenance (O&amp;M) Costs.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0" w:color="FFFFFF"/>
          <w:bottom w:val="single" w:sz="6" w:space="0" w:color="FFFFFF"/>
          <w:right w:val="single" w:sz="6" w:space="0" w:color="FFFFFF"/>
        </w:pBdr>
        <w:ind w:firstLine="720"/>
        <w:rPr>
          <w:b/>
          <w:bCs/>
          <w:color w:val="000000"/>
        </w:rPr>
      </w:pPr>
      <w:r w:rsidRPr="00DD18A6">
        <w:rPr>
          <w:b/>
          <w:bCs/>
          <w:color w:val="000000"/>
        </w:rPr>
        <w:t>6(e</w:t>
      </w:r>
      <w:proofErr w:type="gramStart"/>
      <w:r w:rsidRPr="00DD18A6">
        <w:rPr>
          <w:b/>
          <w:bCs/>
          <w:color w:val="000000"/>
        </w:rPr>
        <w:t>)  Bottom</w:t>
      </w:r>
      <w:proofErr w:type="gramEnd"/>
      <w:r w:rsidRPr="00DD18A6">
        <w:rPr>
          <w:b/>
          <w:bCs/>
          <w:color w:val="000000"/>
        </w:rPr>
        <w:t xml:space="preserve"> Line Burden Hours and Cost Tables</w:t>
      </w:r>
    </w:p>
    <w:p w:rsidR="00B8070F" w:rsidRPr="00DD18A6"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Pr="009E6C99">
        <w:t>Tables 1 and 2 below, respectively, and</w:t>
      </w:r>
      <w:r>
        <w:rPr>
          <w:color w:val="000000"/>
        </w:rPr>
        <w:t xml:space="preserve"> summarized below.  </w:t>
      </w:r>
    </w:p>
    <w:p w:rsidR="00B8070F"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B8070F" w:rsidRDefault="00B8070F" w:rsidP="00B8070F">
      <w:pPr>
        <w:pBdr>
          <w:top w:val="single" w:sz="6" w:space="0" w:color="FFFFFF"/>
          <w:left w:val="single" w:sz="6" w:space="0"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hours are 1,718. Details regarding these estimates may be found below in Table 1:  </w:t>
      </w:r>
      <w:r w:rsidRPr="007C1631">
        <w:rPr>
          <w:color w:val="000000"/>
        </w:rPr>
        <w:t>Annual Respondent Burden and Cost for NSPS for</w:t>
      </w:r>
      <w:r>
        <w:rPr>
          <w:color w:val="000000"/>
        </w:rPr>
        <w:t xml:space="preserve"> the</w:t>
      </w:r>
      <w:r w:rsidRPr="007C1631">
        <w:rPr>
          <w:color w:val="000000"/>
        </w:rPr>
        <w:t xml:space="preserve"> Graphic Arts</w:t>
      </w:r>
      <w:r>
        <w:rPr>
          <w:color w:val="000000"/>
        </w:rPr>
        <w:t xml:space="preserve"> (40 CFR </w:t>
      </w:r>
      <w:proofErr w:type="gramStart"/>
      <w:r>
        <w:rPr>
          <w:color w:val="000000"/>
        </w:rPr>
        <w:t>part</w:t>
      </w:r>
      <w:proofErr w:type="gramEnd"/>
      <w:r>
        <w:rPr>
          <w:color w:val="000000"/>
        </w:rPr>
        <w:t xml:space="preserve"> 60, subpart QQ) (Renewal).  Furthermore, the annual public reporting and recordkeeping burden for this collection of information is estimated to average 37 (rounded) hours per response.</w:t>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no annual capital/startup and O&amp;M costs to the regulated entity.</w:t>
      </w:r>
    </w:p>
    <w:p w:rsidR="00B8070F" w:rsidRDefault="00B8070F" w:rsidP="00B8070F">
      <w:pPr>
        <w:pBdr>
          <w:top w:val="single" w:sz="6" w:space="0" w:color="FFFFFF"/>
          <w:left w:val="single" w:sz="6" w:space="0" w:color="FFFFFF"/>
          <w:bottom w:val="single" w:sz="6" w:space="0" w:color="FFFFFF"/>
          <w:right w:val="single" w:sz="6" w:space="0" w:color="FFFFFF"/>
        </w:pBdr>
        <w:ind w:firstLine="720"/>
        <w:rPr>
          <w:color w:val="000000"/>
        </w:rPr>
      </w:pPr>
    </w:p>
    <w:p w:rsidR="00B8070F" w:rsidRDefault="00B8070F" w:rsidP="00B8070F">
      <w:pPr>
        <w:pBdr>
          <w:top w:val="single" w:sz="6" w:space="0" w:color="FFFFFF"/>
          <w:left w:val="single" w:sz="6" w:space="1" w:color="FFFFFF"/>
          <w:bottom w:val="single" w:sz="6" w:space="0" w:color="FFFFFF"/>
          <w:right w:val="single" w:sz="6" w:space="0" w:color="FFFFFF"/>
        </w:pBdr>
        <w:ind w:firstLine="1440"/>
        <w:rPr>
          <w:color w:val="000000"/>
        </w:rPr>
      </w:pPr>
      <w:r>
        <w:rPr>
          <w:b/>
          <w:bCs/>
          <w:color w:val="000000"/>
        </w:rPr>
        <w:t>(ii) The Agency Tally</w:t>
      </w:r>
    </w:p>
    <w:p w:rsidR="00B8070F" w:rsidRDefault="00B8070F" w:rsidP="00B8070F">
      <w:pPr>
        <w:pBdr>
          <w:top w:val="single" w:sz="6" w:space="0" w:color="FFFFFF"/>
          <w:left w:val="single" w:sz="6" w:space="1" w:color="FFFFFF"/>
          <w:bottom w:val="single" w:sz="6" w:space="0" w:color="FFFFFF"/>
          <w:right w:val="single" w:sz="6" w:space="0" w:color="FFFFFF"/>
        </w:pBdr>
        <w:rPr>
          <w:color w:val="FF0000"/>
        </w:rPr>
      </w:pPr>
    </w:p>
    <w:p w:rsidR="00B8070F" w:rsidRDefault="00B8070F" w:rsidP="00B8070F">
      <w:pPr>
        <w:pBdr>
          <w:top w:val="single" w:sz="6" w:space="0" w:color="FFFFFF"/>
          <w:left w:val="single" w:sz="6" w:space="1" w:color="FFFFFF"/>
          <w:bottom w:val="single" w:sz="6" w:space="0" w:color="FFFFFF"/>
          <w:right w:val="single" w:sz="6" w:space="0" w:color="FFFFFF"/>
        </w:pBdr>
        <w:ind w:firstLine="720"/>
        <w:rPr>
          <w:color w:val="FF0000"/>
        </w:rPr>
      </w:pPr>
      <w:r>
        <w:rPr>
          <w:color w:val="000000"/>
        </w:rPr>
        <w:t xml:space="preserve">The </w:t>
      </w:r>
      <w:r w:rsidRPr="009E6C99">
        <w:t xml:space="preserve">average annual Agency burden and cost over next three years is estimated to be 228 labor hours at a cost of $13,797.  See </w:t>
      </w:r>
      <w:r>
        <w:t xml:space="preserve">below </w:t>
      </w:r>
      <w:r w:rsidRPr="009E6C99">
        <w:t>Table 2</w:t>
      </w:r>
      <w:r>
        <w:t>:</w:t>
      </w:r>
      <w:r w:rsidRPr="009E6C99">
        <w:t xml:space="preserve">  </w:t>
      </w:r>
      <w:r>
        <w:t xml:space="preserve">Average </w:t>
      </w:r>
      <w:r w:rsidRPr="009E6C99">
        <w:t xml:space="preserve">Annual Agency Burden and Cost </w:t>
      </w:r>
      <w:r>
        <w:t>for</w:t>
      </w:r>
      <w:r w:rsidRPr="009E6C99">
        <w:t xml:space="preserve"> NSPS for </w:t>
      </w:r>
      <w:r>
        <w:t xml:space="preserve">the </w:t>
      </w:r>
      <w:r w:rsidRPr="009E6C99">
        <w:t>Graphic Arts</w:t>
      </w:r>
      <w:r>
        <w:t xml:space="preserve"> Industry </w:t>
      </w:r>
      <w:r w:rsidRPr="009E6C99">
        <w:t xml:space="preserve">(40 CFR </w:t>
      </w:r>
      <w:proofErr w:type="gramStart"/>
      <w:r w:rsidRPr="009E6C99">
        <w:t>part</w:t>
      </w:r>
      <w:proofErr w:type="gramEnd"/>
      <w:r w:rsidRPr="009E6C99">
        <w:t xml:space="preserve"> 60, subpart QQ)</w:t>
      </w:r>
      <w:r>
        <w:t xml:space="preserve"> (Renewal)</w:t>
      </w:r>
      <w:r w:rsidRPr="009E6C99">
        <w:t>.</w:t>
      </w:r>
    </w:p>
    <w:p w:rsidR="00B8070F" w:rsidRPr="00DD18A6" w:rsidRDefault="00B8070F" w:rsidP="00B8070F">
      <w:pPr>
        <w:pBdr>
          <w:top w:val="single" w:sz="6" w:space="0" w:color="FFFFFF"/>
          <w:left w:val="single" w:sz="6" w:space="1"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1" w:color="FFFFFF"/>
          <w:bottom w:val="single" w:sz="6" w:space="0" w:color="FFFFFF"/>
          <w:right w:val="single" w:sz="6" w:space="0" w:color="FFFFFF"/>
        </w:pBdr>
        <w:ind w:firstLine="720"/>
        <w:rPr>
          <w:b/>
          <w:bCs/>
          <w:color w:val="000000"/>
        </w:rPr>
      </w:pPr>
      <w:r w:rsidRPr="00DD18A6">
        <w:rPr>
          <w:b/>
          <w:bCs/>
          <w:color w:val="000000"/>
        </w:rPr>
        <w:t>6(f</w:t>
      </w:r>
      <w:proofErr w:type="gramStart"/>
      <w:r w:rsidRPr="00DD18A6">
        <w:rPr>
          <w:b/>
          <w:bCs/>
          <w:color w:val="000000"/>
        </w:rPr>
        <w:t>)  Reasons</w:t>
      </w:r>
      <w:proofErr w:type="gramEnd"/>
      <w:r w:rsidRPr="00DD18A6">
        <w:rPr>
          <w:b/>
          <w:bCs/>
          <w:color w:val="000000"/>
        </w:rPr>
        <w:t xml:space="preserve"> for Change in Burden</w:t>
      </w:r>
    </w:p>
    <w:p w:rsidR="00B8070F" w:rsidRPr="00DD18A6" w:rsidRDefault="00B8070F" w:rsidP="00B8070F">
      <w:pPr>
        <w:pBdr>
          <w:top w:val="single" w:sz="6" w:space="0" w:color="FFFFFF"/>
          <w:left w:val="single" w:sz="6" w:space="1" w:color="FFFFFF"/>
          <w:bottom w:val="single" w:sz="6" w:space="0" w:color="FFFFFF"/>
          <w:right w:val="single" w:sz="6" w:space="0" w:color="FFFFFF"/>
        </w:pBdr>
        <w:rPr>
          <w:color w:val="000000"/>
        </w:rPr>
      </w:pPr>
    </w:p>
    <w:p w:rsidR="00B8070F" w:rsidRDefault="00B8070F" w:rsidP="00B8070F">
      <w:pPr>
        <w:pBdr>
          <w:top w:val="single" w:sz="6" w:space="0" w:color="FFFFFF"/>
          <w:left w:val="single" w:sz="6" w:space="1" w:color="FFFFFF"/>
          <w:bottom w:val="single" w:sz="6" w:space="0" w:color="FFFFFF"/>
          <w:right w:val="single" w:sz="6" w:space="0" w:color="FFFFFF"/>
        </w:pBdr>
        <w:ind w:firstLine="720"/>
      </w:pPr>
      <w:r>
        <w:lastRenderedPageBreak/>
        <w:t>EPA has reviewed the burden and calculations and determined that t</w:t>
      </w:r>
      <w:r w:rsidRPr="0068068C">
        <w:t xml:space="preserve">here is no change in the labor hours </w:t>
      </w:r>
      <w:r w:rsidRPr="003F029B">
        <w:t xml:space="preserve">or cost </w:t>
      </w:r>
      <w:r w:rsidRPr="0068068C">
        <w:t>to the respondents in this ICR compared to the previous ICR because the regulations have not changed over the past three years and are not anticipated to change over the next three years.</w:t>
      </w:r>
      <w:r>
        <w:t xml:space="preserve"> </w:t>
      </w:r>
      <w:r w:rsidRPr="0068068C">
        <w:t xml:space="preserve"> </w:t>
      </w:r>
      <w:r>
        <w:t>The labor hour</w:t>
      </w:r>
      <w:r w:rsidRPr="0068068C">
        <w:t xml:space="preserve"> figures in the previous ICR reflect the current burden to the respondents and are reiterated in this ICR.</w:t>
      </w:r>
      <w:r w:rsidRPr="00974A5E">
        <w:t xml:space="preserve"> </w:t>
      </w:r>
      <w:r>
        <w:t xml:space="preserve"> However, labor rates were updated for industry and EPA thus causing a change in annual labor costs for the respondents and Agency.</w:t>
      </w:r>
    </w:p>
    <w:p w:rsidR="00B8070F" w:rsidRDefault="00B8070F" w:rsidP="00B8070F">
      <w:pPr>
        <w:pBdr>
          <w:top w:val="single" w:sz="6" w:space="0" w:color="FFFFFF"/>
          <w:left w:val="single" w:sz="6" w:space="1"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1"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1" w:color="FFFFFF"/>
          <w:bottom w:val="single" w:sz="6" w:space="0" w:color="FFFFFF"/>
          <w:right w:val="single" w:sz="6" w:space="0" w:color="FFFFFF"/>
        </w:pBdr>
        <w:ind w:firstLine="720"/>
        <w:rPr>
          <w:color w:val="000000"/>
        </w:rPr>
      </w:pPr>
      <w:r w:rsidRPr="00DD18A6">
        <w:rPr>
          <w:b/>
          <w:bCs/>
          <w:color w:val="000000"/>
        </w:rPr>
        <w:t>6(g</w:t>
      </w:r>
      <w:proofErr w:type="gramStart"/>
      <w:r w:rsidRPr="00DD18A6">
        <w:rPr>
          <w:b/>
          <w:bCs/>
          <w:color w:val="000000"/>
        </w:rPr>
        <w:t>)  Burden</w:t>
      </w:r>
      <w:proofErr w:type="gramEnd"/>
      <w:r w:rsidRPr="00DD18A6">
        <w:rPr>
          <w:b/>
          <w:bCs/>
          <w:color w:val="000000"/>
        </w:rPr>
        <w:t xml:space="preserve"> Statement</w:t>
      </w:r>
    </w:p>
    <w:p w:rsidR="00B8070F" w:rsidRPr="00DD18A6" w:rsidRDefault="00B8070F" w:rsidP="00B8070F">
      <w:pPr>
        <w:pBdr>
          <w:top w:val="single" w:sz="6" w:space="0" w:color="FFFFFF"/>
          <w:left w:val="single" w:sz="6" w:space="1"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1" w:color="FFFFFF"/>
          <w:bottom w:val="single" w:sz="6" w:space="0" w:color="FFFFFF"/>
          <w:right w:val="single" w:sz="6" w:space="0" w:color="FFFFFF"/>
        </w:pBdr>
        <w:ind w:firstLine="720"/>
        <w:rPr>
          <w:color w:val="000000"/>
        </w:rPr>
      </w:pPr>
      <w:r w:rsidRPr="00DD18A6">
        <w:rPr>
          <w:color w:val="000000"/>
        </w:rPr>
        <w:t>The annual public reporting and recordkeeping burden for this collection of infor</w:t>
      </w:r>
      <w:r>
        <w:rPr>
          <w:color w:val="000000"/>
        </w:rPr>
        <w:t>mation is estimated to average 37</w:t>
      </w:r>
      <w:r w:rsidRPr="00DD18A6">
        <w:rPr>
          <w:color w:val="000000"/>
        </w:rPr>
        <w:t xml:space="preserve"> </w:t>
      </w:r>
      <w:r>
        <w:rPr>
          <w:color w:val="000000"/>
        </w:rPr>
        <w:t xml:space="preserve">(rounded) </w:t>
      </w:r>
      <w:r w:rsidRPr="00DD18A6">
        <w:rPr>
          <w:color w:val="000000"/>
        </w:rPr>
        <w:t>hours per response.  Burden means the total time, effort, or financial resources expended by persons to generate, maintain, retain, or disclose or provide information to</w:t>
      </w:r>
      <w:r>
        <w:rPr>
          <w:color w:val="000000"/>
        </w:rPr>
        <w:t>,</w:t>
      </w:r>
      <w:r w:rsidRPr="00DD18A6">
        <w:rPr>
          <w:color w:val="000000"/>
        </w:rPr>
        <w:t xml:space="preserve">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8070F" w:rsidRPr="00DD18A6" w:rsidRDefault="00B8070F" w:rsidP="00B8070F">
      <w:pPr>
        <w:pBdr>
          <w:top w:val="single" w:sz="6" w:space="0" w:color="FFFFFF"/>
          <w:left w:val="single" w:sz="6" w:space="1" w:color="FFFFFF"/>
          <w:bottom w:val="single" w:sz="6" w:space="0" w:color="FFFFFF"/>
          <w:right w:val="single" w:sz="6" w:space="0" w:color="FFFFFF"/>
        </w:pBdr>
        <w:rPr>
          <w:color w:val="000000"/>
        </w:rPr>
      </w:pPr>
    </w:p>
    <w:p w:rsidR="00B8070F" w:rsidRPr="00DD18A6" w:rsidRDefault="00B8070F" w:rsidP="00B8070F">
      <w:pPr>
        <w:pBdr>
          <w:top w:val="single" w:sz="6" w:space="0" w:color="FFFFFF"/>
          <w:left w:val="single" w:sz="6" w:space="1" w:color="FFFFFF"/>
          <w:bottom w:val="single" w:sz="6" w:space="0" w:color="FFFFFF"/>
          <w:right w:val="single" w:sz="6" w:space="0" w:color="FFFFFF"/>
        </w:pBdr>
        <w:ind w:firstLine="720"/>
        <w:rPr>
          <w:color w:val="000000"/>
        </w:rPr>
      </w:pPr>
      <w:r w:rsidRPr="00DD18A6">
        <w:rPr>
          <w:color w:val="000000"/>
        </w:rPr>
        <w:t>An agency may not conduct</w:t>
      </w:r>
      <w:r>
        <w:rPr>
          <w:color w:val="000000"/>
        </w:rPr>
        <w:t>,</w:t>
      </w:r>
      <w:r w:rsidRPr="00DD18A6">
        <w:rPr>
          <w:color w:val="000000"/>
        </w:rPr>
        <w:t xml:space="preserve"> or sponsor, and a person is not required to respond to, a collection of information unless it displays a valid OMB control number.  The OMB control numbers for EPA</w:t>
      </w:r>
      <w:r>
        <w:rPr>
          <w:color w:val="000000"/>
        </w:rPr>
        <w:t>’</w:t>
      </w:r>
      <w:r w:rsidRPr="00DD18A6">
        <w:rPr>
          <w:color w:val="000000"/>
        </w:rPr>
        <w:t>s regulations are listed at 40 CFR part 9 and 48 CFR chapter 15.</w:t>
      </w:r>
    </w:p>
    <w:p w:rsidR="00B8070F" w:rsidRPr="00DD18A6" w:rsidRDefault="00B8070F" w:rsidP="00B8070F">
      <w:pPr>
        <w:pBdr>
          <w:top w:val="single" w:sz="6" w:space="0" w:color="FFFFFF"/>
          <w:left w:val="single" w:sz="6" w:space="1" w:color="FFFFFF"/>
          <w:bottom w:val="single" w:sz="6" w:space="0" w:color="FFFFFF"/>
          <w:right w:val="single" w:sz="6" w:space="0" w:color="FFFFFF"/>
        </w:pBdr>
        <w:rPr>
          <w:color w:val="000000"/>
        </w:rPr>
      </w:pPr>
    </w:p>
    <w:p w:rsidR="00B8070F" w:rsidRDefault="00B8070F" w:rsidP="00B8070F">
      <w:pPr>
        <w:ind w:firstLine="720"/>
      </w:pPr>
      <w:r w:rsidRPr="00DD18A6">
        <w:rPr>
          <w:color w:val="000000"/>
        </w:rPr>
        <w:t>To comment on the Agency</w:t>
      </w:r>
      <w:r>
        <w:rPr>
          <w:color w:val="000000"/>
        </w:rPr>
        <w:t>’</w:t>
      </w:r>
      <w:r w:rsidRPr="00DD18A6">
        <w:rPr>
          <w:color w:val="000000"/>
        </w:rPr>
        <w:t>s need for this information, the accuracy of the provided burden estimates, and any suggested methods for minimizing respondent burden, including the use of automated collection techniques, EPA has established a public docket for this ICR under Docket ID Number EPA-HQ-OECA-200</w:t>
      </w:r>
      <w:r>
        <w:rPr>
          <w:color w:val="000000"/>
        </w:rPr>
        <w:t>9</w:t>
      </w:r>
      <w:r w:rsidRPr="00DD18A6">
        <w:rPr>
          <w:color w:val="000000"/>
        </w:rPr>
        <w:t>-</w:t>
      </w:r>
      <w:r w:rsidRPr="00DD18A6">
        <w:t>0</w:t>
      </w:r>
      <w:r>
        <w:t>409</w:t>
      </w:r>
      <w:r w:rsidRPr="00DD18A6">
        <w:rPr>
          <w:color w:val="000000"/>
        </w:rPr>
        <w:t xml:space="preserve">. An electronic version of the public docket is available at </w:t>
      </w:r>
      <w:r w:rsidRPr="00765676">
        <w:rPr>
          <w:color w:val="000000"/>
          <w:u w:val="single"/>
        </w:rPr>
        <w:t>http://www.regulations.gov/</w:t>
      </w:r>
      <w:r w:rsidRPr="00DD18A6">
        <w:rPr>
          <w:color w:val="000000"/>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Pr>
          <w:color w:val="000000"/>
        </w:rPr>
        <w:t xml:space="preserve">, </w:t>
      </w:r>
      <w:r>
        <w:rPr>
          <w:lang w:val="en-CA"/>
        </w:rPr>
        <w:fldChar w:fldCharType="begin"/>
      </w:r>
      <w:r>
        <w:rPr>
          <w:lang w:val="en-CA"/>
        </w:rPr>
        <w:instrText xml:space="preserve"> SEQ CHAPTER \h \r 1</w:instrText>
      </w:r>
      <w:r>
        <w:rPr>
          <w:lang w:val="en-CA"/>
        </w:rPr>
        <w:fldChar w:fldCharType="end"/>
      </w:r>
      <w:r>
        <w:t>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566-1752.  Also, comments can be sent to the Office of Information and Regulatory Affairs, Office of Management and Budget, 725 17th Street, NW, Washington, DC 20503, Attention: Desk Officer for EPA. Please include the EPA Docket ID Number EPA-HQ-OECA-2009-0409</w:t>
      </w:r>
      <w:r w:rsidRPr="00DD18A6">
        <w:t xml:space="preserve"> </w:t>
      </w:r>
      <w:r>
        <w:t>and OMB Control Number 2060-</w:t>
      </w:r>
      <w:r w:rsidRPr="00DD18A6">
        <w:t>01</w:t>
      </w:r>
      <w:r>
        <w:t>05 in any correspondence.</w:t>
      </w:r>
    </w:p>
    <w:p w:rsidR="00B8070F" w:rsidRDefault="00B8070F" w:rsidP="00B8070F"/>
    <w:p w:rsidR="00B8070F" w:rsidRDefault="00B8070F" w:rsidP="00B8070F"/>
    <w:p w:rsidR="00B8070F" w:rsidRDefault="00B8070F" w:rsidP="00B8070F">
      <w:r>
        <w:rPr>
          <w:b/>
          <w:bCs/>
        </w:rPr>
        <w:t>Part B of the Supporting Statement</w:t>
      </w:r>
    </w:p>
    <w:p w:rsidR="00B8070F" w:rsidRDefault="00B8070F" w:rsidP="00B8070F"/>
    <w:p w:rsidR="00B8070F" w:rsidRDefault="00B8070F" w:rsidP="00B8070F">
      <w:r>
        <w:t>This part is not applicable because no statistical methods were used in collecting this information.</w:t>
      </w:r>
    </w:p>
    <w:p w:rsidR="00B8070F" w:rsidRDefault="00B8070F" w:rsidP="00B8070F">
      <w:pPr>
        <w:pBdr>
          <w:top w:val="single" w:sz="6" w:space="0" w:color="FFFFFF"/>
          <w:left w:val="single" w:sz="6" w:space="0" w:color="FFFFFF"/>
          <w:bottom w:val="single" w:sz="6" w:space="0" w:color="FFFFFF"/>
          <w:right w:val="single" w:sz="6" w:space="0" w:color="FFFFFF"/>
        </w:pBdr>
      </w:pPr>
    </w:p>
    <w:p w:rsidR="00B8070F" w:rsidRPr="00EA7956" w:rsidRDefault="00B8070F" w:rsidP="00B8070F">
      <w:pPr>
        <w:rPr>
          <w:rStyle w:val="a"/>
          <w:color w:val="000000"/>
          <w:sz w:val="20"/>
          <w:szCs w:val="20"/>
        </w:rPr>
      </w:pPr>
    </w:p>
    <w:p w:rsidR="00B07AC0" w:rsidRDefault="00B07AC0"/>
    <w:sectPr w:rsidR="00B07AC0" w:rsidSect="00183A85">
      <w:type w:val="continuous"/>
      <w:pgSz w:w="12240" w:h="15840" w:code="1"/>
      <w:pgMar w:top="1440" w:right="1440" w:bottom="1440" w:left="1440" w:header="1440" w:footer="1440" w:gutter="0"/>
      <w:cols w:space="720"/>
      <w:noEndnote/>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8C7" w:rsidRDefault="00B8070F" w:rsidP="007926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28C7" w:rsidRDefault="00B80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8C7" w:rsidRDefault="00B8070F" w:rsidP="00517699">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628C7" w:rsidRDefault="00B8070F" w:rsidP="00517699">
    <w:pPr>
      <w:pStyle w:val="Header"/>
      <w:framePr w:wrap="around" w:vAnchor="text" w:hAnchor="margin" w:xAlign="center" w:y="1"/>
      <w:rPr>
        <w:rStyle w:val="PageNumber"/>
      </w:rPr>
    </w:pPr>
  </w:p>
  <w:p w:rsidR="00F628C7" w:rsidRDefault="00B8070F">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70F"/>
    <w:rsid w:val="00B07AC0"/>
    <w:rsid w:val="00B80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_______"/>
    <w:rsid w:val="00B8070F"/>
  </w:style>
  <w:style w:type="paragraph" w:styleId="Header">
    <w:name w:val="header"/>
    <w:basedOn w:val="Normal"/>
    <w:link w:val="HeaderChar"/>
    <w:rsid w:val="00B8070F"/>
    <w:pPr>
      <w:tabs>
        <w:tab w:val="center" w:pos="4320"/>
        <w:tab w:val="right" w:pos="8640"/>
      </w:tabs>
    </w:pPr>
  </w:style>
  <w:style w:type="character" w:customStyle="1" w:styleId="HeaderChar">
    <w:name w:val="Header Char"/>
    <w:basedOn w:val="DefaultParagraphFont"/>
    <w:link w:val="Header"/>
    <w:rsid w:val="00B8070F"/>
    <w:rPr>
      <w:rFonts w:ascii="Times New Roman" w:eastAsia="Times New Roman" w:hAnsi="Times New Roman" w:cs="Times New Roman"/>
      <w:sz w:val="24"/>
      <w:szCs w:val="24"/>
    </w:rPr>
  </w:style>
  <w:style w:type="character" w:styleId="PageNumber">
    <w:name w:val="page number"/>
    <w:basedOn w:val="DefaultParagraphFont"/>
    <w:rsid w:val="00B807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3544</Words>
  <Characters>20203</Characters>
  <Application>Microsoft Office Word</Application>
  <DocSecurity>0</DocSecurity>
  <Lines>168</Lines>
  <Paragraphs>47</Paragraphs>
  <ScaleCrop>false</ScaleCrop>
  <Company>Toshiba</Company>
  <LinksUpToDate>false</LinksUpToDate>
  <CharactersWithSpaces>23700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1</cp:revision>
  <dcterms:created xsi:type="dcterms:W3CDTF">2011-03-16T15:12:00Z</dcterms:created>
  <dcterms:modified xsi:type="dcterms:W3CDTF">2011-03-16T15:13:00Z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-51525065</vt:i4>
  </property>
  <property fmtid="{D5CDD505-2E9C-101B-9397-08002B2CF9AE}" pid="3" name="_NewReviewCycle">
    <vt:lpwstr/>
  </property>
  <property fmtid="{D5CDD505-2E9C-101B-9397-08002B2CF9AE}" pid="4" name="_EmailSubject">
    <vt:lpwstr>ICR 2060-0035 and 2060-0544</vt:lpwstr>
  </property>
  <property fmtid="{D5CDD505-2E9C-101B-9397-08002B2CF9AE}" pid="5" name="_AuthorEmail">
    <vt:lpwstr>Cortney_Higgins@omb.eop.gov</vt:lpwstr>
  </property>
  <property fmtid="{D5CDD505-2E9C-101B-9397-08002B2CF9AE}" pid="6" name="_AuthorEmailDisplayName">
    <vt:lpwstr>Higgins, Cortney</vt:lpwstr>
  </property>
</Properties>
</file>