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E75" w:rsidRPr="001F3C13" w:rsidRDefault="00274E75" w:rsidP="003F5253">
      <w:pPr>
        <w:spacing w:before="0"/>
        <w:rPr>
          <w:rFonts w:ascii="Times New Roman" w:hAnsi="Times New Roman" w:cs="Times New Roman"/>
          <w:b/>
          <w:bCs/>
          <w:sz w:val="36"/>
          <w:szCs w:val="36"/>
        </w:rPr>
      </w:pPr>
      <w:r w:rsidRPr="001F3C13">
        <w:rPr>
          <w:rFonts w:ascii="Times New Roman" w:hAnsi="Times New Roman" w:cs="Times New Roman"/>
          <w:b/>
          <w:bCs/>
          <w:sz w:val="36"/>
          <w:szCs w:val="36"/>
        </w:rPr>
        <w:t>TECHNICAL UPDATE 10-</w:t>
      </w:r>
      <w:r>
        <w:rPr>
          <w:rFonts w:ascii="Times New Roman" w:hAnsi="Times New Roman" w:cs="Times New Roman"/>
          <w:b/>
          <w:bCs/>
          <w:sz w:val="36"/>
          <w:szCs w:val="36"/>
        </w:rPr>
        <w:t>2</w:t>
      </w:r>
    </w:p>
    <w:p w:rsidR="00274E75" w:rsidRPr="001F3C13" w:rsidRDefault="00274E75" w:rsidP="003F5253">
      <w:pPr>
        <w:spacing w:before="0"/>
        <w:rPr>
          <w:rFonts w:ascii="Times New Roman" w:hAnsi="Times New Roman" w:cs="Times New Roman"/>
          <w:sz w:val="28"/>
          <w:szCs w:val="28"/>
        </w:rPr>
      </w:pPr>
      <w:r w:rsidRPr="001F3C13">
        <w:rPr>
          <w:rFonts w:ascii="Times New Roman" w:hAnsi="Times New Roman" w:cs="Times New Roman"/>
          <w:sz w:val="28"/>
          <w:szCs w:val="28"/>
        </w:rPr>
        <w:t>Pension Benefit Guaranty Corporation</w:t>
      </w:r>
    </w:p>
    <w:p w:rsidR="00274E75" w:rsidRPr="001F3C13" w:rsidRDefault="00274E75" w:rsidP="003F5253">
      <w:pPr>
        <w:spacing w:before="0"/>
        <w:rPr>
          <w:rFonts w:ascii="Times New Roman" w:hAnsi="Times New Roman" w:cs="Times New Roman"/>
          <w:sz w:val="28"/>
          <w:szCs w:val="28"/>
        </w:rPr>
      </w:pPr>
      <w:r w:rsidRPr="001F3C13">
        <w:rPr>
          <w:rFonts w:ascii="Times New Roman" w:hAnsi="Times New Roman" w:cs="Times New Roman"/>
          <w:sz w:val="28"/>
          <w:szCs w:val="28"/>
        </w:rPr>
        <w:t>1200 K Street, N.W., Washington, DC 20005-4026</w:t>
      </w:r>
    </w:p>
    <w:p w:rsidR="00274E75" w:rsidRPr="00D4438A" w:rsidRDefault="00274E75" w:rsidP="003D5CDA">
      <w:pPr>
        <w:spacing w:before="0"/>
        <w:rPr>
          <w:rFonts w:ascii="Times New Roman" w:hAnsi="Times New Roman" w:cs="Times New Roman"/>
          <w:b/>
          <w:bCs/>
          <w:sz w:val="24"/>
          <w:szCs w:val="24"/>
          <w:u w:val="single"/>
        </w:rPr>
      </w:pPr>
      <w:r>
        <w:rPr>
          <w:rFonts w:ascii="Times New Roman" w:hAnsi="Times New Roman" w:cs="Times New Roman"/>
          <w:sz w:val="24"/>
          <w:szCs w:val="24"/>
          <w:u w:val="single"/>
        </w:rPr>
        <w:t>June</w:t>
      </w:r>
      <w:r w:rsidRPr="00D4438A">
        <w:rPr>
          <w:rFonts w:ascii="Times New Roman" w:hAnsi="Times New Roman" w:cs="Times New Roman"/>
          <w:sz w:val="24"/>
          <w:szCs w:val="24"/>
          <w:u w:val="single"/>
        </w:rPr>
        <w:t xml:space="preserve"> XX, 2010</w:t>
      </w:r>
      <w:r w:rsidRPr="00D4438A">
        <w:rPr>
          <w:rFonts w:ascii="Times New Roman" w:hAnsi="Times New Roman" w:cs="Times New Roman"/>
          <w:b/>
          <w:bCs/>
          <w:sz w:val="24"/>
          <w:szCs w:val="24"/>
          <w:u w:val="single"/>
        </w:rPr>
        <w:tab/>
      </w:r>
      <w:r w:rsidRPr="00D4438A">
        <w:rPr>
          <w:rFonts w:ascii="Times New Roman" w:hAnsi="Times New Roman" w:cs="Times New Roman"/>
          <w:b/>
          <w:bCs/>
          <w:sz w:val="24"/>
          <w:szCs w:val="24"/>
          <w:u w:val="single"/>
        </w:rPr>
        <w:tab/>
      </w:r>
      <w:r w:rsidRPr="00D4438A">
        <w:rPr>
          <w:rFonts w:ascii="Times New Roman" w:hAnsi="Times New Roman" w:cs="Times New Roman"/>
          <w:b/>
          <w:bCs/>
          <w:sz w:val="24"/>
          <w:szCs w:val="24"/>
          <w:u w:val="single"/>
        </w:rPr>
        <w:tab/>
      </w:r>
      <w:r w:rsidRPr="00D4438A">
        <w:rPr>
          <w:rFonts w:ascii="Times New Roman" w:hAnsi="Times New Roman" w:cs="Times New Roman"/>
          <w:b/>
          <w:bCs/>
          <w:sz w:val="24"/>
          <w:szCs w:val="24"/>
          <w:u w:val="single"/>
        </w:rPr>
        <w:tab/>
      </w:r>
      <w:r w:rsidRPr="00D4438A">
        <w:rPr>
          <w:rFonts w:ascii="Times New Roman" w:hAnsi="Times New Roman" w:cs="Times New Roman"/>
          <w:b/>
          <w:bCs/>
          <w:sz w:val="24"/>
          <w:szCs w:val="24"/>
          <w:u w:val="single"/>
        </w:rPr>
        <w:tab/>
      </w:r>
      <w:r w:rsidRPr="00D4438A">
        <w:rPr>
          <w:rFonts w:ascii="Times New Roman" w:hAnsi="Times New Roman" w:cs="Times New Roman"/>
          <w:b/>
          <w:bCs/>
          <w:sz w:val="24"/>
          <w:szCs w:val="24"/>
          <w:u w:val="single"/>
        </w:rPr>
        <w:tab/>
      </w:r>
      <w:r w:rsidRPr="00D4438A">
        <w:rPr>
          <w:rFonts w:ascii="Times New Roman" w:hAnsi="Times New Roman" w:cs="Times New Roman"/>
          <w:b/>
          <w:bCs/>
          <w:sz w:val="24"/>
          <w:szCs w:val="24"/>
          <w:u w:val="single"/>
        </w:rPr>
        <w:tab/>
      </w:r>
      <w:r w:rsidRPr="00D4438A">
        <w:rPr>
          <w:rFonts w:ascii="Times New Roman" w:hAnsi="Times New Roman" w:cs="Times New Roman"/>
          <w:b/>
          <w:bCs/>
          <w:sz w:val="24"/>
          <w:szCs w:val="24"/>
          <w:u w:val="single"/>
        </w:rPr>
        <w:tab/>
      </w:r>
      <w:r w:rsidRPr="00D4438A">
        <w:rPr>
          <w:rFonts w:ascii="Times New Roman" w:hAnsi="Times New Roman" w:cs="Times New Roman"/>
          <w:b/>
          <w:bCs/>
          <w:sz w:val="24"/>
          <w:szCs w:val="24"/>
          <w:u w:val="single"/>
        </w:rPr>
        <w:tab/>
      </w:r>
      <w:r w:rsidRPr="00D4438A">
        <w:rPr>
          <w:rFonts w:ascii="Times New Roman" w:hAnsi="Times New Roman" w:cs="Times New Roman"/>
          <w:b/>
          <w:bCs/>
          <w:sz w:val="24"/>
          <w:szCs w:val="24"/>
          <w:u w:val="single"/>
        </w:rPr>
        <w:tab/>
      </w:r>
      <w:r>
        <w:rPr>
          <w:rFonts w:ascii="Times New Roman" w:hAnsi="Times New Roman" w:cs="Times New Roman"/>
          <w:b/>
          <w:bCs/>
          <w:sz w:val="24"/>
          <w:szCs w:val="24"/>
          <w:u w:val="single"/>
        </w:rPr>
        <w:t>____</w:t>
      </w:r>
    </w:p>
    <w:p w:rsidR="00274E75" w:rsidRPr="000F5D78" w:rsidRDefault="001133ED" w:rsidP="003D5CDA">
      <w:pPr>
        <w:spacing w:before="0"/>
        <w:rPr>
          <w:rFonts w:ascii="Times New Roman" w:hAnsi="Times New Roman" w:cs="Times New Roman"/>
          <w:b/>
          <w:bCs/>
          <w:sz w:val="24"/>
          <w:szCs w:val="24"/>
        </w:rPr>
      </w:pPr>
      <w:r>
        <w:rPr>
          <w:rFonts w:ascii="Times New Roman" w:hAnsi="Times New Roman" w:cs="Times New Roman"/>
          <w:b/>
          <w:bCs/>
          <w:sz w:val="24"/>
          <w:szCs w:val="24"/>
        </w:rPr>
        <w:t xml:space="preserve">Technical Update 10-2:  </w:t>
      </w:r>
      <w:r w:rsidR="00274E75" w:rsidRPr="000F5D78">
        <w:rPr>
          <w:rFonts w:ascii="Times New Roman" w:hAnsi="Times New Roman" w:cs="Times New Roman"/>
          <w:b/>
          <w:bCs/>
          <w:sz w:val="24"/>
          <w:szCs w:val="24"/>
        </w:rPr>
        <w:t>Variable Rate Premiums; Alternative Pr</w:t>
      </w:r>
      <w:r w:rsidR="00274E75">
        <w:rPr>
          <w:rFonts w:ascii="Times New Roman" w:hAnsi="Times New Roman" w:cs="Times New Roman"/>
          <w:b/>
          <w:bCs/>
          <w:sz w:val="24"/>
          <w:szCs w:val="24"/>
        </w:rPr>
        <w:t>emium Funding Target Elections</w:t>
      </w:r>
      <w:r w:rsidR="00BD4D25">
        <w:rPr>
          <w:rFonts w:ascii="Times New Roman" w:hAnsi="Times New Roman" w:cs="Times New Roman"/>
          <w:b/>
          <w:bCs/>
          <w:sz w:val="24"/>
          <w:szCs w:val="24"/>
        </w:rPr>
        <w:t>; Box 5 Relief</w:t>
      </w:r>
      <w:r w:rsidR="00274E75" w:rsidRPr="000F5D78">
        <w:rPr>
          <w:rFonts w:ascii="Times New Roman" w:hAnsi="Times New Roman" w:cs="Times New Roman"/>
          <w:b/>
          <w:bCs/>
          <w:sz w:val="24"/>
          <w:szCs w:val="24"/>
        </w:rPr>
        <w:tab/>
      </w:r>
      <w:r w:rsidR="00274E75" w:rsidRPr="000F5D78">
        <w:rPr>
          <w:rFonts w:ascii="Times New Roman" w:hAnsi="Times New Roman" w:cs="Times New Roman"/>
          <w:b/>
          <w:bCs/>
          <w:sz w:val="24"/>
          <w:szCs w:val="24"/>
        </w:rPr>
        <w:tab/>
      </w:r>
      <w:r w:rsidR="00274E75" w:rsidRPr="000F5D78">
        <w:rPr>
          <w:rFonts w:ascii="Times New Roman" w:hAnsi="Times New Roman" w:cs="Times New Roman"/>
          <w:b/>
          <w:bCs/>
          <w:sz w:val="24"/>
          <w:szCs w:val="24"/>
        </w:rPr>
        <w:tab/>
      </w:r>
      <w:r w:rsidR="00274E75" w:rsidRPr="000F5D78">
        <w:rPr>
          <w:rFonts w:ascii="Times New Roman" w:hAnsi="Times New Roman" w:cs="Times New Roman"/>
          <w:b/>
          <w:bCs/>
          <w:sz w:val="24"/>
          <w:szCs w:val="24"/>
        </w:rPr>
        <w:tab/>
      </w:r>
      <w:r w:rsidR="00274E75" w:rsidRPr="000F5D78">
        <w:rPr>
          <w:rFonts w:ascii="Times New Roman" w:hAnsi="Times New Roman" w:cs="Times New Roman"/>
          <w:b/>
          <w:bCs/>
          <w:sz w:val="24"/>
          <w:szCs w:val="24"/>
        </w:rPr>
        <w:tab/>
      </w:r>
      <w:r w:rsidR="00274E75" w:rsidRPr="000F5D78">
        <w:rPr>
          <w:rFonts w:ascii="Times New Roman" w:hAnsi="Times New Roman" w:cs="Times New Roman"/>
          <w:b/>
          <w:bCs/>
          <w:sz w:val="24"/>
          <w:szCs w:val="24"/>
        </w:rPr>
        <w:tab/>
      </w:r>
      <w:r w:rsidR="00274E75" w:rsidRPr="000F5D78">
        <w:rPr>
          <w:rFonts w:ascii="Times New Roman" w:hAnsi="Times New Roman" w:cs="Times New Roman"/>
          <w:b/>
          <w:bCs/>
          <w:sz w:val="24"/>
          <w:szCs w:val="24"/>
        </w:rPr>
        <w:tab/>
      </w:r>
    </w:p>
    <w:p w:rsidR="00E37512" w:rsidRPr="001763E0" w:rsidRDefault="006D38AA" w:rsidP="000F5D78">
      <w:pPr>
        <w:tabs>
          <w:tab w:val="left" w:pos="180"/>
        </w:tabs>
        <w:spacing w:before="100" w:beforeAutospacing="1" w:after="100" w:afterAutospacing="1"/>
        <w:rPr>
          <w:rFonts w:ascii="Times New Roman" w:hAnsi="Times New Roman" w:cs="Times New Roman"/>
          <w:bCs/>
          <w:sz w:val="24"/>
          <w:szCs w:val="24"/>
        </w:rPr>
      </w:pPr>
      <w:r w:rsidRPr="006D38AA">
        <w:rPr>
          <w:rFonts w:ascii="Times New Roman" w:hAnsi="Times New Roman" w:cs="Times New Roman"/>
          <w:bCs/>
          <w:sz w:val="24"/>
          <w:szCs w:val="24"/>
        </w:rPr>
        <w:t xml:space="preserve">This Technical Update provides relief to plans that intended to elect </w:t>
      </w:r>
      <w:r w:rsidR="0035073B">
        <w:rPr>
          <w:rFonts w:ascii="Times New Roman" w:hAnsi="Times New Roman" w:cs="Times New Roman"/>
          <w:bCs/>
          <w:sz w:val="24"/>
          <w:szCs w:val="24"/>
        </w:rPr>
        <w:t xml:space="preserve">to use </w:t>
      </w:r>
      <w:r w:rsidRPr="006D38AA">
        <w:rPr>
          <w:rFonts w:ascii="Times New Roman" w:hAnsi="Times New Roman" w:cs="Times New Roman"/>
          <w:bCs/>
          <w:sz w:val="24"/>
          <w:szCs w:val="24"/>
        </w:rPr>
        <w:t xml:space="preserve">the alternative premium funding target to calculate the variable rate premium </w:t>
      </w:r>
      <w:r w:rsidR="00041540">
        <w:rPr>
          <w:rFonts w:ascii="Times New Roman" w:hAnsi="Times New Roman" w:cs="Times New Roman"/>
          <w:bCs/>
          <w:sz w:val="24"/>
          <w:szCs w:val="24"/>
        </w:rPr>
        <w:t xml:space="preserve">(VRP) </w:t>
      </w:r>
      <w:r w:rsidRPr="006D38AA">
        <w:rPr>
          <w:rFonts w:ascii="Times New Roman" w:hAnsi="Times New Roman" w:cs="Times New Roman"/>
          <w:bCs/>
          <w:sz w:val="24"/>
          <w:szCs w:val="24"/>
        </w:rPr>
        <w:t>but did not check Box 5 on the comprehensive premium filing</w:t>
      </w:r>
      <w:r w:rsidR="001763E0">
        <w:rPr>
          <w:rFonts w:ascii="Times New Roman" w:hAnsi="Times New Roman" w:cs="Times New Roman"/>
          <w:bCs/>
          <w:sz w:val="24"/>
          <w:szCs w:val="24"/>
        </w:rPr>
        <w:t>,</w:t>
      </w:r>
      <w:r w:rsidR="004F7CD5">
        <w:rPr>
          <w:rStyle w:val="FootnoteReference"/>
          <w:rFonts w:ascii="Times New Roman" w:hAnsi="Times New Roman" w:cs="Times New Roman"/>
          <w:sz w:val="24"/>
          <w:szCs w:val="24"/>
        </w:rPr>
        <w:footnoteReference w:id="1"/>
      </w:r>
      <w:r w:rsidR="001763E0">
        <w:rPr>
          <w:rFonts w:ascii="Times New Roman" w:hAnsi="Times New Roman" w:cs="Times New Roman"/>
          <w:bCs/>
          <w:sz w:val="24"/>
          <w:szCs w:val="24"/>
        </w:rPr>
        <w:t xml:space="preserve"> if certain conditions are met</w:t>
      </w:r>
      <w:r w:rsidR="004D1393">
        <w:rPr>
          <w:rFonts w:ascii="Times New Roman" w:hAnsi="Times New Roman" w:cs="Times New Roman"/>
          <w:bCs/>
          <w:sz w:val="24"/>
          <w:szCs w:val="24"/>
        </w:rPr>
        <w:t xml:space="preserve"> and the plan notifies PBGC</w:t>
      </w:r>
      <w:r w:rsidR="00C00629">
        <w:rPr>
          <w:rFonts w:ascii="Times New Roman" w:hAnsi="Times New Roman" w:cs="Times New Roman"/>
          <w:bCs/>
          <w:sz w:val="24"/>
          <w:szCs w:val="24"/>
        </w:rPr>
        <w:t>, as described below</w:t>
      </w:r>
      <w:r w:rsidRPr="006D38AA">
        <w:rPr>
          <w:rFonts w:ascii="Times New Roman" w:hAnsi="Times New Roman" w:cs="Times New Roman"/>
          <w:bCs/>
          <w:sz w:val="24"/>
          <w:szCs w:val="24"/>
        </w:rPr>
        <w:t xml:space="preserve">.   </w:t>
      </w:r>
    </w:p>
    <w:p w:rsidR="00274E75" w:rsidRPr="000F5D78" w:rsidRDefault="00274E75" w:rsidP="000F5D78">
      <w:pPr>
        <w:tabs>
          <w:tab w:val="left" w:pos="180"/>
        </w:tabs>
        <w:spacing w:before="100" w:beforeAutospacing="1" w:after="100" w:afterAutospacing="1"/>
        <w:rPr>
          <w:rFonts w:ascii="Times New Roman" w:hAnsi="Times New Roman" w:cs="Times New Roman"/>
          <w:b/>
          <w:bCs/>
          <w:sz w:val="24"/>
          <w:szCs w:val="24"/>
        </w:rPr>
      </w:pPr>
      <w:r w:rsidRPr="000F5D78">
        <w:rPr>
          <w:rFonts w:ascii="Times New Roman" w:hAnsi="Times New Roman" w:cs="Times New Roman"/>
          <w:b/>
          <w:bCs/>
          <w:sz w:val="24"/>
          <w:szCs w:val="24"/>
        </w:rPr>
        <w:t>I.</w:t>
      </w:r>
      <w:r w:rsidRPr="000F5D78">
        <w:rPr>
          <w:rFonts w:ascii="Times New Roman" w:hAnsi="Times New Roman" w:cs="Times New Roman"/>
          <w:b/>
          <w:bCs/>
          <w:sz w:val="24"/>
          <w:szCs w:val="24"/>
        </w:rPr>
        <w:tab/>
        <w:t xml:space="preserve">  Background </w:t>
      </w:r>
    </w:p>
    <w:p w:rsidR="00274E75" w:rsidRPr="000F5D78" w:rsidRDefault="00274E75" w:rsidP="00281332">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Under PBGC’s </w:t>
      </w:r>
      <w:r w:rsidRPr="000F5D78">
        <w:rPr>
          <w:rFonts w:ascii="Times New Roman" w:hAnsi="Times New Roman" w:cs="Times New Roman"/>
          <w:sz w:val="24"/>
          <w:szCs w:val="24"/>
        </w:rPr>
        <w:t>regulation on Premium Rates (29 CFR part 4006)</w:t>
      </w:r>
      <w:r>
        <w:rPr>
          <w:rFonts w:ascii="Times New Roman" w:hAnsi="Times New Roman" w:cs="Times New Roman"/>
          <w:sz w:val="24"/>
          <w:szCs w:val="24"/>
        </w:rPr>
        <w:t xml:space="preserve">, a plan may elect to use the alternative premium funding target (APFT) to calculate its </w:t>
      </w:r>
      <w:r w:rsidR="00041540">
        <w:rPr>
          <w:rFonts w:ascii="Times New Roman" w:hAnsi="Times New Roman" w:cs="Times New Roman"/>
          <w:sz w:val="24"/>
          <w:szCs w:val="24"/>
        </w:rPr>
        <w:t>VRP</w:t>
      </w:r>
      <w:r w:rsidR="00B05FF5">
        <w:rPr>
          <w:rFonts w:ascii="Times New Roman" w:hAnsi="Times New Roman" w:cs="Times New Roman"/>
          <w:sz w:val="24"/>
          <w:szCs w:val="24"/>
        </w:rPr>
        <w:t xml:space="preserve"> for plan years </w:t>
      </w:r>
      <w:r w:rsidR="00CF6AEB">
        <w:rPr>
          <w:rFonts w:ascii="Times New Roman" w:hAnsi="Times New Roman" w:cs="Times New Roman"/>
          <w:sz w:val="24"/>
          <w:szCs w:val="24"/>
        </w:rPr>
        <w:t>commencing</w:t>
      </w:r>
      <w:r w:rsidR="00B05FF5">
        <w:rPr>
          <w:rFonts w:ascii="Times New Roman" w:hAnsi="Times New Roman" w:cs="Times New Roman"/>
          <w:sz w:val="24"/>
          <w:szCs w:val="24"/>
        </w:rPr>
        <w:t xml:space="preserve"> after 2007</w:t>
      </w:r>
      <w:r>
        <w:rPr>
          <w:rFonts w:ascii="Times New Roman" w:hAnsi="Times New Roman" w:cs="Times New Roman"/>
          <w:sz w:val="24"/>
          <w:szCs w:val="24"/>
        </w:rPr>
        <w:t xml:space="preserve">.  If an election to use the APFT is not in effect, the plan must calculate its variable rate premium using the standard premium funding target (SPFT).  </w:t>
      </w:r>
    </w:p>
    <w:p w:rsidR="00274E75" w:rsidRDefault="00274E75" w:rsidP="000F5D78">
      <w:pPr>
        <w:autoSpaceDE w:val="0"/>
        <w:autoSpaceDN w:val="0"/>
        <w:adjustRightInd w:val="0"/>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w:t>
      </w:r>
      <w:r w:rsidR="00745240">
        <w:rPr>
          <w:rFonts w:ascii="Times New Roman" w:hAnsi="Times New Roman" w:cs="Times New Roman"/>
          <w:sz w:val="24"/>
          <w:szCs w:val="24"/>
        </w:rPr>
        <w:t xml:space="preserve">n election </w:t>
      </w:r>
      <w:r>
        <w:rPr>
          <w:rFonts w:ascii="Times New Roman" w:hAnsi="Times New Roman" w:cs="Times New Roman"/>
          <w:sz w:val="24"/>
          <w:szCs w:val="24"/>
        </w:rPr>
        <w:t xml:space="preserve">to </w:t>
      </w:r>
      <w:r w:rsidRPr="000F5D78">
        <w:rPr>
          <w:rFonts w:ascii="Times New Roman" w:hAnsi="Times New Roman" w:cs="Times New Roman"/>
          <w:sz w:val="24"/>
          <w:szCs w:val="24"/>
        </w:rPr>
        <w:t xml:space="preserve">use the APFT </w:t>
      </w:r>
      <w:r w:rsidR="00745240">
        <w:rPr>
          <w:rFonts w:ascii="Times New Roman" w:hAnsi="Times New Roman" w:cs="Times New Roman"/>
          <w:sz w:val="24"/>
          <w:szCs w:val="24"/>
        </w:rPr>
        <w:t xml:space="preserve">must be made </w:t>
      </w:r>
      <w:r w:rsidRPr="000F5D78">
        <w:rPr>
          <w:rFonts w:ascii="Times New Roman" w:hAnsi="Times New Roman" w:cs="Times New Roman"/>
          <w:sz w:val="24"/>
          <w:szCs w:val="24"/>
        </w:rPr>
        <w:t xml:space="preserve">by the </w:t>
      </w:r>
      <w:r w:rsidR="00041540">
        <w:rPr>
          <w:rFonts w:ascii="Times New Roman" w:hAnsi="Times New Roman" w:cs="Times New Roman"/>
          <w:sz w:val="24"/>
          <w:szCs w:val="24"/>
        </w:rPr>
        <w:t xml:space="preserve">VRP </w:t>
      </w:r>
      <w:r w:rsidR="00543ABB">
        <w:rPr>
          <w:rFonts w:ascii="Times New Roman" w:hAnsi="Times New Roman" w:cs="Times New Roman"/>
          <w:sz w:val="24"/>
          <w:szCs w:val="24"/>
        </w:rPr>
        <w:t xml:space="preserve">due </w:t>
      </w:r>
      <w:r w:rsidRPr="000F5D78">
        <w:rPr>
          <w:rFonts w:ascii="Times New Roman" w:hAnsi="Times New Roman" w:cs="Times New Roman"/>
          <w:sz w:val="24"/>
          <w:szCs w:val="24"/>
        </w:rPr>
        <w:t xml:space="preserve">date </w:t>
      </w:r>
      <w:r>
        <w:rPr>
          <w:rFonts w:ascii="Times New Roman" w:hAnsi="Times New Roman" w:cs="Times New Roman"/>
          <w:sz w:val="24"/>
          <w:szCs w:val="24"/>
        </w:rPr>
        <w:t>for th</w:t>
      </w:r>
      <w:r w:rsidR="00745240">
        <w:rPr>
          <w:rFonts w:ascii="Times New Roman" w:hAnsi="Times New Roman" w:cs="Times New Roman"/>
          <w:sz w:val="24"/>
          <w:szCs w:val="24"/>
        </w:rPr>
        <w:t xml:space="preserve">e first </w:t>
      </w:r>
      <w:r>
        <w:rPr>
          <w:rFonts w:ascii="Times New Roman" w:hAnsi="Times New Roman" w:cs="Times New Roman"/>
          <w:sz w:val="24"/>
          <w:szCs w:val="24"/>
        </w:rPr>
        <w:t xml:space="preserve">plan year </w:t>
      </w:r>
      <w:r w:rsidR="00B05FF5">
        <w:rPr>
          <w:rFonts w:ascii="Times New Roman" w:hAnsi="Times New Roman" w:cs="Times New Roman"/>
          <w:sz w:val="24"/>
          <w:szCs w:val="24"/>
        </w:rPr>
        <w:t xml:space="preserve">to </w:t>
      </w:r>
      <w:r w:rsidR="00745240">
        <w:rPr>
          <w:rFonts w:ascii="Times New Roman" w:hAnsi="Times New Roman" w:cs="Times New Roman"/>
          <w:sz w:val="24"/>
          <w:szCs w:val="24"/>
        </w:rPr>
        <w:t>which the election applies</w:t>
      </w:r>
      <w:r>
        <w:rPr>
          <w:rFonts w:ascii="Times New Roman" w:hAnsi="Times New Roman" w:cs="Times New Roman"/>
          <w:sz w:val="24"/>
          <w:szCs w:val="24"/>
        </w:rPr>
        <w:t xml:space="preserve"> by checking Box 5 </w:t>
      </w:r>
      <w:r w:rsidRPr="000F5D78">
        <w:rPr>
          <w:rFonts w:ascii="Times New Roman" w:hAnsi="Times New Roman" w:cs="Times New Roman"/>
          <w:sz w:val="24"/>
          <w:szCs w:val="24"/>
        </w:rPr>
        <w:t xml:space="preserve">in Part II </w:t>
      </w:r>
      <w:r>
        <w:rPr>
          <w:rFonts w:ascii="Times New Roman" w:hAnsi="Times New Roman" w:cs="Times New Roman"/>
          <w:sz w:val="24"/>
          <w:szCs w:val="24"/>
        </w:rPr>
        <w:t>(</w:t>
      </w:r>
      <w:r w:rsidRPr="007B2599">
        <w:rPr>
          <w:rFonts w:ascii="Times New Roman" w:hAnsi="Times New Roman" w:cs="Times New Roman"/>
          <w:sz w:val="24"/>
          <w:szCs w:val="24"/>
        </w:rPr>
        <w:t>Alternative Premium Funding Target Election</w:t>
      </w:r>
      <w:r>
        <w:rPr>
          <w:rFonts w:ascii="Times New Roman" w:hAnsi="Times New Roman" w:cs="Times New Roman"/>
          <w:sz w:val="24"/>
          <w:szCs w:val="24"/>
        </w:rPr>
        <w:t>)</w:t>
      </w:r>
      <w:r w:rsidRPr="007B2599">
        <w:rPr>
          <w:rFonts w:ascii="Times New Roman" w:hAnsi="Times New Roman" w:cs="Times New Roman"/>
          <w:sz w:val="24"/>
          <w:szCs w:val="24"/>
        </w:rPr>
        <w:t xml:space="preserve"> </w:t>
      </w:r>
      <w:r>
        <w:rPr>
          <w:rFonts w:ascii="Times New Roman" w:hAnsi="Times New Roman" w:cs="Times New Roman"/>
          <w:sz w:val="24"/>
          <w:szCs w:val="24"/>
        </w:rPr>
        <w:t>of the comprehensive premium filing for th</w:t>
      </w:r>
      <w:r w:rsidR="00B05FF5">
        <w:rPr>
          <w:rFonts w:ascii="Times New Roman" w:hAnsi="Times New Roman" w:cs="Times New Roman"/>
          <w:sz w:val="24"/>
          <w:szCs w:val="24"/>
        </w:rPr>
        <w:t>at</w:t>
      </w:r>
      <w:r>
        <w:rPr>
          <w:rFonts w:ascii="Times New Roman" w:hAnsi="Times New Roman" w:cs="Times New Roman"/>
          <w:sz w:val="24"/>
          <w:szCs w:val="24"/>
        </w:rPr>
        <w:t xml:space="preserve"> plan year</w:t>
      </w:r>
      <w:r w:rsidRPr="000F5D78">
        <w:rPr>
          <w:rFonts w:ascii="Times New Roman" w:hAnsi="Times New Roman" w:cs="Times New Roman"/>
          <w:sz w:val="24"/>
          <w:szCs w:val="24"/>
        </w:rPr>
        <w:t xml:space="preserve">.  </w:t>
      </w:r>
      <w:r>
        <w:rPr>
          <w:rFonts w:ascii="Times New Roman" w:hAnsi="Times New Roman" w:cs="Times New Roman"/>
          <w:sz w:val="24"/>
          <w:szCs w:val="24"/>
        </w:rPr>
        <w:t xml:space="preserve">An election to use the APFT </w:t>
      </w:r>
      <w:r w:rsidR="00CC12EA">
        <w:rPr>
          <w:rFonts w:ascii="Times New Roman" w:hAnsi="Times New Roman" w:cs="Times New Roman"/>
          <w:sz w:val="24"/>
          <w:szCs w:val="24"/>
        </w:rPr>
        <w:t xml:space="preserve">must remain in effect for at least </w:t>
      </w:r>
      <w:r w:rsidRPr="000F5D78">
        <w:rPr>
          <w:rFonts w:ascii="Times New Roman" w:hAnsi="Times New Roman" w:cs="Times New Roman"/>
          <w:sz w:val="24"/>
          <w:szCs w:val="24"/>
        </w:rPr>
        <w:t>five years</w:t>
      </w:r>
      <w:r w:rsidR="00543ABB">
        <w:rPr>
          <w:rFonts w:ascii="Times New Roman" w:hAnsi="Times New Roman" w:cs="Times New Roman"/>
          <w:sz w:val="24"/>
          <w:szCs w:val="24"/>
        </w:rPr>
        <w:t xml:space="preserve"> </w:t>
      </w:r>
      <w:r w:rsidR="00652072">
        <w:rPr>
          <w:rFonts w:ascii="Times New Roman" w:hAnsi="Times New Roman" w:cs="Times New Roman"/>
          <w:sz w:val="24"/>
          <w:szCs w:val="24"/>
        </w:rPr>
        <w:t xml:space="preserve">starting with </w:t>
      </w:r>
      <w:r w:rsidR="00543ABB">
        <w:rPr>
          <w:rFonts w:ascii="Times New Roman" w:hAnsi="Times New Roman" w:cs="Times New Roman"/>
          <w:sz w:val="24"/>
          <w:szCs w:val="24"/>
        </w:rPr>
        <w:t xml:space="preserve">the first plan year </w:t>
      </w:r>
      <w:r w:rsidR="00C36C93">
        <w:rPr>
          <w:rFonts w:ascii="Times New Roman" w:hAnsi="Times New Roman" w:cs="Times New Roman"/>
          <w:sz w:val="24"/>
          <w:szCs w:val="24"/>
        </w:rPr>
        <w:t xml:space="preserve">to </w:t>
      </w:r>
      <w:r w:rsidR="00543ABB">
        <w:rPr>
          <w:rFonts w:ascii="Times New Roman" w:hAnsi="Times New Roman" w:cs="Times New Roman"/>
          <w:sz w:val="24"/>
          <w:szCs w:val="24"/>
        </w:rPr>
        <w:t>which the election applies</w:t>
      </w:r>
      <w:r>
        <w:rPr>
          <w:rFonts w:ascii="Times New Roman" w:hAnsi="Times New Roman" w:cs="Times New Roman"/>
          <w:sz w:val="24"/>
          <w:szCs w:val="24"/>
        </w:rPr>
        <w:t xml:space="preserve">.    </w:t>
      </w:r>
    </w:p>
    <w:p w:rsidR="00274E75" w:rsidRDefault="00274E75" w:rsidP="000F5D78">
      <w:pPr>
        <w:autoSpaceDE w:val="0"/>
        <w:autoSpaceDN w:val="0"/>
        <w:adjustRightInd w:val="0"/>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Some plans that </w:t>
      </w:r>
      <w:r w:rsidR="00041540">
        <w:rPr>
          <w:rFonts w:ascii="Times New Roman" w:hAnsi="Times New Roman" w:cs="Times New Roman"/>
          <w:sz w:val="24"/>
          <w:szCs w:val="24"/>
        </w:rPr>
        <w:t xml:space="preserve">used the APFT but </w:t>
      </w:r>
      <w:r w:rsidR="00A93940">
        <w:rPr>
          <w:rFonts w:ascii="Times New Roman" w:hAnsi="Times New Roman" w:cs="Times New Roman"/>
          <w:sz w:val="24"/>
          <w:szCs w:val="24"/>
        </w:rPr>
        <w:t xml:space="preserve">did not check Box 5 have told PBGC </w:t>
      </w:r>
      <w:r w:rsidR="00C36C93">
        <w:rPr>
          <w:rFonts w:ascii="Times New Roman" w:hAnsi="Times New Roman" w:cs="Times New Roman"/>
          <w:sz w:val="24"/>
          <w:szCs w:val="24"/>
        </w:rPr>
        <w:t xml:space="preserve">that </w:t>
      </w:r>
      <w:r>
        <w:rPr>
          <w:rFonts w:ascii="Times New Roman" w:hAnsi="Times New Roman" w:cs="Times New Roman"/>
          <w:sz w:val="24"/>
          <w:szCs w:val="24"/>
        </w:rPr>
        <w:t xml:space="preserve">they intended to elect </w:t>
      </w:r>
      <w:r w:rsidR="00A93940">
        <w:rPr>
          <w:rFonts w:ascii="Times New Roman" w:hAnsi="Times New Roman" w:cs="Times New Roman"/>
          <w:sz w:val="24"/>
          <w:szCs w:val="24"/>
        </w:rPr>
        <w:t xml:space="preserve">to use </w:t>
      </w:r>
      <w:r>
        <w:rPr>
          <w:rFonts w:ascii="Times New Roman" w:hAnsi="Times New Roman" w:cs="Times New Roman"/>
          <w:sz w:val="24"/>
          <w:szCs w:val="24"/>
        </w:rPr>
        <w:t>the APFT</w:t>
      </w:r>
      <w:r w:rsidR="00C36C93">
        <w:rPr>
          <w:rFonts w:ascii="Times New Roman" w:hAnsi="Times New Roman" w:cs="Times New Roman"/>
          <w:sz w:val="24"/>
          <w:szCs w:val="24"/>
        </w:rPr>
        <w:t xml:space="preserve"> and that </w:t>
      </w:r>
      <w:r w:rsidR="00745240">
        <w:rPr>
          <w:rFonts w:ascii="Times New Roman" w:hAnsi="Times New Roman" w:cs="Times New Roman"/>
          <w:sz w:val="24"/>
          <w:szCs w:val="24"/>
        </w:rPr>
        <w:t xml:space="preserve">PBGC </w:t>
      </w:r>
      <w:r w:rsidR="00C36C93">
        <w:rPr>
          <w:rFonts w:ascii="Times New Roman" w:hAnsi="Times New Roman" w:cs="Times New Roman"/>
          <w:sz w:val="24"/>
          <w:szCs w:val="24"/>
        </w:rPr>
        <w:t xml:space="preserve">should treat them </w:t>
      </w:r>
      <w:r w:rsidR="00041540">
        <w:rPr>
          <w:rFonts w:ascii="Times New Roman" w:hAnsi="Times New Roman" w:cs="Times New Roman"/>
          <w:sz w:val="24"/>
          <w:szCs w:val="24"/>
        </w:rPr>
        <w:t xml:space="preserve">as having </w:t>
      </w:r>
      <w:r w:rsidR="00C36C93">
        <w:rPr>
          <w:rFonts w:ascii="Times New Roman" w:hAnsi="Times New Roman" w:cs="Times New Roman"/>
          <w:sz w:val="24"/>
          <w:szCs w:val="24"/>
        </w:rPr>
        <w:t>done so</w:t>
      </w:r>
      <w:r>
        <w:rPr>
          <w:rFonts w:ascii="Times New Roman" w:hAnsi="Times New Roman" w:cs="Times New Roman"/>
          <w:sz w:val="24"/>
          <w:szCs w:val="24"/>
        </w:rPr>
        <w:t xml:space="preserve">.  </w:t>
      </w:r>
      <w:r w:rsidRPr="000F5D78">
        <w:rPr>
          <w:rFonts w:ascii="Times New Roman" w:hAnsi="Times New Roman" w:cs="Times New Roman"/>
          <w:sz w:val="24"/>
          <w:szCs w:val="24"/>
        </w:rPr>
        <w:t xml:space="preserve">PBGC </w:t>
      </w:r>
      <w:r>
        <w:rPr>
          <w:rFonts w:ascii="Times New Roman" w:hAnsi="Times New Roman" w:cs="Times New Roman"/>
          <w:sz w:val="24"/>
          <w:szCs w:val="24"/>
        </w:rPr>
        <w:t xml:space="preserve">is </w:t>
      </w:r>
      <w:r w:rsidR="00C36C93">
        <w:rPr>
          <w:rFonts w:ascii="Times New Roman" w:hAnsi="Times New Roman" w:cs="Times New Roman"/>
          <w:sz w:val="24"/>
          <w:szCs w:val="24"/>
        </w:rPr>
        <w:t xml:space="preserve">making </w:t>
      </w:r>
      <w:r>
        <w:rPr>
          <w:rFonts w:ascii="Times New Roman" w:hAnsi="Times New Roman" w:cs="Times New Roman"/>
          <w:sz w:val="24"/>
          <w:szCs w:val="24"/>
        </w:rPr>
        <w:t>relief</w:t>
      </w:r>
      <w:r w:rsidR="00C36C93">
        <w:rPr>
          <w:rFonts w:ascii="Times New Roman" w:hAnsi="Times New Roman" w:cs="Times New Roman"/>
          <w:sz w:val="24"/>
          <w:szCs w:val="24"/>
        </w:rPr>
        <w:t xml:space="preserve"> available to such plans.  Under this Technical Update, </w:t>
      </w:r>
      <w:r>
        <w:rPr>
          <w:rFonts w:ascii="Times New Roman" w:hAnsi="Times New Roman" w:cs="Times New Roman"/>
          <w:sz w:val="24"/>
          <w:szCs w:val="24"/>
        </w:rPr>
        <w:t xml:space="preserve">a plan that intended to </w:t>
      </w:r>
      <w:r w:rsidR="00A93940">
        <w:rPr>
          <w:rFonts w:ascii="Times New Roman" w:hAnsi="Times New Roman" w:cs="Times New Roman"/>
          <w:sz w:val="24"/>
          <w:szCs w:val="24"/>
        </w:rPr>
        <w:t xml:space="preserve">elect to </w:t>
      </w:r>
      <w:r>
        <w:rPr>
          <w:rFonts w:ascii="Times New Roman" w:hAnsi="Times New Roman" w:cs="Times New Roman"/>
          <w:sz w:val="24"/>
          <w:szCs w:val="24"/>
        </w:rPr>
        <w:t xml:space="preserve">use the APFT </w:t>
      </w:r>
      <w:r w:rsidR="000A2D31">
        <w:rPr>
          <w:rFonts w:ascii="Times New Roman" w:hAnsi="Times New Roman" w:cs="Times New Roman"/>
          <w:sz w:val="24"/>
          <w:szCs w:val="24"/>
        </w:rPr>
        <w:t xml:space="preserve">will be deemed </w:t>
      </w:r>
      <w:r>
        <w:rPr>
          <w:rFonts w:ascii="Times New Roman" w:hAnsi="Times New Roman" w:cs="Times New Roman"/>
          <w:sz w:val="24"/>
          <w:szCs w:val="24"/>
        </w:rPr>
        <w:t>to have made a valid election</w:t>
      </w:r>
      <w:r w:rsidRPr="000F5D78">
        <w:rPr>
          <w:rFonts w:ascii="Times New Roman" w:hAnsi="Times New Roman" w:cs="Times New Roman"/>
          <w:sz w:val="24"/>
          <w:szCs w:val="24"/>
        </w:rPr>
        <w:t xml:space="preserve"> </w:t>
      </w:r>
      <w:r>
        <w:rPr>
          <w:rFonts w:ascii="Times New Roman" w:hAnsi="Times New Roman" w:cs="Times New Roman"/>
          <w:sz w:val="24"/>
          <w:szCs w:val="24"/>
        </w:rPr>
        <w:t xml:space="preserve">if certain conditions are met </w:t>
      </w:r>
      <w:r w:rsidR="00C00629">
        <w:rPr>
          <w:rFonts w:ascii="Times New Roman" w:hAnsi="Times New Roman" w:cs="Times New Roman"/>
          <w:sz w:val="24"/>
          <w:szCs w:val="24"/>
        </w:rPr>
        <w:t xml:space="preserve">and the plan notifies PBGC, </w:t>
      </w:r>
      <w:r>
        <w:rPr>
          <w:rFonts w:ascii="Times New Roman" w:hAnsi="Times New Roman" w:cs="Times New Roman"/>
          <w:sz w:val="24"/>
          <w:szCs w:val="24"/>
        </w:rPr>
        <w:t>as described below</w:t>
      </w:r>
      <w:r w:rsidRPr="000F5D78">
        <w:rPr>
          <w:rFonts w:ascii="Times New Roman" w:hAnsi="Times New Roman" w:cs="Times New Roman"/>
          <w:sz w:val="24"/>
          <w:szCs w:val="24"/>
        </w:rPr>
        <w:t xml:space="preserve">.  </w:t>
      </w:r>
    </w:p>
    <w:p w:rsidR="00274E75" w:rsidRPr="000F5D78" w:rsidRDefault="00274E75" w:rsidP="003D5CDA">
      <w:pPr>
        <w:keepNext/>
        <w:spacing w:before="100" w:beforeAutospacing="1" w:after="100" w:afterAutospacing="1"/>
        <w:rPr>
          <w:rFonts w:ascii="Times New Roman" w:hAnsi="Times New Roman" w:cs="Times New Roman"/>
          <w:b/>
          <w:bCs/>
          <w:sz w:val="24"/>
          <w:szCs w:val="24"/>
        </w:rPr>
      </w:pPr>
      <w:r w:rsidRPr="000F5D78">
        <w:rPr>
          <w:rFonts w:ascii="Times New Roman" w:hAnsi="Times New Roman" w:cs="Times New Roman"/>
          <w:b/>
          <w:bCs/>
          <w:sz w:val="24"/>
          <w:szCs w:val="24"/>
        </w:rPr>
        <w:t>II. Relief</w:t>
      </w:r>
    </w:p>
    <w:p w:rsidR="00F66F63" w:rsidRDefault="00F66F63" w:rsidP="00F66F63">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For purposes of this Technical Update, an applicable plan year is –</w:t>
      </w:r>
    </w:p>
    <w:p w:rsidR="00F66F63" w:rsidRPr="00BE21ED" w:rsidRDefault="00F66F63" w:rsidP="00F66F63">
      <w:pPr>
        <w:pStyle w:val="ListParagraph"/>
        <w:numPr>
          <w:ilvl w:val="0"/>
          <w:numId w:val="6"/>
        </w:numPr>
        <w:spacing w:before="100" w:beforeAutospacing="1" w:after="100" w:afterAutospacing="1"/>
        <w:rPr>
          <w:rFonts w:ascii="Times New Roman" w:hAnsi="Times New Roman" w:cs="Times New Roman"/>
          <w:sz w:val="24"/>
          <w:szCs w:val="24"/>
        </w:rPr>
      </w:pPr>
      <w:r w:rsidRPr="00BE21ED">
        <w:rPr>
          <w:rFonts w:ascii="Times New Roman" w:hAnsi="Times New Roman" w:cs="Times New Roman"/>
          <w:sz w:val="24"/>
          <w:szCs w:val="24"/>
        </w:rPr>
        <w:t xml:space="preserve">A plan year commencing in 2008, or </w:t>
      </w:r>
    </w:p>
    <w:p w:rsidR="00F66F63" w:rsidRPr="00BE21ED" w:rsidRDefault="00F66F63" w:rsidP="00F66F63">
      <w:pPr>
        <w:pStyle w:val="ListParagraph"/>
        <w:numPr>
          <w:ilvl w:val="0"/>
          <w:numId w:val="6"/>
        </w:numPr>
        <w:spacing w:before="100" w:beforeAutospacing="1" w:after="100" w:afterAutospacing="1"/>
        <w:rPr>
          <w:rFonts w:ascii="Times New Roman" w:hAnsi="Times New Roman" w:cs="Times New Roman"/>
          <w:sz w:val="24"/>
          <w:szCs w:val="24"/>
        </w:rPr>
      </w:pPr>
      <w:r w:rsidRPr="00BE21ED">
        <w:rPr>
          <w:rFonts w:ascii="Times New Roman" w:hAnsi="Times New Roman" w:cs="Times New Roman"/>
          <w:sz w:val="24"/>
          <w:szCs w:val="24"/>
        </w:rPr>
        <w:t xml:space="preserve">A plan year commencing in 2009, </w:t>
      </w:r>
      <w:r w:rsidR="00C36C93">
        <w:rPr>
          <w:rFonts w:ascii="Times New Roman" w:hAnsi="Times New Roman" w:cs="Times New Roman"/>
          <w:sz w:val="24"/>
          <w:szCs w:val="24"/>
        </w:rPr>
        <w:t xml:space="preserve">but only for a plan whose </w:t>
      </w:r>
      <w:r w:rsidRPr="00BE21ED">
        <w:rPr>
          <w:rFonts w:ascii="Times New Roman" w:hAnsi="Times New Roman" w:cs="Times New Roman"/>
          <w:sz w:val="24"/>
          <w:szCs w:val="24"/>
        </w:rPr>
        <w:t xml:space="preserve">comprehensive premium filing </w:t>
      </w:r>
      <w:r w:rsidR="00C36C93">
        <w:rPr>
          <w:rFonts w:ascii="Times New Roman" w:hAnsi="Times New Roman" w:cs="Times New Roman"/>
          <w:sz w:val="24"/>
          <w:szCs w:val="24"/>
        </w:rPr>
        <w:t xml:space="preserve">for that plan year </w:t>
      </w:r>
      <w:r w:rsidRPr="00BE21ED">
        <w:rPr>
          <w:rFonts w:ascii="Times New Roman" w:hAnsi="Times New Roman" w:cs="Times New Roman"/>
          <w:sz w:val="24"/>
          <w:szCs w:val="24"/>
        </w:rPr>
        <w:t xml:space="preserve">is due on or before July 15, 2010.  </w:t>
      </w:r>
    </w:p>
    <w:p w:rsidR="00274E75" w:rsidRPr="000F5D78" w:rsidRDefault="00274E75" w:rsidP="000F5D78">
      <w:pPr>
        <w:spacing w:before="100" w:beforeAutospacing="1" w:after="100" w:afterAutospacing="1"/>
        <w:rPr>
          <w:rFonts w:ascii="Times New Roman" w:hAnsi="Times New Roman" w:cs="Times New Roman"/>
          <w:sz w:val="24"/>
          <w:szCs w:val="24"/>
        </w:rPr>
      </w:pPr>
      <w:r w:rsidRPr="000F5D78">
        <w:rPr>
          <w:rFonts w:ascii="Times New Roman" w:hAnsi="Times New Roman" w:cs="Times New Roman"/>
          <w:sz w:val="24"/>
          <w:szCs w:val="24"/>
        </w:rPr>
        <w:lastRenderedPageBreak/>
        <w:t xml:space="preserve">PBGC will provide relief to a plan that intended to elect </w:t>
      </w:r>
      <w:r w:rsidR="00A93940">
        <w:rPr>
          <w:rFonts w:ascii="Times New Roman" w:hAnsi="Times New Roman" w:cs="Times New Roman"/>
          <w:sz w:val="24"/>
          <w:szCs w:val="24"/>
        </w:rPr>
        <w:t xml:space="preserve">to use </w:t>
      </w:r>
      <w:r w:rsidRPr="000F5D78">
        <w:rPr>
          <w:rFonts w:ascii="Times New Roman" w:hAnsi="Times New Roman" w:cs="Times New Roman"/>
          <w:sz w:val="24"/>
          <w:szCs w:val="24"/>
        </w:rPr>
        <w:t xml:space="preserve">the </w:t>
      </w:r>
      <w:r>
        <w:rPr>
          <w:rFonts w:ascii="Times New Roman" w:hAnsi="Times New Roman" w:cs="Times New Roman"/>
          <w:sz w:val="24"/>
          <w:szCs w:val="24"/>
        </w:rPr>
        <w:t>APFT for a</w:t>
      </w:r>
      <w:r w:rsidR="00BE21ED">
        <w:rPr>
          <w:rFonts w:ascii="Times New Roman" w:hAnsi="Times New Roman" w:cs="Times New Roman"/>
          <w:sz w:val="24"/>
          <w:szCs w:val="24"/>
        </w:rPr>
        <w:t>n applicable plan year</w:t>
      </w:r>
      <w:r w:rsidR="00A27234">
        <w:rPr>
          <w:rFonts w:ascii="Times New Roman" w:hAnsi="Times New Roman" w:cs="Times New Roman"/>
          <w:sz w:val="24"/>
          <w:szCs w:val="24"/>
        </w:rPr>
        <w:t>,</w:t>
      </w:r>
      <w:r w:rsidR="00BE21ED">
        <w:rPr>
          <w:rFonts w:ascii="Times New Roman" w:hAnsi="Times New Roman" w:cs="Times New Roman"/>
          <w:sz w:val="24"/>
          <w:szCs w:val="24"/>
        </w:rPr>
        <w:t xml:space="preserve"> </w:t>
      </w:r>
      <w:r w:rsidR="001D41F0">
        <w:rPr>
          <w:rFonts w:ascii="Times New Roman" w:hAnsi="Times New Roman" w:cs="Times New Roman"/>
          <w:sz w:val="24"/>
          <w:szCs w:val="24"/>
        </w:rPr>
        <w:t xml:space="preserve">even though </w:t>
      </w:r>
      <w:r w:rsidRPr="000F5D78">
        <w:rPr>
          <w:rFonts w:ascii="Times New Roman" w:hAnsi="Times New Roman" w:cs="Times New Roman"/>
          <w:sz w:val="24"/>
          <w:szCs w:val="24"/>
        </w:rPr>
        <w:t xml:space="preserve">Box 5 </w:t>
      </w:r>
      <w:r w:rsidR="001D41F0">
        <w:rPr>
          <w:rFonts w:ascii="Times New Roman" w:hAnsi="Times New Roman" w:cs="Times New Roman"/>
          <w:sz w:val="24"/>
          <w:szCs w:val="24"/>
        </w:rPr>
        <w:t xml:space="preserve">on the comprehensive premium filing </w:t>
      </w:r>
      <w:r w:rsidR="00D2745D">
        <w:rPr>
          <w:rFonts w:ascii="Times New Roman" w:hAnsi="Times New Roman" w:cs="Times New Roman"/>
          <w:sz w:val="24"/>
          <w:szCs w:val="24"/>
        </w:rPr>
        <w:t xml:space="preserve">for the applicable plan year </w:t>
      </w:r>
      <w:r w:rsidR="001D41F0">
        <w:rPr>
          <w:rFonts w:ascii="Times New Roman" w:hAnsi="Times New Roman" w:cs="Times New Roman"/>
          <w:sz w:val="24"/>
          <w:szCs w:val="24"/>
        </w:rPr>
        <w:t xml:space="preserve">was not checked </w:t>
      </w:r>
      <w:r w:rsidRPr="000F5D78">
        <w:rPr>
          <w:rFonts w:ascii="Times New Roman" w:hAnsi="Times New Roman" w:cs="Times New Roman"/>
          <w:sz w:val="24"/>
          <w:szCs w:val="24"/>
        </w:rPr>
        <w:t xml:space="preserve">if, for </w:t>
      </w:r>
      <w:r>
        <w:rPr>
          <w:rFonts w:ascii="Times New Roman" w:hAnsi="Times New Roman" w:cs="Times New Roman"/>
          <w:sz w:val="24"/>
          <w:szCs w:val="24"/>
        </w:rPr>
        <w:t>th</w:t>
      </w:r>
      <w:r w:rsidR="00D2745D">
        <w:rPr>
          <w:rFonts w:ascii="Times New Roman" w:hAnsi="Times New Roman" w:cs="Times New Roman"/>
          <w:sz w:val="24"/>
          <w:szCs w:val="24"/>
        </w:rPr>
        <w:t>e applicable</w:t>
      </w:r>
      <w:r w:rsidRPr="000F5D78">
        <w:rPr>
          <w:rFonts w:ascii="Times New Roman" w:hAnsi="Times New Roman" w:cs="Times New Roman"/>
          <w:sz w:val="24"/>
          <w:szCs w:val="24"/>
        </w:rPr>
        <w:t xml:space="preserve"> plan year </w:t>
      </w:r>
      <w:r w:rsidR="00A27234">
        <w:rPr>
          <w:rFonts w:ascii="Times New Roman" w:hAnsi="Times New Roman" w:cs="Times New Roman"/>
          <w:sz w:val="24"/>
          <w:szCs w:val="24"/>
        </w:rPr>
        <w:t>–</w:t>
      </w:r>
      <w:r w:rsidRPr="000F5D78">
        <w:rPr>
          <w:rFonts w:ascii="Times New Roman" w:hAnsi="Times New Roman" w:cs="Times New Roman"/>
          <w:sz w:val="24"/>
          <w:szCs w:val="24"/>
        </w:rPr>
        <w:t xml:space="preserve"> </w:t>
      </w:r>
    </w:p>
    <w:p w:rsidR="00274E75" w:rsidRPr="000F5D78" w:rsidRDefault="00274E75" w:rsidP="000F5D78">
      <w:pPr>
        <w:numPr>
          <w:ilvl w:val="0"/>
          <w:numId w:val="4"/>
        </w:numPr>
        <w:spacing w:before="100" w:beforeAutospacing="1" w:after="100" w:afterAutospacing="1"/>
        <w:rPr>
          <w:rFonts w:ascii="Times New Roman" w:hAnsi="Times New Roman" w:cs="Times New Roman"/>
          <w:sz w:val="24"/>
          <w:szCs w:val="24"/>
        </w:rPr>
      </w:pPr>
      <w:r w:rsidRPr="000F5D78">
        <w:rPr>
          <w:rFonts w:ascii="Times New Roman" w:hAnsi="Times New Roman" w:cs="Times New Roman"/>
          <w:sz w:val="24"/>
          <w:szCs w:val="24"/>
        </w:rPr>
        <w:t xml:space="preserve">The comprehensive premium </w:t>
      </w:r>
      <w:r w:rsidR="00745240">
        <w:rPr>
          <w:rFonts w:ascii="Times New Roman" w:hAnsi="Times New Roman" w:cs="Times New Roman"/>
          <w:sz w:val="24"/>
          <w:szCs w:val="24"/>
        </w:rPr>
        <w:t xml:space="preserve">filing </w:t>
      </w:r>
      <w:r>
        <w:rPr>
          <w:rFonts w:ascii="Times New Roman" w:hAnsi="Times New Roman" w:cs="Times New Roman"/>
          <w:sz w:val="24"/>
          <w:szCs w:val="24"/>
        </w:rPr>
        <w:t xml:space="preserve">was </w:t>
      </w:r>
      <w:r w:rsidR="00543ABB">
        <w:rPr>
          <w:rFonts w:ascii="Times New Roman" w:hAnsi="Times New Roman" w:cs="Times New Roman"/>
          <w:sz w:val="24"/>
          <w:szCs w:val="24"/>
        </w:rPr>
        <w:t xml:space="preserve">made </w:t>
      </w:r>
      <w:r w:rsidR="00216AA0">
        <w:rPr>
          <w:rFonts w:ascii="Times New Roman" w:hAnsi="Times New Roman" w:cs="Times New Roman"/>
          <w:sz w:val="24"/>
          <w:szCs w:val="24"/>
        </w:rPr>
        <w:t xml:space="preserve">on </w:t>
      </w:r>
      <w:r w:rsidRPr="000F5D78">
        <w:rPr>
          <w:rFonts w:ascii="Times New Roman" w:hAnsi="Times New Roman" w:cs="Times New Roman"/>
          <w:sz w:val="24"/>
          <w:szCs w:val="24"/>
        </w:rPr>
        <w:t>time,</w:t>
      </w:r>
    </w:p>
    <w:p w:rsidR="00274E75" w:rsidRPr="000F5D78" w:rsidRDefault="00274E75" w:rsidP="000F5D78">
      <w:pPr>
        <w:numPr>
          <w:ilvl w:val="0"/>
          <w:numId w:val="4"/>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T</w:t>
      </w:r>
      <w:r w:rsidRPr="000F5D78">
        <w:rPr>
          <w:rFonts w:ascii="Times New Roman" w:hAnsi="Times New Roman" w:cs="Times New Roman"/>
          <w:sz w:val="24"/>
          <w:szCs w:val="24"/>
        </w:rPr>
        <w:t xml:space="preserve">he APFT </w:t>
      </w:r>
      <w:r>
        <w:rPr>
          <w:rFonts w:ascii="Times New Roman" w:hAnsi="Times New Roman" w:cs="Times New Roman"/>
          <w:sz w:val="24"/>
          <w:szCs w:val="24"/>
        </w:rPr>
        <w:t xml:space="preserve">was used </w:t>
      </w:r>
      <w:r w:rsidRPr="000F5D78">
        <w:rPr>
          <w:rFonts w:ascii="Times New Roman" w:hAnsi="Times New Roman" w:cs="Times New Roman"/>
          <w:sz w:val="24"/>
          <w:szCs w:val="24"/>
        </w:rPr>
        <w:t xml:space="preserve">to determine the </w:t>
      </w:r>
      <w:r>
        <w:rPr>
          <w:rFonts w:ascii="Times New Roman" w:hAnsi="Times New Roman" w:cs="Times New Roman"/>
          <w:sz w:val="24"/>
          <w:szCs w:val="24"/>
        </w:rPr>
        <w:t xml:space="preserve">plan’s </w:t>
      </w:r>
      <w:r w:rsidR="00041540">
        <w:rPr>
          <w:rFonts w:ascii="Times New Roman" w:hAnsi="Times New Roman" w:cs="Times New Roman"/>
          <w:sz w:val="24"/>
          <w:szCs w:val="24"/>
        </w:rPr>
        <w:t>VRP</w:t>
      </w:r>
      <w:r w:rsidRPr="000F5D78">
        <w:rPr>
          <w:rFonts w:ascii="Times New Roman" w:hAnsi="Times New Roman" w:cs="Times New Roman"/>
          <w:sz w:val="24"/>
          <w:szCs w:val="24"/>
        </w:rPr>
        <w:t>,</w:t>
      </w:r>
      <w:r w:rsidRPr="000F5D78">
        <w:rPr>
          <w:rStyle w:val="FootnoteReference"/>
          <w:rFonts w:ascii="Times New Roman" w:hAnsi="Times New Roman" w:cs="Times New Roman"/>
          <w:sz w:val="24"/>
          <w:szCs w:val="24"/>
        </w:rPr>
        <w:footnoteReference w:id="2"/>
      </w:r>
      <w:r w:rsidRPr="000F5D78">
        <w:rPr>
          <w:rFonts w:ascii="Times New Roman" w:hAnsi="Times New Roman" w:cs="Times New Roman"/>
          <w:sz w:val="24"/>
          <w:szCs w:val="24"/>
        </w:rPr>
        <w:t xml:space="preserve"> and</w:t>
      </w:r>
    </w:p>
    <w:p w:rsidR="00274E75" w:rsidRPr="000F5D78" w:rsidRDefault="00274E75" w:rsidP="000F5D78">
      <w:pPr>
        <w:numPr>
          <w:ilvl w:val="0"/>
          <w:numId w:val="4"/>
        </w:numPr>
        <w:spacing w:before="100" w:beforeAutospacing="1" w:after="100" w:afterAutospacing="1"/>
        <w:rPr>
          <w:rFonts w:ascii="Times New Roman" w:hAnsi="Times New Roman" w:cs="Times New Roman"/>
          <w:sz w:val="24"/>
          <w:szCs w:val="24"/>
        </w:rPr>
      </w:pPr>
      <w:r w:rsidRPr="000F5D78">
        <w:rPr>
          <w:rFonts w:ascii="Times New Roman" w:hAnsi="Times New Roman" w:cs="Times New Roman"/>
          <w:sz w:val="24"/>
          <w:szCs w:val="24"/>
        </w:rPr>
        <w:t xml:space="preserve">“Alternative” was checked in line 7d(1) </w:t>
      </w:r>
      <w:r>
        <w:rPr>
          <w:rFonts w:ascii="Times New Roman" w:hAnsi="Times New Roman" w:cs="Times New Roman"/>
          <w:sz w:val="24"/>
          <w:szCs w:val="24"/>
        </w:rPr>
        <w:t>of Part III (</w:t>
      </w:r>
      <w:r w:rsidRPr="007B2599">
        <w:rPr>
          <w:rFonts w:ascii="Times New Roman" w:hAnsi="Times New Roman" w:cs="Times New Roman"/>
          <w:sz w:val="24"/>
          <w:szCs w:val="24"/>
        </w:rPr>
        <w:t>Premium Information</w:t>
      </w:r>
      <w:r>
        <w:rPr>
          <w:rFonts w:ascii="Times New Roman" w:hAnsi="Times New Roman" w:cs="Times New Roman"/>
          <w:sz w:val="24"/>
          <w:szCs w:val="24"/>
        </w:rPr>
        <w:t>)</w:t>
      </w:r>
      <w:r w:rsidRPr="007B2599">
        <w:rPr>
          <w:rFonts w:ascii="Times New Roman" w:hAnsi="Times New Roman" w:cs="Times New Roman"/>
          <w:sz w:val="24"/>
          <w:szCs w:val="24"/>
        </w:rPr>
        <w:t xml:space="preserve"> </w:t>
      </w:r>
      <w:r w:rsidRPr="000F5D78">
        <w:rPr>
          <w:rFonts w:ascii="Times New Roman" w:hAnsi="Times New Roman" w:cs="Times New Roman"/>
          <w:sz w:val="24"/>
          <w:szCs w:val="24"/>
        </w:rPr>
        <w:t>of the comprehensive premium filing.</w:t>
      </w:r>
    </w:p>
    <w:p w:rsidR="0042120A" w:rsidRDefault="00274E75" w:rsidP="000F5D78">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If these conditions are met and the plan notifies PBGC as described</w:t>
      </w:r>
      <w:r w:rsidR="00BE21ED">
        <w:rPr>
          <w:rFonts w:ascii="Times New Roman" w:hAnsi="Times New Roman" w:cs="Times New Roman"/>
          <w:sz w:val="24"/>
          <w:szCs w:val="24"/>
        </w:rPr>
        <w:t xml:space="preserve"> </w:t>
      </w:r>
      <w:r>
        <w:rPr>
          <w:rFonts w:ascii="Times New Roman" w:hAnsi="Times New Roman" w:cs="Times New Roman"/>
          <w:sz w:val="24"/>
          <w:szCs w:val="24"/>
        </w:rPr>
        <w:t xml:space="preserve">below, </w:t>
      </w:r>
      <w:r w:rsidR="000253FF">
        <w:rPr>
          <w:rFonts w:ascii="Times New Roman" w:hAnsi="Times New Roman" w:cs="Times New Roman"/>
          <w:sz w:val="24"/>
          <w:szCs w:val="24"/>
        </w:rPr>
        <w:t xml:space="preserve">then upon notification from </w:t>
      </w:r>
      <w:r>
        <w:rPr>
          <w:rFonts w:ascii="Times New Roman" w:hAnsi="Times New Roman" w:cs="Times New Roman"/>
          <w:sz w:val="24"/>
          <w:szCs w:val="24"/>
        </w:rPr>
        <w:t xml:space="preserve">PBGC </w:t>
      </w:r>
      <w:r w:rsidR="000253FF">
        <w:rPr>
          <w:rFonts w:ascii="Times New Roman" w:hAnsi="Times New Roman" w:cs="Times New Roman"/>
          <w:sz w:val="24"/>
          <w:szCs w:val="24"/>
        </w:rPr>
        <w:t xml:space="preserve">as described below, the plan </w:t>
      </w:r>
      <w:r>
        <w:rPr>
          <w:rFonts w:ascii="Times New Roman" w:hAnsi="Times New Roman" w:cs="Times New Roman"/>
          <w:sz w:val="24"/>
          <w:szCs w:val="24"/>
        </w:rPr>
        <w:t xml:space="preserve">will </w:t>
      </w:r>
      <w:r w:rsidR="000253FF">
        <w:rPr>
          <w:rFonts w:ascii="Times New Roman" w:hAnsi="Times New Roman" w:cs="Times New Roman"/>
          <w:sz w:val="24"/>
          <w:szCs w:val="24"/>
        </w:rPr>
        <w:t xml:space="preserve">be </w:t>
      </w:r>
      <w:r>
        <w:rPr>
          <w:rFonts w:ascii="Times New Roman" w:hAnsi="Times New Roman" w:cs="Times New Roman"/>
          <w:sz w:val="24"/>
          <w:szCs w:val="24"/>
        </w:rPr>
        <w:t>deem</w:t>
      </w:r>
      <w:r w:rsidR="000253FF">
        <w:rPr>
          <w:rFonts w:ascii="Times New Roman" w:hAnsi="Times New Roman" w:cs="Times New Roman"/>
          <w:sz w:val="24"/>
          <w:szCs w:val="24"/>
        </w:rPr>
        <w:t>ed</w:t>
      </w:r>
      <w:r>
        <w:rPr>
          <w:rFonts w:ascii="Times New Roman" w:hAnsi="Times New Roman" w:cs="Times New Roman"/>
          <w:sz w:val="24"/>
          <w:szCs w:val="24"/>
        </w:rPr>
        <w:t xml:space="preserve"> </w:t>
      </w:r>
      <w:r w:rsidRPr="000F5D78">
        <w:rPr>
          <w:rFonts w:ascii="Times New Roman" w:hAnsi="Times New Roman" w:cs="Times New Roman"/>
          <w:sz w:val="24"/>
          <w:szCs w:val="24"/>
        </w:rPr>
        <w:t>to have made a valid election</w:t>
      </w:r>
      <w:r>
        <w:rPr>
          <w:rFonts w:ascii="Times New Roman" w:hAnsi="Times New Roman" w:cs="Times New Roman"/>
          <w:sz w:val="24"/>
          <w:szCs w:val="24"/>
        </w:rPr>
        <w:t xml:space="preserve"> to use the APFT</w:t>
      </w:r>
      <w:r w:rsidR="00652072">
        <w:rPr>
          <w:rFonts w:ascii="Times New Roman" w:hAnsi="Times New Roman" w:cs="Times New Roman"/>
          <w:sz w:val="24"/>
          <w:szCs w:val="24"/>
        </w:rPr>
        <w:t>,</w:t>
      </w:r>
      <w:r>
        <w:rPr>
          <w:rFonts w:ascii="Times New Roman" w:hAnsi="Times New Roman" w:cs="Times New Roman"/>
          <w:sz w:val="24"/>
          <w:szCs w:val="24"/>
        </w:rPr>
        <w:t xml:space="preserve"> first effective </w:t>
      </w:r>
      <w:r w:rsidR="003E07BF">
        <w:rPr>
          <w:rFonts w:ascii="Times New Roman" w:hAnsi="Times New Roman" w:cs="Times New Roman"/>
          <w:sz w:val="24"/>
          <w:szCs w:val="24"/>
        </w:rPr>
        <w:t xml:space="preserve">for </w:t>
      </w:r>
      <w:r>
        <w:rPr>
          <w:rFonts w:ascii="Times New Roman" w:hAnsi="Times New Roman" w:cs="Times New Roman"/>
          <w:sz w:val="24"/>
          <w:szCs w:val="24"/>
        </w:rPr>
        <w:t>the applicable plan year</w:t>
      </w:r>
      <w:r w:rsidRPr="000F5D78">
        <w:rPr>
          <w:rFonts w:ascii="Times New Roman" w:hAnsi="Times New Roman" w:cs="Times New Roman"/>
          <w:sz w:val="24"/>
          <w:szCs w:val="24"/>
        </w:rPr>
        <w:t>.</w:t>
      </w:r>
      <w:r w:rsidRPr="00CE62BB">
        <w:rPr>
          <w:rFonts w:ascii="Times New Roman" w:hAnsi="Times New Roman" w:cs="Times New Roman"/>
          <w:sz w:val="24"/>
          <w:szCs w:val="24"/>
        </w:rPr>
        <w:t xml:space="preserve"> </w:t>
      </w:r>
      <w:r>
        <w:rPr>
          <w:rFonts w:ascii="Times New Roman" w:hAnsi="Times New Roman" w:cs="Times New Roman"/>
          <w:sz w:val="24"/>
          <w:szCs w:val="24"/>
        </w:rPr>
        <w:t xml:space="preserve"> </w:t>
      </w:r>
      <w:r w:rsidR="000253FF">
        <w:rPr>
          <w:rFonts w:ascii="Times New Roman" w:hAnsi="Times New Roman" w:cs="Times New Roman"/>
          <w:sz w:val="24"/>
          <w:szCs w:val="24"/>
        </w:rPr>
        <w:t xml:space="preserve">This relief is available even if the </w:t>
      </w:r>
      <w:r w:rsidR="00DF071C">
        <w:rPr>
          <w:rFonts w:ascii="Times New Roman" w:hAnsi="Times New Roman" w:cs="Times New Roman"/>
          <w:sz w:val="24"/>
          <w:szCs w:val="24"/>
        </w:rPr>
        <w:t>plan</w:t>
      </w:r>
      <w:r w:rsidR="00DF071C" w:rsidRPr="00DF071C">
        <w:rPr>
          <w:rFonts w:ascii="Times New Roman" w:hAnsi="Times New Roman" w:cs="Times New Roman"/>
          <w:sz w:val="24"/>
          <w:szCs w:val="24"/>
        </w:rPr>
        <w:t xml:space="preserve"> </w:t>
      </w:r>
      <w:r w:rsidR="000253FF">
        <w:rPr>
          <w:rFonts w:ascii="Times New Roman" w:hAnsi="Times New Roman" w:cs="Times New Roman"/>
          <w:sz w:val="24"/>
          <w:szCs w:val="24"/>
        </w:rPr>
        <w:t xml:space="preserve">has </w:t>
      </w:r>
      <w:r w:rsidR="00DF071C" w:rsidRPr="00DF071C">
        <w:rPr>
          <w:rFonts w:ascii="Times New Roman" w:hAnsi="Times New Roman" w:cs="Times New Roman"/>
          <w:sz w:val="24"/>
          <w:szCs w:val="24"/>
        </w:rPr>
        <w:t xml:space="preserve">amended </w:t>
      </w:r>
      <w:r w:rsidR="00DF071C">
        <w:rPr>
          <w:rFonts w:ascii="Times New Roman" w:hAnsi="Times New Roman" w:cs="Times New Roman"/>
          <w:sz w:val="24"/>
          <w:szCs w:val="24"/>
        </w:rPr>
        <w:t>its</w:t>
      </w:r>
      <w:r w:rsidR="00DF071C" w:rsidRPr="00DF071C">
        <w:rPr>
          <w:rFonts w:ascii="Times New Roman" w:hAnsi="Times New Roman" w:cs="Times New Roman"/>
          <w:sz w:val="24"/>
          <w:szCs w:val="24"/>
        </w:rPr>
        <w:t xml:space="preserve"> comprehensive premium filing </w:t>
      </w:r>
      <w:r w:rsidR="000253FF">
        <w:rPr>
          <w:rFonts w:ascii="Times New Roman" w:hAnsi="Times New Roman" w:cs="Times New Roman"/>
          <w:sz w:val="24"/>
          <w:szCs w:val="24"/>
        </w:rPr>
        <w:t xml:space="preserve">for the applicable plan year </w:t>
      </w:r>
      <w:r w:rsidR="00DF071C" w:rsidRPr="00DF071C">
        <w:rPr>
          <w:rFonts w:ascii="Times New Roman" w:hAnsi="Times New Roman" w:cs="Times New Roman"/>
          <w:sz w:val="24"/>
          <w:szCs w:val="24"/>
        </w:rPr>
        <w:t>to use the SPFT</w:t>
      </w:r>
      <w:r w:rsidR="000253FF">
        <w:rPr>
          <w:rFonts w:ascii="Times New Roman" w:hAnsi="Times New Roman" w:cs="Times New Roman"/>
          <w:sz w:val="24"/>
          <w:szCs w:val="24"/>
        </w:rPr>
        <w:t xml:space="preserve">; if relief is provided in such a </w:t>
      </w:r>
      <w:r w:rsidR="00DF071C">
        <w:rPr>
          <w:rFonts w:ascii="Times New Roman" w:hAnsi="Times New Roman" w:cs="Times New Roman"/>
          <w:sz w:val="24"/>
          <w:szCs w:val="24"/>
        </w:rPr>
        <w:t>case</w:t>
      </w:r>
      <w:r w:rsidR="000253FF">
        <w:rPr>
          <w:rFonts w:ascii="Times New Roman" w:hAnsi="Times New Roman" w:cs="Times New Roman"/>
          <w:sz w:val="24"/>
          <w:szCs w:val="24"/>
        </w:rPr>
        <w:t>,</w:t>
      </w:r>
      <w:r w:rsidR="00DF071C">
        <w:rPr>
          <w:rFonts w:ascii="Times New Roman" w:hAnsi="Times New Roman" w:cs="Times New Roman"/>
          <w:sz w:val="24"/>
          <w:szCs w:val="24"/>
        </w:rPr>
        <w:t xml:space="preserve"> </w:t>
      </w:r>
      <w:r w:rsidR="00DF071C" w:rsidRPr="00DF071C">
        <w:rPr>
          <w:rFonts w:ascii="Times New Roman" w:hAnsi="Times New Roman" w:cs="Times New Roman"/>
          <w:sz w:val="24"/>
          <w:szCs w:val="24"/>
        </w:rPr>
        <w:t>PBGC will disregard the amended filing.</w:t>
      </w:r>
    </w:p>
    <w:p w:rsidR="00274E75" w:rsidRPr="000F5D78" w:rsidRDefault="00274E75" w:rsidP="000F5D78">
      <w:pPr>
        <w:spacing w:before="100" w:beforeAutospacing="1" w:after="100" w:afterAutospacing="1"/>
        <w:rPr>
          <w:rFonts w:ascii="Times New Roman" w:hAnsi="Times New Roman" w:cs="Times New Roman"/>
          <w:b/>
          <w:bCs/>
          <w:sz w:val="24"/>
          <w:szCs w:val="24"/>
        </w:rPr>
      </w:pPr>
      <w:r w:rsidRPr="000F5D78">
        <w:rPr>
          <w:rFonts w:ascii="Times New Roman" w:hAnsi="Times New Roman" w:cs="Times New Roman"/>
          <w:b/>
          <w:bCs/>
          <w:sz w:val="24"/>
          <w:szCs w:val="24"/>
        </w:rPr>
        <w:t>I</w:t>
      </w:r>
      <w:r w:rsidR="0042120A">
        <w:rPr>
          <w:rFonts w:ascii="Times New Roman" w:hAnsi="Times New Roman" w:cs="Times New Roman"/>
          <w:b/>
          <w:bCs/>
          <w:sz w:val="24"/>
          <w:szCs w:val="24"/>
        </w:rPr>
        <w:t>II</w:t>
      </w:r>
      <w:r w:rsidR="00351BC1">
        <w:rPr>
          <w:rFonts w:ascii="Times New Roman" w:hAnsi="Times New Roman" w:cs="Times New Roman"/>
          <w:b/>
          <w:bCs/>
          <w:sz w:val="24"/>
          <w:szCs w:val="24"/>
        </w:rPr>
        <w:t>. </w:t>
      </w:r>
      <w:r w:rsidRPr="000F5D78">
        <w:rPr>
          <w:rFonts w:ascii="Times New Roman" w:hAnsi="Times New Roman" w:cs="Times New Roman"/>
          <w:b/>
          <w:bCs/>
          <w:sz w:val="24"/>
          <w:szCs w:val="24"/>
        </w:rPr>
        <w:t>Process</w:t>
      </w:r>
    </w:p>
    <w:p w:rsidR="00274E75" w:rsidRPr="000F5D78" w:rsidRDefault="00274E75" w:rsidP="000F5D78">
      <w:pPr>
        <w:pStyle w:val="NormalWeb"/>
      </w:pPr>
      <w:r w:rsidRPr="000F5D78">
        <w:t xml:space="preserve">To </w:t>
      </w:r>
      <w:r w:rsidR="000253FF">
        <w:t xml:space="preserve">obtain </w:t>
      </w:r>
      <w:r w:rsidRPr="000F5D78">
        <w:t xml:space="preserve">relief </w:t>
      </w:r>
      <w:r w:rsidR="000253FF">
        <w:t>under</w:t>
      </w:r>
      <w:r w:rsidR="000253FF" w:rsidRPr="000F5D78">
        <w:t xml:space="preserve"> </w:t>
      </w:r>
      <w:r w:rsidRPr="000F5D78">
        <w:t xml:space="preserve">this Technical Update, the plan administrator </w:t>
      </w:r>
      <w:r w:rsidR="00351BC1">
        <w:t xml:space="preserve">– and only the plan administrator – </w:t>
      </w:r>
      <w:r w:rsidRPr="000F5D78">
        <w:t>must send PBGC’s Financial Operations Department (FOD) a notice stating:</w:t>
      </w:r>
    </w:p>
    <w:p w:rsidR="005F219E" w:rsidRPr="00AA5C8E" w:rsidRDefault="00274E75" w:rsidP="00AA5C8E">
      <w:pPr>
        <w:pStyle w:val="ListParagraph"/>
        <w:numPr>
          <w:ilvl w:val="0"/>
          <w:numId w:val="9"/>
        </w:numPr>
        <w:spacing w:before="100" w:beforeAutospacing="1" w:after="100" w:afterAutospacing="1"/>
        <w:rPr>
          <w:rFonts w:ascii="Times New Roman" w:hAnsi="Times New Roman" w:cs="Times New Roman"/>
          <w:sz w:val="24"/>
          <w:szCs w:val="24"/>
        </w:rPr>
      </w:pPr>
      <w:r w:rsidRPr="00AA5C8E">
        <w:rPr>
          <w:rFonts w:ascii="Times New Roman" w:hAnsi="Times New Roman" w:cs="Times New Roman"/>
          <w:sz w:val="24"/>
          <w:szCs w:val="24"/>
        </w:rPr>
        <w:t>The name of the plan and the Employer Identification Number and Plan Number most recently reported for the plan in a PBGC premium filing</w:t>
      </w:r>
      <w:r w:rsidR="00AA5C8E">
        <w:rPr>
          <w:rFonts w:ascii="Times New Roman" w:hAnsi="Times New Roman" w:cs="Times New Roman"/>
          <w:sz w:val="24"/>
          <w:szCs w:val="24"/>
        </w:rPr>
        <w:t>.</w:t>
      </w:r>
    </w:p>
    <w:p w:rsidR="000E2279" w:rsidRPr="00AA5C8E" w:rsidRDefault="000E2279" w:rsidP="00AA5C8E">
      <w:pPr>
        <w:pStyle w:val="ListParagraph"/>
        <w:numPr>
          <w:ilvl w:val="0"/>
          <w:numId w:val="9"/>
        </w:numPr>
        <w:spacing w:before="100" w:beforeAutospacing="1" w:after="100" w:afterAutospacing="1"/>
        <w:rPr>
          <w:rFonts w:ascii="Times New Roman" w:hAnsi="Times New Roman" w:cs="Times New Roman"/>
          <w:sz w:val="24"/>
          <w:szCs w:val="24"/>
        </w:rPr>
      </w:pPr>
      <w:r w:rsidRPr="00AA5C8E">
        <w:rPr>
          <w:rFonts w:ascii="Times New Roman" w:hAnsi="Times New Roman" w:cs="Times New Roman"/>
          <w:sz w:val="24"/>
          <w:szCs w:val="24"/>
        </w:rPr>
        <w:t>The name, telephone number, and e</w:t>
      </w:r>
      <w:r w:rsidRPr="00AA5C8E">
        <w:rPr>
          <w:rFonts w:ascii="Times New Roman" w:hAnsi="Times New Roman" w:cs="Times New Roman"/>
          <w:sz w:val="24"/>
          <w:szCs w:val="24"/>
        </w:rPr>
        <w:noBreakHyphen/>
        <w:t>mail address of the plan administrator;</w:t>
      </w:r>
    </w:p>
    <w:p w:rsidR="005F219E" w:rsidRPr="00AA5C8E" w:rsidRDefault="004C1172" w:rsidP="00AA5C8E">
      <w:pPr>
        <w:pStyle w:val="ListParagraph"/>
        <w:numPr>
          <w:ilvl w:val="0"/>
          <w:numId w:val="9"/>
        </w:numPr>
        <w:spacing w:before="100" w:beforeAutospacing="1" w:after="100" w:afterAutospacing="1"/>
        <w:rPr>
          <w:rFonts w:ascii="Times New Roman" w:hAnsi="Times New Roman" w:cs="Times New Roman"/>
          <w:sz w:val="24"/>
          <w:szCs w:val="24"/>
        </w:rPr>
      </w:pPr>
      <w:r w:rsidRPr="00AA5C8E">
        <w:rPr>
          <w:rFonts w:ascii="Times New Roman" w:hAnsi="Times New Roman" w:cs="Times New Roman"/>
          <w:sz w:val="24"/>
          <w:szCs w:val="24"/>
        </w:rPr>
        <w:t>That t</w:t>
      </w:r>
      <w:r w:rsidR="005F219E" w:rsidRPr="00AA5C8E">
        <w:rPr>
          <w:rFonts w:ascii="Times New Roman" w:hAnsi="Times New Roman" w:cs="Times New Roman"/>
          <w:sz w:val="24"/>
          <w:szCs w:val="24"/>
        </w:rPr>
        <w:t xml:space="preserve">he conditions for relief in </w:t>
      </w:r>
      <w:r w:rsidR="000253FF" w:rsidRPr="00AA5C8E">
        <w:rPr>
          <w:rFonts w:ascii="Times New Roman" w:hAnsi="Times New Roman" w:cs="Times New Roman"/>
          <w:sz w:val="24"/>
          <w:szCs w:val="24"/>
        </w:rPr>
        <w:t xml:space="preserve">this </w:t>
      </w:r>
      <w:r w:rsidR="00AA5C8E">
        <w:rPr>
          <w:rFonts w:ascii="Times New Roman" w:hAnsi="Times New Roman" w:cs="Times New Roman"/>
          <w:sz w:val="24"/>
          <w:szCs w:val="24"/>
        </w:rPr>
        <w:t>Technical Update are met.</w:t>
      </w:r>
    </w:p>
    <w:p w:rsidR="001A3759" w:rsidRPr="00AA5C8E" w:rsidRDefault="00274E75" w:rsidP="00AA5C8E">
      <w:pPr>
        <w:pStyle w:val="ListParagraph"/>
        <w:numPr>
          <w:ilvl w:val="0"/>
          <w:numId w:val="9"/>
        </w:numPr>
        <w:spacing w:before="100" w:beforeAutospacing="1" w:after="100" w:afterAutospacing="1"/>
        <w:rPr>
          <w:rFonts w:ascii="Times New Roman" w:hAnsi="Times New Roman" w:cs="Times New Roman"/>
          <w:sz w:val="24"/>
          <w:szCs w:val="24"/>
        </w:rPr>
      </w:pPr>
      <w:r w:rsidRPr="00AA5C8E">
        <w:rPr>
          <w:rFonts w:ascii="Times New Roman" w:hAnsi="Times New Roman" w:cs="Times New Roman"/>
          <w:sz w:val="24"/>
          <w:szCs w:val="24"/>
        </w:rPr>
        <w:t>That the plan intended to elect the APFT</w:t>
      </w:r>
      <w:r w:rsidR="00652072" w:rsidRPr="00AA5C8E">
        <w:rPr>
          <w:rFonts w:ascii="Times New Roman" w:hAnsi="Times New Roman" w:cs="Times New Roman"/>
          <w:sz w:val="24"/>
          <w:szCs w:val="24"/>
        </w:rPr>
        <w:t>,</w:t>
      </w:r>
      <w:r w:rsidRPr="00AA5C8E">
        <w:rPr>
          <w:rFonts w:ascii="Times New Roman" w:hAnsi="Times New Roman" w:cs="Times New Roman"/>
          <w:sz w:val="24"/>
          <w:szCs w:val="24"/>
        </w:rPr>
        <w:t xml:space="preserve"> first effective for </w:t>
      </w:r>
      <w:r w:rsidR="00AD1EA5">
        <w:rPr>
          <w:rFonts w:ascii="Times New Roman" w:hAnsi="Times New Roman" w:cs="Times New Roman"/>
          <w:sz w:val="24"/>
          <w:szCs w:val="24"/>
        </w:rPr>
        <w:t xml:space="preserve">the plan year commencing </w:t>
      </w:r>
      <w:r w:rsidR="003B5F0A" w:rsidRPr="00AA5C8E">
        <w:rPr>
          <w:rFonts w:ascii="Times New Roman" w:hAnsi="Times New Roman" w:cs="Times New Roman"/>
          <w:sz w:val="24"/>
          <w:szCs w:val="24"/>
        </w:rPr>
        <w:t xml:space="preserve">[insert </w:t>
      </w:r>
      <w:r w:rsidR="00F66F63" w:rsidRPr="00AA5C8E">
        <w:rPr>
          <w:rFonts w:ascii="Times New Roman" w:hAnsi="Times New Roman" w:cs="Times New Roman"/>
          <w:sz w:val="24"/>
          <w:szCs w:val="24"/>
        </w:rPr>
        <w:t xml:space="preserve">the </w:t>
      </w:r>
      <w:r w:rsidR="001A3759" w:rsidRPr="00AA5C8E">
        <w:rPr>
          <w:rFonts w:ascii="Times New Roman" w:hAnsi="Times New Roman" w:cs="Times New Roman"/>
          <w:sz w:val="24"/>
          <w:szCs w:val="24"/>
        </w:rPr>
        <w:t xml:space="preserve">first day of the </w:t>
      </w:r>
      <w:r w:rsidR="003B5F0A" w:rsidRPr="00AA5C8E">
        <w:rPr>
          <w:rFonts w:ascii="Times New Roman" w:hAnsi="Times New Roman" w:cs="Times New Roman"/>
          <w:sz w:val="24"/>
          <w:szCs w:val="24"/>
        </w:rPr>
        <w:t>applicable plan year]</w:t>
      </w:r>
      <w:r w:rsidR="00AA5C8E">
        <w:rPr>
          <w:rFonts w:ascii="Times New Roman" w:hAnsi="Times New Roman" w:cs="Times New Roman"/>
          <w:sz w:val="24"/>
          <w:szCs w:val="24"/>
        </w:rPr>
        <w:t>.</w:t>
      </w:r>
    </w:p>
    <w:p w:rsidR="00DD5701" w:rsidRDefault="005B56C9" w:rsidP="00AA5C8E">
      <w:pPr>
        <w:pStyle w:val="ListParagraph"/>
        <w:numPr>
          <w:ilvl w:val="0"/>
          <w:numId w:val="9"/>
        </w:numPr>
        <w:spacing w:before="100" w:beforeAutospacing="1" w:after="100" w:afterAutospacing="1"/>
        <w:rPr>
          <w:rFonts w:ascii="Times New Roman" w:hAnsi="Times New Roman" w:cs="Times New Roman"/>
          <w:sz w:val="24"/>
          <w:szCs w:val="24"/>
        </w:rPr>
      </w:pPr>
      <w:r w:rsidRPr="00DD5701">
        <w:rPr>
          <w:rFonts w:ascii="Times New Roman" w:hAnsi="Times New Roman" w:cs="Times New Roman"/>
          <w:sz w:val="24"/>
          <w:szCs w:val="24"/>
        </w:rPr>
        <w:t>The filing date for the last timely comprehensive premium filing for the applicable plan year, as shown in the filing receipt generated by PBGC’s premium e-filing application, My Pension Administration Account (My</w:t>
      </w:r>
      <w:r w:rsidR="00AD1EA5">
        <w:rPr>
          <w:rFonts w:ascii="Times New Roman" w:hAnsi="Times New Roman" w:cs="Times New Roman"/>
          <w:sz w:val="24"/>
          <w:szCs w:val="24"/>
        </w:rPr>
        <w:t xml:space="preserve"> </w:t>
      </w:r>
      <w:r w:rsidRPr="00DD5701">
        <w:rPr>
          <w:rFonts w:ascii="Times New Roman" w:hAnsi="Times New Roman" w:cs="Times New Roman"/>
          <w:sz w:val="24"/>
          <w:szCs w:val="24"/>
        </w:rPr>
        <w:t>PAA)</w:t>
      </w:r>
      <w:r w:rsidR="00DD5701" w:rsidRPr="00DD5701">
        <w:rPr>
          <w:rFonts w:ascii="Times New Roman" w:hAnsi="Times New Roman" w:cs="Times New Roman"/>
          <w:sz w:val="24"/>
          <w:szCs w:val="24"/>
        </w:rPr>
        <w:t>.</w:t>
      </w:r>
      <w:r w:rsidR="004E35BC" w:rsidRPr="00DD5701">
        <w:rPr>
          <w:rFonts w:ascii="Times New Roman" w:hAnsi="Times New Roman" w:cs="Times New Roman"/>
          <w:sz w:val="24"/>
          <w:szCs w:val="24"/>
        </w:rPr>
        <w:t xml:space="preserve"> </w:t>
      </w:r>
    </w:p>
    <w:p w:rsidR="00AA5C8E" w:rsidRPr="00DD5701" w:rsidRDefault="00274E75" w:rsidP="00AA5C8E">
      <w:pPr>
        <w:pStyle w:val="ListParagraph"/>
        <w:numPr>
          <w:ilvl w:val="0"/>
          <w:numId w:val="9"/>
        </w:numPr>
        <w:spacing w:before="100" w:beforeAutospacing="1" w:after="100" w:afterAutospacing="1"/>
        <w:rPr>
          <w:rFonts w:ascii="Times New Roman" w:hAnsi="Times New Roman" w:cs="Times New Roman"/>
          <w:sz w:val="24"/>
          <w:szCs w:val="24"/>
        </w:rPr>
      </w:pPr>
      <w:r w:rsidRPr="00DD5701">
        <w:rPr>
          <w:rFonts w:ascii="Times New Roman" w:hAnsi="Times New Roman" w:cs="Times New Roman"/>
          <w:sz w:val="24"/>
          <w:szCs w:val="24"/>
        </w:rPr>
        <w:t xml:space="preserve">That the plan administrator understands </w:t>
      </w:r>
      <w:r w:rsidR="000253FF" w:rsidRPr="00DD5701">
        <w:rPr>
          <w:rFonts w:ascii="Times New Roman" w:hAnsi="Times New Roman" w:cs="Times New Roman"/>
          <w:sz w:val="24"/>
          <w:szCs w:val="24"/>
        </w:rPr>
        <w:t xml:space="preserve">that </w:t>
      </w:r>
      <w:r w:rsidRPr="00DD5701">
        <w:rPr>
          <w:rFonts w:ascii="Times New Roman" w:hAnsi="Times New Roman" w:cs="Times New Roman"/>
          <w:sz w:val="24"/>
          <w:szCs w:val="24"/>
        </w:rPr>
        <w:t xml:space="preserve">the election will remain in </w:t>
      </w:r>
      <w:r w:rsidR="00CC12EA" w:rsidRPr="00DD5701">
        <w:rPr>
          <w:rFonts w:ascii="Times New Roman" w:hAnsi="Times New Roman" w:cs="Times New Roman"/>
          <w:sz w:val="24"/>
          <w:szCs w:val="24"/>
        </w:rPr>
        <w:t xml:space="preserve">effect </w:t>
      </w:r>
      <w:r w:rsidRPr="00DD5701">
        <w:rPr>
          <w:rFonts w:ascii="Times New Roman" w:hAnsi="Times New Roman" w:cs="Times New Roman"/>
          <w:sz w:val="24"/>
          <w:szCs w:val="24"/>
        </w:rPr>
        <w:t>unless and until it is subsequently revoked and that it m</w:t>
      </w:r>
      <w:r w:rsidR="00CC12EA" w:rsidRPr="00DD5701">
        <w:rPr>
          <w:rFonts w:ascii="Times New Roman" w:hAnsi="Times New Roman" w:cs="Times New Roman"/>
          <w:sz w:val="24"/>
          <w:szCs w:val="24"/>
        </w:rPr>
        <w:t xml:space="preserve">ust remain in effect for at least five years </w:t>
      </w:r>
      <w:r w:rsidR="00652072" w:rsidRPr="00DD5701">
        <w:rPr>
          <w:rFonts w:ascii="Times New Roman" w:hAnsi="Times New Roman" w:cs="Times New Roman"/>
          <w:sz w:val="24"/>
          <w:szCs w:val="24"/>
        </w:rPr>
        <w:t xml:space="preserve">starting with </w:t>
      </w:r>
      <w:r w:rsidR="00446D91" w:rsidRPr="00DD5701">
        <w:rPr>
          <w:rFonts w:ascii="Times New Roman" w:hAnsi="Times New Roman" w:cs="Times New Roman"/>
          <w:sz w:val="24"/>
          <w:szCs w:val="24"/>
        </w:rPr>
        <w:t xml:space="preserve">the first </w:t>
      </w:r>
      <w:r w:rsidR="003B5F0A" w:rsidRPr="00DD5701">
        <w:rPr>
          <w:rFonts w:ascii="Times New Roman" w:hAnsi="Times New Roman" w:cs="Times New Roman"/>
          <w:sz w:val="24"/>
          <w:szCs w:val="24"/>
        </w:rPr>
        <w:t xml:space="preserve">plan year </w:t>
      </w:r>
      <w:r w:rsidR="0094785F" w:rsidRPr="00DD5701">
        <w:rPr>
          <w:rFonts w:ascii="Times New Roman" w:hAnsi="Times New Roman" w:cs="Times New Roman"/>
          <w:sz w:val="24"/>
          <w:szCs w:val="24"/>
        </w:rPr>
        <w:t xml:space="preserve">to </w:t>
      </w:r>
      <w:r w:rsidR="003B5F0A" w:rsidRPr="00DD5701">
        <w:rPr>
          <w:rFonts w:ascii="Times New Roman" w:hAnsi="Times New Roman" w:cs="Times New Roman"/>
          <w:sz w:val="24"/>
          <w:szCs w:val="24"/>
        </w:rPr>
        <w:t xml:space="preserve">which the election </w:t>
      </w:r>
      <w:r w:rsidR="000E2279" w:rsidRPr="00DD5701">
        <w:rPr>
          <w:rFonts w:ascii="Times New Roman" w:hAnsi="Times New Roman" w:cs="Times New Roman"/>
          <w:sz w:val="24"/>
          <w:szCs w:val="24"/>
        </w:rPr>
        <w:t>applies</w:t>
      </w:r>
      <w:r w:rsidR="00AA5C8E" w:rsidRPr="00DD5701">
        <w:rPr>
          <w:rFonts w:ascii="Times New Roman" w:hAnsi="Times New Roman" w:cs="Times New Roman"/>
          <w:sz w:val="24"/>
          <w:szCs w:val="24"/>
        </w:rPr>
        <w:t>.</w:t>
      </w:r>
      <w:r w:rsidR="000E2279" w:rsidRPr="00DD5701">
        <w:rPr>
          <w:rFonts w:ascii="Times New Roman" w:hAnsi="Times New Roman" w:cs="Times New Roman"/>
          <w:sz w:val="24"/>
          <w:szCs w:val="24"/>
        </w:rPr>
        <w:t xml:space="preserve"> </w:t>
      </w:r>
    </w:p>
    <w:p w:rsidR="00274E75" w:rsidRPr="00AA5C8E" w:rsidRDefault="00274E75" w:rsidP="00AA5C8E">
      <w:pPr>
        <w:pStyle w:val="ListParagraph"/>
        <w:numPr>
          <w:ilvl w:val="0"/>
          <w:numId w:val="9"/>
        </w:numPr>
        <w:spacing w:before="100" w:beforeAutospacing="1" w:after="100" w:afterAutospacing="1"/>
        <w:rPr>
          <w:rFonts w:ascii="Times New Roman" w:hAnsi="Times New Roman" w:cs="Times New Roman"/>
          <w:sz w:val="24"/>
          <w:szCs w:val="24"/>
        </w:rPr>
      </w:pPr>
      <w:r w:rsidRPr="00AA5C8E">
        <w:rPr>
          <w:rFonts w:ascii="Times New Roman" w:hAnsi="Times New Roman" w:cs="Times New Roman"/>
          <w:sz w:val="24"/>
          <w:szCs w:val="24"/>
        </w:rPr>
        <w:t>I</w:t>
      </w:r>
      <w:r w:rsidR="004C1172" w:rsidRPr="00AA5C8E">
        <w:rPr>
          <w:rFonts w:ascii="Times New Roman" w:hAnsi="Times New Roman" w:cs="Times New Roman"/>
          <w:sz w:val="24"/>
          <w:szCs w:val="24"/>
        </w:rPr>
        <w:t xml:space="preserve">f </w:t>
      </w:r>
      <w:r w:rsidRPr="00AA5C8E">
        <w:rPr>
          <w:rFonts w:ascii="Times New Roman" w:hAnsi="Times New Roman" w:cs="Times New Roman"/>
          <w:sz w:val="24"/>
          <w:szCs w:val="24"/>
        </w:rPr>
        <w:t xml:space="preserve">the </w:t>
      </w:r>
      <w:r w:rsidR="000253FF" w:rsidRPr="00AA5C8E">
        <w:rPr>
          <w:rFonts w:ascii="Times New Roman" w:hAnsi="Times New Roman" w:cs="Times New Roman"/>
          <w:sz w:val="24"/>
          <w:szCs w:val="24"/>
        </w:rPr>
        <w:t xml:space="preserve">amount of premium already paid </w:t>
      </w:r>
      <w:r w:rsidR="0074252E">
        <w:rPr>
          <w:rFonts w:ascii="Times New Roman" w:hAnsi="Times New Roman" w:cs="Times New Roman"/>
          <w:sz w:val="24"/>
          <w:szCs w:val="24"/>
        </w:rPr>
        <w:t xml:space="preserve">for the applicable plan year </w:t>
      </w:r>
      <w:r w:rsidR="000253FF" w:rsidRPr="00AA5C8E">
        <w:rPr>
          <w:rFonts w:ascii="Times New Roman" w:hAnsi="Times New Roman" w:cs="Times New Roman"/>
          <w:sz w:val="24"/>
          <w:szCs w:val="24"/>
        </w:rPr>
        <w:t xml:space="preserve">exceeds the amount of premium owed as determined using the APFT, </w:t>
      </w:r>
      <w:r w:rsidRPr="00AA5C8E">
        <w:rPr>
          <w:rFonts w:ascii="Times New Roman" w:hAnsi="Times New Roman" w:cs="Times New Roman"/>
          <w:sz w:val="24"/>
          <w:szCs w:val="24"/>
        </w:rPr>
        <w:t xml:space="preserve">whether the plan wants </w:t>
      </w:r>
      <w:r w:rsidR="003552E4" w:rsidRPr="00AA5C8E">
        <w:rPr>
          <w:rFonts w:ascii="Times New Roman" w:hAnsi="Times New Roman" w:cs="Times New Roman"/>
          <w:sz w:val="24"/>
          <w:szCs w:val="24"/>
        </w:rPr>
        <w:t>the</w:t>
      </w:r>
      <w:r w:rsidR="00652072" w:rsidRPr="00AA5C8E">
        <w:rPr>
          <w:rFonts w:ascii="Times New Roman" w:hAnsi="Times New Roman" w:cs="Times New Roman"/>
          <w:sz w:val="24"/>
          <w:szCs w:val="24"/>
        </w:rPr>
        <w:t xml:space="preserve"> overpayment </w:t>
      </w:r>
      <w:r w:rsidRPr="00AA5C8E">
        <w:rPr>
          <w:rFonts w:ascii="Times New Roman" w:hAnsi="Times New Roman" w:cs="Times New Roman"/>
          <w:sz w:val="24"/>
          <w:szCs w:val="24"/>
        </w:rPr>
        <w:t xml:space="preserve">to be refunded or applied </w:t>
      </w:r>
      <w:r w:rsidR="003552E4" w:rsidRPr="00AA5C8E">
        <w:rPr>
          <w:rFonts w:ascii="Times New Roman" w:hAnsi="Times New Roman" w:cs="Times New Roman"/>
          <w:sz w:val="24"/>
          <w:szCs w:val="24"/>
        </w:rPr>
        <w:t xml:space="preserve">against </w:t>
      </w:r>
      <w:r w:rsidRPr="00AA5C8E">
        <w:rPr>
          <w:rFonts w:ascii="Times New Roman" w:hAnsi="Times New Roman" w:cs="Times New Roman"/>
          <w:sz w:val="24"/>
          <w:szCs w:val="24"/>
        </w:rPr>
        <w:t>future premiums</w:t>
      </w:r>
      <w:r w:rsidR="00640B87" w:rsidRPr="00AA5C8E">
        <w:rPr>
          <w:rFonts w:ascii="Times New Roman" w:hAnsi="Times New Roman" w:cs="Times New Roman"/>
          <w:sz w:val="24"/>
          <w:szCs w:val="24"/>
        </w:rPr>
        <w:t>.</w:t>
      </w:r>
      <w:r w:rsidR="00CA7195" w:rsidRPr="00AA5C8E">
        <w:rPr>
          <w:rFonts w:ascii="Times New Roman" w:hAnsi="Times New Roman" w:cs="Times New Roman"/>
          <w:sz w:val="24"/>
          <w:szCs w:val="24"/>
        </w:rPr>
        <w:t xml:space="preserve">  </w:t>
      </w:r>
    </w:p>
    <w:p w:rsidR="00865DD7" w:rsidRDefault="00274E75" w:rsidP="005C41BA">
      <w:pPr>
        <w:pStyle w:val="NormalWeb"/>
        <w:keepNext/>
      </w:pPr>
      <w:r w:rsidRPr="00131F0C">
        <w:t>The notice must be in writing and sent within 30 days of the later of</w:t>
      </w:r>
      <w:r w:rsidR="00865DD7">
        <w:t xml:space="preserve"> –</w:t>
      </w:r>
      <w:r w:rsidRPr="00131F0C">
        <w:t xml:space="preserve"> </w:t>
      </w:r>
    </w:p>
    <w:p w:rsidR="00865DD7" w:rsidRDefault="00865DD7" w:rsidP="005C41BA">
      <w:pPr>
        <w:pStyle w:val="NormalWeb"/>
        <w:keepNext/>
        <w:widowControl w:val="0"/>
        <w:numPr>
          <w:ilvl w:val="0"/>
          <w:numId w:val="8"/>
        </w:numPr>
      </w:pPr>
      <w:r>
        <w:t>T</w:t>
      </w:r>
      <w:r w:rsidR="00274E75" w:rsidRPr="00131F0C">
        <w:t xml:space="preserve">he date of issuance of this Technical Update, or </w:t>
      </w:r>
    </w:p>
    <w:p w:rsidR="00865DD7" w:rsidRDefault="00865DD7" w:rsidP="00865DD7">
      <w:pPr>
        <w:pStyle w:val="NormalWeb"/>
        <w:numPr>
          <w:ilvl w:val="0"/>
          <w:numId w:val="8"/>
        </w:numPr>
      </w:pPr>
      <w:r>
        <w:t>T</w:t>
      </w:r>
      <w:r w:rsidR="00274E75" w:rsidRPr="00131F0C">
        <w:t xml:space="preserve">he date the comprehensive premium filing for the applicable plan year is due.  </w:t>
      </w:r>
    </w:p>
    <w:p w:rsidR="00274E75" w:rsidRPr="004D5488" w:rsidRDefault="00274E75" w:rsidP="000F5D78">
      <w:pPr>
        <w:pStyle w:val="NormalWeb"/>
        <w:rPr>
          <w:b/>
        </w:rPr>
      </w:pPr>
      <w:r w:rsidRPr="00131F0C">
        <w:lastRenderedPageBreak/>
        <w:t>Noti</w:t>
      </w:r>
      <w:r w:rsidR="004C1172" w:rsidRPr="00131F0C">
        <w:t xml:space="preserve">ces </w:t>
      </w:r>
      <w:r w:rsidRPr="00131F0C">
        <w:t xml:space="preserve">must be </w:t>
      </w:r>
      <w:r w:rsidR="00E37512" w:rsidRPr="00131F0C">
        <w:t xml:space="preserve">e-mailed </w:t>
      </w:r>
      <w:r w:rsidRPr="00131F0C">
        <w:t>to FOD at</w:t>
      </w:r>
      <w:r w:rsidR="00E37512" w:rsidRPr="00131F0C">
        <w:t xml:space="preserve"> </w:t>
      </w:r>
      <w:hyperlink r:id="rId8" w:history="1">
        <w:r w:rsidR="00E37512" w:rsidRPr="00F654FA">
          <w:rPr>
            <w:rStyle w:val="Hyperlink"/>
          </w:rPr>
          <w:t>premiums@pbgc.gov</w:t>
        </w:r>
      </w:hyperlink>
      <w:r w:rsidR="00E37512">
        <w:t xml:space="preserve"> or mailed to FOD at </w:t>
      </w:r>
      <w:r w:rsidR="00446D91">
        <w:t>PBGC, Dept 77840, P.O. Box 77000, Detroit, MI  48277-0840.</w:t>
      </w:r>
      <w:r w:rsidR="004C1172">
        <w:t xml:space="preserve">  </w:t>
      </w:r>
      <w:r w:rsidR="003552E4">
        <w:t xml:space="preserve">The subject line of </w:t>
      </w:r>
      <w:r w:rsidR="00447404">
        <w:t>the</w:t>
      </w:r>
      <w:r w:rsidR="003552E4">
        <w:t xml:space="preserve"> notice </w:t>
      </w:r>
      <w:r w:rsidR="00447404">
        <w:t>sho</w:t>
      </w:r>
      <w:r w:rsidR="004C1172">
        <w:t xml:space="preserve">uld </w:t>
      </w:r>
      <w:r w:rsidR="003552E4">
        <w:t xml:space="preserve">read </w:t>
      </w:r>
      <w:r w:rsidR="004C1172">
        <w:t xml:space="preserve">“Technical Update 10-2 Relief.” </w:t>
      </w:r>
      <w:r w:rsidRPr="000F5D78">
        <w:t xml:space="preserve">  </w:t>
      </w:r>
    </w:p>
    <w:p w:rsidR="001D41F0" w:rsidRDefault="001147EF" w:rsidP="000F5D78">
      <w:pPr>
        <w:pStyle w:val="NormalWeb"/>
      </w:pPr>
      <w:r>
        <w:t xml:space="preserve">Upon receipt of </w:t>
      </w:r>
      <w:r w:rsidR="004C1172">
        <w:t xml:space="preserve">a </w:t>
      </w:r>
      <w:r>
        <w:t>notice</w:t>
      </w:r>
      <w:r w:rsidR="004C1172">
        <w:t xml:space="preserve"> from a plan</w:t>
      </w:r>
      <w:r>
        <w:t xml:space="preserve">, </w:t>
      </w:r>
      <w:r w:rsidR="00274E75" w:rsidRPr="000F5D78">
        <w:t xml:space="preserve">FOD will review the </w:t>
      </w:r>
      <w:r w:rsidR="004C1172">
        <w:t xml:space="preserve">plan’s </w:t>
      </w:r>
      <w:r w:rsidR="005F219E">
        <w:t xml:space="preserve">comprehensive premium </w:t>
      </w:r>
      <w:r>
        <w:t>filing</w:t>
      </w:r>
      <w:r w:rsidR="00A27234">
        <w:t xml:space="preserve"> for the applicable plan year</w:t>
      </w:r>
      <w:r w:rsidR="00274E75" w:rsidRPr="000F5D78">
        <w:t xml:space="preserve"> to </w:t>
      </w:r>
      <w:r w:rsidR="00836757">
        <w:t xml:space="preserve">verify </w:t>
      </w:r>
      <w:r w:rsidR="00DF071C">
        <w:t>that</w:t>
      </w:r>
      <w:r w:rsidR="00274E75" w:rsidRPr="000F5D78">
        <w:t xml:space="preserve"> the </w:t>
      </w:r>
      <w:r w:rsidR="005F219E">
        <w:t xml:space="preserve">conditions for </w:t>
      </w:r>
      <w:r w:rsidR="00274E75" w:rsidRPr="000F5D78">
        <w:t xml:space="preserve">the relief </w:t>
      </w:r>
      <w:r w:rsidR="005F219E">
        <w:t xml:space="preserve">in this Technical Update are met </w:t>
      </w:r>
      <w:r w:rsidR="00274E75" w:rsidRPr="000F5D78">
        <w:t xml:space="preserve">and, if so, will </w:t>
      </w:r>
      <w:r w:rsidR="00543ABB">
        <w:t>notify</w:t>
      </w:r>
      <w:r w:rsidR="00543ABB" w:rsidRPr="000F5D78">
        <w:t xml:space="preserve"> </w:t>
      </w:r>
      <w:r w:rsidR="00274E75" w:rsidRPr="000F5D78">
        <w:t>the plan administrator that the plan is</w:t>
      </w:r>
      <w:r w:rsidR="00274E75">
        <w:t xml:space="preserve"> deemed to have made a valid</w:t>
      </w:r>
      <w:r w:rsidR="00274E75" w:rsidRPr="000F5D78">
        <w:t xml:space="preserve"> election </w:t>
      </w:r>
      <w:r w:rsidR="00274E75">
        <w:t>to use the APFT</w:t>
      </w:r>
      <w:r w:rsidR="00A03082">
        <w:t>.</w:t>
      </w:r>
      <w:r w:rsidR="00A03082">
        <w:rPr>
          <w:rStyle w:val="FootnoteReference"/>
        </w:rPr>
        <w:footnoteReference w:id="3"/>
      </w:r>
      <w:r w:rsidR="00836757">
        <w:t xml:space="preserve">  </w:t>
      </w:r>
      <w:r w:rsidR="00B05FF5">
        <w:t>FOD will also notify the plan i</w:t>
      </w:r>
      <w:r w:rsidR="00836757">
        <w:t xml:space="preserve">f the conditions are not met.  </w:t>
      </w:r>
      <w:r w:rsidR="00A03082">
        <w:t xml:space="preserve">  </w:t>
      </w:r>
    </w:p>
    <w:p w:rsidR="00274E75" w:rsidRPr="000F5D78" w:rsidRDefault="00F66F63" w:rsidP="000F5D78">
      <w:pPr>
        <w:spacing w:before="100" w:beforeAutospacing="1" w:after="100" w:afterAutospacing="1"/>
        <w:rPr>
          <w:rFonts w:ascii="Times New Roman" w:hAnsi="Times New Roman" w:cs="Times New Roman"/>
          <w:b/>
          <w:bCs/>
          <w:sz w:val="24"/>
          <w:szCs w:val="24"/>
        </w:rPr>
      </w:pPr>
      <w:r>
        <w:rPr>
          <w:rFonts w:ascii="Times New Roman" w:hAnsi="Times New Roman" w:cs="Times New Roman"/>
          <w:b/>
          <w:bCs/>
          <w:sz w:val="24"/>
          <w:szCs w:val="24"/>
        </w:rPr>
        <w:t>I</w:t>
      </w:r>
      <w:r w:rsidR="00274E75" w:rsidRPr="000F5D78">
        <w:rPr>
          <w:rFonts w:ascii="Times New Roman" w:hAnsi="Times New Roman" w:cs="Times New Roman"/>
          <w:b/>
          <w:bCs/>
          <w:sz w:val="24"/>
          <w:szCs w:val="24"/>
        </w:rPr>
        <w:t>V.  PBGC Contact Points</w:t>
      </w:r>
    </w:p>
    <w:p w:rsidR="00DD1B2B" w:rsidRDefault="00274E75">
      <w:pPr>
        <w:spacing w:before="100" w:beforeAutospacing="1" w:after="100" w:afterAutospacing="1"/>
      </w:pPr>
      <w:r w:rsidRPr="000F5D78">
        <w:rPr>
          <w:rFonts w:ascii="Times New Roman" w:hAnsi="Times New Roman" w:cs="Times New Roman"/>
          <w:sz w:val="24"/>
          <w:szCs w:val="24"/>
        </w:rPr>
        <w:t xml:space="preserve">For questions about this Technical Update, contact Amy Viener of the Policy, Research, and Analysis Department at 202-326-4080, ext. 3919, or </w:t>
      </w:r>
      <w:hyperlink r:id="rId9" w:history="1">
        <w:r w:rsidRPr="000F5D78">
          <w:rPr>
            <w:rFonts w:ascii="Times New Roman" w:hAnsi="Times New Roman" w:cs="Times New Roman"/>
            <w:color w:val="0000FF"/>
            <w:sz w:val="24"/>
            <w:szCs w:val="24"/>
            <w:u w:val="single"/>
          </w:rPr>
          <w:t>viener.amy@pbgc.gov</w:t>
        </w:r>
      </w:hyperlink>
      <w:r w:rsidRPr="000F5D78">
        <w:rPr>
          <w:rFonts w:ascii="Times New Roman" w:hAnsi="Times New Roman" w:cs="Times New Roman"/>
          <w:sz w:val="24"/>
          <w:szCs w:val="24"/>
        </w:rPr>
        <w:t xml:space="preserve"> or Robert Callahan at 202-326-4067, ext. 3258 or </w:t>
      </w:r>
      <w:hyperlink r:id="rId10" w:history="1">
        <w:r w:rsidRPr="001815D1">
          <w:rPr>
            <w:rStyle w:val="Hyperlink"/>
            <w:rFonts w:ascii="Times New Roman" w:hAnsi="Times New Roman" w:cs="Times New Roman"/>
            <w:sz w:val="24"/>
            <w:szCs w:val="24"/>
          </w:rPr>
          <w:t>callahan.robert@pbgc.gov</w:t>
        </w:r>
      </w:hyperlink>
      <w:r w:rsidRPr="000F5D78">
        <w:rPr>
          <w:rFonts w:ascii="Times New Roman" w:hAnsi="Times New Roman" w:cs="Times New Roman"/>
          <w:sz w:val="24"/>
          <w:szCs w:val="24"/>
        </w:rPr>
        <w:t>.</w:t>
      </w:r>
    </w:p>
    <w:sectPr w:rsidR="00DD1B2B" w:rsidSect="000657BE">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520" w:rsidRDefault="00762520" w:rsidP="00CF492D">
      <w:pPr>
        <w:spacing w:before="0"/>
      </w:pPr>
      <w:r>
        <w:separator/>
      </w:r>
    </w:p>
  </w:endnote>
  <w:endnote w:type="continuationSeparator" w:id="0">
    <w:p w:rsidR="00762520" w:rsidRDefault="00762520" w:rsidP="00CF492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520" w:rsidRDefault="00B5743C">
    <w:pPr>
      <w:pStyle w:val="Footer"/>
      <w:jc w:val="center"/>
    </w:pPr>
    <w:fldSimple w:instr=" PAGE   \* MERGEFORMAT ">
      <w:r w:rsidR="0087429E">
        <w:rPr>
          <w:noProof/>
        </w:rPr>
        <w:t>1</w:t>
      </w:r>
    </w:fldSimple>
  </w:p>
  <w:p w:rsidR="00762520" w:rsidRDefault="007625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520" w:rsidRDefault="00762520" w:rsidP="00CF492D">
      <w:pPr>
        <w:spacing w:before="0"/>
      </w:pPr>
      <w:r>
        <w:separator/>
      </w:r>
    </w:p>
  </w:footnote>
  <w:footnote w:type="continuationSeparator" w:id="0">
    <w:p w:rsidR="00762520" w:rsidRDefault="00762520" w:rsidP="00CF492D">
      <w:pPr>
        <w:spacing w:before="0"/>
      </w:pPr>
      <w:r>
        <w:continuationSeparator/>
      </w:r>
    </w:p>
  </w:footnote>
  <w:footnote w:id="1">
    <w:p w:rsidR="00762520" w:rsidRDefault="00762520" w:rsidP="004F7CD5">
      <w:pPr>
        <w:autoSpaceDE w:val="0"/>
        <w:autoSpaceDN w:val="0"/>
        <w:adjustRightInd w:val="0"/>
        <w:spacing w:before="100" w:beforeAutospacing="1" w:after="100" w:afterAutospacing="1"/>
      </w:pPr>
      <w:r>
        <w:rPr>
          <w:rStyle w:val="FootnoteReference"/>
        </w:rPr>
        <w:footnoteRef/>
      </w:r>
      <w:r>
        <w:t xml:space="preserve"> </w:t>
      </w:r>
      <w:r>
        <w:rPr>
          <w:rFonts w:ascii="Times New Roman" w:hAnsi="Times New Roman" w:cs="Times New Roman"/>
          <w:sz w:val="20"/>
          <w:szCs w:val="20"/>
        </w:rPr>
        <w:t>P</w:t>
      </w:r>
      <w:r w:rsidRPr="005F2569">
        <w:rPr>
          <w:rFonts w:ascii="Times New Roman" w:hAnsi="Times New Roman" w:cs="Times New Roman"/>
          <w:sz w:val="20"/>
          <w:szCs w:val="20"/>
        </w:rPr>
        <w:t>remium information must be submitted electronically (29 CFR § 4007.3)</w:t>
      </w:r>
      <w:r>
        <w:rPr>
          <w:rFonts w:ascii="Times New Roman" w:hAnsi="Times New Roman" w:cs="Times New Roman"/>
          <w:sz w:val="20"/>
          <w:szCs w:val="20"/>
        </w:rPr>
        <w:t xml:space="preserve">.  </w:t>
      </w:r>
      <w:r w:rsidRPr="005F2569">
        <w:rPr>
          <w:rFonts w:ascii="Times New Roman" w:hAnsi="Times New Roman" w:cs="Times New Roman"/>
          <w:sz w:val="20"/>
          <w:szCs w:val="20"/>
        </w:rPr>
        <w:t>PBGC provides on its Web site</w:t>
      </w:r>
      <w:r>
        <w:rPr>
          <w:rFonts w:ascii="Times New Roman" w:hAnsi="Times New Roman" w:cs="Times New Roman"/>
          <w:sz w:val="20"/>
          <w:szCs w:val="20"/>
        </w:rPr>
        <w:t xml:space="preserve"> (</w:t>
      </w:r>
      <w:r w:rsidRPr="005F2569">
        <w:rPr>
          <w:rFonts w:ascii="Times New Roman" w:hAnsi="Times New Roman" w:cs="Times New Roman"/>
          <w:sz w:val="20"/>
          <w:szCs w:val="20"/>
        </w:rPr>
        <w:t>www.pbgc.gov</w:t>
      </w:r>
      <w:r>
        <w:rPr>
          <w:rFonts w:ascii="Times New Roman" w:hAnsi="Times New Roman" w:cs="Times New Roman"/>
          <w:sz w:val="20"/>
          <w:szCs w:val="20"/>
        </w:rPr>
        <w:t xml:space="preserve">) </w:t>
      </w:r>
      <w:r w:rsidRPr="005F2569">
        <w:rPr>
          <w:rFonts w:ascii="Times New Roman" w:hAnsi="Times New Roman" w:cs="Times New Roman"/>
          <w:sz w:val="20"/>
          <w:szCs w:val="20"/>
        </w:rPr>
        <w:t xml:space="preserve">filing instructions </w:t>
      </w:r>
      <w:r>
        <w:rPr>
          <w:rFonts w:ascii="Times New Roman" w:hAnsi="Times New Roman" w:cs="Times New Roman"/>
          <w:sz w:val="20"/>
          <w:szCs w:val="20"/>
        </w:rPr>
        <w:t xml:space="preserve">that </w:t>
      </w:r>
      <w:r w:rsidRPr="005F2569">
        <w:rPr>
          <w:rFonts w:ascii="Times New Roman" w:hAnsi="Times New Roman" w:cs="Times New Roman"/>
          <w:sz w:val="20"/>
          <w:szCs w:val="20"/>
        </w:rPr>
        <w:t>includ</w:t>
      </w:r>
      <w:r>
        <w:rPr>
          <w:rFonts w:ascii="Times New Roman" w:hAnsi="Times New Roman" w:cs="Times New Roman"/>
          <w:sz w:val="20"/>
          <w:szCs w:val="20"/>
        </w:rPr>
        <w:t>e</w:t>
      </w:r>
      <w:r w:rsidRPr="005F2569">
        <w:rPr>
          <w:rFonts w:ascii="Times New Roman" w:hAnsi="Times New Roman" w:cs="Times New Roman"/>
          <w:sz w:val="20"/>
          <w:szCs w:val="20"/>
        </w:rPr>
        <w:t xml:space="preserve"> an illustrative form with </w:t>
      </w:r>
      <w:r>
        <w:rPr>
          <w:rFonts w:ascii="Times New Roman" w:hAnsi="Times New Roman" w:cs="Times New Roman"/>
          <w:sz w:val="20"/>
          <w:szCs w:val="20"/>
        </w:rPr>
        <w:t xml:space="preserve">a </w:t>
      </w:r>
      <w:r w:rsidRPr="005F2569">
        <w:rPr>
          <w:rFonts w:ascii="Times New Roman" w:hAnsi="Times New Roman" w:cs="Times New Roman"/>
          <w:sz w:val="20"/>
          <w:szCs w:val="20"/>
        </w:rPr>
        <w:t>line number for each data</w:t>
      </w:r>
      <w:r>
        <w:rPr>
          <w:rFonts w:ascii="Times New Roman" w:hAnsi="Times New Roman" w:cs="Times New Roman"/>
          <w:sz w:val="20"/>
          <w:szCs w:val="20"/>
        </w:rPr>
        <w:t xml:space="preserve"> element</w:t>
      </w:r>
      <w:r w:rsidRPr="005F2569">
        <w:rPr>
          <w:rFonts w:ascii="Times New Roman" w:hAnsi="Times New Roman" w:cs="Times New Roman"/>
          <w:sz w:val="20"/>
          <w:szCs w:val="20"/>
        </w:rPr>
        <w:t>.  For convenience, this Technical Update refer</w:t>
      </w:r>
      <w:r>
        <w:rPr>
          <w:rFonts w:ascii="Times New Roman" w:hAnsi="Times New Roman" w:cs="Times New Roman"/>
          <w:sz w:val="20"/>
          <w:szCs w:val="20"/>
        </w:rPr>
        <w:t>s</w:t>
      </w:r>
      <w:r w:rsidRPr="005F2569">
        <w:rPr>
          <w:rFonts w:ascii="Times New Roman" w:hAnsi="Times New Roman" w:cs="Times New Roman"/>
          <w:sz w:val="20"/>
          <w:szCs w:val="20"/>
        </w:rPr>
        <w:t xml:space="preserve"> to those line numbers. </w:t>
      </w:r>
    </w:p>
  </w:footnote>
  <w:footnote w:id="2">
    <w:p w:rsidR="00762520" w:rsidRDefault="00762520">
      <w:pPr>
        <w:pStyle w:val="FootnoteText"/>
      </w:pPr>
      <w:r w:rsidRPr="005F2569">
        <w:rPr>
          <w:rStyle w:val="FootnoteReference"/>
          <w:rFonts w:ascii="Times New Roman" w:hAnsi="Times New Roman" w:cs="Times New Roman"/>
        </w:rPr>
        <w:footnoteRef/>
      </w:r>
      <w:r>
        <w:rPr>
          <w:rFonts w:ascii="Times New Roman" w:hAnsi="Times New Roman" w:cs="Times New Roman"/>
        </w:rPr>
        <w:t xml:space="preserve"> PBGC has found filings in which “alternative” was checked in line 7d(1), but the discount rates reported in line 7d(2) as having been used to determine the premium funding target were not acceptable alternative rates; for example, a 2009 calendar year plan that reported segment rates of 6.72%, 7.12% and 6.36% respectively</w:t>
      </w:r>
      <w:r w:rsidRPr="002E6EAC">
        <w:rPr>
          <w:rFonts w:ascii="Times New Roman" w:hAnsi="Times New Roman" w:cs="Times New Roman"/>
        </w:rPr>
        <w:t xml:space="preserve"> </w:t>
      </w:r>
      <w:r>
        <w:rPr>
          <w:rFonts w:ascii="Times New Roman" w:hAnsi="Times New Roman" w:cs="Times New Roman"/>
        </w:rPr>
        <w:t xml:space="preserve">(the spot segment rates applicable for 2009 calendar year plans using the SPFT).  In such a situation, the plan did not use the APFT to determine the VRP and the plan is not eligible for the relief in this Technical Update. </w:t>
      </w:r>
    </w:p>
  </w:footnote>
  <w:footnote w:id="3">
    <w:p w:rsidR="00762520" w:rsidRPr="00A03082" w:rsidRDefault="00762520" w:rsidP="00A03082">
      <w:pPr>
        <w:pStyle w:val="NormalWeb"/>
        <w:rPr>
          <w:sz w:val="20"/>
          <w:szCs w:val="20"/>
        </w:rPr>
      </w:pPr>
      <w:r>
        <w:rPr>
          <w:rStyle w:val="FootnoteReference"/>
        </w:rPr>
        <w:footnoteRef/>
      </w:r>
      <w:r>
        <w:t xml:space="preserve"> </w:t>
      </w:r>
      <w:r w:rsidRPr="006D38AA">
        <w:rPr>
          <w:sz w:val="20"/>
          <w:szCs w:val="20"/>
        </w:rPr>
        <w:t xml:space="preserve">If </w:t>
      </w:r>
      <w:r>
        <w:rPr>
          <w:sz w:val="20"/>
          <w:szCs w:val="20"/>
        </w:rPr>
        <w:t xml:space="preserve">a </w:t>
      </w:r>
      <w:r w:rsidRPr="006D38AA">
        <w:rPr>
          <w:sz w:val="20"/>
          <w:szCs w:val="20"/>
        </w:rPr>
        <w:t xml:space="preserve">plan </w:t>
      </w:r>
      <w:r>
        <w:rPr>
          <w:sz w:val="20"/>
          <w:szCs w:val="20"/>
        </w:rPr>
        <w:t xml:space="preserve">takes advantage of </w:t>
      </w:r>
      <w:r w:rsidRPr="006D38AA">
        <w:rPr>
          <w:sz w:val="20"/>
          <w:szCs w:val="20"/>
        </w:rPr>
        <w:t xml:space="preserve">the relief in this Technical Update for the 2008 plan year, the election </w:t>
      </w:r>
      <w:r>
        <w:rPr>
          <w:sz w:val="20"/>
          <w:szCs w:val="20"/>
        </w:rPr>
        <w:t xml:space="preserve">must remain in effect for five years from the first plan year to which the election is in effect.  If a plan in this situation used the SPFT for the 2009 plan year, the 2009 comprehensive premium filing will need to be amended to use the APFT.  If a </w:t>
      </w:r>
      <w:r w:rsidRPr="00A03082">
        <w:rPr>
          <w:sz w:val="20"/>
          <w:szCs w:val="20"/>
        </w:rPr>
        <w:t>plan</w:t>
      </w:r>
      <w:r>
        <w:rPr>
          <w:sz w:val="20"/>
          <w:szCs w:val="20"/>
        </w:rPr>
        <w:t xml:space="preserve"> in this situation</w:t>
      </w:r>
      <w:r w:rsidRPr="00A03082">
        <w:rPr>
          <w:sz w:val="20"/>
          <w:szCs w:val="20"/>
        </w:rPr>
        <w:t xml:space="preserve"> used the A</w:t>
      </w:r>
      <w:r>
        <w:rPr>
          <w:sz w:val="20"/>
          <w:szCs w:val="20"/>
        </w:rPr>
        <w:t xml:space="preserve">PFT for the 2009 plan year, no further action need be taken with regard to the election.    </w:t>
      </w:r>
    </w:p>
    <w:p w:rsidR="00762520" w:rsidRDefault="00762520">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505DC"/>
    <w:multiLevelType w:val="hybridMultilevel"/>
    <w:tmpl w:val="B676668A"/>
    <w:lvl w:ilvl="0" w:tplc="986E1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23A4A"/>
    <w:multiLevelType w:val="hybridMultilevel"/>
    <w:tmpl w:val="E952B50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C9A52A7"/>
    <w:multiLevelType w:val="hybridMultilevel"/>
    <w:tmpl w:val="50B82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302959AE"/>
    <w:multiLevelType w:val="hybridMultilevel"/>
    <w:tmpl w:val="3D14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B4853"/>
    <w:multiLevelType w:val="hybridMultilevel"/>
    <w:tmpl w:val="C188FB38"/>
    <w:lvl w:ilvl="0" w:tplc="85769510">
      <w:start w:val="1"/>
      <w:numFmt w:val="bullet"/>
      <w:lvlText w:val=""/>
      <w:lvlJc w:val="left"/>
      <w:pPr>
        <w:tabs>
          <w:tab w:val="num" w:pos="720"/>
        </w:tabs>
        <w:ind w:left="72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530D6A0C"/>
    <w:multiLevelType w:val="multilevel"/>
    <w:tmpl w:val="7E46C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6FE2644"/>
    <w:multiLevelType w:val="hybridMultilevel"/>
    <w:tmpl w:val="7E46CA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75810C4"/>
    <w:multiLevelType w:val="hybridMultilevel"/>
    <w:tmpl w:val="D09EC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872D00"/>
    <w:multiLevelType w:val="hybridMultilevel"/>
    <w:tmpl w:val="3260FC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
  </w:num>
  <w:num w:numId="2">
    <w:abstractNumId w:val="8"/>
  </w:num>
  <w:num w:numId="3">
    <w:abstractNumId w:val="6"/>
  </w:num>
  <w:num w:numId="4">
    <w:abstractNumId w:val="2"/>
  </w:num>
  <w:num w:numId="5">
    <w:abstractNumId w:val="1"/>
  </w:num>
  <w:num w:numId="6">
    <w:abstractNumId w:val="3"/>
  </w:num>
  <w:num w:numId="7">
    <w:abstractNumId w:val="5"/>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rsids>
    <w:rsidRoot w:val="00904F8C"/>
    <w:rsid w:val="00011DB5"/>
    <w:rsid w:val="000253FF"/>
    <w:rsid w:val="00041540"/>
    <w:rsid w:val="00047085"/>
    <w:rsid w:val="000657BE"/>
    <w:rsid w:val="00072AC5"/>
    <w:rsid w:val="000A2D31"/>
    <w:rsid w:val="000A6E7D"/>
    <w:rsid w:val="000E2279"/>
    <w:rsid w:val="000F5D78"/>
    <w:rsid w:val="001133ED"/>
    <w:rsid w:val="001147EF"/>
    <w:rsid w:val="00120694"/>
    <w:rsid w:val="00131F0C"/>
    <w:rsid w:val="0013331D"/>
    <w:rsid w:val="00141EE5"/>
    <w:rsid w:val="00150508"/>
    <w:rsid w:val="00151D26"/>
    <w:rsid w:val="00153AC3"/>
    <w:rsid w:val="001755A8"/>
    <w:rsid w:val="001763E0"/>
    <w:rsid w:val="001815D1"/>
    <w:rsid w:val="0018439D"/>
    <w:rsid w:val="001A3759"/>
    <w:rsid w:val="001D41F0"/>
    <w:rsid w:val="001F3068"/>
    <w:rsid w:val="001F3C13"/>
    <w:rsid w:val="00204AE0"/>
    <w:rsid w:val="0020682E"/>
    <w:rsid w:val="00216AA0"/>
    <w:rsid w:val="00232A9D"/>
    <w:rsid w:val="002658BC"/>
    <w:rsid w:val="002739CA"/>
    <w:rsid w:val="00274E75"/>
    <w:rsid w:val="00281332"/>
    <w:rsid w:val="0028365D"/>
    <w:rsid w:val="00297ADD"/>
    <w:rsid w:val="002D182E"/>
    <w:rsid w:val="002D2D30"/>
    <w:rsid w:val="002E05A6"/>
    <w:rsid w:val="002E6EAC"/>
    <w:rsid w:val="002E78BE"/>
    <w:rsid w:val="00310D96"/>
    <w:rsid w:val="00324579"/>
    <w:rsid w:val="00335EEA"/>
    <w:rsid w:val="0035073B"/>
    <w:rsid w:val="00351BC1"/>
    <w:rsid w:val="003552E4"/>
    <w:rsid w:val="00393BEC"/>
    <w:rsid w:val="003B5F0A"/>
    <w:rsid w:val="003D5CDA"/>
    <w:rsid w:val="003E07BF"/>
    <w:rsid w:val="003E2E86"/>
    <w:rsid w:val="003E39B5"/>
    <w:rsid w:val="003E5FAF"/>
    <w:rsid w:val="003F5253"/>
    <w:rsid w:val="004014AB"/>
    <w:rsid w:val="00403383"/>
    <w:rsid w:val="00415203"/>
    <w:rsid w:val="0042120A"/>
    <w:rsid w:val="00434C0C"/>
    <w:rsid w:val="00440548"/>
    <w:rsid w:val="00446D91"/>
    <w:rsid w:val="00447404"/>
    <w:rsid w:val="00452904"/>
    <w:rsid w:val="004A4AC7"/>
    <w:rsid w:val="004C006A"/>
    <w:rsid w:val="004C1172"/>
    <w:rsid w:val="004D1393"/>
    <w:rsid w:val="004D5488"/>
    <w:rsid w:val="004E35BC"/>
    <w:rsid w:val="004F2340"/>
    <w:rsid w:val="004F44A4"/>
    <w:rsid w:val="004F7CD5"/>
    <w:rsid w:val="00533A8B"/>
    <w:rsid w:val="00536F5F"/>
    <w:rsid w:val="00543ABB"/>
    <w:rsid w:val="00544C0E"/>
    <w:rsid w:val="00583CCF"/>
    <w:rsid w:val="00596366"/>
    <w:rsid w:val="005B56C9"/>
    <w:rsid w:val="005C41BA"/>
    <w:rsid w:val="005D1BB4"/>
    <w:rsid w:val="005D5824"/>
    <w:rsid w:val="005F219E"/>
    <w:rsid w:val="005F2569"/>
    <w:rsid w:val="006068A3"/>
    <w:rsid w:val="00640B87"/>
    <w:rsid w:val="00652072"/>
    <w:rsid w:val="006D38AA"/>
    <w:rsid w:val="006F3A8A"/>
    <w:rsid w:val="0072065F"/>
    <w:rsid w:val="0074252E"/>
    <w:rsid w:val="00745240"/>
    <w:rsid w:val="00762520"/>
    <w:rsid w:val="00766139"/>
    <w:rsid w:val="00793945"/>
    <w:rsid w:val="00796F77"/>
    <w:rsid w:val="007A323D"/>
    <w:rsid w:val="007B2599"/>
    <w:rsid w:val="007C4555"/>
    <w:rsid w:val="007C6DBF"/>
    <w:rsid w:val="007C73CA"/>
    <w:rsid w:val="00807362"/>
    <w:rsid w:val="008154BE"/>
    <w:rsid w:val="00836757"/>
    <w:rsid w:val="0085167E"/>
    <w:rsid w:val="00857253"/>
    <w:rsid w:val="00865DD7"/>
    <w:rsid w:val="0087429E"/>
    <w:rsid w:val="00890ECB"/>
    <w:rsid w:val="008A101A"/>
    <w:rsid w:val="008B3DC0"/>
    <w:rsid w:val="008D23A6"/>
    <w:rsid w:val="008D55C4"/>
    <w:rsid w:val="00904F8C"/>
    <w:rsid w:val="009058FB"/>
    <w:rsid w:val="0093449A"/>
    <w:rsid w:val="00940A32"/>
    <w:rsid w:val="009414B2"/>
    <w:rsid w:val="0094785F"/>
    <w:rsid w:val="00954F5D"/>
    <w:rsid w:val="0095619A"/>
    <w:rsid w:val="00970AA1"/>
    <w:rsid w:val="009749CA"/>
    <w:rsid w:val="009E5526"/>
    <w:rsid w:val="00A0226C"/>
    <w:rsid w:val="00A03082"/>
    <w:rsid w:val="00A211C2"/>
    <w:rsid w:val="00A27234"/>
    <w:rsid w:val="00A3258F"/>
    <w:rsid w:val="00A66322"/>
    <w:rsid w:val="00A93940"/>
    <w:rsid w:val="00AA5C8E"/>
    <w:rsid w:val="00AB205A"/>
    <w:rsid w:val="00AC3F07"/>
    <w:rsid w:val="00AD1EA5"/>
    <w:rsid w:val="00B05FF5"/>
    <w:rsid w:val="00B17321"/>
    <w:rsid w:val="00B31E72"/>
    <w:rsid w:val="00B3299D"/>
    <w:rsid w:val="00B32A80"/>
    <w:rsid w:val="00B5743C"/>
    <w:rsid w:val="00B828B8"/>
    <w:rsid w:val="00BA06EC"/>
    <w:rsid w:val="00BC079A"/>
    <w:rsid w:val="00BD193A"/>
    <w:rsid w:val="00BD4D25"/>
    <w:rsid w:val="00BE21ED"/>
    <w:rsid w:val="00BE6223"/>
    <w:rsid w:val="00BE6BF5"/>
    <w:rsid w:val="00BF4573"/>
    <w:rsid w:val="00BF5B85"/>
    <w:rsid w:val="00C00629"/>
    <w:rsid w:val="00C052B7"/>
    <w:rsid w:val="00C36C93"/>
    <w:rsid w:val="00C456CB"/>
    <w:rsid w:val="00C467B3"/>
    <w:rsid w:val="00C85C83"/>
    <w:rsid w:val="00CA7195"/>
    <w:rsid w:val="00CC12EA"/>
    <w:rsid w:val="00CC4F1C"/>
    <w:rsid w:val="00CC67B7"/>
    <w:rsid w:val="00CE62BB"/>
    <w:rsid w:val="00CF489A"/>
    <w:rsid w:val="00CF492D"/>
    <w:rsid w:val="00CF6AEB"/>
    <w:rsid w:val="00D014F3"/>
    <w:rsid w:val="00D03AE9"/>
    <w:rsid w:val="00D21313"/>
    <w:rsid w:val="00D2745D"/>
    <w:rsid w:val="00D41FDC"/>
    <w:rsid w:val="00D42601"/>
    <w:rsid w:val="00D4341C"/>
    <w:rsid w:val="00D4438A"/>
    <w:rsid w:val="00D53198"/>
    <w:rsid w:val="00D6192A"/>
    <w:rsid w:val="00D72535"/>
    <w:rsid w:val="00D858E4"/>
    <w:rsid w:val="00D97605"/>
    <w:rsid w:val="00DA30A6"/>
    <w:rsid w:val="00DB5073"/>
    <w:rsid w:val="00DD1B2B"/>
    <w:rsid w:val="00DD5701"/>
    <w:rsid w:val="00DF071C"/>
    <w:rsid w:val="00E300A1"/>
    <w:rsid w:val="00E3323D"/>
    <w:rsid w:val="00E37512"/>
    <w:rsid w:val="00E379AA"/>
    <w:rsid w:val="00E43B4A"/>
    <w:rsid w:val="00EA1090"/>
    <w:rsid w:val="00EB71EB"/>
    <w:rsid w:val="00EE6556"/>
    <w:rsid w:val="00F02821"/>
    <w:rsid w:val="00F11ACB"/>
    <w:rsid w:val="00F367FB"/>
    <w:rsid w:val="00F44DF9"/>
    <w:rsid w:val="00F66F63"/>
    <w:rsid w:val="00F7699A"/>
    <w:rsid w:val="00F773FD"/>
    <w:rsid w:val="00FB6F29"/>
    <w:rsid w:val="00FC1F50"/>
    <w:rsid w:val="00FD0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7BE"/>
    <w:pPr>
      <w:spacing w:before="120"/>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04F8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99"/>
    <w:qFormat/>
    <w:rsid w:val="00904F8C"/>
    <w:rPr>
      <w:b/>
      <w:bCs/>
    </w:rPr>
  </w:style>
  <w:style w:type="character" w:styleId="Hyperlink">
    <w:name w:val="Hyperlink"/>
    <w:basedOn w:val="DefaultParagraphFont"/>
    <w:uiPriority w:val="99"/>
    <w:rsid w:val="00904F8C"/>
    <w:rPr>
      <w:color w:val="0000FF"/>
      <w:u w:val="single"/>
    </w:rPr>
  </w:style>
  <w:style w:type="character" w:styleId="Emphasis">
    <w:name w:val="Emphasis"/>
    <w:basedOn w:val="DefaultParagraphFont"/>
    <w:uiPriority w:val="99"/>
    <w:qFormat/>
    <w:rsid w:val="00904F8C"/>
    <w:rPr>
      <w:i/>
      <w:iCs/>
    </w:rPr>
  </w:style>
  <w:style w:type="paragraph" w:styleId="ListParagraph">
    <w:name w:val="List Paragraph"/>
    <w:basedOn w:val="Normal"/>
    <w:uiPriority w:val="99"/>
    <w:qFormat/>
    <w:rsid w:val="00FB6F29"/>
    <w:pPr>
      <w:ind w:left="720"/>
    </w:pPr>
  </w:style>
  <w:style w:type="paragraph" w:styleId="Header">
    <w:name w:val="header"/>
    <w:basedOn w:val="Normal"/>
    <w:link w:val="HeaderChar"/>
    <w:uiPriority w:val="99"/>
    <w:semiHidden/>
    <w:rsid w:val="00CF492D"/>
    <w:pPr>
      <w:tabs>
        <w:tab w:val="center" w:pos="4680"/>
        <w:tab w:val="right" w:pos="9360"/>
      </w:tabs>
    </w:pPr>
  </w:style>
  <w:style w:type="character" w:customStyle="1" w:styleId="HeaderChar">
    <w:name w:val="Header Char"/>
    <w:basedOn w:val="DefaultParagraphFont"/>
    <w:link w:val="Header"/>
    <w:uiPriority w:val="99"/>
    <w:semiHidden/>
    <w:rsid w:val="00CF492D"/>
    <w:rPr>
      <w:sz w:val="22"/>
      <w:szCs w:val="22"/>
    </w:rPr>
  </w:style>
  <w:style w:type="paragraph" w:styleId="Footer">
    <w:name w:val="footer"/>
    <w:basedOn w:val="Normal"/>
    <w:link w:val="FooterChar"/>
    <w:uiPriority w:val="99"/>
    <w:rsid w:val="00CF492D"/>
    <w:pPr>
      <w:tabs>
        <w:tab w:val="center" w:pos="4680"/>
        <w:tab w:val="right" w:pos="9360"/>
      </w:tabs>
    </w:pPr>
  </w:style>
  <w:style w:type="character" w:customStyle="1" w:styleId="FooterChar">
    <w:name w:val="Footer Char"/>
    <w:basedOn w:val="DefaultParagraphFont"/>
    <w:link w:val="Footer"/>
    <w:uiPriority w:val="99"/>
    <w:rsid w:val="00CF492D"/>
    <w:rPr>
      <w:sz w:val="22"/>
      <w:szCs w:val="22"/>
    </w:rPr>
  </w:style>
  <w:style w:type="paragraph" w:styleId="FootnoteText">
    <w:name w:val="footnote text"/>
    <w:basedOn w:val="Normal"/>
    <w:link w:val="FootnoteTextChar"/>
    <w:uiPriority w:val="99"/>
    <w:semiHidden/>
    <w:rsid w:val="00E3323D"/>
    <w:rPr>
      <w:sz w:val="20"/>
      <w:szCs w:val="20"/>
    </w:rPr>
  </w:style>
  <w:style w:type="character" w:customStyle="1" w:styleId="FootnoteTextChar">
    <w:name w:val="Footnote Text Char"/>
    <w:basedOn w:val="DefaultParagraphFont"/>
    <w:link w:val="FootnoteText"/>
    <w:uiPriority w:val="99"/>
    <w:semiHidden/>
    <w:rsid w:val="00E3323D"/>
  </w:style>
  <w:style w:type="character" w:styleId="FootnoteReference">
    <w:name w:val="footnote reference"/>
    <w:basedOn w:val="DefaultParagraphFont"/>
    <w:uiPriority w:val="99"/>
    <w:semiHidden/>
    <w:rsid w:val="00E3323D"/>
    <w:rPr>
      <w:vertAlign w:val="superscript"/>
    </w:rPr>
  </w:style>
  <w:style w:type="paragraph" w:styleId="BalloonText">
    <w:name w:val="Balloon Text"/>
    <w:basedOn w:val="Normal"/>
    <w:link w:val="BalloonTextChar"/>
    <w:uiPriority w:val="99"/>
    <w:semiHidden/>
    <w:unhideWhenUsed/>
    <w:rsid w:val="008D23A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3A6"/>
    <w:rPr>
      <w:rFonts w:ascii="Tahoma" w:hAnsi="Tahoma" w:cs="Tahoma"/>
      <w:sz w:val="16"/>
      <w:szCs w:val="16"/>
    </w:rPr>
  </w:style>
  <w:style w:type="character" w:styleId="CommentReference">
    <w:name w:val="annotation reference"/>
    <w:basedOn w:val="DefaultParagraphFont"/>
    <w:uiPriority w:val="99"/>
    <w:semiHidden/>
    <w:unhideWhenUsed/>
    <w:rsid w:val="001D41F0"/>
    <w:rPr>
      <w:sz w:val="16"/>
      <w:szCs w:val="16"/>
    </w:rPr>
  </w:style>
  <w:style w:type="paragraph" w:styleId="CommentText">
    <w:name w:val="annotation text"/>
    <w:basedOn w:val="Normal"/>
    <w:link w:val="CommentTextChar"/>
    <w:uiPriority w:val="99"/>
    <w:semiHidden/>
    <w:unhideWhenUsed/>
    <w:rsid w:val="001D41F0"/>
    <w:rPr>
      <w:sz w:val="20"/>
      <w:szCs w:val="20"/>
    </w:rPr>
  </w:style>
  <w:style w:type="character" w:customStyle="1" w:styleId="CommentTextChar">
    <w:name w:val="Comment Text Char"/>
    <w:basedOn w:val="DefaultParagraphFont"/>
    <w:link w:val="CommentText"/>
    <w:uiPriority w:val="99"/>
    <w:semiHidden/>
    <w:rsid w:val="001D41F0"/>
    <w:rPr>
      <w:rFonts w:cs="Calibri"/>
      <w:sz w:val="20"/>
      <w:szCs w:val="20"/>
    </w:rPr>
  </w:style>
  <w:style w:type="paragraph" w:styleId="CommentSubject">
    <w:name w:val="annotation subject"/>
    <w:basedOn w:val="CommentText"/>
    <w:next w:val="CommentText"/>
    <w:link w:val="CommentSubjectChar"/>
    <w:uiPriority w:val="99"/>
    <w:semiHidden/>
    <w:unhideWhenUsed/>
    <w:rsid w:val="001D41F0"/>
    <w:rPr>
      <w:b/>
      <w:bCs/>
    </w:rPr>
  </w:style>
  <w:style w:type="character" w:customStyle="1" w:styleId="CommentSubjectChar">
    <w:name w:val="Comment Subject Char"/>
    <w:basedOn w:val="CommentTextChar"/>
    <w:link w:val="CommentSubject"/>
    <w:uiPriority w:val="99"/>
    <w:semiHidden/>
    <w:rsid w:val="001D41F0"/>
    <w:rPr>
      <w:b/>
      <w:bCs/>
    </w:rPr>
  </w:style>
</w:styles>
</file>

<file path=word/webSettings.xml><?xml version="1.0" encoding="utf-8"?>
<w:webSettings xmlns:r="http://schemas.openxmlformats.org/officeDocument/2006/relationships" xmlns:w="http://schemas.openxmlformats.org/wordprocessingml/2006/main">
  <w:divs>
    <w:div w:id="1801997145">
      <w:marLeft w:val="0"/>
      <w:marRight w:val="0"/>
      <w:marTop w:val="0"/>
      <w:marBottom w:val="0"/>
      <w:divBdr>
        <w:top w:val="none" w:sz="0" w:space="0" w:color="auto"/>
        <w:left w:val="none" w:sz="0" w:space="0" w:color="auto"/>
        <w:bottom w:val="none" w:sz="0" w:space="0" w:color="auto"/>
        <w:right w:val="none" w:sz="0" w:space="0" w:color="auto"/>
      </w:divBdr>
      <w:divsChild>
        <w:div w:id="1801997162">
          <w:marLeft w:val="0"/>
          <w:marRight w:val="0"/>
          <w:marTop w:val="0"/>
          <w:marBottom w:val="0"/>
          <w:divBdr>
            <w:top w:val="none" w:sz="0" w:space="0" w:color="auto"/>
            <w:left w:val="none" w:sz="0" w:space="0" w:color="auto"/>
            <w:bottom w:val="none" w:sz="0" w:space="0" w:color="auto"/>
            <w:right w:val="none" w:sz="0" w:space="0" w:color="auto"/>
          </w:divBdr>
          <w:divsChild>
            <w:div w:id="1801997149">
              <w:marLeft w:val="0"/>
              <w:marRight w:val="0"/>
              <w:marTop w:val="0"/>
              <w:marBottom w:val="0"/>
              <w:divBdr>
                <w:top w:val="none" w:sz="0" w:space="0" w:color="auto"/>
                <w:left w:val="none" w:sz="0" w:space="0" w:color="auto"/>
                <w:bottom w:val="none" w:sz="0" w:space="0" w:color="auto"/>
                <w:right w:val="none" w:sz="0" w:space="0" w:color="auto"/>
              </w:divBdr>
              <w:divsChild>
                <w:div w:id="1801997147">
                  <w:marLeft w:val="0"/>
                  <w:marRight w:val="0"/>
                  <w:marTop w:val="0"/>
                  <w:marBottom w:val="0"/>
                  <w:divBdr>
                    <w:top w:val="none" w:sz="0" w:space="0" w:color="auto"/>
                    <w:left w:val="none" w:sz="0" w:space="0" w:color="auto"/>
                    <w:bottom w:val="none" w:sz="0" w:space="0" w:color="auto"/>
                    <w:right w:val="none" w:sz="0" w:space="0" w:color="auto"/>
                  </w:divBdr>
                  <w:divsChild>
                    <w:div w:id="1801997159">
                      <w:marLeft w:val="0"/>
                      <w:marRight w:val="0"/>
                      <w:marTop w:val="0"/>
                      <w:marBottom w:val="0"/>
                      <w:divBdr>
                        <w:top w:val="none" w:sz="0" w:space="0" w:color="auto"/>
                        <w:left w:val="none" w:sz="0" w:space="0" w:color="auto"/>
                        <w:bottom w:val="none" w:sz="0" w:space="0" w:color="auto"/>
                        <w:right w:val="none" w:sz="0" w:space="0" w:color="auto"/>
                      </w:divBdr>
                    </w:div>
                    <w:div w:id="180199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7155">
      <w:marLeft w:val="0"/>
      <w:marRight w:val="0"/>
      <w:marTop w:val="0"/>
      <w:marBottom w:val="0"/>
      <w:divBdr>
        <w:top w:val="none" w:sz="0" w:space="0" w:color="auto"/>
        <w:left w:val="none" w:sz="0" w:space="0" w:color="auto"/>
        <w:bottom w:val="none" w:sz="0" w:space="0" w:color="auto"/>
        <w:right w:val="none" w:sz="0" w:space="0" w:color="auto"/>
      </w:divBdr>
      <w:divsChild>
        <w:div w:id="1801997157">
          <w:marLeft w:val="0"/>
          <w:marRight w:val="0"/>
          <w:marTop w:val="0"/>
          <w:marBottom w:val="0"/>
          <w:divBdr>
            <w:top w:val="none" w:sz="0" w:space="0" w:color="auto"/>
            <w:left w:val="none" w:sz="0" w:space="0" w:color="auto"/>
            <w:bottom w:val="none" w:sz="0" w:space="0" w:color="auto"/>
            <w:right w:val="none" w:sz="0" w:space="0" w:color="auto"/>
          </w:divBdr>
          <w:divsChild>
            <w:div w:id="1801997160">
              <w:marLeft w:val="0"/>
              <w:marRight w:val="0"/>
              <w:marTop w:val="0"/>
              <w:marBottom w:val="0"/>
              <w:divBdr>
                <w:top w:val="none" w:sz="0" w:space="0" w:color="auto"/>
                <w:left w:val="none" w:sz="0" w:space="0" w:color="auto"/>
                <w:bottom w:val="none" w:sz="0" w:space="0" w:color="auto"/>
                <w:right w:val="none" w:sz="0" w:space="0" w:color="auto"/>
              </w:divBdr>
              <w:divsChild>
                <w:div w:id="1801997156">
                  <w:marLeft w:val="0"/>
                  <w:marRight w:val="0"/>
                  <w:marTop w:val="0"/>
                  <w:marBottom w:val="0"/>
                  <w:divBdr>
                    <w:top w:val="none" w:sz="0" w:space="0" w:color="auto"/>
                    <w:left w:val="none" w:sz="0" w:space="0" w:color="auto"/>
                    <w:bottom w:val="none" w:sz="0" w:space="0" w:color="auto"/>
                    <w:right w:val="none" w:sz="0" w:space="0" w:color="auto"/>
                  </w:divBdr>
                  <w:divsChild>
                    <w:div w:id="1801997153">
                      <w:marLeft w:val="0"/>
                      <w:marRight w:val="0"/>
                      <w:marTop w:val="0"/>
                      <w:marBottom w:val="0"/>
                      <w:divBdr>
                        <w:top w:val="none" w:sz="0" w:space="0" w:color="auto"/>
                        <w:left w:val="none" w:sz="0" w:space="0" w:color="auto"/>
                        <w:bottom w:val="none" w:sz="0" w:space="0" w:color="auto"/>
                        <w:right w:val="none" w:sz="0" w:space="0" w:color="auto"/>
                      </w:divBdr>
                      <w:divsChild>
                        <w:div w:id="1801997144">
                          <w:marLeft w:val="0"/>
                          <w:marRight w:val="0"/>
                          <w:marTop w:val="0"/>
                          <w:marBottom w:val="0"/>
                          <w:divBdr>
                            <w:top w:val="none" w:sz="0" w:space="0" w:color="auto"/>
                            <w:left w:val="none" w:sz="0" w:space="0" w:color="auto"/>
                            <w:bottom w:val="none" w:sz="0" w:space="0" w:color="auto"/>
                            <w:right w:val="none" w:sz="0" w:space="0" w:color="auto"/>
                          </w:divBdr>
                        </w:div>
                        <w:div w:id="1801997146">
                          <w:marLeft w:val="0"/>
                          <w:marRight w:val="0"/>
                          <w:marTop w:val="0"/>
                          <w:marBottom w:val="0"/>
                          <w:divBdr>
                            <w:top w:val="none" w:sz="0" w:space="0" w:color="auto"/>
                            <w:left w:val="none" w:sz="0" w:space="0" w:color="auto"/>
                            <w:bottom w:val="none" w:sz="0" w:space="0" w:color="auto"/>
                            <w:right w:val="none" w:sz="0" w:space="0" w:color="auto"/>
                          </w:divBdr>
                        </w:div>
                        <w:div w:id="1801997148">
                          <w:marLeft w:val="0"/>
                          <w:marRight w:val="0"/>
                          <w:marTop w:val="0"/>
                          <w:marBottom w:val="0"/>
                          <w:divBdr>
                            <w:top w:val="none" w:sz="0" w:space="0" w:color="auto"/>
                            <w:left w:val="none" w:sz="0" w:space="0" w:color="auto"/>
                            <w:bottom w:val="none" w:sz="0" w:space="0" w:color="auto"/>
                            <w:right w:val="none" w:sz="0" w:space="0" w:color="auto"/>
                          </w:divBdr>
                        </w:div>
                        <w:div w:id="1801997150">
                          <w:marLeft w:val="0"/>
                          <w:marRight w:val="0"/>
                          <w:marTop w:val="0"/>
                          <w:marBottom w:val="0"/>
                          <w:divBdr>
                            <w:top w:val="none" w:sz="0" w:space="0" w:color="auto"/>
                            <w:left w:val="none" w:sz="0" w:space="0" w:color="auto"/>
                            <w:bottom w:val="none" w:sz="0" w:space="0" w:color="auto"/>
                            <w:right w:val="none" w:sz="0" w:space="0" w:color="auto"/>
                          </w:divBdr>
                        </w:div>
                        <w:div w:id="1801997151">
                          <w:marLeft w:val="0"/>
                          <w:marRight w:val="0"/>
                          <w:marTop w:val="0"/>
                          <w:marBottom w:val="0"/>
                          <w:divBdr>
                            <w:top w:val="none" w:sz="0" w:space="0" w:color="auto"/>
                            <w:left w:val="none" w:sz="0" w:space="0" w:color="auto"/>
                            <w:bottom w:val="none" w:sz="0" w:space="0" w:color="auto"/>
                            <w:right w:val="none" w:sz="0" w:space="0" w:color="auto"/>
                          </w:divBdr>
                        </w:div>
                        <w:div w:id="1801997152">
                          <w:marLeft w:val="0"/>
                          <w:marRight w:val="0"/>
                          <w:marTop w:val="0"/>
                          <w:marBottom w:val="0"/>
                          <w:divBdr>
                            <w:top w:val="none" w:sz="0" w:space="0" w:color="auto"/>
                            <w:left w:val="none" w:sz="0" w:space="0" w:color="auto"/>
                            <w:bottom w:val="none" w:sz="0" w:space="0" w:color="auto"/>
                            <w:right w:val="none" w:sz="0" w:space="0" w:color="auto"/>
                          </w:divBdr>
                        </w:div>
                        <w:div w:id="1801997154">
                          <w:marLeft w:val="0"/>
                          <w:marRight w:val="0"/>
                          <w:marTop w:val="0"/>
                          <w:marBottom w:val="0"/>
                          <w:divBdr>
                            <w:top w:val="none" w:sz="0" w:space="0" w:color="auto"/>
                            <w:left w:val="none" w:sz="0" w:space="0" w:color="auto"/>
                            <w:bottom w:val="none" w:sz="0" w:space="0" w:color="auto"/>
                            <w:right w:val="none" w:sz="0" w:space="0" w:color="auto"/>
                          </w:divBdr>
                        </w:div>
                        <w:div w:id="1801997158">
                          <w:marLeft w:val="0"/>
                          <w:marRight w:val="0"/>
                          <w:marTop w:val="0"/>
                          <w:marBottom w:val="0"/>
                          <w:divBdr>
                            <w:top w:val="none" w:sz="0" w:space="0" w:color="auto"/>
                            <w:left w:val="none" w:sz="0" w:space="0" w:color="auto"/>
                            <w:bottom w:val="none" w:sz="0" w:space="0" w:color="auto"/>
                            <w:right w:val="none" w:sz="0" w:space="0" w:color="auto"/>
                          </w:divBdr>
                        </w:div>
                        <w:div w:id="18019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miums@pbg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allahan.robert@pbgc.gov" TargetMode="External"/><Relationship Id="rId4" Type="http://schemas.openxmlformats.org/officeDocument/2006/relationships/settings" Target="settings.xml"/><Relationship Id="rId9" Type="http://schemas.openxmlformats.org/officeDocument/2006/relationships/hyperlink" Target="mailto:viener.amy@pbg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8F93A-8F0F-4160-9638-F103E3393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TECHNICAL UPDATE 10-2</vt:lpstr>
    </vt:vector>
  </TitlesOfParts>
  <Company>PBGC</Company>
  <LinksUpToDate>false</LinksUpToDate>
  <CharactersWithSpaces>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UPDATE 10-2</dc:title>
  <dc:subject/>
  <dc:creator>Amy Viener</dc:creator>
  <cp:keywords/>
  <dc:description/>
  <cp:lastModifiedBy>Cathy Klion</cp:lastModifiedBy>
  <cp:revision>2</cp:revision>
  <cp:lastPrinted>2010-06-04T18:17:00Z</cp:lastPrinted>
  <dcterms:created xsi:type="dcterms:W3CDTF">2010-06-07T20:33:00Z</dcterms:created>
  <dcterms:modified xsi:type="dcterms:W3CDTF">2010-06-07T20:33:00Z</dcterms:modified>
</cp:coreProperties>
</file>