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C70" w:rsidRPr="00A211BB" w:rsidRDefault="00D22C70">
      <w:pPr>
        <w:tabs>
          <w:tab w:val="left" w:pos="0"/>
          <w:tab w:val="left" w:pos="360"/>
          <w:tab w:val="left" w:pos="720"/>
        </w:tabs>
        <w:suppressAutoHyphens/>
        <w:spacing w:line="240" w:lineRule="atLeast"/>
        <w:jc w:val="center"/>
        <w:rPr>
          <w:b/>
          <w:bCs/>
          <w:sz w:val="24"/>
          <w:szCs w:val="24"/>
        </w:rPr>
      </w:pPr>
      <w:r w:rsidRPr="00A211BB">
        <w:rPr>
          <w:b/>
          <w:bCs/>
          <w:sz w:val="24"/>
          <w:szCs w:val="24"/>
        </w:rPr>
        <w:t>Supporting Statement for the</w:t>
      </w:r>
    </w:p>
    <w:p w:rsidR="00300BB9" w:rsidRDefault="00D22C70">
      <w:pPr>
        <w:tabs>
          <w:tab w:val="left" w:pos="0"/>
          <w:tab w:val="left" w:pos="360"/>
          <w:tab w:val="left" w:pos="720"/>
        </w:tabs>
        <w:suppressAutoHyphens/>
        <w:spacing w:line="240" w:lineRule="atLeast"/>
        <w:jc w:val="center"/>
        <w:rPr>
          <w:b/>
          <w:bCs/>
          <w:sz w:val="24"/>
          <w:szCs w:val="24"/>
        </w:rPr>
      </w:pPr>
      <w:r w:rsidRPr="00A211BB">
        <w:rPr>
          <w:b/>
          <w:bCs/>
          <w:sz w:val="24"/>
          <w:szCs w:val="24"/>
        </w:rPr>
        <w:t xml:space="preserve">Skilled Nursing Facility Cost Report </w:t>
      </w:r>
    </w:p>
    <w:p w:rsidR="00D22C70" w:rsidRPr="00A211BB" w:rsidRDefault="00D22C70">
      <w:pPr>
        <w:tabs>
          <w:tab w:val="left" w:pos="0"/>
          <w:tab w:val="left" w:pos="360"/>
          <w:tab w:val="left" w:pos="720"/>
        </w:tabs>
        <w:suppressAutoHyphens/>
        <w:spacing w:line="240" w:lineRule="atLeast"/>
        <w:jc w:val="center"/>
        <w:rPr>
          <w:sz w:val="24"/>
          <w:szCs w:val="24"/>
        </w:rPr>
      </w:pPr>
      <w:r w:rsidRPr="00A211BB">
        <w:rPr>
          <w:b/>
          <w:bCs/>
          <w:sz w:val="24"/>
          <w:szCs w:val="24"/>
        </w:rPr>
        <w:t>FORM CMS-2540-</w:t>
      </w:r>
      <w:r w:rsidR="00F333AB">
        <w:rPr>
          <w:b/>
          <w:bCs/>
          <w:sz w:val="24"/>
          <w:szCs w:val="24"/>
        </w:rPr>
        <w:t>10</w:t>
      </w:r>
    </w:p>
    <w:p w:rsidR="00D22C70" w:rsidRPr="00A211BB" w:rsidRDefault="00D22C70">
      <w:pPr>
        <w:tabs>
          <w:tab w:val="left" w:pos="0"/>
          <w:tab w:val="left" w:pos="360"/>
          <w:tab w:val="left" w:pos="720"/>
        </w:tabs>
        <w:suppressAutoHyphens/>
        <w:spacing w:line="240" w:lineRule="atLeast"/>
        <w:rPr>
          <w:sz w:val="24"/>
          <w:szCs w:val="24"/>
        </w:rPr>
      </w:pPr>
    </w:p>
    <w:p w:rsidR="00D22C70" w:rsidRDefault="00D22C70" w:rsidP="00035ED9">
      <w:pPr>
        <w:tabs>
          <w:tab w:val="left" w:pos="0"/>
          <w:tab w:val="left" w:pos="360"/>
          <w:tab w:val="left" w:pos="720"/>
        </w:tabs>
        <w:suppressAutoHyphens/>
        <w:spacing w:line="240" w:lineRule="atLeast"/>
        <w:ind w:left="360" w:hanging="360"/>
        <w:rPr>
          <w:b/>
          <w:bCs/>
          <w:sz w:val="24"/>
          <w:szCs w:val="24"/>
        </w:rPr>
      </w:pPr>
      <w:r w:rsidRPr="00A211BB">
        <w:rPr>
          <w:b/>
          <w:bCs/>
          <w:sz w:val="24"/>
          <w:szCs w:val="24"/>
        </w:rPr>
        <w:t>A.</w:t>
      </w:r>
      <w:r w:rsidRPr="00A211BB">
        <w:rPr>
          <w:b/>
          <w:bCs/>
          <w:sz w:val="24"/>
          <w:szCs w:val="24"/>
        </w:rPr>
        <w:tab/>
        <w:t>BACKGROUND</w:t>
      </w:r>
    </w:p>
    <w:p w:rsidR="00E067B1" w:rsidRPr="00A211BB" w:rsidRDefault="00E067B1" w:rsidP="00035ED9">
      <w:pPr>
        <w:tabs>
          <w:tab w:val="left" w:pos="0"/>
          <w:tab w:val="left" w:pos="360"/>
          <w:tab w:val="left" w:pos="720"/>
        </w:tabs>
        <w:suppressAutoHyphens/>
        <w:spacing w:line="240" w:lineRule="atLeast"/>
        <w:ind w:left="360" w:hanging="360"/>
        <w:rPr>
          <w:b/>
          <w:sz w:val="24"/>
          <w:szCs w:val="24"/>
        </w:rPr>
      </w:pPr>
    </w:p>
    <w:p w:rsidR="002C09FC" w:rsidRPr="0085409C" w:rsidRDefault="002C09FC" w:rsidP="00035E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85409C">
        <w:rPr>
          <w:sz w:val="24"/>
        </w:rPr>
        <w:t xml:space="preserve">Part A institutional providers must provide adequate cost data </w:t>
      </w:r>
      <w:r>
        <w:rPr>
          <w:sz w:val="24"/>
        </w:rPr>
        <w:t xml:space="preserve">to </w:t>
      </w:r>
      <w:r w:rsidRPr="0085409C">
        <w:rPr>
          <w:sz w:val="24"/>
        </w:rPr>
        <w:t>receiv</w:t>
      </w:r>
      <w:r>
        <w:rPr>
          <w:sz w:val="24"/>
        </w:rPr>
        <w:t>e</w:t>
      </w:r>
      <w:r w:rsidRPr="0085409C">
        <w:rPr>
          <w:sz w:val="24"/>
        </w:rPr>
        <w:t xml:space="preserve"> Medicare reimbursement</w:t>
      </w:r>
      <w:r>
        <w:rPr>
          <w:sz w:val="24"/>
        </w:rPr>
        <w:t xml:space="preserve"> </w:t>
      </w:r>
      <w:r w:rsidRPr="0085409C">
        <w:rPr>
          <w:sz w:val="24"/>
        </w:rPr>
        <w:t xml:space="preserve">(42 CFR 413.24(a)).  Providers must submit the cost data to their Medicare </w:t>
      </w:r>
      <w:r>
        <w:rPr>
          <w:sz w:val="24"/>
        </w:rPr>
        <w:t>F</w:t>
      </w:r>
      <w:r w:rsidRPr="0085409C">
        <w:rPr>
          <w:sz w:val="24"/>
        </w:rPr>
        <w:t xml:space="preserve">iscal </w:t>
      </w:r>
      <w:r>
        <w:rPr>
          <w:sz w:val="24"/>
        </w:rPr>
        <w:t>I</w:t>
      </w:r>
      <w:r w:rsidRPr="0085409C">
        <w:rPr>
          <w:sz w:val="24"/>
        </w:rPr>
        <w:t>ntermediary (FI)/Medicare Administrative Contractor (MAC) through the Medicare cost report (MCR).</w:t>
      </w:r>
    </w:p>
    <w:p w:rsidR="00D22C70" w:rsidRPr="00A211BB" w:rsidRDefault="00D22C70" w:rsidP="00035ED9">
      <w:pPr>
        <w:tabs>
          <w:tab w:val="left" w:pos="0"/>
          <w:tab w:val="left" w:pos="360"/>
          <w:tab w:val="left" w:pos="720"/>
        </w:tabs>
        <w:suppressAutoHyphens/>
        <w:spacing w:line="240" w:lineRule="atLeast"/>
        <w:rPr>
          <w:sz w:val="24"/>
          <w:szCs w:val="24"/>
        </w:rPr>
      </w:pPr>
    </w:p>
    <w:p w:rsidR="00254D93" w:rsidRPr="0085409C" w:rsidRDefault="00D22C70" w:rsidP="00035ED9">
      <w:pPr>
        <w:ind w:left="360"/>
        <w:rPr>
          <w:sz w:val="24"/>
        </w:rPr>
      </w:pPr>
      <w:r w:rsidRPr="00A211BB">
        <w:rPr>
          <w:sz w:val="24"/>
          <w:szCs w:val="24"/>
        </w:rPr>
        <w:t>CMS is requesting the Office of Management and Budget (OMB) review and approv</w:t>
      </w:r>
      <w:r w:rsidR="00300BB9">
        <w:rPr>
          <w:sz w:val="24"/>
          <w:szCs w:val="24"/>
        </w:rPr>
        <w:t>e</w:t>
      </w:r>
      <w:r w:rsidRPr="00A211BB">
        <w:rPr>
          <w:sz w:val="24"/>
          <w:szCs w:val="24"/>
        </w:rPr>
        <w:t xml:space="preserve"> </w:t>
      </w:r>
      <w:r w:rsidR="00E067B1">
        <w:rPr>
          <w:sz w:val="24"/>
          <w:szCs w:val="24"/>
        </w:rPr>
        <w:t xml:space="preserve">revisions made to the Skilled Nursing Facility </w:t>
      </w:r>
      <w:r w:rsidR="00035ED9">
        <w:rPr>
          <w:sz w:val="24"/>
          <w:szCs w:val="24"/>
        </w:rPr>
        <w:t xml:space="preserve">(SNF) </w:t>
      </w:r>
      <w:r w:rsidR="00E067B1">
        <w:rPr>
          <w:sz w:val="24"/>
          <w:szCs w:val="24"/>
        </w:rPr>
        <w:t>Cost Report</w:t>
      </w:r>
      <w:r w:rsidRPr="00A211BB">
        <w:rPr>
          <w:sz w:val="24"/>
          <w:szCs w:val="24"/>
        </w:rPr>
        <w:t xml:space="preserve"> F</w:t>
      </w:r>
      <w:r w:rsidR="00E067B1">
        <w:rPr>
          <w:sz w:val="24"/>
          <w:szCs w:val="24"/>
        </w:rPr>
        <w:t>ORM</w:t>
      </w:r>
      <w:r w:rsidRPr="00A211BB">
        <w:rPr>
          <w:sz w:val="24"/>
          <w:szCs w:val="24"/>
        </w:rPr>
        <w:t xml:space="preserve"> CMS</w:t>
      </w:r>
      <w:r w:rsidRPr="00A211BB">
        <w:rPr>
          <w:sz w:val="24"/>
          <w:szCs w:val="24"/>
        </w:rPr>
        <w:noBreakHyphen/>
        <w:t>2540-</w:t>
      </w:r>
      <w:r w:rsidR="00F333AB">
        <w:rPr>
          <w:sz w:val="24"/>
          <w:szCs w:val="24"/>
        </w:rPr>
        <w:t>10</w:t>
      </w:r>
      <w:r w:rsidRPr="00A211BB">
        <w:rPr>
          <w:sz w:val="24"/>
          <w:szCs w:val="24"/>
        </w:rPr>
        <w:t xml:space="preserve">, </w:t>
      </w:r>
      <w:r w:rsidR="00E067B1">
        <w:rPr>
          <w:sz w:val="24"/>
          <w:szCs w:val="24"/>
        </w:rPr>
        <w:t xml:space="preserve">(for cost reporting periods beginning on or after </w:t>
      </w:r>
      <w:r w:rsidR="00ED1BD6">
        <w:rPr>
          <w:sz w:val="24"/>
          <w:szCs w:val="24"/>
        </w:rPr>
        <w:t>December</w:t>
      </w:r>
      <w:r w:rsidR="00E067B1">
        <w:rPr>
          <w:sz w:val="24"/>
          <w:szCs w:val="24"/>
        </w:rPr>
        <w:t xml:space="preserve"> 1, 2010) which replaces the existing FORM CMS 2540-96</w:t>
      </w:r>
      <w:r w:rsidR="00ED1BD6">
        <w:rPr>
          <w:sz w:val="24"/>
          <w:szCs w:val="24"/>
        </w:rPr>
        <w:t>.</w:t>
      </w:r>
      <w:r w:rsidR="00E067B1">
        <w:rPr>
          <w:sz w:val="24"/>
          <w:szCs w:val="24"/>
        </w:rPr>
        <w:t xml:space="preserve"> </w:t>
      </w:r>
      <w:r w:rsidRPr="00A211BB">
        <w:rPr>
          <w:sz w:val="24"/>
          <w:szCs w:val="24"/>
        </w:rPr>
        <w:t xml:space="preserve"> </w:t>
      </w:r>
      <w:r w:rsidR="00254D93" w:rsidRPr="0085409C">
        <w:rPr>
          <w:sz w:val="24"/>
        </w:rPr>
        <w:t xml:space="preserve">Revisions made to </w:t>
      </w:r>
      <w:r w:rsidR="00254D93">
        <w:rPr>
          <w:sz w:val="24"/>
        </w:rPr>
        <w:t xml:space="preserve">update the </w:t>
      </w:r>
      <w:r w:rsidR="00254D93" w:rsidRPr="0085409C">
        <w:rPr>
          <w:sz w:val="24"/>
        </w:rPr>
        <w:t>forms</w:t>
      </w:r>
      <w:r w:rsidR="00254D93">
        <w:rPr>
          <w:sz w:val="24"/>
        </w:rPr>
        <w:t xml:space="preserve"> currently in use</w:t>
      </w:r>
      <w:r w:rsidR="00254D93" w:rsidRPr="0085409C">
        <w:rPr>
          <w:sz w:val="24"/>
        </w:rPr>
        <w:t xml:space="preserve"> are incorporated within this request for approval.  Below is a summary of the revisions to the cost reporting form</w:t>
      </w:r>
      <w:r w:rsidR="00254D93">
        <w:rPr>
          <w:sz w:val="24"/>
        </w:rPr>
        <w:t>s</w:t>
      </w:r>
      <w:r w:rsidR="00254D93" w:rsidRPr="0085409C">
        <w:rPr>
          <w:sz w:val="24"/>
        </w:rPr>
        <w:t>.</w:t>
      </w:r>
    </w:p>
    <w:p w:rsidR="00D22C70" w:rsidRDefault="00D22C70" w:rsidP="00035ED9">
      <w:pPr>
        <w:tabs>
          <w:tab w:val="left" w:pos="0"/>
          <w:tab w:val="left" w:pos="360"/>
          <w:tab w:val="left" w:pos="720"/>
        </w:tabs>
        <w:suppressAutoHyphens/>
        <w:spacing w:line="240" w:lineRule="atLeast"/>
        <w:ind w:left="360"/>
        <w:rPr>
          <w:sz w:val="24"/>
          <w:szCs w:val="24"/>
        </w:rPr>
      </w:pPr>
    </w:p>
    <w:p w:rsidR="008673E8" w:rsidRPr="0085409C" w:rsidRDefault="008673E8" w:rsidP="00035ED9">
      <w:pPr>
        <w:widowControl/>
        <w:numPr>
          <w:ilvl w:val="1"/>
          <w:numId w:val="8"/>
        </w:numPr>
        <w:tabs>
          <w:tab w:val="clear" w:pos="1440"/>
          <w:tab w:val="num" w:pos="1080"/>
        </w:tabs>
        <w:autoSpaceDE/>
        <w:autoSpaceDN/>
        <w:adjustRightInd/>
        <w:ind w:left="1080"/>
        <w:rPr>
          <w:sz w:val="24"/>
        </w:rPr>
      </w:pPr>
      <w:r w:rsidRPr="0085409C">
        <w:rPr>
          <w:sz w:val="24"/>
        </w:rPr>
        <w:t>Clarify existing instructions and definitions.</w:t>
      </w:r>
    </w:p>
    <w:p w:rsidR="008673E8" w:rsidRDefault="008673E8" w:rsidP="00035ED9">
      <w:pPr>
        <w:widowControl/>
        <w:numPr>
          <w:ilvl w:val="1"/>
          <w:numId w:val="8"/>
        </w:numPr>
        <w:tabs>
          <w:tab w:val="clear" w:pos="1440"/>
          <w:tab w:val="num" w:pos="1080"/>
        </w:tabs>
        <w:autoSpaceDE/>
        <w:autoSpaceDN/>
        <w:adjustRightInd/>
        <w:ind w:left="1080"/>
        <w:rPr>
          <w:sz w:val="24"/>
        </w:rPr>
      </w:pPr>
      <w:r w:rsidRPr="0085409C">
        <w:rPr>
          <w:sz w:val="24"/>
        </w:rPr>
        <w:t>Standardize reporting of legislative and policy changes incorporated in the prior version of the</w:t>
      </w:r>
      <w:r w:rsidR="002A71DD">
        <w:rPr>
          <w:sz w:val="24"/>
        </w:rPr>
        <w:t xml:space="preserve"> SNF</w:t>
      </w:r>
      <w:r w:rsidRPr="0085409C">
        <w:rPr>
          <w:sz w:val="24"/>
        </w:rPr>
        <w:t xml:space="preserve"> cost report (FORM CMS-25</w:t>
      </w:r>
      <w:r>
        <w:rPr>
          <w:sz w:val="24"/>
        </w:rPr>
        <w:t>40</w:t>
      </w:r>
      <w:r w:rsidRPr="0085409C">
        <w:rPr>
          <w:sz w:val="24"/>
        </w:rPr>
        <w:t>-96) through transmittal updates.</w:t>
      </w:r>
    </w:p>
    <w:p w:rsidR="00D33E88" w:rsidRPr="0085409C" w:rsidRDefault="00D33E88" w:rsidP="00035ED9">
      <w:pPr>
        <w:widowControl/>
        <w:numPr>
          <w:ilvl w:val="1"/>
          <w:numId w:val="8"/>
        </w:numPr>
        <w:tabs>
          <w:tab w:val="clear" w:pos="1440"/>
          <w:tab w:val="num" w:pos="1080"/>
        </w:tabs>
        <w:autoSpaceDE/>
        <w:autoSpaceDN/>
        <w:adjustRightInd/>
        <w:ind w:left="1080"/>
        <w:rPr>
          <w:sz w:val="24"/>
        </w:rPr>
      </w:pPr>
      <w:r w:rsidRPr="0085409C">
        <w:rPr>
          <w:sz w:val="24"/>
        </w:rPr>
        <w:t>Standardize subscripted lines and renumber forms.</w:t>
      </w:r>
    </w:p>
    <w:p w:rsidR="00ED1BD6" w:rsidRPr="00ED1BD6" w:rsidRDefault="008673E8" w:rsidP="00035ED9">
      <w:pPr>
        <w:widowControl/>
        <w:numPr>
          <w:ilvl w:val="0"/>
          <w:numId w:val="7"/>
        </w:numPr>
        <w:autoSpaceDE/>
        <w:autoSpaceDN/>
        <w:adjustRightInd/>
        <w:outlineLvl w:val="0"/>
        <w:rPr>
          <w:sz w:val="24"/>
          <w:szCs w:val="24"/>
        </w:rPr>
      </w:pPr>
      <w:r>
        <w:rPr>
          <w:sz w:val="24"/>
          <w:szCs w:val="24"/>
        </w:rPr>
        <w:t>Modif</w:t>
      </w:r>
      <w:r w:rsidR="00D33E88">
        <w:rPr>
          <w:sz w:val="24"/>
          <w:szCs w:val="24"/>
        </w:rPr>
        <w:t>y</w:t>
      </w:r>
      <w:r w:rsidR="00ED1BD6" w:rsidRPr="00ED1BD6">
        <w:rPr>
          <w:sz w:val="24"/>
          <w:szCs w:val="24"/>
        </w:rPr>
        <w:t xml:space="preserve"> to </w:t>
      </w:r>
      <w:r w:rsidR="00D33E88">
        <w:rPr>
          <w:sz w:val="24"/>
          <w:szCs w:val="24"/>
        </w:rPr>
        <w:t xml:space="preserve">account </w:t>
      </w:r>
      <w:r w:rsidR="00ED1BD6" w:rsidRPr="00ED1BD6">
        <w:rPr>
          <w:sz w:val="24"/>
          <w:szCs w:val="24"/>
        </w:rPr>
        <w:t xml:space="preserve">for 22 additional </w:t>
      </w:r>
      <w:r w:rsidR="00035ED9" w:rsidRPr="00A211BB">
        <w:rPr>
          <w:sz w:val="24"/>
          <w:szCs w:val="24"/>
        </w:rPr>
        <w:t>Resource Utilization Groups</w:t>
      </w:r>
      <w:r w:rsidR="00035ED9">
        <w:rPr>
          <w:sz w:val="24"/>
          <w:szCs w:val="24"/>
        </w:rPr>
        <w:t xml:space="preserve"> (</w:t>
      </w:r>
      <w:r w:rsidR="00ED1BD6" w:rsidRPr="00ED1BD6">
        <w:rPr>
          <w:sz w:val="24"/>
          <w:szCs w:val="24"/>
        </w:rPr>
        <w:t>RUG</w:t>
      </w:r>
      <w:r w:rsidR="00035ED9">
        <w:rPr>
          <w:sz w:val="24"/>
          <w:szCs w:val="24"/>
        </w:rPr>
        <w:t xml:space="preserve">s) </w:t>
      </w:r>
      <w:r w:rsidR="00ED1BD6" w:rsidRPr="00ED1BD6">
        <w:rPr>
          <w:sz w:val="24"/>
          <w:szCs w:val="24"/>
        </w:rPr>
        <w:t xml:space="preserve">as published in the Federal Register Vol.74, No. 153 August 11, 2009. </w:t>
      </w:r>
    </w:p>
    <w:p w:rsidR="00ED1BD6" w:rsidRPr="00ED1BD6" w:rsidRDefault="002A71DD" w:rsidP="00035ED9">
      <w:pPr>
        <w:widowControl/>
        <w:numPr>
          <w:ilvl w:val="0"/>
          <w:numId w:val="7"/>
        </w:numPr>
        <w:autoSpaceDE/>
        <w:autoSpaceDN/>
        <w:adjustRightInd/>
        <w:outlineLvl w:val="0"/>
        <w:rPr>
          <w:sz w:val="24"/>
          <w:szCs w:val="24"/>
        </w:rPr>
      </w:pPr>
      <w:r>
        <w:rPr>
          <w:sz w:val="24"/>
          <w:szCs w:val="24"/>
        </w:rPr>
        <w:t xml:space="preserve">Reserved additional lines for future use </w:t>
      </w:r>
      <w:r w:rsidR="00ED1BD6" w:rsidRPr="00ED1BD6">
        <w:rPr>
          <w:sz w:val="24"/>
          <w:szCs w:val="24"/>
        </w:rPr>
        <w:t xml:space="preserve">in anticipation of changes forthcoming because of Section 6104 of the PPACA Public Law 111-148 </w:t>
      </w:r>
      <w:r w:rsidR="002120FF">
        <w:rPr>
          <w:sz w:val="24"/>
          <w:szCs w:val="24"/>
        </w:rPr>
        <w:t>s</w:t>
      </w:r>
      <w:r w:rsidR="00ED1BD6" w:rsidRPr="00ED1BD6">
        <w:rPr>
          <w:sz w:val="24"/>
          <w:szCs w:val="24"/>
        </w:rPr>
        <w:t>igned March 23, 2010</w:t>
      </w:r>
      <w:r w:rsidR="000912ED">
        <w:rPr>
          <w:sz w:val="24"/>
          <w:szCs w:val="24"/>
        </w:rPr>
        <w:t>.</w:t>
      </w:r>
      <w:r w:rsidR="00ED1BD6" w:rsidRPr="00ED1BD6">
        <w:rPr>
          <w:sz w:val="24"/>
          <w:szCs w:val="24"/>
        </w:rPr>
        <w:t xml:space="preserve"> </w:t>
      </w:r>
    </w:p>
    <w:p w:rsidR="002A71DD" w:rsidRDefault="00D33E88" w:rsidP="00035ED9">
      <w:pPr>
        <w:widowControl/>
        <w:numPr>
          <w:ilvl w:val="0"/>
          <w:numId w:val="7"/>
        </w:numPr>
        <w:autoSpaceDE/>
        <w:autoSpaceDN/>
        <w:adjustRightInd/>
        <w:outlineLvl w:val="0"/>
        <w:rPr>
          <w:sz w:val="24"/>
          <w:szCs w:val="24"/>
        </w:rPr>
      </w:pPr>
      <w:r>
        <w:rPr>
          <w:sz w:val="24"/>
          <w:szCs w:val="24"/>
        </w:rPr>
        <w:t xml:space="preserve">Modify </w:t>
      </w:r>
      <w:r w:rsidR="00ED1BD6" w:rsidRPr="00ED1BD6">
        <w:rPr>
          <w:sz w:val="24"/>
          <w:szCs w:val="24"/>
        </w:rPr>
        <w:t>SNF cost report to mirror changes made to the Hospital Based SNF cost report</w:t>
      </w:r>
      <w:r w:rsidR="002A71DD">
        <w:rPr>
          <w:sz w:val="24"/>
          <w:szCs w:val="24"/>
        </w:rPr>
        <w:t xml:space="preserve"> which is part of the pending Hospital &amp; Hospital Healthcare Complex Cost Report 2552-10.</w:t>
      </w:r>
    </w:p>
    <w:p w:rsidR="00D22C70" w:rsidRPr="00035ED9" w:rsidRDefault="00AE2D8D" w:rsidP="00035ED9">
      <w:pPr>
        <w:widowControl/>
        <w:numPr>
          <w:ilvl w:val="0"/>
          <w:numId w:val="7"/>
        </w:numPr>
        <w:autoSpaceDE/>
        <w:autoSpaceDN/>
        <w:adjustRightInd/>
        <w:outlineLvl w:val="0"/>
        <w:rPr>
          <w:sz w:val="24"/>
          <w:szCs w:val="24"/>
        </w:rPr>
      </w:pPr>
      <w:r w:rsidRPr="002A71DD">
        <w:rPr>
          <w:sz w:val="24"/>
        </w:rPr>
        <w:t>Incorporate</w:t>
      </w:r>
      <w:r w:rsidR="002A71DD" w:rsidRPr="002A71DD">
        <w:rPr>
          <w:sz w:val="24"/>
        </w:rPr>
        <w:t xml:space="preserve"> data previously reported on the Provider Cost Report Reimbursement Questionnaire, FORM CMS-339</w:t>
      </w:r>
      <w:r w:rsidR="00035ED9">
        <w:rPr>
          <w:sz w:val="24"/>
        </w:rPr>
        <w:t>.</w:t>
      </w:r>
    </w:p>
    <w:p w:rsidR="00035ED9" w:rsidRPr="00A211BB" w:rsidRDefault="00035ED9" w:rsidP="00035ED9">
      <w:pPr>
        <w:widowControl/>
        <w:autoSpaceDE/>
        <w:autoSpaceDN/>
        <w:adjustRightInd/>
        <w:ind w:left="1080"/>
        <w:outlineLvl w:val="0"/>
        <w:rPr>
          <w:sz w:val="24"/>
          <w:szCs w:val="24"/>
        </w:rPr>
      </w:pPr>
    </w:p>
    <w:p w:rsidR="00D22C70" w:rsidRPr="00A211BB" w:rsidRDefault="00D22C70" w:rsidP="00035ED9">
      <w:pPr>
        <w:tabs>
          <w:tab w:val="left" w:pos="0"/>
          <w:tab w:val="left" w:pos="360"/>
          <w:tab w:val="left" w:pos="720"/>
        </w:tabs>
        <w:suppressAutoHyphens/>
        <w:spacing w:line="240" w:lineRule="atLeast"/>
        <w:rPr>
          <w:b/>
          <w:sz w:val="24"/>
          <w:szCs w:val="24"/>
        </w:rPr>
      </w:pPr>
      <w:r w:rsidRPr="00A211BB">
        <w:rPr>
          <w:b/>
          <w:bCs/>
          <w:sz w:val="24"/>
          <w:szCs w:val="24"/>
        </w:rPr>
        <w:t>B.</w:t>
      </w:r>
      <w:r w:rsidRPr="00A211BB">
        <w:rPr>
          <w:b/>
          <w:bCs/>
          <w:sz w:val="24"/>
          <w:szCs w:val="24"/>
        </w:rPr>
        <w:tab/>
        <w:t>JUSTIFICATION</w:t>
      </w:r>
      <w:r w:rsidRPr="00A211BB">
        <w:rPr>
          <w:b/>
          <w:sz w:val="24"/>
          <w:szCs w:val="24"/>
        </w:rPr>
        <w:t xml:space="preserve"> </w:t>
      </w:r>
    </w:p>
    <w:p w:rsidR="00D22C70" w:rsidRPr="00A211BB" w:rsidRDefault="00D22C70" w:rsidP="00035ED9">
      <w:pPr>
        <w:tabs>
          <w:tab w:val="left" w:pos="0"/>
          <w:tab w:val="left" w:pos="360"/>
          <w:tab w:val="left" w:pos="720"/>
        </w:tabs>
        <w:suppressAutoHyphens/>
        <w:spacing w:line="240" w:lineRule="atLeast"/>
        <w:rPr>
          <w:sz w:val="24"/>
          <w:szCs w:val="24"/>
        </w:rPr>
      </w:pPr>
    </w:p>
    <w:p w:rsidR="007952CC"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Need and Legal Basis</w:t>
      </w:r>
    </w:p>
    <w:p w:rsidR="00D22C70" w:rsidRPr="00A211BB" w:rsidRDefault="00D22C70" w:rsidP="00035ED9">
      <w:pPr>
        <w:tabs>
          <w:tab w:val="left" w:pos="0"/>
          <w:tab w:val="left" w:pos="360"/>
          <w:tab w:val="left" w:pos="720"/>
        </w:tabs>
        <w:suppressAutoHyphens/>
        <w:spacing w:line="240" w:lineRule="atLeast"/>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Providers of services participating in the Medicare program are required under sections 1815(a)</w:t>
      </w:r>
      <w:r w:rsidR="00DF159F" w:rsidRPr="00A211BB">
        <w:rPr>
          <w:sz w:val="24"/>
          <w:szCs w:val="24"/>
        </w:rPr>
        <w:t>,</w:t>
      </w:r>
      <w:r w:rsidRPr="00A211BB">
        <w:rPr>
          <w:sz w:val="24"/>
          <w:szCs w:val="24"/>
        </w:rPr>
        <w:t xml:space="preserve"> and 1861(v)(1)(A) of the Social Security Act (42 USC 1395g) to submit annual information to achieve settlement of costs for health care services rendered to Medicare beneficiaries.</w:t>
      </w:r>
    </w:p>
    <w:p w:rsidR="00D22C70" w:rsidRPr="00A211BB" w:rsidRDefault="00D22C70" w:rsidP="00035ED9">
      <w:pPr>
        <w:tabs>
          <w:tab w:val="left" w:pos="0"/>
          <w:tab w:val="left" w:pos="720"/>
        </w:tabs>
        <w:suppressAutoHyphens/>
        <w:spacing w:line="240" w:lineRule="atLeast"/>
        <w:ind w:left="72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The CMS-2540-</w:t>
      </w:r>
      <w:r w:rsidR="00F333AB">
        <w:rPr>
          <w:sz w:val="24"/>
          <w:szCs w:val="24"/>
        </w:rPr>
        <w:t>10</w:t>
      </w:r>
      <w:r w:rsidRPr="00A211BB">
        <w:rPr>
          <w:sz w:val="24"/>
          <w:szCs w:val="24"/>
        </w:rPr>
        <w:t xml:space="preserve"> cost report is needed to determine the amount of </w:t>
      </w:r>
      <w:r w:rsidR="00043EE8" w:rsidRPr="00A211BB">
        <w:rPr>
          <w:sz w:val="24"/>
          <w:szCs w:val="24"/>
        </w:rPr>
        <w:t>reimbursement that</w:t>
      </w:r>
      <w:r w:rsidRPr="00A211BB">
        <w:rPr>
          <w:sz w:val="24"/>
          <w:szCs w:val="24"/>
        </w:rPr>
        <w:t xml:space="preserve"> is </w:t>
      </w:r>
      <w:r w:rsidRPr="00A211BB">
        <w:rPr>
          <w:sz w:val="24"/>
          <w:szCs w:val="24"/>
        </w:rPr>
        <w:lastRenderedPageBreak/>
        <w:t xml:space="preserve">due </w:t>
      </w:r>
      <w:r w:rsidR="00CB7C2D" w:rsidRPr="00A211BB">
        <w:rPr>
          <w:sz w:val="24"/>
          <w:szCs w:val="24"/>
        </w:rPr>
        <w:t xml:space="preserve">to </w:t>
      </w:r>
      <w:r w:rsidRPr="00A211BB">
        <w:rPr>
          <w:sz w:val="24"/>
          <w:szCs w:val="24"/>
        </w:rPr>
        <w:t>these providers furnishing medical services to Medicare beneficiaries.</w:t>
      </w:r>
    </w:p>
    <w:p w:rsidR="00ED1BD6" w:rsidRDefault="00ED1BD6" w:rsidP="00035ED9">
      <w:pPr>
        <w:tabs>
          <w:tab w:val="left" w:pos="0"/>
          <w:tab w:val="left" w:pos="360"/>
          <w:tab w:val="left" w:pos="720"/>
        </w:tabs>
        <w:suppressAutoHyphens/>
        <w:spacing w:line="240" w:lineRule="atLeast"/>
        <w:ind w:left="360"/>
        <w:rPr>
          <w:sz w:val="24"/>
          <w:szCs w:val="24"/>
        </w:rPr>
      </w:pPr>
    </w:p>
    <w:p w:rsidR="007952CC"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u w:val="single"/>
        </w:rPr>
      </w:pPr>
      <w:r w:rsidRPr="007952CC">
        <w:rPr>
          <w:sz w:val="24"/>
          <w:szCs w:val="24"/>
          <w:u w:val="single"/>
        </w:rPr>
        <w:t>Information Users</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6D6D5B" w:rsidRPr="0085409C" w:rsidRDefault="006D6D5B" w:rsidP="00035ED9">
      <w:pPr>
        <w:ind w:left="720"/>
        <w:rPr>
          <w:sz w:val="24"/>
        </w:rPr>
      </w:pPr>
      <w:r w:rsidRPr="0085409C">
        <w:rPr>
          <w:sz w:val="24"/>
        </w:rPr>
        <w:t xml:space="preserve">The primary function of the cost report is to determine the reimbursement of providers for services rendered to program beneficiaries.  The FI/MAC uses the cost report to make settlement with the provider for the fiscal period covered by the cost report. </w:t>
      </w:r>
      <w:r w:rsidR="00035ED9">
        <w:rPr>
          <w:sz w:val="24"/>
        </w:rPr>
        <w:t xml:space="preserve"> </w:t>
      </w:r>
      <w:r w:rsidRPr="0085409C">
        <w:rPr>
          <w:sz w:val="24"/>
        </w:rPr>
        <w:t>Furthermore, the FI/MAC uses the cost report to determine the necessity and scope of an audit of the records of the provider.</w:t>
      </w:r>
    </w:p>
    <w:p w:rsidR="006D6D5B" w:rsidRPr="0085409C" w:rsidRDefault="006D6D5B" w:rsidP="00035ED9">
      <w:pPr>
        <w:tabs>
          <w:tab w:val="left" w:pos="-1152"/>
          <w:tab w:val="left" w:pos="-720"/>
          <w:tab w:val="left" w:pos="0"/>
          <w:tab w:val="left" w:pos="360"/>
        </w:tabs>
        <w:rPr>
          <w:sz w:val="24"/>
        </w:rPr>
      </w:pPr>
    </w:p>
    <w:p w:rsidR="006D6D5B" w:rsidRPr="0085409C" w:rsidRDefault="006D6D5B" w:rsidP="00035ED9">
      <w:pPr>
        <w:ind w:left="720"/>
        <w:rPr>
          <w:sz w:val="24"/>
        </w:rPr>
      </w:pPr>
      <w:r w:rsidRPr="0085409C">
        <w:rPr>
          <w:sz w:val="24"/>
        </w:rPr>
        <w:t xml:space="preserve">CMS uses the data collected on the MCR to project future Medicare expenditures, determine adequate deductibles and premiums, and develop and update provider market baskets (input price indexes) mandated for use in updating Medicare payment rates.  </w:t>
      </w:r>
      <w:r w:rsidRPr="00A211BB">
        <w:rPr>
          <w:sz w:val="24"/>
          <w:szCs w:val="24"/>
        </w:rPr>
        <w:t>CMS</w:t>
      </w:r>
      <w:r>
        <w:rPr>
          <w:sz w:val="24"/>
          <w:szCs w:val="24"/>
        </w:rPr>
        <w:t xml:space="preserve"> uses the data</w:t>
      </w:r>
      <w:r w:rsidRPr="00A211BB">
        <w:rPr>
          <w:sz w:val="24"/>
          <w:szCs w:val="24"/>
        </w:rPr>
        <w:t xml:space="preserve"> to develop the RUGs. </w:t>
      </w:r>
      <w:r>
        <w:rPr>
          <w:sz w:val="24"/>
          <w:szCs w:val="24"/>
        </w:rPr>
        <w:t xml:space="preserve"> </w:t>
      </w:r>
      <w:r w:rsidRPr="0085409C">
        <w:rPr>
          <w:sz w:val="24"/>
        </w:rPr>
        <w:t xml:space="preserve">CMS also uses the data to offer public use data files.  In addition, the data is available to Congress, researchers, universities, and other interested parties.  </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Improved Information Technology</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F548AF" w:rsidP="00035ED9">
      <w:pPr>
        <w:tabs>
          <w:tab w:val="left" w:pos="0"/>
          <w:tab w:val="left" w:pos="720"/>
        </w:tabs>
        <w:suppressAutoHyphens/>
        <w:spacing w:line="240" w:lineRule="atLeast"/>
        <w:ind w:left="720"/>
        <w:rPr>
          <w:sz w:val="24"/>
          <w:szCs w:val="24"/>
        </w:rPr>
      </w:pPr>
      <w:r w:rsidRPr="00552775">
        <w:rPr>
          <w:sz w:val="24"/>
          <w:szCs w:val="24"/>
        </w:rPr>
        <w:t>SNFs</w:t>
      </w:r>
      <w:r w:rsidR="00D22C70" w:rsidRPr="00552775">
        <w:rPr>
          <w:sz w:val="24"/>
          <w:szCs w:val="24"/>
        </w:rPr>
        <w:t xml:space="preserve"> </w:t>
      </w:r>
      <w:r w:rsidR="006F7E67">
        <w:rPr>
          <w:sz w:val="24"/>
          <w:szCs w:val="24"/>
        </w:rPr>
        <w:t>are</w:t>
      </w:r>
      <w:r w:rsidR="00127F11" w:rsidRPr="00552775">
        <w:rPr>
          <w:sz w:val="24"/>
          <w:szCs w:val="24"/>
        </w:rPr>
        <w:t xml:space="preserve"> </w:t>
      </w:r>
      <w:r w:rsidR="00D22C70" w:rsidRPr="00552775">
        <w:rPr>
          <w:sz w:val="24"/>
          <w:szCs w:val="24"/>
        </w:rPr>
        <w:t xml:space="preserve">required to submit cost reports via an electronic medium for cost reporting periods ending on </w:t>
      </w:r>
      <w:r w:rsidR="00791843" w:rsidRPr="00552775">
        <w:rPr>
          <w:sz w:val="24"/>
          <w:szCs w:val="24"/>
        </w:rPr>
        <w:t>or</w:t>
      </w:r>
      <w:r w:rsidR="00127F11" w:rsidRPr="00552775">
        <w:rPr>
          <w:sz w:val="24"/>
          <w:szCs w:val="24"/>
        </w:rPr>
        <w:t xml:space="preserve"> </w:t>
      </w:r>
      <w:r w:rsidR="00D22C70" w:rsidRPr="00552775">
        <w:rPr>
          <w:sz w:val="24"/>
          <w:szCs w:val="24"/>
        </w:rPr>
        <w:t xml:space="preserve">after </w:t>
      </w:r>
      <w:r w:rsidR="00583343">
        <w:rPr>
          <w:sz w:val="24"/>
          <w:szCs w:val="24"/>
        </w:rPr>
        <w:t>December 31, 1996.</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Duplication and Similar Information</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 xml:space="preserve">The cost report is a unique form that does not duplicate any other CMS information collection.  This form specifically provides for the reimbursement methodology that is unique to freestanding </w:t>
      </w:r>
      <w:r w:rsidR="00FE0C9F" w:rsidRPr="00A211BB">
        <w:rPr>
          <w:sz w:val="24"/>
          <w:szCs w:val="24"/>
        </w:rPr>
        <w:t>SNFs</w:t>
      </w:r>
      <w:r w:rsidRPr="00A211BB">
        <w:rPr>
          <w:sz w:val="24"/>
          <w:szCs w:val="24"/>
        </w:rPr>
        <w:t>.  No other existing form can be modified for this purpose.</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Small Business</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 xml:space="preserve">This </w:t>
      </w:r>
      <w:r w:rsidR="00343D5E" w:rsidRPr="00A211BB">
        <w:rPr>
          <w:sz w:val="24"/>
          <w:szCs w:val="24"/>
        </w:rPr>
        <w:t>cost report</w:t>
      </w:r>
      <w:r w:rsidRPr="00A211BB">
        <w:rPr>
          <w:sz w:val="24"/>
          <w:szCs w:val="24"/>
        </w:rPr>
        <w:t xml:space="preserve"> has been designed with a view towards minimizing the reporting burden for small providers.  </w:t>
      </w:r>
      <w:r w:rsidR="00AA2A10">
        <w:rPr>
          <w:sz w:val="24"/>
          <w:szCs w:val="24"/>
        </w:rPr>
        <w:t>Some w</w:t>
      </w:r>
      <w:r w:rsidRPr="00A211BB">
        <w:rPr>
          <w:sz w:val="24"/>
          <w:szCs w:val="24"/>
        </w:rPr>
        <w:t xml:space="preserve">orksheets are completed on an </w:t>
      </w:r>
      <w:r w:rsidR="00043EE8" w:rsidRPr="00A211BB">
        <w:rPr>
          <w:sz w:val="24"/>
          <w:szCs w:val="24"/>
        </w:rPr>
        <w:t>as needed</w:t>
      </w:r>
      <w:r w:rsidRPr="00A211BB">
        <w:rPr>
          <w:sz w:val="24"/>
          <w:szCs w:val="24"/>
        </w:rPr>
        <w:t xml:space="preserve"> basis which is dependent on the complexity of the provider.  Consequently, the burden imposed on them is minimized. </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Less Frequent Collection</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F40CCE" w:rsidP="00035ED9">
      <w:pPr>
        <w:tabs>
          <w:tab w:val="left" w:pos="0"/>
          <w:tab w:val="left" w:pos="720"/>
        </w:tabs>
        <w:suppressAutoHyphens/>
        <w:spacing w:line="240" w:lineRule="atLeast"/>
        <w:ind w:left="720"/>
        <w:rPr>
          <w:sz w:val="24"/>
          <w:szCs w:val="24"/>
        </w:rPr>
      </w:pPr>
      <w:r w:rsidRPr="0085409C">
        <w:rPr>
          <w:sz w:val="24"/>
        </w:rPr>
        <w:t xml:space="preserve">42 CFR 413.20(b) and 42 CFR 413.24(f) require that providers submit their cost reports annually. </w:t>
      </w:r>
      <w:r>
        <w:rPr>
          <w:sz w:val="24"/>
        </w:rPr>
        <w:t xml:space="preserve"> </w:t>
      </w:r>
      <w:r w:rsidR="00D22C70" w:rsidRPr="00A211BB">
        <w:rPr>
          <w:sz w:val="24"/>
          <w:szCs w:val="24"/>
        </w:rPr>
        <w:t xml:space="preserve">If the annual cost reports are not filed, the Secretary will be unable to determine whether proper payments are being made under Medicare.  If a provider fails to file a cost report by the statutory due date, </w:t>
      </w:r>
      <w:r w:rsidR="00AA2A10">
        <w:rPr>
          <w:sz w:val="24"/>
          <w:szCs w:val="24"/>
        </w:rPr>
        <w:t>the provider</w:t>
      </w:r>
      <w:r w:rsidR="00D22C70" w:rsidRPr="00A211BB">
        <w:rPr>
          <w:sz w:val="24"/>
          <w:szCs w:val="24"/>
        </w:rPr>
        <w:t xml:space="preserve"> is notified that interim payments </w:t>
      </w:r>
      <w:r w:rsidR="00343D5E" w:rsidRPr="00A211BB">
        <w:rPr>
          <w:sz w:val="24"/>
          <w:szCs w:val="24"/>
        </w:rPr>
        <w:t>will be</w:t>
      </w:r>
      <w:r w:rsidR="00D22C70" w:rsidRPr="00A211BB">
        <w:rPr>
          <w:sz w:val="24"/>
          <w:szCs w:val="24"/>
        </w:rPr>
        <w:t xml:space="preserve"> reduced unless a cost report is filed. </w:t>
      </w:r>
      <w:r w:rsidR="000457A4">
        <w:rPr>
          <w:sz w:val="24"/>
          <w:szCs w:val="24"/>
        </w:rPr>
        <w:t xml:space="preserve"> </w:t>
      </w:r>
      <w:r w:rsidR="00D22C70" w:rsidRPr="00A211BB">
        <w:rPr>
          <w:sz w:val="24"/>
          <w:szCs w:val="24"/>
        </w:rPr>
        <w:t xml:space="preserve">If the </w:t>
      </w:r>
      <w:r w:rsidR="00CB7C2D" w:rsidRPr="00A211BB">
        <w:rPr>
          <w:sz w:val="24"/>
          <w:szCs w:val="24"/>
        </w:rPr>
        <w:t xml:space="preserve">cost </w:t>
      </w:r>
      <w:r w:rsidR="00D22C70" w:rsidRPr="00A211BB">
        <w:rPr>
          <w:sz w:val="24"/>
          <w:szCs w:val="24"/>
        </w:rPr>
        <w:t>report is not filed within another 30 day</w:t>
      </w:r>
      <w:r w:rsidR="00343D5E" w:rsidRPr="00A211BB">
        <w:rPr>
          <w:sz w:val="24"/>
          <w:szCs w:val="24"/>
        </w:rPr>
        <w:t xml:space="preserve"> period,</w:t>
      </w:r>
      <w:r w:rsidR="00D22C70" w:rsidRPr="00A211BB">
        <w:rPr>
          <w:sz w:val="24"/>
          <w:szCs w:val="24"/>
        </w:rPr>
        <w:t xml:space="preserve"> interim payments are suspended.  Finally, if a provider fails to file a cost report,</w:t>
      </w:r>
      <w:r w:rsidR="002015DB" w:rsidRPr="00A211BB">
        <w:rPr>
          <w:sz w:val="24"/>
          <w:szCs w:val="24"/>
        </w:rPr>
        <w:t xml:space="preserve"> </w:t>
      </w:r>
      <w:r w:rsidR="002015DB" w:rsidRPr="00A211BB">
        <w:rPr>
          <w:sz w:val="24"/>
          <w:szCs w:val="24"/>
        </w:rPr>
        <w:lastRenderedPageBreak/>
        <w:t>after the above period,</w:t>
      </w:r>
      <w:r w:rsidR="00D22C70" w:rsidRPr="00A211BB">
        <w:rPr>
          <w:sz w:val="24"/>
          <w:szCs w:val="24"/>
        </w:rPr>
        <w:t xml:space="preserve"> all interim payments made since the beginning of the cost reporting period may be deemed to be overpayments, and recovery action may be initiated.</w:t>
      </w:r>
    </w:p>
    <w:p w:rsidR="00D22C70"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Special Circumstances</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 xml:space="preserve">This information collection complies with all general information collection guidelines in </w:t>
      </w:r>
      <w:r w:rsidR="00552775">
        <w:rPr>
          <w:sz w:val="24"/>
          <w:szCs w:val="24"/>
        </w:rPr>
        <w:t>5 CFR 1320.6</w:t>
      </w:r>
      <w:r w:rsidRPr="00A211BB">
        <w:rPr>
          <w:sz w:val="24"/>
          <w:szCs w:val="24"/>
        </w:rPr>
        <w:t>.</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Federal Register Notice/Consultations Outside of CMS</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F333AB" w:rsidP="00035ED9">
      <w:pPr>
        <w:tabs>
          <w:tab w:val="left" w:pos="0"/>
          <w:tab w:val="left" w:pos="720"/>
        </w:tabs>
        <w:suppressAutoHyphens/>
        <w:spacing w:line="240" w:lineRule="atLeast"/>
        <w:ind w:left="720"/>
        <w:rPr>
          <w:sz w:val="24"/>
          <w:szCs w:val="24"/>
        </w:rPr>
      </w:pPr>
      <w:r>
        <w:rPr>
          <w:sz w:val="24"/>
          <w:szCs w:val="24"/>
        </w:rPr>
        <w:t xml:space="preserve">This package has been developed </w:t>
      </w:r>
      <w:r w:rsidR="001E6FA0">
        <w:rPr>
          <w:sz w:val="24"/>
          <w:szCs w:val="24"/>
        </w:rPr>
        <w:t>for review and comment by</w:t>
      </w:r>
      <w:r>
        <w:rPr>
          <w:sz w:val="24"/>
          <w:szCs w:val="24"/>
        </w:rPr>
        <w:t xml:space="preserve"> outside consultation </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Payment/Gift to Respondent</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There is no payment or gift to respondents.</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Confidentiality</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Confidentiality is not pledged.  Medicare cost reports are subject to disclosure under the Freedom of Information Act.</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Sensitive Questions</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There are no questions of a sensitive nature.</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Estimate of Burden (Hours and </w:t>
      </w:r>
      <w:r w:rsidR="002015DB" w:rsidRPr="007952CC">
        <w:rPr>
          <w:sz w:val="24"/>
          <w:szCs w:val="24"/>
          <w:u w:val="single"/>
        </w:rPr>
        <w:t>Cost</w:t>
      </w:r>
      <w:r w:rsidRPr="007952CC">
        <w:rPr>
          <w:sz w:val="24"/>
          <w:szCs w:val="24"/>
          <w:u w:val="single"/>
        </w:rPr>
        <w:t>)</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7952CC" w:rsidRPr="007952CC" w:rsidRDefault="009F360B" w:rsidP="00035ED9">
      <w:pPr>
        <w:pStyle w:val="ListParagraph"/>
        <w:numPr>
          <w:ilvl w:val="0"/>
          <w:numId w:val="4"/>
        </w:numPr>
        <w:tabs>
          <w:tab w:val="left" w:pos="0"/>
          <w:tab w:val="left" w:pos="360"/>
          <w:tab w:val="left" w:pos="720"/>
        </w:tabs>
        <w:suppressAutoHyphens/>
        <w:spacing w:line="240" w:lineRule="atLeast"/>
        <w:rPr>
          <w:sz w:val="24"/>
          <w:szCs w:val="24"/>
        </w:rPr>
      </w:pPr>
      <w:r w:rsidRPr="007952CC">
        <w:rPr>
          <w:sz w:val="24"/>
          <w:szCs w:val="24"/>
          <w:u w:val="single"/>
        </w:rPr>
        <w:t>Hours</w:t>
      </w:r>
      <w:r w:rsidR="007952CC" w:rsidRPr="007952CC">
        <w:rPr>
          <w:sz w:val="24"/>
          <w:szCs w:val="24"/>
          <w:u w:val="single"/>
        </w:rPr>
        <w:t>:</w:t>
      </w:r>
      <w:r w:rsidR="007952CC" w:rsidRPr="007952CC">
        <w:rPr>
          <w:sz w:val="24"/>
          <w:szCs w:val="24"/>
        </w:rPr>
        <w:t xml:space="preserve"> </w:t>
      </w:r>
    </w:p>
    <w:p w:rsidR="007952CC" w:rsidRDefault="007952CC" w:rsidP="00035ED9">
      <w:pPr>
        <w:tabs>
          <w:tab w:val="left" w:pos="0"/>
          <w:tab w:val="left" w:pos="360"/>
          <w:tab w:val="left" w:pos="720"/>
        </w:tabs>
        <w:suppressAutoHyphens/>
        <w:spacing w:line="240" w:lineRule="atLeast"/>
        <w:ind w:left="720"/>
        <w:rPr>
          <w:sz w:val="24"/>
          <w:szCs w:val="24"/>
        </w:rPr>
      </w:pPr>
    </w:p>
    <w:p w:rsidR="007952CC" w:rsidRDefault="007952CC" w:rsidP="00035ED9">
      <w:pPr>
        <w:tabs>
          <w:tab w:val="left" w:pos="0"/>
          <w:tab w:val="left" w:pos="360"/>
          <w:tab w:val="left" w:pos="720"/>
        </w:tabs>
        <w:suppressAutoHyphens/>
        <w:spacing w:line="240" w:lineRule="atLeast"/>
        <w:ind w:left="1080"/>
        <w:rPr>
          <w:sz w:val="24"/>
          <w:szCs w:val="24"/>
        </w:rPr>
      </w:pPr>
      <w:r>
        <w:rPr>
          <w:sz w:val="24"/>
          <w:szCs w:val="24"/>
        </w:rPr>
        <w:t>A</w:t>
      </w:r>
      <w:r w:rsidRPr="00A211BB">
        <w:rPr>
          <w:sz w:val="24"/>
          <w:szCs w:val="24"/>
        </w:rPr>
        <w:t>pproximately 15,0</w:t>
      </w:r>
      <w:r w:rsidR="001027FA">
        <w:rPr>
          <w:sz w:val="24"/>
          <w:szCs w:val="24"/>
        </w:rPr>
        <w:t>37</w:t>
      </w:r>
      <w:r w:rsidRPr="00A211BB">
        <w:rPr>
          <w:sz w:val="24"/>
          <w:szCs w:val="24"/>
        </w:rPr>
        <w:t xml:space="preserve"> freestanding SNFs file this cost report. </w:t>
      </w:r>
      <w:r w:rsidR="000457A4">
        <w:rPr>
          <w:sz w:val="24"/>
          <w:szCs w:val="24"/>
        </w:rPr>
        <w:t xml:space="preserve"> </w:t>
      </w:r>
      <w:r w:rsidRPr="00A211BB">
        <w:rPr>
          <w:sz w:val="24"/>
          <w:szCs w:val="24"/>
        </w:rPr>
        <w:t>It will take an average time of 6</w:t>
      </w:r>
      <w:r w:rsidR="00D34428">
        <w:rPr>
          <w:sz w:val="24"/>
          <w:szCs w:val="24"/>
        </w:rPr>
        <w:t>0</w:t>
      </w:r>
      <w:r w:rsidRPr="00A211BB">
        <w:rPr>
          <w:sz w:val="24"/>
          <w:szCs w:val="24"/>
        </w:rPr>
        <w:t xml:space="preserve"> hours for the SNFs that fill out the cost report to complete it, for a total of 9</w:t>
      </w:r>
      <w:r w:rsidR="00D34428">
        <w:rPr>
          <w:sz w:val="24"/>
          <w:szCs w:val="24"/>
        </w:rPr>
        <w:t>0</w:t>
      </w:r>
      <w:r w:rsidR="001027FA">
        <w:rPr>
          <w:sz w:val="24"/>
          <w:szCs w:val="24"/>
        </w:rPr>
        <w:t>2</w:t>
      </w:r>
      <w:r w:rsidRPr="00A211BB">
        <w:rPr>
          <w:sz w:val="24"/>
          <w:szCs w:val="24"/>
        </w:rPr>
        <w:t>,</w:t>
      </w:r>
      <w:r w:rsidR="00D34428">
        <w:rPr>
          <w:sz w:val="24"/>
          <w:szCs w:val="24"/>
        </w:rPr>
        <w:t>220</w:t>
      </w:r>
      <w:r w:rsidRPr="00A211BB">
        <w:rPr>
          <w:sz w:val="24"/>
          <w:szCs w:val="24"/>
        </w:rPr>
        <w:t xml:space="preserve"> hours (15,0</w:t>
      </w:r>
      <w:r w:rsidR="001027FA">
        <w:rPr>
          <w:sz w:val="24"/>
          <w:szCs w:val="24"/>
        </w:rPr>
        <w:t xml:space="preserve">37 </w:t>
      </w:r>
      <w:r w:rsidRPr="00A211BB">
        <w:rPr>
          <w:sz w:val="24"/>
          <w:szCs w:val="24"/>
        </w:rPr>
        <w:t>SNFs X 6</w:t>
      </w:r>
      <w:r w:rsidR="000457A4">
        <w:rPr>
          <w:sz w:val="24"/>
          <w:szCs w:val="24"/>
        </w:rPr>
        <w:t>0</w:t>
      </w:r>
      <w:r w:rsidRPr="00A211BB">
        <w:rPr>
          <w:sz w:val="24"/>
          <w:szCs w:val="24"/>
        </w:rPr>
        <w:t xml:space="preserve"> hours). </w:t>
      </w:r>
      <w:r w:rsidR="00552775">
        <w:rPr>
          <w:sz w:val="24"/>
          <w:szCs w:val="24"/>
        </w:rPr>
        <w:t xml:space="preserve"> </w:t>
      </w:r>
      <w:r w:rsidRPr="00A211BB">
        <w:rPr>
          <w:sz w:val="24"/>
          <w:szCs w:val="24"/>
        </w:rPr>
        <w:t>The total national reporting burden for the SNF cost report will be 9</w:t>
      </w:r>
      <w:r w:rsidR="00D34428">
        <w:rPr>
          <w:sz w:val="24"/>
          <w:szCs w:val="24"/>
        </w:rPr>
        <w:t>02</w:t>
      </w:r>
      <w:r w:rsidRPr="00A211BB">
        <w:rPr>
          <w:sz w:val="24"/>
          <w:szCs w:val="24"/>
        </w:rPr>
        <w:t>,</w:t>
      </w:r>
      <w:r w:rsidR="00D34428">
        <w:rPr>
          <w:sz w:val="24"/>
          <w:szCs w:val="24"/>
        </w:rPr>
        <w:t>220</w:t>
      </w:r>
      <w:r w:rsidRPr="00A211BB">
        <w:rPr>
          <w:sz w:val="24"/>
          <w:szCs w:val="24"/>
        </w:rPr>
        <w:t xml:space="preserve"> hours annually.</w:t>
      </w:r>
    </w:p>
    <w:p w:rsidR="007952CC" w:rsidRDefault="007952CC" w:rsidP="00035ED9">
      <w:pPr>
        <w:tabs>
          <w:tab w:val="left" w:pos="0"/>
          <w:tab w:val="left" w:pos="360"/>
          <w:tab w:val="left" w:pos="720"/>
        </w:tabs>
        <w:suppressAutoHyphens/>
        <w:spacing w:line="240" w:lineRule="atLeast"/>
        <w:ind w:left="1080"/>
        <w:rPr>
          <w:sz w:val="24"/>
          <w:szCs w:val="24"/>
        </w:rPr>
      </w:pPr>
    </w:p>
    <w:p w:rsidR="00D22C70" w:rsidRPr="00A211BB" w:rsidRDefault="007952CC" w:rsidP="00035ED9">
      <w:pPr>
        <w:tabs>
          <w:tab w:val="left" w:pos="0"/>
          <w:tab w:val="left" w:pos="360"/>
          <w:tab w:val="left" w:pos="720"/>
        </w:tabs>
        <w:suppressAutoHyphens/>
        <w:spacing w:line="240" w:lineRule="atLeast"/>
        <w:ind w:left="1080"/>
        <w:rPr>
          <w:sz w:val="24"/>
          <w:szCs w:val="24"/>
        </w:rPr>
      </w:pPr>
      <w:r>
        <w:rPr>
          <w:sz w:val="24"/>
          <w:szCs w:val="24"/>
        </w:rPr>
        <w:t>S</w:t>
      </w:r>
      <w:r w:rsidR="009F360B" w:rsidRPr="00A211BB">
        <w:rPr>
          <w:sz w:val="24"/>
          <w:szCs w:val="24"/>
        </w:rPr>
        <w:t xml:space="preserve">NFs are required to keep a Medicare Log.  Maintenance of this log requires SNFs to post charges from their billings to the log in order to support entries in the cost centers of their cost report. </w:t>
      </w:r>
      <w:r w:rsidR="00A054D3">
        <w:rPr>
          <w:sz w:val="24"/>
          <w:szCs w:val="24"/>
        </w:rPr>
        <w:t xml:space="preserve"> </w:t>
      </w:r>
      <w:r w:rsidR="009F360B" w:rsidRPr="00A211BB">
        <w:rPr>
          <w:sz w:val="24"/>
          <w:szCs w:val="24"/>
        </w:rPr>
        <w:t xml:space="preserve">Previous data had established that 32 hours of record keeping time was needed for the Medicare log for each SNF filing a </w:t>
      </w:r>
      <w:r w:rsidR="00A054D3">
        <w:rPr>
          <w:sz w:val="24"/>
          <w:szCs w:val="24"/>
        </w:rPr>
        <w:t>the</w:t>
      </w:r>
      <w:r w:rsidR="009F360B" w:rsidRPr="00A211BB">
        <w:rPr>
          <w:sz w:val="24"/>
          <w:szCs w:val="24"/>
        </w:rPr>
        <w:t xml:space="preserve"> cost report. </w:t>
      </w:r>
      <w:r w:rsidR="00F40CCE">
        <w:rPr>
          <w:sz w:val="24"/>
          <w:szCs w:val="24"/>
        </w:rPr>
        <w:t xml:space="preserve"> </w:t>
      </w:r>
      <w:r w:rsidR="009F360B" w:rsidRPr="00A211BB">
        <w:rPr>
          <w:sz w:val="24"/>
          <w:szCs w:val="24"/>
        </w:rPr>
        <w:t xml:space="preserve">We also estimate that other record keeping for these SNFs not associated with the log requires </w:t>
      </w:r>
      <w:r w:rsidR="00D34428">
        <w:rPr>
          <w:sz w:val="24"/>
          <w:szCs w:val="24"/>
        </w:rPr>
        <w:t>88</w:t>
      </w:r>
      <w:r w:rsidR="009F360B" w:rsidRPr="00A211BB">
        <w:rPr>
          <w:sz w:val="24"/>
          <w:szCs w:val="24"/>
        </w:rPr>
        <w:t xml:space="preserve"> additional hours per SNF.  Thus, the record keeping burden for each SNF is 32 hours for the Medicare log plus </w:t>
      </w:r>
      <w:r w:rsidR="00D34428">
        <w:rPr>
          <w:sz w:val="24"/>
          <w:szCs w:val="24"/>
        </w:rPr>
        <w:t>88</w:t>
      </w:r>
      <w:r w:rsidR="009F360B" w:rsidRPr="00A211BB">
        <w:rPr>
          <w:sz w:val="24"/>
          <w:szCs w:val="24"/>
        </w:rPr>
        <w:t xml:space="preserve"> hours for non-Medicare-log records, or 1</w:t>
      </w:r>
      <w:r w:rsidR="00D34428">
        <w:rPr>
          <w:sz w:val="24"/>
          <w:szCs w:val="24"/>
        </w:rPr>
        <w:t>20</w:t>
      </w:r>
      <w:r w:rsidR="009F360B" w:rsidRPr="00A211BB">
        <w:rPr>
          <w:sz w:val="24"/>
          <w:szCs w:val="24"/>
        </w:rPr>
        <w:t xml:space="preserve"> hours.  The total national record keeping burden is 1,</w:t>
      </w:r>
      <w:r w:rsidR="00D34428">
        <w:rPr>
          <w:sz w:val="24"/>
          <w:szCs w:val="24"/>
        </w:rPr>
        <w:t>804</w:t>
      </w:r>
      <w:r w:rsidR="009F360B" w:rsidRPr="00A211BB">
        <w:rPr>
          <w:sz w:val="24"/>
          <w:szCs w:val="24"/>
        </w:rPr>
        <w:t>,</w:t>
      </w:r>
      <w:r w:rsidR="00D34428">
        <w:rPr>
          <w:sz w:val="24"/>
          <w:szCs w:val="24"/>
        </w:rPr>
        <w:t>440</w:t>
      </w:r>
      <w:r w:rsidR="009F360B" w:rsidRPr="00A211BB">
        <w:rPr>
          <w:sz w:val="24"/>
          <w:szCs w:val="24"/>
        </w:rPr>
        <w:t xml:space="preserve"> (150</w:t>
      </w:r>
      <w:r w:rsidR="001027FA">
        <w:rPr>
          <w:sz w:val="24"/>
          <w:szCs w:val="24"/>
        </w:rPr>
        <w:t>37</w:t>
      </w:r>
      <w:r w:rsidR="009F360B" w:rsidRPr="00A211BB">
        <w:rPr>
          <w:sz w:val="24"/>
          <w:szCs w:val="24"/>
        </w:rPr>
        <w:t xml:space="preserve"> SNF’s X 1</w:t>
      </w:r>
      <w:r w:rsidR="00D34428">
        <w:rPr>
          <w:sz w:val="24"/>
          <w:szCs w:val="24"/>
        </w:rPr>
        <w:t>20</w:t>
      </w:r>
      <w:r w:rsidR="009F360B" w:rsidRPr="00A211BB">
        <w:rPr>
          <w:sz w:val="24"/>
          <w:szCs w:val="24"/>
        </w:rPr>
        <w:t xml:space="preserve"> hours).</w:t>
      </w:r>
    </w:p>
    <w:p w:rsidR="00D22C70" w:rsidRPr="00A211BB" w:rsidRDefault="00D22C70" w:rsidP="00035ED9">
      <w:pPr>
        <w:tabs>
          <w:tab w:val="left" w:pos="0"/>
          <w:tab w:val="left" w:pos="360"/>
          <w:tab w:val="left" w:pos="720"/>
        </w:tabs>
        <w:suppressAutoHyphens/>
        <w:spacing w:line="240" w:lineRule="atLeast"/>
        <w:ind w:left="720"/>
        <w:rPr>
          <w:sz w:val="24"/>
          <w:szCs w:val="24"/>
        </w:rPr>
      </w:pPr>
    </w:p>
    <w:p w:rsidR="003206E0" w:rsidRPr="00A211BB" w:rsidRDefault="003206E0" w:rsidP="00035ED9">
      <w:pPr>
        <w:tabs>
          <w:tab w:val="left" w:pos="0"/>
          <w:tab w:val="left" w:pos="360"/>
          <w:tab w:val="left" w:pos="720"/>
        </w:tabs>
        <w:suppressAutoHyphens/>
        <w:spacing w:line="240" w:lineRule="atLeast"/>
        <w:ind w:left="720" w:hanging="360"/>
        <w:rPr>
          <w:sz w:val="24"/>
          <w:szCs w:val="24"/>
        </w:rPr>
      </w:pPr>
    </w:p>
    <w:p w:rsidR="00D22C70" w:rsidRPr="007952CC" w:rsidRDefault="00D22C70" w:rsidP="00035ED9">
      <w:pPr>
        <w:pStyle w:val="ListParagraph"/>
        <w:numPr>
          <w:ilvl w:val="0"/>
          <w:numId w:val="4"/>
        </w:numPr>
        <w:tabs>
          <w:tab w:val="left" w:pos="0"/>
          <w:tab w:val="left" w:pos="360"/>
          <w:tab w:val="left" w:pos="720"/>
        </w:tabs>
        <w:suppressAutoHyphens/>
        <w:spacing w:line="240" w:lineRule="atLeast"/>
        <w:rPr>
          <w:sz w:val="24"/>
          <w:szCs w:val="24"/>
        </w:rPr>
      </w:pPr>
      <w:r w:rsidRPr="007952CC">
        <w:rPr>
          <w:sz w:val="24"/>
          <w:szCs w:val="24"/>
          <w:u w:val="single"/>
        </w:rPr>
        <w:t>Cost</w:t>
      </w:r>
    </w:p>
    <w:p w:rsidR="00D22C70" w:rsidRPr="00A211BB" w:rsidRDefault="00D22C70" w:rsidP="00035ED9">
      <w:pPr>
        <w:tabs>
          <w:tab w:val="left" w:pos="0"/>
          <w:tab w:val="left" w:pos="360"/>
          <w:tab w:val="left" w:pos="720"/>
        </w:tabs>
        <w:suppressAutoHyphens/>
        <w:spacing w:line="240" w:lineRule="atLeast"/>
        <w:ind w:left="720" w:hanging="360"/>
        <w:rPr>
          <w:sz w:val="24"/>
          <w:szCs w:val="24"/>
        </w:rPr>
      </w:pPr>
    </w:p>
    <w:p w:rsidR="00D22C70" w:rsidRPr="002B7282" w:rsidRDefault="00D22C70" w:rsidP="00035ED9">
      <w:pPr>
        <w:tabs>
          <w:tab w:val="left" w:pos="0"/>
          <w:tab w:val="left" w:pos="360"/>
          <w:tab w:val="left" w:pos="720"/>
        </w:tabs>
        <w:suppressAutoHyphens/>
        <w:spacing w:line="240" w:lineRule="atLeast"/>
        <w:ind w:left="1080"/>
        <w:rPr>
          <w:sz w:val="24"/>
          <w:szCs w:val="24"/>
        </w:rPr>
      </w:pPr>
      <w:r w:rsidRPr="00A211BB">
        <w:rPr>
          <w:sz w:val="24"/>
          <w:szCs w:val="24"/>
        </w:rPr>
        <w:t>The respondent cost is calculated as the number of hours of paperwork burden (2,</w:t>
      </w:r>
      <w:r w:rsidR="00D34428">
        <w:rPr>
          <w:sz w:val="24"/>
          <w:szCs w:val="24"/>
        </w:rPr>
        <w:t>706</w:t>
      </w:r>
      <w:r w:rsidRPr="00A211BB">
        <w:rPr>
          <w:sz w:val="24"/>
          <w:szCs w:val="24"/>
        </w:rPr>
        <w:t>,</w:t>
      </w:r>
      <w:r w:rsidR="00D34428">
        <w:rPr>
          <w:sz w:val="24"/>
          <w:szCs w:val="24"/>
        </w:rPr>
        <w:t>660</w:t>
      </w:r>
      <w:r w:rsidRPr="00A211BB">
        <w:rPr>
          <w:sz w:val="24"/>
          <w:szCs w:val="24"/>
        </w:rPr>
        <w:t xml:space="preserve">) </w:t>
      </w:r>
      <w:r w:rsidRPr="002B7282">
        <w:rPr>
          <w:sz w:val="24"/>
          <w:szCs w:val="24"/>
        </w:rPr>
        <w:t>(</w:t>
      </w:r>
      <w:r w:rsidR="00751904" w:rsidRPr="002B7282">
        <w:rPr>
          <w:sz w:val="24"/>
          <w:szCs w:val="24"/>
        </w:rPr>
        <w:t>1,</w:t>
      </w:r>
      <w:r w:rsidR="00D34428">
        <w:rPr>
          <w:sz w:val="24"/>
          <w:szCs w:val="24"/>
        </w:rPr>
        <w:t>804</w:t>
      </w:r>
      <w:r w:rsidR="00751904" w:rsidRPr="002B7282">
        <w:rPr>
          <w:sz w:val="24"/>
          <w:szCs w:val="24"/>
        </w:rPr>
        <w:t>,</w:t>
      </w:r>
      <w:r w:rsidR="00D34428">
        <w:rPr>
          <w:sz w:val="24"/>
          <w:szCs w:val="24"/>
        </w:rPr>
        <w:t>440</w:t>
      </w:r>
      <w:r w:rsidRPr="002B7282">
        <w:rPr>
          <w:sz w:val="24"/>
          <w:szCs w:val="24"/>
        </w:rPr>
        <w:t xml:space="preserve"> + </w:t>
      </w:r>
      <w:r w:rsidR="00043EE8" w:rsidRPr="002B7282">
        <w:rPr>
          <w:sz w:val="24"/>
          <w:szCs w:val="24"/>
        </w:rPr>
        <w:t>9</w:t>
      </w:r>
      <w:r w:rsidR="00D34428">
        <w:rPr>
          <w:sz w:val="24"/>
          <w:szCs w:val="24"/>
        </w:rPr>
        <w:t>02</w:t>
      </w:r>
      <w:r w:rsidR="00043EE8" w:rsidRPr="002B7282">
        <w:rPr>
          <w:sz w:val="24"/>
          <w:szCs w:val="24"/>
        </w:rPr>
        <w:t>,</w:t>
      </w:r>
      <w:r w:rsidR="00D34428">
        <w:rPr>
          <w:sz w:val="24"/>
          <w:szCs w:val="24"/>
        </w:rPr>
        <w:t>220</w:t>
      </w:r>
      <w:r w:rsidR="00043EE8" w:rsidRPr="002B7282">
        <w:rPr>
          <w:sz w:val="24"/>
          <w:szCs w:val="24"/>
        </w:rPr>
        <w:t>)</w:t>
      </w:r>
      <w:r w:rsidRPr="002B7282">
        <w:rPr>
          <w:sz w:val="24"/>
          <w:szCs w:val="24"/>
        </w:rPr>
        <w:t xml:space="preserve"> times the standard rate of $1</w:t>
      </w:r>
      <w:r w:rsidR="00751904" w:rsidRPr="002B7282">
        <w:rPr>
          <w:sz w:val="24"/>
          <w:szCs w:val="24"/>
        </w:rPr>
        <w:t>5</w:t>
      </w:r>
      <w:r w:rsidRPr="002B7282">
        <w:rPr>
          <w:sz w:val="24"/>
          <w:szCs w:val="24"/>
        </w:rPr>
        <w:t>.00 per hour.  Thus, the respondent cost is $</w:t>
      </w:r>
      <w:r w:rsidR="00D67F83" w:rsidRPr="002B7282">
        <w:rPr>
          <w:sz w:val="24"/>
          <w:szCs w:val="24"/>
        </w:rPr>
        <w:t>4</w:t>
      </w:r>
      <w:r w:rsidR="00D34428">
        <w:rPr>
          <w:sz w:val="24"/>
          <w:szCs w:val="24"/>
        </w:rPr>
        <w:t>0</w:t>
      </w:r>
      <w:r w:rsidR="00D67F83" w:rsidRPr="002B7282">
        <w:rPr>
          <w:sz w:val="24"/>
          <w:szCs w:val="24"/>
        </w:rPr>
        <w:t>,</w:t>
      </w:r>
      <w:r w:rsidR="00D34428">
        <w:rPr>
          <w:sz w:val="24"/>
          <w:szCs w:val="24"/>
        </w:rPr>
        <w:t>599</w:t>
      </w:r>
      <w:r w:rsidR="00D67F83" w:rsidRPr="002B7282">
        <w:rPr>
          <w:sz w:val="24"/>
          <w:szCs w:val="24"/>
        </w:rPr>
        <w:t>,</w:t>
      </w:r>
      <w:r w:rsidR="00D34428">
        <w:rPr>
          <w:sz w:val="24"/>
          <w:szCs w:val="24"/>
        </w:rPr>
        <w:t>900</w:t>
      </w:r>
      <w:r w:rsidR="00D67F83" w:rsidRPr="002B7282">
        <w:rPr>
          <w:sz w:val="24"/>
          <w:szCs w:val="24"/>
        </w:rPr>
        <w:t>.</w:t>
      </w:r>
    </w:p>
    <w:p w:rsidR="00D22C70" w:rsidRPr="002B7282"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Capital Cost</w:t>
      </w:r>
    </w:p>
    <w:p w:rsidR="00D22C70" w:rsidRPr="002B7282" w:rsidRDefault="00D22C70" w:rsidP="00035ED9">
      <w:pPr>
        <w:tabs>
          <w:tab w:val="left" w:pos="0"/>
          <w:tab w:val="left" w:pos="360"/>
          <w:tab w:val="left" w:pos="720"/>
        </w:tabs>
        <w:suppressAutoHyphens/>
        <w:spacing w:line="240" w:lineRule="atLeast"/>
        <w:ind w:left="360"/>
        <w:rPr>
          <w:sz w:val="24"/>
          <w:szCs w:val="24"/>
        </w:rPr>
      </w:pPr>
    </w:p>
    <w:p w:rsidR="00D22C70" w:rsidRPr="002B7282" w:rsidRDefault="00D22C70" w:rsidP="00035ED9">
      <w:pPr>
        <w:tabs>
          <w:tab w:val="left" w:pos="0"/>
          <w:tab w:val="left" w:pos="720"/>
        </w:tabs>
        <w:suppressAutoHyphens/>
        <w:spacing w:line="240" w:lineRule="atLeast"/>
        <w:ind w:left="720"/>
        <w:rPr>
          <w:sz w:val="24"/>
          <w:szCs w:val="24"/>
        </w:rPr>
      </w:pPr>
      <w:r w:rsidRPr="002B7282">
        <w:rPr>
          <w:sz w:val="24"/>
          <w:szCs w:val="24"/>
        </w:rPr>
        <w:t>There are no capital costs.</w:t>
      </w:r>
    </w:p>
    <w:p w:rsidR="00D22C70" w:rsidRPr="002B7282"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Cost to Federal Government</w:t>
      </w:r>
    </w:p>
    <w:p w:rsidR="002B7282" w:rsidRPr="002B7282" w:rsidRDefault="002B7282" w:rsidP="00035ED9">
      <w:pPr>
        <w:tabs>
          <w:tab w:val="left" w:pos="0"/>
          <w:tab w:val="left" w:pos="360"/>
          <w:tab w:val="left" w:pos="720"/>
        </w:tabs>
        <w:suppressAutoHyphens/>
        <w:spacing w:line="240" w:lineRule="atLeast"/>
        <w:ind w:left="360"/>
        <w:rPr>
          <w:sz w:val="24"/>
          <w:szCs w:val="24"/>
          <w:u w:val="single"/>
        </w:rPr>
      </w:pPr>
    </w:p>
    <w:tbl>
      <w:tblPr>
        <w:tblW w:w="7628" w:type="dxa"/>
        <w:tblInd w:w="1440" w:type="dxa"/>
        <w:tblLook w:val="04A0"/>
      </w:tblPr>
      <w:tblGrid>
        <w:gridCol w:w="960"/>
        <w:gridCol w:w="5060"/>
        <w:gridCol w:w="1716"/>
      </w:tblGrid>
      <w:tr w:rsidR="002B7282" w:rsidRPr="002B7282" w:rsidTr="00551DC5">
        <w:trPr>
          <w:trHeight w:val="1368"/>
        </w:trPr>
        <w:tc>
          <w:tcPr>
            <w:tcW w:w="6020" w:type="dxa"/>
            <w:gridSpan w:val="2"/>
            <w:tcBorders>
              <w:top w:val="nil"/>
              <w:left w:val="nil"/>
              <w:bottom w:val="nil"/>
              <w:right w:val="nil"/>
            </w:tcBorders>
            <w:shd w:val="clear" w:color="auto" w:fill="auto"/>
            <w:hideMark/>
          </w:tcPr>
          <w:p w:rsidR="002B7282" w:rsidRPr="002B7282" w:rsidRDefault="002B7282" w:rsidP="00035ED9">
            <w:pPr>
              <w:widowControl/>
              <w:autoSpaceDE/>
              <w:autoSpaceDN/>
              <w:adjustRightInd/>
              <w:rPr>
                <w:rFonts w:eastAsia="Times New Roman"/>
                <w:color w:val="000000"/>
                <w:sz w:val="24"/>
                <w:szCs w:val="24"/>
                <w:u w:val="single"/>
              </w:rPr>
            </w:pPr>
            <w:r w:rsidRPr="002B7282">
              <w:rPr>
                <w:rFonts w:eastAsia="Times New Roman"/>
                <w:color w:val="000000"/>
                <w:sz w:val="24"/>
                <w:szCs w:val="24"/>
                <w:u w:val="single"/>
              </w:rPr>
              <w:t>Cost associated with distribution of forms and instructions:</w:t>
            </w:r>
            <w:r w:rsidRPr="002B7282">
              <w:rPr>
                <w:rFonts w:eastAsia="Times New Roman"/>
                <w:color w:val="000000"/>
                <w:sz w:val="24"/>
                <w:szCs w:val="24"/>
              </w:rPr>
              <w:t xml:space="preserve"> We no longer print and distribute paper copies of Form CMS-2540-</w:t>
            </w:r>
            <w:r w:rsidR="00F333AB">
              <w:rPr>
                <w:rFonts w:eastAsia="Times New Roman"/>
                <w:color w:val="000000"/>
                <w:sz w:val="24"/>
                <w:szCs w:val="24"/>
              </w:rPr>
              <w:t>10</w:t>
            </w:r>
            <w:r w:rsidRPr="002B7282">
              <w:rPr>
                <w:rFonts w:eastAsia="Times New Roman"/>
                <w:color w:val="000000"/>
                <w:sz w:val="24"/>
                <w:szCs w:val="24"/>
              </w:rPr>
              <w:t xml:space="preserve">. Forms and instructions are issued as a part of the Provider Reimbursement Manual. This manual is now transmitted via the internet. </w:t>
            </w:r>
          </w:p>
        </w:tc>
        <w:tc>
          <w:tcPr>
            <w:tcW w:w="1608"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r w:rsidRPr="002B7282">
              <w:rPr>
                <w:rFonts w:eastAsia="Times New Roman"/>
                <w:color w:val="000000"/>
                <w:sz w:val="24"/>
                <w:szCs w:val="24"/>
              </w:rPr>
              <w:t xml:space="preserve">$0 </w:t>
            </w:r>
          </w:p>
        </w:tc>
      </w:tr>
      <w:tr w:rsidR="002B7282" w:rsidRPr="002B7282" w:rsidTr="002B7282">
        <w:trPr>
          <w:trHeight w:val="300"/>
        </w:trPr>
        <w:tc>
          <w:tcPr>
            <w:tcW w:w="960" w:type="dxa"/>
            <w:tcBorders>
              <w:top w:val="nil"/>
              <w:left w:val="nil"/>
              <w:bottom w:val="nil"/>
              <w:right w:val="nil"/>
            </w:tcBorders>
            <w:shd w:val="clear" w:color="auto" w:fill="auto"/>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5060" w:type="dxa"/>
            <w:tcBorders>
              <w:top w:val="nil"/>
              <w:left w:val="nil"/>
              <w:bottom w:val="nil"/>
              <w:right w:val="nil"/>
            </w:tcBorders>
            <w:shd w:val="clear" w:color="auto" w:fill="auto"/>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1608"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r>
      <w:tr w:rsidR="002B7282" w:rsidRPr="002B7282" w:rsidTr="002B7282">
        <w:trPr>
          <w:trHeight w:val="300"/>
        </w:trPr>
        <w:tc>
          <w:tcPr>
            <w:tcW w:w="6020" w:type="dxa"/>
            <w:gridSpan w:val="2"/>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u w:val="single"/>
              </w:rPr>
            </w:pPr>
            <w:r w:rsidRPr="002B7282">
              <w:rPr>
                <w:rFonts w:eastAsia="Times New Roman"/>
                <w:color w:val="000000"/>
                <w:sz w:val="24"/>
                <w:szCs w:val="24"/>
                <w:u w:val="single"/>
              </w:rPr>
              <w:t>Annual Cost:</w:t>
            </w:r>
          </w:p>
        </w:tc>
        <w:tc>
          <w:tcPr>
            <w:tcW w:w="1608"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r>
      <w:tr w:rsidR="002B7282" w:rsidRPr="002B7282" w:rsidTr="00551DC5">
        <w:trPr>
          <w:trHeight w:val="1638"/>
        </w:trPr>
        <w:tc>
          <w:tcPr>
            <w:tcW w:w="960"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5060" w:type="dxa"/>
            <w:tcBorders>
              <w:top w:val="nil"/>
              <w:left w:val="nil"/>
              <w:bottom w:val="nil"/>
              <w:right w:val="nil"/>
            </w:tcBorders>
            <w:shd w:val="clear" w:color="auto" w:fill="auto"/>
            <w:vAlign w:val="bottom"/>
            <w:hideMark/>
          </w:tcPr>
          <w:p w:rsidR="002B7282" w:rsidRPr="002B7282" w:rsidRDefault="002B7282" w:rsidP="0010263E">
            <w:pPr>
              <w:widowControl/>
              <w:autoSpaceDE/>
              <w:autoSpaceDN/>
              <w:adjustRightInd/>
              <w:rPr>
                <w:rFonts w:eastAsia="Times New Roman"/>
                <w:color w:val="000000"/>
                <w:sz w:val="24"/>
                <w:szCs w:val="24"/>
              </w:rPr>
            </w:pPr>
            <w:r w:rsidRPr="002B7282">
              <w:rPr>
                <w:rFonts w:eastAsia="Times New Roman"/>
                <w:color w:val="000000"/>
                <w:sz w:val="24"/>
                <w:szCs w:val="24"/>
                <w:u w:val="single"/>
              </w:rPr>
              <w:t>Annual cost to Medicare Contractors:</w:t>
            </w:r>
            <w:r w:rsidRPr="002B7282">
              <w:rPr>
                <w:rFonts w:eastAsia="Times New Roman"/>
                <w:color w:val="000000"/>
                <w:sz w:val="24"/>
                <w:szCs w:val="24"/>
              </w:rPr>
              <w:t xml:space="preserve">  Annual </w:t>
            </w:r>
            <w:r w:rsidR="00043EE8" w:rsidRPr="002B7282">
              <w:rPr>
                <w:rFonts w:eastAsia="Times New Roman"/>
                <w:color w:val="000000"/>
                <w:sz w:val="24"/>
                <w:szCs w:val="24"/>
              </w:rPr>
              <w:t>cost incurred is</w:t>
            </w:r>
            <w:r w:rsidRPr="002B7282">
              <w:rPr>
                <w:rFonts w:eastAsia="Times New Roman"/>
                <w:color w:val="000000"/>
                <w:sz w:val="24"/>
                <w:szCs w:val="24"/>
              </w:rPr>
              <w:t xml:space="preserve"> related to processing information contained on the forms, particularly associated with achieving settlements.  Medicare contractors</w:t>
            </w:r>
            <w:r w:rsidR="00205568">
              <w:rPr>
                <w:rFonts w:eastAsia="Times New Roman"/>
                <w:color w:val="000000"/>
                <w:sz w:val="24"/>
                <w:szCs w:val="24"/>
              </w:rPr>
              <w:t>’</w:t>
            </w:r>
            <w:r w:rsidRPr="002B7282">
              <w:rPr>
                <w:rFonts w:eastAsia="Times New Roman"/>
                <w:color w:val="000000"/>
                <w:sz w:val="24"/>
                <w:szCs w:val="24"/>
              </w:rPr>
              <w:t xml:space="preserve"> handling cost</w:t>
            </w:r>
            <w:r w:rsidR="00205568">
              <w:rPr>
                <w:rFonts w:eastAsia="Times New Roman"/>
                <w:color w:val="000000"/>
                <w:sz w:val="24"/>
                <w:szCs w:val="24"/>
              </w:rPr>
              <w:t>s</w:t>
            </w:r>
            <w:r w:rsidRPr="002B7282">
              <w:rPr>
                <w:rFonts w:eastAsia="Times New Roman"/>
                <w:color w:val="000000"/>
                <w:sz w:val="24"/>
                <w:szCs w:val="24"/>
              </w:rPr>
              <w:t xml:space="preserve"> are based on what the Medicare contractors spend.  This information comes from the latest available Medicare Contractor Audit &amp; Settlement Report, increased by an inflation factor</w:t>
            </w:r>
            <w:r w:rsidR="00551DC5">
              <w:rPr>
                <w:rFonts w:eastAsia="Times New Roman"/>
                <w:color w:val="000000"/>
                <w:sz w:val="24"/>
                <w:szCs w:val="24"/>
              </w:rPr>
              <w:t>.</w:t>
            </w:r>
            <w:r w:rsidRPr="002B7282">
              <w:rPr>
                <w:rFonts w:eastAsia="Times New Roman"/>
                <w:color w:val="000000"/>
                <w:sz w:val="24"/>
                <w:szCs w:val="24"/>
              </w:rPr>
              <w:t xml:space="preserve"> </w:t>
            </w:r>
          </w:p>
        </w:tc>
        <w:tc>
          <w:tcPr>
            <w:tcW w:w="1608"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r w:rsidRPr="002B7282">
              <w:rPr>
                <w:rFonts w:eastAsia="Times New Roman"/>
                <w:color w:val="000000"/>
                <w:sz w:val="24"/>
                <w:szCs w:val="24"/>
              </w:rPr>
              <w:t xml:space="preserve">21,541,677.00 </w:t>
            </w:r>
          </w:p>
        </w:tc>
      </w:tr>
      <w:tr w:rsidR="002B7282" w:rsidRPr="002B7282" w:rsidTr="002B7282">
        <w:trPr>
          <w:trHeight w:val="300"/>
        </w:trPr>
        <w:tc>
          <w:tcPr>
            <w:tcW w:w="960"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5060"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1608"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r>
      <w:tr w:rsidR="002B7282" w:rsidRPr="002B7282" w:rsidTr="00551DC5">
        <w:trPr>
          <w:trHeight w:val="387"/>
        </w:trPr>
        <w:tc>
          <w:tcPr>
            <w:tcW w:w="960"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5060" w:type="dxa"/>
            <w:tcBorders>
              <w:top w:val="nil"/>
              <w:left w:val="nil"/>
              <w:bottom w:val="nil"/>
              <w:right w:val="nil"/>
            </w:tcBorders>
            <w:shd w:val="clear" w:color="auto" w:fill="auto"/>
            <w:vAlign w:val="bottom"/>
            <w:hideMark/>
          </w:tcPr>
          <w:p w:rsidR="002B7282" w:rsidRPr="002B7282" w:rsidRDefault="002B7282" w:rsidP="00035ED9">
            <w:pPr>
              <w:widowControl/>
              <w:autoSpaceDE/>
              <w:autoSpaceDN/>
              <w:adjustRightInd/>
              <w:rPr>
                <w:rFonts w:eastAsia="Times New Roman"/>
                <w:color w:val="000000"/>
                <w:sz w:val="24"/>
                <w:szCs w:val="24"/>
                <w:u w:val="single"/>
              </w:rPr>
            </w:pPr>
            <w:r w:rsidRPr="002B7282">
              <w:rPr>
                <w:rFonts w:eastAsia="Times New Roman"/>
                <w:color w:val="000000"/>
                <w:sz w:val="24"/>
                <w:szCs w:val="24"/>
                <w:u w:val="single"/>
              </w:rPr>
              <w:t>Annual cost to CMS:</w:t>
            </w:r>
            <w:r w:rsidRPr="002B7282">
              <w:rPr>
                <w:rFonts w:eastAsia="Times New Roman"/>
                <w:color w:val="000000"/>
                <w:sz w:val="24"/>
                <w:szCs w:val="24"/>
              </w:rPr>
              <w:t xml:space="preserve"> </w:t>
            </w:r>
            <w:r w:rsidR="0010263E">
              <w:rPr>
                <w:rFonts w:eastAsia="Times New Roman"/>
                <w:color w:val="000000"/>
                <w:sz w:val="24"/>
                <w:szCs w:val="24"/>
              </w:rPr>
              <w:t xml:space="preserve"> </w:t>
            </w:r>
            <w:r w:rsidRPr="002B7282">
              <w:rPr>
                <w:rFonts w:eastAsia="Times New Roman"/>
                <w:color w:val="000000"/>
                <w:sz w:val="24"/>
                <w:szCs w:val="24"/>
              </w:rPr>
              <w:t xml:space="preserve">Total CMS processing cost </w:t>
            </w:r>
            <w:r w:rsidR="00205568">
              <w:rPr>
                <w:rFonts w:eastAsia="Times New Roman"/>
                <w:color w:val="000000"/>
                <w:sz w:val="24"/>
                <w:szCs w:val="24"/>
              </w:rPr>
              <w:t xml:space="preserve">is </w:t>
            </w:r>
            <w:r w:rsidR="00551DC5">
              <w:rPr>
                <w:rFonts w:eastAsia="Times New Roman"/>
                <w:color w:val="000000"/>
                <w:sz w:val="24"/>
                <w:szCs w:val="24"/>
              </w:rPr>
              <w:t xml:space="preserve">from the </w:t>
            </w:r>
            <w:r w:rsidRPr="002B7282">
              <w:rPr>
                <w:rFonts w:eastAsia="Times New Roman"/>
                <w:color w:val="000000"/>
                <w:sz w:val="24"/>
                <w:szCs w:val="24"/>
              </w:rPr>
              <w:t>HCRIS Budget</w:t>
            </w:r>
            <w:r w:rsidR="00205568">
              <w:rPr>
                <w:rFonts w:eastAsia="Times New Roman"/>
                <w:color w:val="000000"/>
                <w:sz w:val="24"/>
                <w:szCs w:val="24"/>
              </w:rPr>
              <w:t>.</w:t>
            </w:r>
          </w:p>
        </w:tc>
        <w:tc>
          <w:tcPr>
            <w:tcW w:w="1608"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r w:rsidRPr="002B7282">
              <w:rPr>
                <w:rFonts w:eastAsia="Times New Roman"/>
                <w:color w:val="000000"/>
                <w:sz w:val="24"/>
                <w:szCs w:val="24"/>
              </w:rPr>
              <w:t xml:space="preserve">42,000.00 </w:t>
            </w:r>
          </w:p>
        </w:tc>
      </w:tr>
      <w:tr w:rsidR="002B7282" w:rsidRPr="002B7282" w:rsidTr="002B7282">
        <w:trPr>
          <w:trHeight w:val="300"/>
        </w:trPr>
        <w:tc>
          <w:tcPr>
            <w:tcW w:w="960"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5060"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c>
          <w:tcPr>
            <w:tcW w:w="1608" w:type="dxa"/>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p>
        </w:tc>
      </w:tr>
      <w:tr w:rsidR="002B7282" w:rsidRPr="002B7282" w:rsidTr="002B7282">
        <w:trPr>
          <w:trHeight w:val="315"/>
        </w:trPr>
        <w:tc>
          <w:tcPr>
            <w:tcW w:w="6020" w:type="dxa"/>
            <w:gridSpan w:val="2"/>
            <w:tcBorders>
              <w:top w:val="nil"/>
              <w:left w:val="nil"/>
              <w:bottom w:val="nil"/>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u w:val="single"/>
              </w:rPr>
            </w:pPr>
            <w:r w:rsidRPr="002B7282">
              <w:rPr>
                <w:rFonts w:eastAsia="Times New Roman"/>
                <w:color w:val="000000"/>
                <w:sz w:val="24"/>
                <w:szCs w:val="24"/>
                <w:u w:val="single"/>
              </w:rPr>
              <w:t>Total Federal Cost</w:t>
            </w:r>
          </w:p>
        </w:tc>
        <w:tc>
          <w:tcPr>
            <w:tcW w:w="1608" w:type="dxa"/>
            <w:tcBorders>
              <w:top w:val="single" w:sz="4" w:space="0" w:color="auto"/>
              <w:left w:val="nil"/>
              <w:bottom w:val="double" w:sz="6" w:space="0" w:color="auto"/>
              <w:right w:val="nil"/>
            </w:tcBorders>
            <w:shd w:val="clear" w:color="auto" w:fill="auto"/>
            <w:noWrap/>
            <w:vAlign w:val="bottom"/>
            <w:hideMark/>
          </w:tcPr>
          <w:p w:rsidR="002B7282" w:rsidRPr="002B7282" w:rsidRDefault="002B7282" w:rsidP="00035ED9">
            <w:pPr>
              <w:widowControl/>
              <w:autoSpaceDE/>
              <w:autoSpaceDN/>
              <w:adjustRightInd/>
              <w:rPr>
                <w:rFonts w:eastAsia="Times New Roman"/>
                <w:color w:val="000000"/>
                <w:sz w:val="24"/>
                <w:szCs w:val="24"/>
              </w:rPr>
            </w:pPr>
            <w:r w:rsidRPr="002B7282">
              <w:rPr>
                <w:rFonts w:eastAsia="Times New Roman"/>
                <w:color w:val="000000"/>
                <w:sz w:val="24"/>
                <w:szCs w:val="24"/>
              </w:rPr>
              <w:t xml:space="preserve">$21,583,677.00 </w:t>
            </w:r>
          </w:p>
        </w:tc>
      </w:tr>
    </w:tbl>
    <w:p w:rsidR="002B7282" w:rsidRPr="002B7282" w:rsidRDefault="002B7282" w:rsidP="00035ED9">
      <w:pPr>
        <w:tabs>
          <w:tab w:val="left" w:pos="0"/>
          <w:tab w:val="left" w:pos="360"/>
          <w:tab w:val="left" w:pos="720"/>
        </w:tabs>
        <w:suppressAutoHyphens/>
        <w:spacing w:line="240" w:lineRule="atLeast"/>
        <w:ind w:left="360"/>
        <w:rPr>
          <w:sz w:val="24"/>
          <w:szCs w:val="24"/>
          <w:u w:val="single"/>
        </w:rPr>
      </w:pPr>
    </w:p>
    <w:p w:rsidR="002B7282" w:rsidRPr="002B7282" w:rsidRDefault="002B7282" w:rsidP="00035ED9">
      <w:pPr>
        <w:tabs>
          <w:tab w:val="left" w:pos="0"/>
          <w:tab w:val="left" w:pos="360"/>
          <w:tab w:val="left" w:pos="720"/>
        </w:tabs>
        <w:suppressAutoHyphens/>
        <w:spacing w:line="240" w:lineRule="atLeast"/>
        <w:ind w:left="360"/>
        <w:rPr>
          <w:sz w:val="24"/>
          <w:szCs w:val="24"/>
          <w:u w:val="single"/>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Program/Burden Changes</w:t>
      </w:r>
    </w:p>
    <w:p w:rsidR="00D22C70" w:rsidRPr="002B7282" w:rsidRDefault="00D22C70" w:rsidP="00035ED9">
      <w:pPr>
        <w:tabs>
          <w:tab w:val="left" w:pos="0"/>
          <w:tab w:val="left" w:pos="720"/>
        </w:tabs>
        <w:suppressAutoHyphens/>
        <w:spacing w:line="240" w:lineRule="atLeast"/>
        <w:ind w:left="720"/>
        <w:rPr>
          <w:sz w:val="24"/>
          <w:szCs w:val="24"/>
        </w:rPr>
      </w:pPr>
    </w:p>
    <w:p w:rsidR="00090EE3" w:rsidRPr="00090EE3" w:rsidRDefault="00D22C70" w:rsidP="00090EE3">
      <w:pPr>
        <w:tabs>
          <w:tab w:val="left" w:pos="0"/>
          <w:tab w:val="left" w:pos="720"/>
        </w:tabs>
        <w:suppressAutoHyphens/>
        <w:spacing w:line="240" w:lineRule="atLeast"/>
        <w:ind w:left="720"/>
        <w:rPr>
          <w:sz w:val="24"/>
          <w:szCs w:val="24"/>
        </w:rPr>
      </w:pPr>
      <w:r w:rsidRPr="00090EE3">
        <w:rPr>
          <w:sz w:val="24"/>
          <w:szCs w:val="24"/>
        </w:rPr>
        <w:t xml:space="preserve">There are </w:t>
      </w:r>
      <w:r w:rsidR="00F333AB" w:rsidRPr="00090EE3">
        <w:rPr>
          <w:sz w:val="24"/>
          <w:szCs w:val="24"/>
        </w:rPr>
        <w:t>some minor</w:t>
      </w:r>
      <w:r w:rsidRPr="00090EE3">
        <w:rPr>
          <w:sz w:val="24"/>
          <w:szCs w:val="24"/>
        </w:rPr>
        <w:t xml:space="preserve"> program changes. </w:t>
      </w:r>
      <w:r w:rsidR="00090EE3" w:rsidRPr="00090EE3">
        <w:rPr>
          <w:sz w:val="24"/>
          <w:szCs w:val="24"/>
        </w:rPr>
        <w:t>Changes from the 60 day comment period package include:</w:t>
      </w:r>
    </w:p>
    <w:p w:rsidR="00090EE3" w:rsidRPr="00090EE3" w:rsidRDefault="00090EE3" w:rsidP="00090EE3">
      <w:pPr>
        <w:widowControl/>
        <w:numPr>
          <w:ilvl w:val="0"/>
          <w:numId w:val="7"/>
        </w:numPr>
        <w:autoSpaceDE/>
        <w:autoSpaceDN/>
        <w:adjustRightInd/>
        <w:outlineLvl w:val="0"/>
        <w:rPr>
          <w:sz w:val="24"/>
          <w:szCs w:val="24"/>
        </w:rPr>
      </w:pPr>
      <w:r w:rsidRPr="00090EE3">
        <w:rPr>
          <w:sz w:val="24"/>
          <w:szCs w:val="24"/>
        </w:rPr>
        <w:t xml:space="preserve">Incorporating 22 additional RUGs as published in the Federal Register Vol.74, No. 153 August 11, 2009. </w:t>
      </w:r>
    </w:p>
    <w:p w:rsidR="00090EE3" w:rsidRPr="00090EE3" w:rsidRDefault="00090EE3" w:rsidP="00090EE3">
      <w:pPr>
        <w:widowControl/>
        <w:numPr>
          <w:ilvl w:val="0"/>
          <w:numId w:val="7"/>
        </w:numPr>
        <w:autoSpaceDE/>
        <w:autoSpaceDN/>
        <w:adjustRightInd/>
        <w:outlineLvl w:val="0"/>
        <w:rPr>
          <w:sz w:val="24"/>
          <w:szCs w:val="24"/>
        </w:rPr>
      </w:pPr>
      <w:r w:rsidRPr="00090EE3">
        <w:rPr>
          <w:sz w:val="24"/>
          <w:szCs w:val="24"/>
        </w:rPr>
        <w:lastRenderedPageBreak/>
        <w:t xml:space="preserve">Reserved additional lines for future use in anticipation of changes forthcoming because of Section 6104 of the PPACA Public Law. </w:t>
      </w:r>
    </w:p>
    <w:p w:rsidR="00090EE3" w:rsidRPr="00090EE3" w:rsidRDefault="00090EE3" w:rsidP="00090EE3">
      <w:pPr>
        <w:widowControl/>
        <w:numPr>
          <w:ilvl w:val="0"/>
          <w:numId w:val="7"/>
        </w:numPr>
        <w:autoSpaceDE/>
        <w:autoSpaceDN/>
        <w:adjustRightInd/>
        <w:outlineLvl w:val="0"/>
        <w:rPr>
          <w:sz w:val="24"/>
          <w:szCs w:val="24"/>
        </w:rPr>
      </w:pPr>
      <w:r w:rsidRPr="00090EE3">
        <w:rPr>
          <w:sz w:val="24"/>
          <w:szCs w:val="24"/>
        </w:rPr>
        <w:t>We mirrored changes made to the Hospital Based SNF cost report which is part of the pending Hospital &amp; Hospital Healthcare Complex Cost Report 2552-10.</w:t>
      </w:r>
    </w:p>
    <w:p w:rsidR="00090EE3" w:rsidRPr="00090EE3" w:rsidRDefault="00090EE3" w:rsidP="00090EE3">
      <w:pPr>
        <w:widowControl/>
        <w:numPr>
          <w:ilvl w:val="0"/>
          <w:numId w:val="7"/>
        </w:numPr>
        <w:autoSpaceDE/>
        <w:autoSpaceDN/>
        <w:adjustRightInd/>
        <w:outlineLvl w:val="0"/>
        <w:rPr>
          <w:sz w:val="24"/>
          <w:szCs w:val="24"/>
        </w:rPr>
      </w:pPr>
      <w:r w:rsidRPr="00090EE3">
        <w:rPr>
          <w:sz w:val="24"/>
          <w:szCs w:val="24"/>
        </w:rPr>
        <w:t>We incorporated data previously reported on the Provider Cost Report Reimbursement Questionnaire, FORM CMS-339.</w:t>
      </w:r>
    </w:p>
    <w:p w:rsidR="00090EE3" w:rsidRPr="00090EE3" w:rsidRDefault="00090EE3" w:rsidP="00090EE3">
      <w:pPr>
        <w:ind w:left="360"/>
        <w:outlineLvl w:val="0"/>
        <w:rPr>
          <w:sz w:val="24"/>
          <w:szCs w:val="24"/>
        </w:rPr>
      </w:pPr>
    </w:p>
    <w:p w:rsidR="00090EE3" w:rsidRPr="00090EE3" w:rsidRDefault="00090EE3" w:rsidP="00090EE3">
      <w:pPr>
        <w:widowControl/>
        <w:numPr>
          <w:ilvl w:val="0"/>
          <w:numId w:val="7"/>
        </w:numPr>
        <w:autoSpaceDE/>
        <w:autoSpaceDN/>
        <w:adjustRightInd/>
        <w:ind w:left="720"/>
        <w:outlineLvl w:val="0"/>
        <w:rPr>
          <w:sz w:val="24"/>
          <w:szCs w:val="24"/>
        </w:rPr>
      </w:pPr>
      <w:r w:rsidRPr="00090EE3">
        <w:rPr>
          <w:sz w:val="24"/>
          <w:szCs w:val="24"/>
        </w:rPr>
        <w:t>Overall reporting burden has been reduced due to:</w:t>
      </w:r>
    </w:p>
    <w:p w:rsidR="00090EE3" w:rsidRPr="00090EE3" w:rsidRDefault="00090EE3" w:rsidP="00090EE3">
      <w:pPr>
        <w:widowControl/>
        <w:numPr>
          <w:ilvl w:val="1"/>
          <w:numId w:val="7"/>
        </w:numPr>
        <w:autoSpaceDE/>
        <w:autoSpaceDN/>
        <w:adjustRightInd/>
        <w:ind w:left="1440"/>
        <w:outlineLvl w:val="0"/>
        <w:rPr>
          <w:sz w:val="24"/>
          <w:szCs w:val="24"/>
        </w:rPr>
      </w:pPr>
      <w:r w:rsidRPr="00090EE3">
        <w:rPr>
          <w:sz w:val="24"/>
          <w:szCs w:val="24"/>
        </w:rPr>
        <w:t>Consolidation of CMS Form 339 into the overall cost report</w:t>
      </w:r>
    </w:p>
    <w:p w:rsidR="00090EE3" w:rsidRPr="00090EE3" w:rsidRDefault="00090EE3" w:rsidP="00090EE3">
      <w:pPr>
        <w:widowControl/>
        <w:numPr>
          <w:ilvl w:val="1"/>
          <w:numId w:val="7"/>
        </w:numPr>
        <w:autoSpaceDE/>
        <w:autoSpaceDN/>
        <w:adjustRightInd/>
        <w:ind w:left="1440"/>
        <w:outlineLvl w:val="0"/>
        <w:rPr>
          <w:sz w:val="24"/>
          <w:szCs w:val="24"/>
        </w:rPr>
      </w:pPr>
      <w:r w:rsidRPr="00090EE3">
        <w:rPr>
          <w:sz w:val="24"/>
          <w:szCs w:val="24"/>
        </w:rPr>
        <w:t xml:space="preserve">Deletion of numerous worksheets </w:t>
      </w:r>
    </w:p>
    <w:p w:rsidR="00090EE3" w:rsidRPr="00090EE3" w:rsidRDefault="00090EE3" w:rsidP="00090EE3">
      <w:pPr>
        <w:widowControl/>
        <w:numPr>
          <w:ilvl w:val="1"/>
          <w:numId w:val="7"/>
        </w:numPr>
        <w:autoSpaceDE/>
        <w:autoSpaceDN/>
        <w:adjustRightInd/>
        <w:ind w:left="1440"/>
        <w:outlineLvl w:val="0"/>
        <w:rPr>
          <w:sz w:val="24"/>
          <w:szCs w:val="24"/>
        </w:rPr>
      </w:pPr>
      <w:r w:rsidRPr="00090EE3">
        <w:rPr>
          <w:sz w:val="24"/>
          <w:szCs w:val="24"/>
        </w:rPr>
        <w:t>Deletion of many lines and columns</w:t>
      </w:r>
    </w:p>
    <w:p w:rsidR="00F333AB" w:rsidRPr="00090EE3" w:rsidRDefault="00F333AB" w:rsidP="00035ED9">
      <w:pPr>
        <w:tabs>
          <w:tab w:val="left" w:pos="0"/>
          <w:tab w:val="left" w:pos="720"/>
        </w:tabs>
        <w:suppressAutoHyphens/>
        <w:spacing w:line="240" w:lineRule="atLeast"/>
        <w:ind w:left="720"/>
        <w:rPr>
          <w:sz w:val="24"/>
          <w:szCs w:val="24"/>
        </w:rPr>
      </w:pPr>
    </w:p>
    <w:p w:rsidR="00D22C70" w:rsidRDefault="00D22C70" w:rsidP="00035ED9">
      <w:pPr>
        <w:tabs>
          <w:tab w:val="left" w:pos="0"/>
          <w:tab w:val="left" w:pos="360"/>
          <w:tab w:val="left" w:pos="720"/>
        </w:tabs>
        <w:suppressAutoHyphens/>
        <w:spacing w:line="240" w:lineRule="atLeast"/>
        <w:ind w:left="720" w:hanging="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Publication and Tabulation Dates</w:t>
      </w:r>
    </w:p>
    <w:p w:rsidR="00D22C70" w:rsidRPr="002B7282" w:rsidRDefault="00D22C70" w:rsidP="00035ED9">
      <w:pPr>
        <w:tabs>
          <w:tab w:val="left" w:pos="0"/>
          <w:tab w:val="left" w:pos="720"/>
        </w:tabs>
        <w:suppressAutoHyphens/>
        <w:spacing w:line="240" w:lineRule="atLeast"/>
        <w:ind w:left="72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2B7282">
        <w:rPr>
          <w:sz w:val="24"/>
          <w:szCs w:val="24"/>
        </w:rPr>
        <w:t xml:space="preserve">The data submitted on the cost report supports management of the Federal programs.  These data are extracted from the cost report by the </w:t>
      </w:r>
      <w:r w:rsidR="00732B94" w:rsidRPr="002B7282">
        <w:rPr>
          <w:sz w:val="24"/>
          <w:szCs w:val="24"/>
        </w:rPr>
        <w:t>Medicare contractor</w:t>
      </w:r>
      <w:r w:rsidR="00D67F83" w:rsidRPr="002B7282">
        <w:rPr>
          <w:sz w:val="24"/>
          <w:szCs w:val="24"/>
        </w:rPr>
        <w:t>s</w:t>
      </w:r>
      <w:r w:rsidRPr="002B7282">
        <w:rPr>
          <w:sz w:val="24"/>
          <w:szCs w:val="24"/>
        </w:rPr>
        <w:t xml:space="preserve"> </w:t>
      </w:r>
      <w:r w:rsidR="00205568">
        <w:rPr>
          <w:sz w:val="24"/>
          <w:szCs w:val="24"/>
        </w:rPr>
        <w:t>and transmitted</w:t>
      </w:r>
      <w:r w:rsidRPr="002B7282">
        <w:rPr>
          <w:sz w:val="24"/>
          <w:szCs w:val="24"/>
        </w:rPr>
        <w:t xml:space="preserve"> to CM</w:t>
      </w:r>
      <w:r w:rsidRPr="00A211BB">
        <w:rPr>
          <w:sz w:val="24"/>
          <w:szCs w:val="24"/>
        </w:rPr>
        <w:t>S</w:t>
      </w:r>
      <w:r w:rsidR="00205568">
        <w:rPr>
          <w:sz w:val="24"/>
          <w:szCs w:val="24"/>
        </w:rPr>
        <w:t>.</w:t>
      </w:r>
      <w:r w:rsidRPr="00A211BB">
        <w:rPr>
          <w:sz w:val="24"/>
          <w:szCs w:val="24"/>
        </w:rPr>
        <w:t xml:space="preserve"> </w:t>
      </w:r>
      <w:r w:rsidR="0010263E">
        <w:rPr>
          <w:sz w:val="24"/>
          <w:szCs w:val="24"/>
        </w:rPr>
        <w:t xml:space="preserve"> </w:t>
      </w:r>
      <w:r w:rsidR="00205568">
        <w:rPr>
          <w:sz w:val="24"/>
          <w:szCs w:val="24"/>
        </w:rPr>
        <w:t xml:space="preserve">The data </w:t>
      </w:r>
      <w:r w:rsidRPr="00A211BB">
        <w:rPr>
          <w:sz w:val="24"/>
          <w:szCs w:val="24"/>
        </w:rPr>
        <w:t xml:space="preserve">are used by the Office of the Actuary </w:t>
      </w:r>
      <w:r w:rsidR="00106CCA" w:rsidRPr="00A211BB">
        <w:rPr>
          <w:sz w:val="24"/>
          <w:szCs w:val="24"/>
        </w:rPr>
        <w:t>for various rate setting and payment refinement activities, and to make projections of the Medicare Trust Fund.</w:t>
      </w:r>
      <w:r w:rsidRPr="00A211BB">
        <w:rPr>
          <w:sz w:val="24"/>
          <w:szCs w:val="24"/>
        </w:rPr>
        <w:t xml:space="preserve">  In addition, the data is available to Congress, researchers, universities, and other interested parties.  </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Expiration Date</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106CCA" w:rsidP="00035ED9">
      <w:pPr>
        <w:tabs>
          <w:tab w:val="left" w:pos="0"/>
          <w:tab w:val="left" w:pos="720"/>
        </w:tabs>
        <w:suppressAutoHyphens/>
        <w:spacing w:line="240" w:lineRule="atLeast"/>
        <w:ind w:left="720"/>
        <w:rPr>
          <w:sz w:val="24"/>
          <w:szCs w:val="24"/>
        </w:rPr>
      </w:pPr>
      <w:r w:rsidRPr="00A211BB">
        <w:rPr>
          <w:sz w:val="24"/>
          <w:szCs w:val="24"/>
        </w:rPr>
        <w:t xml:space="preserve">We request </w:t>
      </w:r>
      <w:r w:rsidR="00205568">
        <w:rPr>
          <w:sz w:val="24"/>
          <w:szCs w:val="24"/>
        </w:rPr>
        <w:t>an</w:t>
      </w:r>
      <w:r w:rsidRPr="00A211BB">
        <w:rPr>
          <w:sz w:val="24"/>
          <w:szCs w:val="24"/>
        </w:rPr>
        <w:t xml:space="preserve"> exception</w:t>
      </w:r>
      <w:r w:rsidR="00205568">
        <w:rPr>
          <w:sz w:val="24"/>
          <w:szCs w:val="24"/>
        </w:rPr>
        <w:t xml:space="preserve"> from displaying the expiration date since the forms are changed so infrequently</w:t>
      </w:r>
      <w:r w:rsidRPr="00A211BB">
        <w:rPr>
          <w:sz w:val="24"/>
          <w:szCs w:val="24"/>
        </w:rPr>
        <w:t>.</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7952CC" w:rsidRDefault="00D22C70" w:rsidP="00035ED9">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Certification Statement</w:t>
      </w:r>
    </w:p>
    <w:p w:rsidR="00D22C70" w:rsidRPr="00A211BB" w:rsidRDefault="00D22C70" w:rsidP="00035ED9">
      <w:pPr>
        <w:tabs>
          <w:tab w:val="left" w:pos="0"/>
          <w:tab w:val="left" w:pos="360"/>
          <w:tab w:val="left" w:pos="720"/>
        </w:tabs>
        <w:suppressAutoHyphens/>
        <w:spacing w:line="240" w:lineRule="atLeast"/>
        <w:ind w:left="360"/>
        <w:rPr>
          <w:sz w:val="24"/>
          <w:szCs w:val="24"/>
        </w:rPr>
      </w:pPr>
    </w:p>
    <w:p w:rsidR="00D22C70" w:rsidRPr="00A211BB" w:rsidRDefault="00D22C70" w:rsidP="00035ED9">
      <w:pPr>
        <w:tabs>
          <w:tab w:val="left" w:pos="0"/>
          <w:tab w:val="left" w:pos="720"/>
        </w:tabs>
        <w:suppressAutoHyphens/>
        <w:spacing w:line="240" w:lineRule="atLeast"/>
        <w:ind w:left="720"/>
        <w:rPr>
          <w:sz w:val="24"/>
          <w:szCs w:val="24"/>
        </w:rPr>
      </w:pPr>
      <w:r w:rsidRPr="00A211BB">
        <w:rPr>
          <w:sz w:val="24"/>
          <w:szCs w:val="24"/>
        </w:rPr>
        <w:t>There are no exceptions to the certification statement.</w:t>
      </w:r>
    </w:p>
    <w:p w:rsidR="00D22C70" w:rsidRPr="00A211BB" w:rsidRDefault="00D22C70" w:rsidP="00035ED9">
      <w:pPr>
        <w:tabs>
          <w:tab w:val="left" w:pos="0"/>
          <w:tab w:val="left" w:pos="360"/>
          <w:tab w:val="left" w:pos="720"/>
        </w:tabs>
        <w:suppressAutoHyphens/>
        <w:spacing w:line="240" w:lineRule="atLeast"/>
        <w:rPr>
          <w:sz w:val="24"/>
          <w:szCs w:val="24"/>
        </w:rPr>
      </w:pPr>
      <w:r w:rsidRPr="00A211BB">
        <w:rPr>
          <w:sz w:val="24"/>
          <w:szCs w:val="24"/>
        </w:rPr>
        <w:tab/>
      </w:r>
    </w:p>
    <w:p w:rsidR="00D22C70" w:rsidRPr="00A211BB" w:rsidRDefault="00D22C70" w:rsidP="00035ED9">
      <w:pPr>
        <w:tabs>
          <w:tab w:val="left" w:pos="0"/>
          <w:tab w:val="left" w:pos="360"/>
          <w:tab w:val="left" w:pos="720"/>
        </w:tabs>
        <w:suppressAutoHyphens/>
        <w:spacing w:line="240" w:lineRule="atLeast"/>
        <w:ind w:left="360" w:hanging="360"/>
        <w:rPr>
          <w:b/>
          <w:sz w:val="24"/>
          <w:szCs w:val="24"/>
        </w:rPr>
      </w:pPr>
      <w:r w:rsidRPr="00A211BB">
        <w:rPr>
          <w:b/>
          <w:sz w:val="24"/>
          <w:szCs w:val="24"/>
        </w:rPr>
        <w:t>C.</w:t>
      </w:r>
      <w:r w:rsidRPr="00A211BB">
        <w:rPr>
          <w:b/>
          <w:sz w:val="24"/>
          <w:szCs w:val="24"/>
        </w:rPr>
        <w:tab/>
      </w:r>
      <w:r w:rsidR="00F04556" w:rsidRPr="00A211BB">
        <w:rPr>
          <w:b/>
          <w:sz w:val="24"/>
          <w:szCs w:val="24"/>
        </w:rPr>
        <w:t>STATISTICAL METHODS</w:t>
      </w:r>
    </w:p>
    <w:p w:rsidR="00D22C70" w:rsidRPr="00A211BB" w:rsidRDefault="00D22C70" w:rsidP="00035ED9">
      <w:pPr>
        <w:tabs>
          <w:tab w:val="left" w:pos="0"/>
          <w:tab w:val="left" w:pos="360"/>
          <w:tab w:val="left" w:pos="720"/>
        </w:tabs>
        <w:suppressAutoHyphens/>
        <w:spacing w:line="240" w:lineRule="atLeast"/>
        <w:ind w:left="360" w:hanging="360"/>
        <w:rPr>
          <w:sz w:val="24"/>
          <w:szCs w:val="24"/>
        </w:rPr>
      </w:pPr>
    </w:p>
    <w:p w:rsidR="00D22C70" w:rsidRDefault="00D22C70" w:rsidP="00035ED9">
      <w:pPr>
        <w:tabs>
          <w:tab w:val="left" w:pos="0"/>
          <w:tab w:val="left" w:pos="360"/>
          <w:tab w:val="left" w:pos="720"/>
        </w:tabs>
        <w:suppressAutoHyphens/>
        <w:spacing w:line="240" w:lineRule="atLeast"/>
        <w:ind w:left="360"/>
        <w:rPr>
          <w:sz w:val="24"/>
          <w:szCs w:val="24"/>
        </w:rPr>
      </w:pPr>
      <w:r w:rsidRPr="008722C4">
        <w:rPr>
          <w:sz w:val="24"/>
          <w:szCs w:val="24"/>
        </w:rPr>
        <w:t>There</w:t>
      </w:r>
      <w:r>
        <w:rPr>
          <w:sz w:val="24"/>
          <w:szCs w:val="24"/>
        </w:rPr>
        <w:t xml:space="preserve"> are no statistical methods involved in this collection.</w:t>
      </w:r>
    </w:p>
    <w:sectPr w:rsidR="00D22C70" w:rsidSect="00D22C70">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8C4" w:rsidRDefault="004A68C4">
      <w:pPr>
        <w:spacing w:line="20" w:lineRule="exact"/>
        <w:rPr>
          <w:sz w:val="24"/>
          <w:szCs w:val="24"/>
        </w:rPr>
      </w:pPr>
    </w:p>
  </w:endnote>
  <w:endnote w:type="continuationSeparator" w:id="0">
    <w:p w:rsidR="004A68C4" w:rsidRDefault="004A68C4" w:rsidP="00D22C70">
      <w:r>
        <w:rPr>
          <w:sz w:val="24"/>
          <w:szCs w:val="24"/>
        </w:rPr>
        <w:t xml:space="preserve"> </w:t>
      </w:r>
    </w:p>
  </w:endnote>
  <w:endnote w:type="continuationNotice" w:id="1">
    <w:p w:rsidR="004A68C4" w:rsidRDefault="004A68C4" w:rsidP="00D22C70">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C4" w:rsidRDefault="004A68C4">
    <w:pPr>
      <w:spacing w:before="140" w:line="100" w:lineRule="exact"/>
      <w:rPr>
        <w:sz w:val="10"/>
        <w:szCs w:val="10"/>
      </w:rPr>
    </w:pPr>
  </w:p>
  <w:p w:rsidR="004A68C4" w:rsidRDefault="004A68C4">
    <w:pPr>
      <w:tabs>
        <w:tab w:val="left" w:pos="-720"/>
      </w:tabs>
      <w:suppressAutoHyphens/>
      <w:spacing w:line="240" w:lineRule="exact"/>
      <w:rPr>
        <w:sz w:val="24"/>
        <w:szCs w:val="24"/>
      </w:rPr>
    </w:pPr>
  </w:p>
  <w:p w:rsidR="004A68C4" w:rsidRDefault="00BC2E5E">
    <w:pPr>
      <w:tabs>
        <w:tab w:val="left" w:pos="-720"/>
      </w:tabs>
      <w:suppressAutoHyphens/>
      <w:spacing w:line="240" w:lineRule="atLeast"/>
      <w:ind w:left="30" w:right="30"/>
      <w:jc w:val="center"/>
      <w:rPr>
        <w:sz w:val="24"/>
        <w:szCs w:val="24"/>
      </w:rPr>
    </w:pPr>
    <w:r>
      <w:rPr>
        <w:sz w:val="24"/>
        <w:szCs w:val="24"/>
      </w:rPr>
      <w:fldChar w:fldCharType="begin"/>
    </w:r>
    <w:r w:rsidR="004A68C4">
      <w:rPr>
        <w:sz w:val="24"/>
        <w:szCs w:val="24"/>
      </w:rPr>
      <w:instrText>page \* arabic</w:instrText>
    </w:r>
    <w:r>
      <w:rPr>
        <w:sz w:val="24"/>
        <w:szCs w:val="24"/>
      </w:rPr>
      <w:fldChar w:fldCharType="separate"/>
    </w:r>
    <w:r w:rsidR="00474387">
      <w:rPr>
        <w:noProof/>
        <w:sz w:val="24"/>
        <w:szCs w:val="24"/>
      </w:rPr>
      <w:t>5</w:t>
    </w:r>
    <w:r>
      <w:rPr>
        <w:sz w:val="24"/>
        <w:szCs w:val="24"/>
      </w:rPr>
      <w:fldChar w:fldCharType="end"/>
    </w:r>
  </w:p>
  <w:p w:rsidR="004A68C4" w:rsidRDefault="004A68C4">
    <w:pPr>
      <w:tabs>
        <w:tab w:val="left" w:pos="-720"/>
      </w:tabs>
      <w:suppressAutoHyphens/>
      <w:spacing w:line="240" w:lineRule="atLeas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8C4" w:rsidRDefault="004A68C4" w:rsidP="00D22C70">
      <w:r>
        <w:rPr>
          <w:sz w:val="24"/>
          <w:szCs w:val="24"/>
        </w:rPr>
        <w:separator/>
      </w:r>
    </w:p>
  </w:footnote>
  <w:footnote w:type="continuationSeparator" w:id="0">
    <w:p w:rsidR="004A68C4" w:rsidRDefault="004A68C4" w:rsidP="00D22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AAA4E39"/>
    <w:multiLevelType w:val="hybridMultilevel"/>
    <w:tmpl w:val="295E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FC4"/>
    <w:multiLevelType w:val="hybridMultilevel"/>
    <w:tmpl w:val="BF1AC142"/>
    <w:lvl w:ilvl="0" w:tplc="E10C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5D2EF3"/>
    <w:multiLevelType w:val="hybridMultilevel"/>
    <w:tmpl w:val="B166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93AE2"/>
    <w:multiLevelType w:val="hybridMultilevel"/>
    <w:tmpl w:val="77406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98C4C3D"/>
    <w:multiLevelType w:val="hybridMultilevel"/>
    <w:tmpl w:val="04103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78D0BD2"/>
    <w:multiLevelType w:val="hybridMultilevel"/>
    <w:tmpl w:val="2F6E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664030"/>
    <w:multiLevelType w:val="hybridMultilevel"/>
    <w:tmpl w:val="E65024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D22C70"/>
    <w:rsid w:val="00035ED9"/>
    <w:rsid w:val="00043EE8"/>
    <w:rsid w:val="000457A4"/>
    <w:rsid w:val="00090EE3"/>
    <w:rsid w:val="000912ED"/>
    <w:rsid w:val="00092A06"/>
    <w:rsid w:val="0010263E"/>
    <w:rsid w:val="001027FA"/>
    <w:rsid w:val="00106CCA"/>
    <w:rsid w:val="00127F11"/>
    <w:rsid w:val="00147E9D"/>
    <w:rsid w:val="001E6FA0"/>
    <w:rsid w:val="002015DB"/>
    <w:rsid w:val="00205568"/>
    <w:rsid w:val="00205922"/>
    <w:rsid w:val="002120FF"/>
    <w:rsid w:val="00254D93"/>
    <w:rsid w:val="002A24D2"/>
    <w:rsid w:val="002A71DD"/>
    <w:rsid w:val="002B7282"/>
    <w:rsid w:val="002C09FC"/>
    <w:rsid w:val="002D099B"/>
    <w:rsid w:val="002D1D72"/>
    <w:rsid w:val="00300BB9"/>
    <w:rsid w:val="003206E0"/>
    <w:rsid w:val="00343D5E"/>
    <w:rsid w:val="0035651D"/>
    <w:rsid w:val="004110EC"/>
    <w:rsid w:val="00474387"/>
    <w:rsid w:val="004840A1"/>
    <w:rsid w:val="004A3575"/>
    <w:rsid w:val="004A68C4"/>
    <w:rsid w:val="004E2ADF"/>
    <w:rsid w:val="004F157E"/>
    <w:rsid w:val="0050516C"/>
    <w:rsid w:val="00551DC5"/>
    <w:rsid w:val="00552775"/>
    <w:rsid w:val="00583343"/>
    <w:rsid w:val="00590B48"/>
    <w:rsid w:val="005A1165"/>
    <w:rsid w:val="00655D3B"/>
    <w:rsid w:val="006939E4"/>
    <w:rsid w:val="006D6D5B"/>
    <w:rsid w:val="006E34B4"/>
    <w:rsid w:val="006F7E67"/>
    <w:rsid w:val="00732B94"/>
    <w:rsid w:val="00751904"/>
    <w:rsid w:val="00766BC7"/>
    <w:rsid w:val="00791843"/>
    <w:rsid w:val="007952CC"/>
    <w:rsid w:val="007A10C5"/>
    <w:rsid w:val="007C709A"/>
    <w:rsid w:val="007D3DD5"/>
    <w:rsid w:val="008673E8"/>
    <w:rsid w:val="008722C4"/>
    <w:rsid w:val="008E69AC"/>
    <w:rsid w:val="0093253C"/>
    <w:rsid w:val="00935FC6"/>
    <w:rsid w:val="0094572B"/>
    <w:rsid w:val="00960D87"/>
    <w:rsid w:val="00982126"/>
    <w:rsid w:val="009D06D5"/>
    <w:rsid w:val="009D6BFA"/>
    <w:rsid w:val="009F360B"/>
    <w:rsid w:val="00A054D3"/>
    <w:rsid w:val="00A211BB"/>
    <w:rsid w:val="00A46653"/>
    <w:rsid w:val="00AA16CC"/>
    <w:rsid w:val="00AA2A10"/>
    <w:rsid w:val="00AC64AB"/>
    <w:rsid w:val="00AE2D8D"/>
    <w:rsid w:val="00B0526E"/>
    <w:rsid w:val="00B45698"/>
    <w:rsid w:val="00B45B6F"/>
    <w:rsid w:val="00B567AB"/>
    <w:rsid w:val="00B935FB"/>
    <w:rsid w:val="00BB4188"/>
    <w:rsid w:val="00BC2E5E"/>
    <w:rsid w:val="00C07C63"/>
    <w:rsid w:val="00C11767"/>
    <w:rsid w:val="00C85503"/>
    <w:rsid w:val="00CB7C2D"/>
    <w:rsid w:val="00D22C70"/>
    <w:rsid w:val="00D33E88"/>
    <w:rsid w:val="00D34428"/>
    <w:rsid w:val="00D67F83"/>
    <w:rsid w:val="00D81025"/>
    <w:rsid w:val="00D81B5B"/>
    <w:rsid w:val="00DC0448"/>
    <w:rsid w:val="00DC60F9"/>
    <w:rsid w:val="00DF159F"/>
    <w:rsid w:val="00E067B1"/>
    <w:rsid w:val="00ED1BD6"/>
    <w:rsid w:val="00EE18D1"/>
    <w:rsid w:val="00EF2236"/>
    <w:rsid w:val="00F04556"/>
    <w:rsid w:val="00F16FA8"/>
    <w:rsid w:val="00F333AB"/>
    <w:rsid w:val="00F40CCE"/>
    <w:rsid w:val="00F548AF"/>
    <w:rsid w:val="00F87A7F"/>
    <w:rsid w:val="00FA05E9"/>
    <w:rsid w:val="00FE0C9F"/>
    <w:rsid w:val="00FF0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34"/>
    <w:qFormat/>
    <w:rsid w:val="00A211BB"/>
    <w:pPr>
      <w:ind w:left="720"/>
      <w:contextualSpacing/>
    </w:pPr>
  </w:style>
</w:styles>
</file>

<file path=word/webSettings.xml><?xml version="1.0" encoding="utf-8"?>
<w:webSettings xmlns:r="http://schemas.openxmlformats.org/officeDocument/2006/relationships" xmlns:w="http://schemas.openxmlformats.org/wordprocessingml/2006/main">
  <w:divs>
    <w:div w:id="12524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E331D-E9EE-4037-A17D-F0DE2BFD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2010-05-10T13:38:00Z</cp:lastPrinted>
  <dcterms:created xsi:type="dcterms:W3CDTF">2010-06-17T15:46:00Z</dcterms:created>
  <dcterms:modified xsi:type="dcterms:W3CDTF">2010-06-17T15:46:00Z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-2005654041</vt:i4>
  </property>
  <property fmtid="{D5CDD505-2E9C-101B-9397-08002B2CF9AE}" pid="3" name="_NewReviewCycle">
    <vt:lpwstr/>
  </property>
  <property fmtid="{D5CDD505-2E9C-101B-9397-08002B2CF9AE}" pid="4" name="_EmailSubject">
    <vt:lpwstr>Revised Supporting Statement</vt:lpwstr>
  </property>
  <property fmtid="{D5CDD505-2E9C-101B-9397-08002B2CF9AE}" pid="5" name="_AuthorEmail">
    <vt:lpwstr>Edwin.Gill@cms.hhs.gov</vt:lpwstr>
  </property>
  <property fmtid="{D5CDD505-2E9C-101B-9397-08002B2CF9AE}" pid="6" name="_AuthorEmailDisplayName">
    <vt:lpwstr>Gill, Edwin F. (CMS/CMM)</vt:lpwstr>
  </property>
</Properties>
</file>