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FF" w:rsidRPr="00BD2020" w:rsidRDefault="001E22FF">
      <w:pPr>
        <w:rPr>
          <w:b/>
        </w:rPr>
      </w:pPr>
      <w:bookmarkStart w:id="0" w:name="_GoBack"/>
      <w:bookmarkEnd w:id="0"/>
      <w:r w:rsidRPr="00BD2020">
        <w:rPr>
          <w:b/>
        </w:rPr>
        <w:t>TASKS for Glossary study</w:t>
      </w:r>
    </w:p>
    <w:p w:rsidR="001E22FF" w:rsidRDefault="001E22FF">
      <w:r>
        <w:t>We will choose 4 terms listed below for each round of testing.  Participants will be asked the definition of the term and how to put it in their own words.  Participants will also be asked for any additional feedback on the definit</w:t>
      </w:r>
      <w:r w:rsidR="00BD2020">
        <w:t xml:space="preserve">ion including </w:t>
      </w:r>
      <w:r>
        <w:t>highlight</w:t>
      </w:r>
      <w:r w:rsidR="00BD2020">
        <w:t>ing</w:t>
      </w:r>
      <w:r>
        <w:t xml:space="preserve"> the parts of the sentence </w:t>
      </w:r>
      <w:r w:rsidR="00BD2020">
        <w:t>(</w:t>
      </w:r>
      <w:r>
        <w:t>of the definition</w:t>
      </w:r>
      <w:r w:rsidR="00BD2020">
        <w:t>)</w:t>
      </w:r>
      <w:r>
        <w:t xml:space="preserve"> that are confusing and the parts that are clear.</w:t>
      </w:r>
    </w:p>
    <w:p w:rsidR="001E22FF" w:rsidRDefault="001E22FF"/>
    <w:tbl>
      <w:tblPr>
        <w:tblW w:w="7351" w:type="dxa"/>
        <w:tblInd w:w="93" w:type="dxa"/>
        <w:tblLook w:val="04A0" w:firstRow="1" w:lastRow="0" w:firstColumn="1" w:lastColumn="0" w:noHBand="0" w:noVBand="1"/>
      </w:tblPr>
      <w:tblGrid>
        <w:gridCol w:w="7351"/>
      </w:tblGrid>
      <w:tr w:rsidR="001E22FF" w:rsidRPr="001E22FF" w:rsidTr="001E22FF">
        <w:trPr>
          <w:trHeight w:val="300"/>
        </w:trPr>
        <w:tc>
          <w:tcPr>
            <w:tcW w:w="7351" w:type="dxa"/>
            <w:tcBorders>
              <w:top w:val="nil"/>
              <w:left w:val="nil"/>
              <w:bottom w:val="nil"/>
              <w:right w:val="nil"/>
            </w:tcBorders>
            <w:shd w:val="clear" w:color="auto" w:fill="auto"/>
            <w:noWrap/>
            <w:vAlign w:val="bottom"/>
            <w:hideMark/>
          </w:tcPr>
          <w:p w:rsidR="001E22FF" w:rsidRPr="001E22FF" w:rsidRDefault="00BD2020" w:rsidP="001E22FF">
            <w:pPr>
              <w:spacing w:after="0" w:line="240" w:lineRule="auto"/>
              <w:rPr>
                <w:rFonts w:ascii="Verdana" w:hAnsi="Verdana" w:cs="Calibri"/>
                <w:color w:val="000000"/>
                <w:sz w:val="20"/>
                <w:szCs w:val="20"/>
              </w:rPr>
            </w:pPr>
            <w:r>
              <w:rPr>
                <w:rFonts w:ascii="Verdana" w:hAnsi="Verdana" w:cs="Calibri"/>
                <w:color w:val="000000"/>
                <w:sz w:val="20"/>
                <w:szCs w:val="20"/>
              </w:rPr>
              <w:t>A</w:t>
            </w:r>
            <w:r w:rsidR="001E22FF" w:rsidRPr="001E22FF">
              <w:rPr>
                <w:rFonts w:ascii="Verdana" w:hAnsi="Verdana" w:cs="Calibri"/>
                <w:color w:val="000000"/>
                <w:sz w:val="20"/>
                <w:szCs w:val="20"/>
              </w:rPr>
              <w:t>ggregate</w:t>
            </w:r>
          </w:p>
        </w:tc>
      </w:tr>
      <w:tr w:rsidR="001E22FF" w:rsidRPr="001E22FF" w:rsidTr="001E22FF">
        <w:trPr>
          <w:trHeight w:val="300"/>
        </w:trPr>
        <w:tc>
          <w:tcPr>
            <w:tcW w:w="7351" w:type="dxa"/>
            <w:tcBorders>
              <w:top w:val="nil"/>
              <w:left w:val="nil"/>
              <w:bottom w:val="nil"/>
              <w:right w:val="nil"/>
            </w:tcBorders>
            <w:shd w:val="clear" w:color="auto" w:fill="auto"/>
            <w:noWrap/>
            <w:vAlign w:val="bottom"/>
            <w:hideMark/>
          </w:tcPr>
          <w:p w:rsidR="001E22FF" w:rsidRPr="001E22FF" w:rsidRDefault="00BD2020" w:rsidP="001E22FF">
            <w:pPr>
              <w:spacing w:after="0" w:line="240" w:lineRule="auto"/>
              <w:rPr>
                <w:rFonts w:ascii="Verdana" w:hAnsi="Verdana" w:cs="Calibri"/>
                <w:color w:val="000000"/>
                <w:sz w:val="20"/>
                <w:szCs w:val="20"/>
              </w:rPr>
            </w:pPr>
            <w:r>
              <w:rPr>
                <w:rFonts w:ascii="Verdana" w:hAnsi="Verdana" w:cs="Calibri"/>
                <w:color w:val="000000"/>
                <w:sz w:val="20"/>
                <w:szCs w:val="20"/>
              </w:rPr>
              <w:t>B</w:t>
            </w:r>
            <w:r w:rsidR="001E22FF" w:rsidRPr="001E22FF">
              <w:rPr>
                <w:rFonts w:ascii="Verdana" w:hAnsi="Verdana" w:cs="Calibri"/>
                <w:color w:val="000000"/>
                <w:sz w:val="20"/>
                <w:szCs w:val="20"/>
              </w:rPr>
              <w:t>athtub or shower</w:t>
            </w:r>
          </w:p>
        </w:tc>
      </w:tr>
      <w:tr w:rsidR="001E22FF" w:rsidRPr="001E22FF" w:rsidTr="001E22FF">
        <w:trPr>
          <w:trHeight w:val="300"/>
        </w:trPr>
        <w:tc>
          <w:tcPr>
            <w:tcW w:w="7351" w:type="dxa"/>
            <w:tcBorders>
              <w:top w:val="nil"/>
              <w:left w:val="nil"/>
              <w:bottom w:val="nil"/>
              <w:right w:val="nil"/>
            </w:tcBorders>
            <w:shd w:val="clear" w:color="auto" w:fill="auto"/>
            <w:noWrap/>
            <w:vAlign w:val="bottom"/>
            <w:hideMark/>
          </w:tcPr>
          <w:p w:rsidR="001E22FF" w:rsidRPr="001E22FF" w:rsidRDefault="00BD2020" w:rsidP="001E22FF">
            <w:pPr>
              <w:spacing w:after="0" w:line="240" w:lineRule="auto"/>
              <w:rPr>
                <w:rFonts w:ascii="Verdana" w:hAnsi="Verdana" w:cs="Calibri"/>
                <w:color w:val="000000"/>
                <w:sz w:val="20"/>
                <w:szCs w:val="20"/>
              </w:rPr>
            </w:pPr>
            <w:r>
              <w:rPr>
                <w:rFonts w:ascii="Verdana" w:hAnsi="Verdana" w:cs="Calibri"/>
                <w:color w:val="000000"/>
                <w:sz w:val="20"/>
                <w:szCs w:val="20"/>
              </w:rPr>
              <w:t>M</w:t>
            </w:r>
            <w:r w:rsidR="001E22FF" w:rsidRPr="001E22FF">
              <w:rPr>
                <w:rFonts w:ascii="Verdana" w:hAnsi="Verdana" w:cs="Calibri"/>
                <w:color w:val="000000"/>
                <w:sz w:val="20"/>
                <w:szCs w:val="20"/>
              </w:rPr>
              <w:t>icrodata files</w:t>
            </w:r>
          </w:p>
        </w:tc>
      </w:tr>
      <w:tr w:rsidR="001E22FF" w:rsidRPr="001E22FF" w:rsidTr="001E22FF">
        <w:trPr>
          <w:trHeight w:val="300"/>
        </w:trPr>
        <w:tc>
          <w:tcPr>
            <w:tcW w:w="7351" w:type="dxa"/>
            <w:tcBorders>
              <w:top w:val="nil"/>
              <w:left w:val="nil"/>
              <w:bottom w:val="nil"/>
              <w:right w:val="nil"/>
            </w:tcBorders>
            <w:shd w:val="clear" w:color="auto" w:fill="auto"/>
            <w:noWrap/>
            <w:vAlign w:val="bottom"/>
            <w:hideMark/>
          </w:tcPr>
          <w:p w:rsidR="001E22FF" w:rsidRPr="001E22FF" w:rsidRDefault="00BD2020" w:rsidP="001E22FF">
            <w:pPr>
              <w:spacing w:after="0" w:line="240" w:lineRule="auto"/>
              <w:rPr>
                <w:rFonts w:ascii="Verdana" w:hAnsi="Verdana" w:cs="Calibri"/>
                <w:color w:val="000000"/>
                <w:sz w:val="20"/>
                <w:szCs w:val="20"/>
              </w:rPr>
            </w:pPr>
            <w:r>
              <w:rPr>
                <w:rFonts w:ascii="Verdana" w:hAnsi="Verdana" w:cs="Calibri"/>
                <w:color w:val="000000"/>
                <w:sz w:val="20"/>
                <w:szCs w:val="20"/>
              </w:rPr>
              <w:t>U</w:t>
            </w:r>
            <w:r w:rsidR="001E22FF" w:rsidRPr="001E22FF">
              <w:rPr>
                <w:rFonts w:ascii="Verdana" w:hAnsi="Verdana" w:cs="Calibri"/>
                <w:color w:val="000000"/>
                <w:sz w:val="20"/>
                <w:szCs w:val="20"/>
              </w:rPr>
              <w:t>rba growth area</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BD2020" w:rsidRDefault="001E22FF" w:rsidP="001E22FF">
            <w:pPr>
              <w:spacing w:after="0" w:line="240" w:lineRule="auto"/>
              <w:rPr>
                <w:rFonts w:ascii="Verdana" w:hAnsi="Verdana" w:cs="Calibri"/>
                <w:color w:val="000000"/>
                <w:sz w:val="20"/>
                <w:szCs w:val="20"/>
              </w:rPr>
            </w:pPr>
          </w:p>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What is the difference between Family and household?</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Margin of Error</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cross tabulation</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imputation</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Default="001E22FF" w:rsidP="001E22FF">
            <w:pPr>
              <w:spacing w:after="0" w:line="240" w:lineRule="auto"/>
              <w:rPr>
                <w:rFonts w:ascii="Verdana" w:hAnsi="Verdana" w:cs="Calibri"/>
                <w:color w:val="000000"/>
                <w:sz w:val="20"/>
                <w:szCs w:val="20"/>
              </w:rPr>
            </w:pPr>
          </w:p>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Race</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Race alone</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Race alone or in any combination</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Race alone or in combination</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Default="001E22FF" w:rsidP="001E22FF">
            <w:pPr>
              <w:spacing w:after="0" w:line="240" w:lineRule="auto"/>
              <w:rPr>
                <w:rFonts w:ascii="Verdana" w:hAnsi="Verdana" w:cs="Calibri"/>
                <w:color w:val="000000"/>
                <w:sz w:val="20"/>
                <w:szCs w:val="20"/>
              </w:rPr>
            </w:pPr>
          </w:p>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Race in combination</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Rate</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Decennial (and Decennial Census)</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Apportionment</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Default="001E22FF" w:rsidP="001E22FF">
            <w:pPr>
              <w:spacing w:after="0" w:line="240" w:lineRule="auto"/>
              <w:rPr>
                <w:rFonts w:ascii="Verdana" w:hAnsi="Verdana" w:cs="Calibri"/>
                <w:color w:val="000000"/>
                <w:sz w:val="20"/>
                <w:szCs w:val="20"/>
              </w:rPr>
            </w:pPr>
          </w:p>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Average</w:t>
            </w:r>
          </w:p>
        </w:tc>
      </w:tr>
      <w:tr w:rsidR="001E22FF" w:rsidRPr="001E22FF" w:rsidTr="00D87D64">
        <w:trPr>
          <w:trHeight w:val="378"/>
        </w:trPr>
        <w:tc>
          <w:tcPr>
            <w:tcW w:w="7351" w:type="dxa"/>
            <w:tcBorders>
              <w:top w:val="nil"/>
              <w:left w:val="nil"/>
              <w:bottom w:val="nil"/>
              <w:right w:val="nil"/>
            </w:tcBorders>
            <w:shd w:val="clear" w:color="auto" w:fill="auto"/>
            <w:noWrap/>
            <w:vAlign w:val="center"/>
            <w:hideMark/>
          </w:tcPr>
          <w:p w:rsidR="001E22FF" w:rsidRPr="001E22FF" w:rsidRDefault="001E22FF" w:rsidP="00D87D64">
            <w:pPr>
              <w:spacing w:after="0" w:line="240" w:lineRule="auto"/>
              <w:rPr>
                <w:rFonts w:ascii="Verdana" w:hAnsi="Verdana" w:cs="Calibri"/>
                <w:color w:val="000000"/>
                <w:sz w:val="20"/>
                <w:szCs w:val="20"/>
              </w:rPr>
            </w:pPr>
            <w:r w:rsidRPr="001E22FF">
              <w:rPr>
                <w:rFonts w:ascii="Verdana" w:hAnsi="Verdana" w:cs="Calibri"/>
                <w:color w:val="000000"/>
                <w:sz w:val="20"/>
                <w:szCs w:val="20"/>
              </w:rPr>
              <w:t xml:space="preserve">Mean </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D87D64">
            <w:pPr>
              <w:spacing w:after="0" w:line="240" w:lineRule="auto"/>
              <w:rPr>
                <w:rFonts w:ascii="Verdana" w:hAnsi="Verdana" w:cs="Calibri"/>
                <w:color w:val="000000"/>
                <w:sz w:val="20"/>
                <w:szCs w:val="20"/>
              </w:rPr>
            </w:pPr>
            <w:r w:rsidRPr="001E22FF">
              <w:rPr>
                <w:rFonts w:ascii="Verdana" w:hAnsi="Verdana" w:cs="Calibri"/>
                <w:color w:val="000000"/>
                <w:sz w:val="20"/>
                <w:szCs w:val="20"/>
              </w:rPr>
              <w:t xml:space="preserve">Median </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Means of transportation to work</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Default="001E22FF" w:rsidP="001E22FF">
            <w:pPr>
              <w:spacing w:after="0" w:line="240" w:lineRule="auto"/>
              <w:rPr>
                <w:rFonts w:ascii="Verdana" w:hAnsi="Verdana" w:cs="Calibri"/>
                <w:color w:val="000000"/>
                <w:sz w:val="20"/>
                <w:szCs w:val="20"/>
              </w:rPr>
            </w:pPr>
          </w:p>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Metropolitan Statistical Area (MSA)</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Microdata files</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Data</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D87D64">
            <w:pPr>
              <w:spacing w:after="0" w:line="240" w:lineRule="auto"/>
              <w:rPr>
                <w:rFonts w:ascii="Verdana" w:hAnsi="Verdana" w:cs="Calibri"/>
                <w:color w:val="000000"/>
                <w:sz w:val="20"/>
                <w:szCs w:val="20"/>
              </w:rPr>
            </w:pPr>
            <w:r w:rsidRPr="001E22FF">
              <w:rPr>
                <w:rFonts w:ascii="Verdana" w:hAnsi="Verdana" w:cs="Calibri"/>
                <w:color w:val="000000"/>
                <w:sz w:val="20"/>
                <w:szCs w:val="20"/>
              </w:rPr>
              <w:t xml:space="preserve">Per capita income </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Default="001E22FF" w:rsidP="001E22FF">
            <w:pPr>
              <w:spacing w:after="0" w:line="240" w:lineRule="auto"/>
              <w:rPr>
                <w:rFonts w:ascii="Verdana" w:hAnsi="Verdana" w:cs="Calibri"/>
                <w:color w:val="000000"/>
                <w:sz w:val="20"/>
                <w:szCs w:val="20"/>
              </w:rPr>
            </w:pPr>
          </w:p>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Export</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Educational attainment</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Sub family</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Group Quarters</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Default="001E22FF" w:rsidP="001E22FF">
            <w:pPr>
              <w:spacing w:after="0" w:line="240" w:lineRule="auto"/>
              <w:rPr>
                <w:rFonts w:ascii="Verdana" w:hAnsi="Verdana" w:cs="Calibri"/>
                <w:color w:val="000000"/>
                <w:sz w:val="20"/>
                <w:szCs w:val="20"/>
              </w:rPr>
            </w:pPr>
          </w:p>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Significance</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Employees (Numbers of employees)</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lastRenderedPageBreak/>
              <w:t>Acreage</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Household Income</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Default="001E22FF" w:rsidP="001E22FF">
            <w:pPr>
              <w:spacing w:after="0" w:line="240" w:lineRule="auto"/>
              <w:rPr>
                <w:rFonts w:ascii="Verdana" w:hAnsi="Verdana" w:cs="Calibri"/>
                <w:color w:val="000000"/>
                <w:sz w:val="20"/>
                <w:szCs w:val="20"/>
              </w:rPr>
            </w:pPr>
          </w:p>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Gross Rent</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Owner Costs (Selected Monthly Owner Costs)</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Industry (economic)</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Industry (population data)</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Default="001E22FF" w:rsidP="001E22FF">
            <w:pPr>
              <w:spacing w:after="0" w:line="240" w:lineRule="auto"/>
              <w:rPr>
                <w:rFonts w:ascii="Verdana" w:hAnsi="Verdana" w:cs="Calibri"/>
                <w:color w:val="000000"/>
                <w:sz w:val="20"/>
                <w:szCs w:val="20"/>
              </w:rPr>
            </w:pPr>
          </w:p>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Household</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Household income</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Income</w:t>
            </w:r>
          </w:p>
        </w:tc>
      </w:tr>
      <w:tr w:rsidR="001E22FF" w:rsidRPr="001E22FF" w:rsidTr="001E22FF">
        <w:trPr>
          <w:trHeight w:val="300"/>
        </w:trPr>
        <w:tc>
          <w:tcPr>
            <w:tcW w:w="7351" w:type="dxa"/>
            <w:tcBorders>
              <w:top w:val="nil"/>
              <w:left w:val="nil"/>
              <w:bottom w:val="nil"/>
              <w:right w:val="nil"/>
            </w:tcBorders>
            <w:shd w:val="clear" w:color="auto" w:fill="auto"/>
            <w:noWrap/>
            <w:vAlign w:val="center"/>
            <w:hideMark/>
          </w:tcPr>
          <w:p w:rsidR="001E22FF" w:rsidRPr="001E22FF" w:rsidRDefault="001E22FF" w:rsidP="001E22FF">
            <w:pPr>
              <w:spacing w:after="0" w:line="240" w:lineRule="auto"/>
              <w:rPr>
                <w:rFonts w:ascii="Verdana" w:hAnsi="Verdana" w:cs="Calibri"/>
                <w:color w:val="000000"/>
                <w:sz w:val="20"/>
                <w:szCs w:val="20"/>
              </w:rPr>
            </w:pPr>
            <w:r w:rsidRPr="001E22FF">
              <w:rPr>
                <w:rFonts w:ascii="Verdana" w:hAnsi="Verdana" w:cs="Calibri"/>
                <w:color w:val="000000"/>
                <w:sz w:val="20"/>
                <w:szCs w:val="20"/>
              </w:rPr>
              <w:t>Intercensal estimates</w:t>
            </w:r>
          </w:p>
        </w:tc>
      </w:tr>
    </w:tbl>
    <w:p w:rsidR="0078335B" w:rsidRDefault="0078335B" w:rsidP="001E22FF"/>
    <w:sectPr w:rsidR="00783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FF"/>
    <w:rsid w:val="001E22FF"/>
    <w:rsid w:val="005A1C2F"/>
    <w:rsid w:val="0078335B"/>
    <w:rsid w:val="009E4D69"/>
    <w:rsid w:val="00AF4E0A"/>
    <w:rsid w:val="00BD2020"/>
    <w:rsid w:val="00D8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D69"/>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D69"/>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demai001</cp:lastModifiedBy>
  <cp:revision>2</cp:revision>
  <dcterms:created xsi:type="dcterms:W3CDTF">2013-03-07T18:06:00Z</dcterms:created>
  <dcterms:modified xsi:type="dcterms:W3CDTF">2013-03-07T18:06:00Z</dcterms:modified>
</cp:coreProperties>
</file>