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231" w:rsidRDefault="00A03231" w:rsidP="00A03231">
      <w:pPr>
        <w:pBdr>
          <w:top w:val="single" w:sz="4" w:space="1" w:color="auto"/>
        </w:pBdr>
        <w:jc w:val="center"/>
        <w:rPr>
          <w:rFonts w:ascii="Helvetica" w:hAnsi="Helvetica"/>
          <w:color w:val="000000"/>
          <w:sz w:val="22"/>
        </w:rPr>
      </w:pPr>
      <w:r>
        <w:rPr>
          <w:rFonts w:ascii="Helvetica" w:hAnsi="Helvetica"/>
          <w:b/>
          <w:bCs/>
          <w:color w:val="000000"/>
          <w:sz w:val="22"/>
        </w:rPr>
        <w:t>Supporting Statement for Paperwork Reduction Act Submissions</w:t>
      </w:r>
    </w:p>
    <w:p w:rsidR="00A03231" w:rsidRDefault="00A03231" w:rsidP="00A03231">
      <w:pPr>
        <w:jc w:val="center"/>
        <w:rPr>
          <w:rFonts w:ascii="Helvetica" w:hAnsi="Helvetica" w:cs="Helvetica"/>
          <w:color w:val="000000"/>
          <w:sz w:val="22"/>
        </w:rPr>
      </w:pPr>
      <w:r>
        <w:rPr>
          <w:rFonts w:ascii="Helvetica" w:hAnsi="Helvetica" w:cs="Helvetica"/>
          <w:color w:val="000000"/>
          <w:sz w:val="22"/>
        </w:rPr>
        <w:t>Indian Housing Block Grants (IHBG) Program Reporting</w:t>
      </w:r>
    </w:p>
    <w:p w:rsidR="00A03231" w:rsidRDefault="00A03231" w:rsidP="00A03231">
      <w:pPr>
        <w:rPr>
          <w:color w:val="000000"/>
          <w:sz w:val="22"/>
        </w:rPr>
      </w:pPr>
    </w:p>
    <w:p w:rsidR="00A03231" w:rsidRPr="00912402" w:rsidRDefault="00A03231" w:rsidP="00A03231">
      <w:pPr>
        <w:pStyle w:val="Header"/>
        <w:numPr>
          <w:ilvl w:val="0"/>
          <w:numId w:val="2"/>
        </w:numPr>
        <w:pBdr>
          <w:top w:val="single" w:sz="4" w:space="1" w:color="auto"/>
        </w:pBdr>
        <w:tabs>
          <w:tab w:val="clear" w:pos="840"/>
          <w:tab w:val="clear" w:pos="4320"/>
          <w:tab w:val="clear" w:pos="8640"/>
          <w:tab w:val="left" w:pos="360"/>
          <w:tab w:val="left" w:pos="480"/>
        </w:tabs>
        <w:ind w:left="360" w:hanging="360"/>
        <w:rPr>
          <w:b/>
          <w:bCs/>
          <w:color w:val="000000"/>
          <w:sz w:val="22"/>
        </w:rPr>
      </w:pPr>
      <w:r w:rsidRPr="00912402">
        <w:rPr>
          <w:b/>
          <w:bCs/>
          <w:color w:val="000000"/>
          <w:sz w:val="22"/>
        </w:rPr>
        <w:t>Justification</w:t>
      </w:r>
    </w:p>
    <w:p w:rsidR="00A03231" w:rsidRDefault="00A03231" w:rsidP="00A03231">
      <w:pPr>
        <w:pStyle w:val="Header"/>
        <w:tabs>
          <w:tab w:val="clear" w:pos="4320"/>
          <w:tab w:val="clear" w:pos="8640"/>
          <w:tab w:val="left" w:pos="360"/>
          <w:tab w:val="left" w:pos="480"/>
        </w:tabs>
        <w:ind w:left="360" w:hanging="360"/>
        <w:rPr>
          <w:b/>
          <w:bCs/>
          <w:color w:val="000000"/>
          <w:sz w:val="22"/>
        </w:rPr>
      </w:pPr>
    </w:p>
    <w:p w:rsidR="00A03231" w:rsidRDefault="00A03231" w:rsidP="00A03231">
      <w:pPr>
        <w:tabs>
          <w:tab w:val="left" w:pos="360"/>
        </w:tabs>
        <w:ind w:left="360" w:hanging="360"/>
        <w:rPr>
          <w:sz w:val="18"/>
        </w:rPr>
      </w:pPr>
      <w:r>
        <w:rPr>
          <w:sz w:val="18"/>
        </w:rPr>
        <w:t>1.</w:t>
      </w:r>
      <w:r>
        <w:rPr>
          <w:sz w:val="18"/>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03231" w:rsidRDefault="00A03231" w:rsidP="00A03231">
      <w:pPr>
        <w:ind w:left="360" w:hanging="360"/>
        <w:rPr>
          <w:color w:val="000000"/>
          <w:sz w:val="22"/>
          <w:szCs w:val="22"/>
        </w:rPr>
      </w:pPr>
    </w:p>
    <w:p w:rsidR="00A03231" w:rsidRPr="000E4440" w:rsidRDefault="00A03231" w:rsidP="00A03231">
      <w:pPr>
        <w:ind w:left="360"/>
        <w:rPr>
          <w:color w:val="000000"/>
          <w:sz w:val="22"/>
          <w:szCs w:val="22"/>
        </w:rPr>
      </w:pPr>
      <w:r w:rsidRPr="000E4440">
        <w:rPr>
          <w:color w:val="000000"/>
          <w:sz w:val="22"/>
          <w:szCs w:val="22"/>
        </w:rPr>
        <w:t xml:space="preserve">The Native American Housing Assistance Self-Determination Reauthorization Act of 2008 (NAHASDA) is the statute that provides funds to aid Native Americans, Alaska Natives and Native Hawaiians with affordable housing development, management and operation including new housing construction and rehabilitation for sale and rent as well as infrastructure development and other forms of housing assistance.  Eligible recipients include Federally-recognized tribes and individuals and tribally-designated housing entities.  NAHASDA is a formula-driven program whereby eligible recipients receive an equitable share of funds as appropriated by Congress.  </w:t>
      </w:r>
    </w:p>
    <w:p w:rsidR="00A03231" w:rsidRPr="000E4440" w:rsidRDefault="00A03231" w:rsidP="00A03231">
      <w:pPr>
        <w:ind w:left="360" w:hanging="360"/>
        <w:rPr>
          <w:color w:val="000000"/>
          <w:sz w:val="22"/>
          <w:szCs w:val="22"/>
        </w:rPr>
      </w:pPr>
    </w:p>
    <w:p w:rsidR="00A03231" w:rsidRPr="000E4440" w:rsidRDefault="00A03231" w:rsidP="00A03231">
      <w:pPr>
        <w:ind w:left="360"/>
        <w:rPr>
          <w:color w:val="000000"/>
          <w:sz w:val="22"/>
          <w:szCs w:val="22"/>
        </w:rPr>
      </w:pPr>
      <w:r w:rsidRPr="000E4440">
        <w:rPr>
          <w:color w:val="000000"/>
          <w:sz w:val="22"/>
          <w:szCs w:val="22"/>
        </w:rPr>
        <w:t xml:space="preserve">Recipients of IHBG funds are required to submit an annual </w:t>
      </w:r>
      <w:r w:rsidRPr="000E4440">
        <w:rPr>
          <w:i/>
          <w:iCs/>
          <w:color w:val="000000"/>
          <w:sz w:val="22"/>
          <w:szCs w:val="22"/>
        </w:rPr>
        <w:t>Indian Housing Plan</w:t>
      </w:r>
      <w:r w:rsidRPr="000E4440">
        <w:rPr>
          <w:color w:val="000000"/>
          <w:sz w:val="22"/>
          <w:szCs w:val="22"/>
        </w:rPr>
        <w:t xml:space="preserve"> (IHP) (HUD-52735) that provides a series of goals and objectives for the recipient to accomplish with the IHBG funds to provide affordable housing for its low- to moderate-income tribal members (NAHASDA § 102).</w:t>
      </w:r>
    </w:p>
    <w:p w:rsidR="00A03231" w:rsidRPr="000E4440" w:rsidRDefault="00A03231" w:rsidP="00A03231">
      <w:pPr>
        <w:ind w:left="360" w:hanging="360"/>
        <w:rPr>
          <w:color w:val="000000"/>
          <w:sz w:val="22"/>
          <w:szCs w:val="22"/>
        </w:rPr>
      </w:pPr>
    </w:p>
    <w:p w:rsidR="00A03231" w:rsidRPr="000E4440" w:rsidRDefault="00A03231" w:rsidP="00A03231">
      <w:pPr>
        <w:ind w:left="360"/>
        <w:rPr>
          <w:color w:val="000000"/>
          <w:sz w:val="22"/>
          <w:szCs w:val="22"/>
        </w:rPr>
      </w:pPr>
      <w:r w:rsidRPr="000E4440">
        <w:rPr>
          <w:color w:val="000000"/>
          <w:sz w:val="22"/>
          <w:szCs w:val="22"/>
        </w:rPr>
        <w:t xml:space="preserve">IHBG recipients are required to submit a quarterly </w:t>
      </w:r>
      <w:r w:rsidRPr="000E4440">
        <w:rPr>
          <w:i/>
          <w:iCs/>
          <w:color w:val="000000"/>
          <w:sz w:val="22"/>
          <w:szCs w:val="22"/>
        </w:rPr>
        <w:t xml:space="preserve">Federal Financial Report </w:t>
      </w:r>
      <w:r w:rsidRPr="000E4440">
        <w:rPr>
          <w:color w:val="000000"/>
          <w:sz w:val="22"/>
          <w:szCs w:val="22"/>
        </w:rPr>
        <w:t>(SF-425) that provides a snapshot of the grant funds drawn from the recipient’s line of credit.  The reports are used to monitor cash transfers to the recipients and obtain expenditure data from the recipients.</w:t>
      </w:r>
    </w:p>
    <w:p w:rsidR="00A03231" w:rsidRPr="000E4440" w:rsidRDefault="00A03231" w:rsidP="00A03231">
      <w:pPr>
        <w:ind w:left="360" w:hanging="360"/>
        <w:rPr>
          <w:color w:val="000000"/>
          <w:sz w:val="22"/>
          <w:szCs w:val="22"/>
        </w:rPr>
      </w:pPr>
    </w:p>
    <w:p w:rsidR="00A03231" w:rsidRPr="000E4440" w:rsidRDefault="00A03231" w:rsidP="00A03231">
      <w:pPr>
        <w:ind w:left="360"/>
        <w:rPr>
          <w:color w:val="000000"/>
          <w:sz w:val="22"/>
          <w:szCs w:val="22"/>
        </w:rPr>
      </w:pPr>
      <w:r w:rsidRPr="000E4440">
        <w:rPr>
          <w:color w:val="000000"/>
          <w:sz w:val="22"/>
          <w:szCs w:val="22"/>
        </w:rPr>
        <w:t xml:space="preserve">At the end of each 1-year period the recipient is to submit an </w:t>
      </w:r>
      <w:r w:rsidRPr="000E4440">
        <w:rPr>
          <w:i/>
          <w:iCs/>
          <w:color w:val="000000"/>
          <w:sz w:val="22"/>
          <w:szCs w:val="22"/>
        </w:rPr>
        <w:t xml:space="preserve">Annual Performance Report (APR) (HUD-52735-AS) </w:t>
      </w:r>
      <w:r w:rsidRPr="000E4440">
        <w:rPr>
          <w:color w:val="000000"/>
          <w:sz w:val="22"/>
          <w:szCs w:val="22"/>
        </w:rPr>
        <w:t>to (1) describe the use of grant funds; (2) compare relationship of grant fund use to the IHP goals and objectives; (3) discuss program accomplishments; and (4) describe how the recipient would change its program delivery and implementation based upon the recipient’s experience (NAHASDA § 404).</w:t>
      </w:r>
    </w:p>
    <w:p w:rsidR="00A03231" w:rsidRPr="000E4440" w:rsidRDefault="00A03231" w:rsidP="00A03231">
      <w:pPr>
        <w:ind w:left="360" w:hanging="360"/>
        <w:rPr>
          <w:color w:val="000000"/>
          <w:sz w:val="22"/>
          <w:szCs w:val="22"/>
        </w:rPr>
      </w:pPr>
    </w:p>
    <w:p w:rsidR="00A03231" w:rsidRPr="000E4440" w:rsidRDefault="00A03231" w:rsidP="00A03231">
      <w:pPr>
        <w:ind w:left="360"/>
        <w:rPr>
          <w:color w:val="000000"/>
          <w:sz w:val="22"/>
          <w:szCs w:val="22"/>
        </w:rPr>
      </w:pPr>
      <w:r w:rsidRPr="000E4440">
        <w:rPr>
          <w:color w:val="000000"/>
          <w:sz w:val="22"/>
          <w:szCs w:val="22"/>
        </w:rPr>
        <w:t xml:space="preserve">IHBG recipients are responsible for notifying HUD of changes to the Formula Current Assisted Stock (FCAS) component of the IHBG formula.  HUD is notified of changes in the FCAS through the </w:t>
      </w:r>
      <w:r w:rsidRPr="000E4440">
        <w:rPr>
          <w:i/>
          <w:color w:val="000000"/>
          <w:sz w:val="22"/>
          <w:szCs w:val="22"/>
        </w:rPr>
        <w:t xml:space="preserve">Formula Response Form </w:t>
      </w:r>
      <w:r w:rsidRPr="000E4440">
        <w:rPr>
          <w:color w:val="000000"/>
          <w:sz w:val="22"/>
          <w:szCs w:val="22"/>
        </w:rPr>
        <w:t>(HUD-4117).  IHBG recipients or HUD may challenge the data from the U.S. Decennial Census or provide an alternative source of data by submitting the Guidelines for Challenging U.S. Decennial Census Data Document.  Census challenges are due to HUD by March 30</w:t>
      </w:r>
      <w:r w:rsidRPr="000E4440">
        <w:rPr>
          <w:color w:val="000000"/>
          <w:sz w:val="22"/>
          <w:szCs w:val="22"/>
          <w:vertAlign w:val="superscript"/>
        </w:rPr>
        <w:t>th</w:t>
      </w:r>
      <w:r w:rsidRPr="000E4440">
        <w:rPr>
          <w:color w:val="000000"/>
          <w:sz w:val="22"/>
          <w:szCs w:val="22"/>
        </w:rPr>
        <w:t xml:space="preserve"> of each fiscal year, as stipulated at 24 CFR § 1000.336.  </w:t>
      </w:r>
    </w:p>
    <w:p w:rsidR="00A03231" w:rsidRDefault="00A03231" w:rsidP="00A03231">
      <w:pPr>
        <w:tabs>
          <w:tab w:val="left" w:pos="360"/>
        </w:tabs>
        <w:ind w:left="360" w:hanging="360"/>
        <w:rPr>
          <w:color w:val="000000"/>
          <w:sz w:val="22"/>
          <w:szCs w:val="24"/>
        </w:rPr>
      </w:pPr>
    </w:p>
    <w:p w:rsidR="00A03231" w:rsidRDefault="00A03231" w:rsidP="00A03231">
      <w:pPr>
        <w:tabs>
          <w:tab w:val="left" w:pos="360"/>
        </w:tabs>
        <w:ind w:left="360" w:hanging="360"/>
        <w:rPr>
          <w:sz w:val="18"/>
        </w:rPr>
      </w:pPr>
      <w:r>
        <w:rPr>
          <w:sz w:val="18"/>
        </w:rPr>
        <w:t>2.</w:t>
      </w:r>
      <w:r>
        <w:rPr>
          <w:sz w:val="18"/>
        </w:rPr>
        <w:tab/>
        <w:t>Indicate how, by whom and for what purpose the information is to be used.  Except for a new collection, indicate the actual use the agency has made of the information received from the current collection.</w:t>
      </w:r>
    </w:p>
    <w:p w:rsidR="00A03231" w:rsidRDefault="00A03231" w:rsidP="00A03231">
      <w:pPr>
        <w:ind w:firstLine="720"/>
        <w:rPr>
          <w:color w:val="000000"/>
          <w:sz w:val="24"/>
          <w:szCs w:val="24"/>
        </w:rPr>
      </w:pPr>
    </w:p>
    <w:p w:rsidR="00A03231" w:rsidRPr="000E4440" w:rsidRDefault="00A03231" w:rsidP="00A03231">
      <w:pPr>
        <w:ind w:left="360"/>
        <w:rPr>
          <w:sz w:val="22"/>
          <w:szCs w:val="22"/>
        </w:rPr>
      </w:pPr>
      <w:r w:rsidRPr="000E4440">
        <w:rPr>
          <w:color w:val="000000"/>
          <w:sz w:val="22"/>
          <w:szCs w:val="22"/>
        </w:rPr>
        <w:t xml:space="preserve">IHBG recipients (tribes and tribally designated housing entities) are required to submit periodic information to demonstrate compliance with eligibility and other requirements of NAHASDA and for HUD’s annual report to Congress.  The information collected allows HUD to audit the program accurately and to allocate funds under the IHBG program.  The quality assurance of data reported is a very important issue in maintaining HUD’s databases used to monitor a recipient’s performance, determine program compliance, and to ensure fair and equitable IHBG allocations.  In some cases, the updated FCAS information addressing the conveyances and conversion of units has resulted in the recouping of funds.  </w:t>
      </w:r>
    </w:p>
    <w:p w:rsidR="00A03231" w:rsidRDefault="00A03231" w:rsidP="00A03231">
      <w:pPr>
        <w:tabs>
          <w:tab w:val="left" w:pos="360"/>
        </w:tabs>
        <w:ind w:left="360" w:hanging="360"/>
        <w:rPr>
          <w:color w:val="000000"/>
          <w:sz w:val="22"/>
          <w:szCs w:val="24"/>
        </w:rPr>
      </w:pPr>
      <w:r>
        <w:rPr>
          <w:color w:val="000000"/>
          <w:sz w:val="22"/>
          <w:szCs w:val="24"/>
        </w:rPr>
        <w:t xml:space="preserve"> </w:t>
      </w:r>
    </w:p>
    <w:p w:rsidR="00A03231" w:rsidRDefault="00A03231" w:rsidP="00A03231">
      <w:pPr>
        <w:pStyle w:val="BodyText"/>
        <w:tabs>
          <w:tab w:val="left" w:pos="360"/>
          <w:tab w:val="left" w:pos="480"/>
        </w:tabs>
        <w:ind w:left="360" w:right="0" w:hanging="360"/>
        <w:rPr>
          <w:rFonts w:ascii="Times New Roman" w:hAnsi="Times New Roman"/>
          <w:color w:val="000000"/>
          <w:sz w:val="22"/>
          <w:szCs w:val="24"/>
        </w:rPr>
      </w:pPr>
      <w:r>
        <w:rPr>
          <w:rFonts w:ascii="Times New Roman" w:hAnsi="Times New Roman"/>
          <w:color w:val="000000"/>
          <w:sz w:val="22"/>
          <w:szCs w:val="24"/>
        </w:rPr>
        <w:t>3.</w:t>
      </w:r>
      <w:r>
        <w:rPr>
          <w:rFonts w:ascii="Times New Roman" w:hAnsi="Times New Roman"/>
          <w:color w:val="000000"/>
          <w:sz w:val="22"/>
          <w:szCs w:val="24"/>
        </w:rPr>
        <w:tab/>
      </w:r>
      <w:r w:rsidRPr="000E4440">
        <w:rPr>
          <w:rFonts w:ascii="Times New Roman" w:hAnsi="Times New Roman"/>
          <w:sz w:val="18"/>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03231" w:rsidRDefault="00A03231" w:rsidP="00A03231">
      <w:pPr>
        <w:pStyle w:val="BodyText"/>
        <w:tabs>
          <w:tab w:val="left" w:pos="360"/>
          <w:tab w:val="left" w:pos="480"/>
        </w:tabs>
        <w:ind w:left="360" w:right="0" w:hanging="360"/>
        <w:rPr>
          <w:rFonts w:ascii="Times New Roman" w:hAnsi="Times New Roman"/>
          <w:color w:val="000000"/>
          <w:sz w:val="22"/>
          <w:szCs w:val="24"/>
        </w:rPr>
      </w:pPr>
      <w:r>
        <w:rPr>
          <w:rFonts w:ascii="Times New Roman" w:hAnsi="Times New Roman"/>
          <w:color w:val="000000"/>
          <w:sz w:val="22"/>
          <w:szCs w:val="24"/>
        </w:rPr>
        <w:tab/>
      </w:r>
    </w:p>
    <w:p w:rsidR="00A03231" w:rsidRDefault="00A03231" w:rsidP="00A03231">
      <w:pPr>
        <w:pStyle w:val="BodyText"/>
        <w:tabs>
          <w:tab w:val="left" w:pos="360"/>
          <w:tab w:val="left" w:pos="480"/>
        </w:tabs>
        <w:ind w:left="360" w:right="0" w:hanging="360"/>
        <w:rPr>
          <w:rFonts w:ascii="Times New Roman" w:hAnsi="Times New Roman"/>
          <w:color w:val="000000"/>
          <w:sz w:val="22"/>
          <w:szCs w:val="24"/>
        </w:rPr>
      </w:pPr>
      <w:r>
        <w:rPr>
          <w:rFonts w:ascii="Times New Roman" w:hAnsi="Times New Roman"/>
          <w:color w:val="000000"/>
          <w:sz w:val="22"/>
          <w:szCs w:val="24"/>
        </w:rPr>
        <w:tab/>
        <w:t xml:space="preserve">Approximately 60 percent of respondents provide the information via electronic means.  Electronic submission of the SF-425 and HUD-52735-AS may only be accomplished by sending the document as a facsimile or by scanning the document and attaching the document to electronic mail. </w:t>
      </w:r>
    </w:p>
    <w:p w:rsidR="00A03231" w:rsidRDefault="00A03231" w:rsidP="00A03231">
      <w:pPr>
        <w:tabs>
          <w:tab w:val="left" w:pos="360"/>
          <w:tab w:val="left" w:pos="480"/>
        </w:tabs>
        <w:ind w:left="360" w:hanging="360"/>
        <w:rPr>
          <w:color w:val="000000"/>
          <w:sz w:val="22"/>
          <w:szCs w:val="24"/>
        </w:rPr>
      </w:pPr>
    </w:p>
    <w:p w:rsidR="00A03231" w:rsidRDefault="00A03231" w:rsidP="00A03231">
      <w:pPr>
        <w:tabs>
          <w:tab w:val="left" w:pos="360"/>
        </w:tabs>
        <w:ind w:left="360" w:hanging="360"/>
        <w:rPr>
          <w:sz w:val="18"/>
        </w:rPr>
      </w:pPr>
      <w:r w:rsidRPr="00256DDA">
        <w:rPr>
          <w:sz w:val="18"/>
        </w:rPr>
        <w:t>4.</w:t>
      </w:r>
      <w:r w:rsidRPr="00256DDA">
        <w:rPr>
          <w:sz w:val="18"/>
        </w:rPr>
        <w:tab/>
        <w:t>Describe efforts to identify duplication.  Show specifically why any similar information already available cannot be used or modified for use for the purposes described in Item 2 above.</w:t>
      </w:r>
    </w:p>
    <w:p w:rsidR="00A03231" w:rsidRPr="00256DDA" w:rsidRDefault="00A03231" w:rsidP="00A03231">
      <w:pPr>
        <w:tabs>
          <w:tab w:val="left" w:pos="360"/>
        </w:tabs>
        <w:ind w:left="360" w:hanging="360"/>
        <w:rPr>
          <w:sz w:val="18"/>
        </w:rPr>
      </w:pPr>
    </w:p>
    <w:p w:rsidR="00A03231" w:rsidRPr="00256DDA" w:rsidRDefault="00A03231" w:rsidP="00A03231">
      <w:pPr>
        <w:ind w:left="360"/>
        <w:rPr>
          <w:color w:val="000000"/>
          <w:sz w:val="22"/>
          <w:szCs w:val="22"/>
        </w:rPr>
      </w:pPr>
      <w:r w:rsidRPr="00256DDA">
        <w:rPr>
          <w:color w:val="000000"/>
          <w:sz w:val="22"/>
          <w:szCs w:val="22"/>
        </w:rPr>
        <w:lastRenderedPageBreak/>
        <w:t>There is no duplication of information. IHBG recipients must submit an IHP annually describing the recipient’s goals and objectives for the grant funds, an APR annually describing how the grants are being used and goal and object</w:t>
      </w:r>
      <w:r>
        <w:rPr>
          <w:color w:val="000000"/>
          <w:sz w:val="22"/>
          <w:szCs w:val="22"/>
        </w:rPr>
        <w:t>ive accomplishments, and a SF-425</w:t>
      </w:r>
      <w:r w:rsidRPr="00256DDA">
        <w:rPr>
          <w:color w:val="000000"/>
          <w:sz w:val="22"/>
          <w:szCs w:val="22"/>
        </w:rPr>
        <w:t xml:space="preserve"> quarterly showing that grant funds are expended in a timely manner.  There are no other sources of information that are being submitted to HUD that duplicate the </w:t>
      </w:r>
      <w:r>
        <w:rPr>
          <w:color w:val="000000"/>
          <w:sz w:val="22"/>
          <w:szCs w:val="22"/>
        </w:rPr>
        <w:t>information of IHP, APR, or SF-425</w:t>
      </w:r>
      <w:r w:rsidRPr="00256DDA">
        <w:rPr>
          <w:color w:val="000000"/>
          <w:sz w:val="22"/>
          <w:szCs w:val="22"/>
        </w:rPr>
        <w:t xml:space="preserve">.  IHBG recipients do not have to challenge formula data and, if a recipient opts not to challenge the formula data, HUD will rely on the currently available data for determining a recipient’s allocation.  </w:t>
      </w:r>
    </w:p>
    <w:p w:rsidR="00A03231" w:rsidRDefault="00A03231" w:rsidP="00A03231">
      <w:pPr>
        <w:pStyle w:val="Header"/>
        <w:tabs>
          <w:tab w:val="clear" w:pos="4320"/>
          <w:tab w:val="clear" w:pos="8640"/>
          <w:tab w:val="left" w:pos="360"/>
          <w:tab w:val="left" w:pos="480"/>
        </w:tabs>
        <w:ind w:left="360" w:hanging="360"/>
        <w:rPr>
          <w:color w:val="000000"/>
          <w:sz w:val="22"/>
          <w:szCs w:val="24"/>
        </w:rPr>
      </w:pPr>
    </w:p>
    <w:p w:rsidR="00A03231" w:rsidRDefault="00A03231" w:rsidP="00A03231">
      <w:pPr>
        <w:tabs>
          <w:tab w:val="left" w:pos="360"/>
        </w:tabs>
        <w:ind w:left="360" w:hanging="360"/>
        <w:rPr>
          <w:sz w:val="18"/>
        </w:rPr>
      </w:pPr>
      <w:r>
        <w:rPr>
          <w:sz w:val="18"/>
        </w:rPr>
        <w:t>5.</w:t>
      </w:r>
      <w:r>
        <w:rPr>
          <w:sz w:val="18"/>
        </w:rPr>
        <w:tab/>
        <w:t>If the collection of information impacts small businesses or other small entities (Item 5 of OMB Form 83-I) describe any methods used to minimize burden.</w:t>
      </w:r>
    </w:p>
    <w:p w:rsidR="00A03231" w:rsidRDefault="00A03231" w:rsidP="00A03231">
      <w:pPr>
        <w:rPr>
          <w:color w:val="000000"/>
          <w:sz w:val="24"/>
          <w:szCs w:val="24"/>
        </w:rPr>
      </w:pPr>
    </w:p>
    <w:p w:rsidR="00A03231" w:rsidRPr="00256DDA" w:rsidRDefault="00A03231" w:rsidP="00A03231">
      <w:pPr>
        <w:ind w:left="360"/>
        <w:rPr>
          <w:color w:val="000000"/>
          <w:sz w:val="22"/>
          <w:szCs w:val="22"/>
        </w:rPr>
      </w:pPr>
      <w:r w:rsidRPr="00256DDA">
        <w:rPr>
          <w:color w:val="000000"/>
          <w:sz w:val="22"/>
          <w:szCs w:val="22"/>
        </w:rPr>
        <w:t>Most IHBG recipients are small in population numbers.  HUD has minimized the burden on all recipients by allowing the recipient to determine the complexity of the program being offered within their area of responsibility.  The program offered by the recipient determines the complexity of the IHP and APR.  HUD has provided extensive training for recipients on how to design a program and complete the IHP and APR.  Additionally, ONAP staff is available to provide one-on-on</w:t>
      </w:r>
      <w:r>
        <w:rPr>
          <w:color w:val="000000"/>
          <w:sz w:val="22"/>
          <w:szCs w:val="22"/>
        </w:rPr>
        <w:t xml:space="preserve">e assistance if needed. The SF-425 is </w:t>
      </w:r>
      <w:r w:rsidRPr="00256DDA">
        <w:rPr>
          <w:color w:val="000000"/>
          <w:sz w:val="22"/>
          <w:szCs w:val="22"/>
        </w:rPr>
        <w:t>the same report form used throughout the Federal Government for grant p</w:t>
      </w:r>
      <w:r>
        <w:rPr>
          <w:color w:val="000000"/>
          <w:sz w:val="22"/>
          <w:szCs w:val="22"/>
        </w:rPr>
        <w:t>rograms</w:t>
      </w:r>
      <w:r w:rsidRPr="00256DDA">
        <w:rPr>
          <w:color w:val="000000"/>
          <w:sz w:val="22"/>
          <w:szCs w:val="22"/>
        </w:rPr>
        <w:t xml:space="preserve">.  If a recipient opts to challenge the formula data, HUD will make every effort to provide guidance and technical assistance to the recipient on how to challenge and/or correct the formula data as easily as possible while still maintaining the integrity of the data.  </w:t>
      </w:r>
    </w:p>
    <w:p w:rsidR="00A03231" w:rsidRDefault="00A03231" w:rsidP="00A03231">
      <w:pPr>
        <w:pStyle w:val="Header"/>
        <w:tabs>
          <w:tab w:val="clear" w:pos="4320"/>
          <w:tab w:val="clear" w:pos="8640"/>
          <w:tab w:val="left" w:pos="360"/>
          <w:tab w:val="left" w:pos="480"/>
        </w:tabs>
        <w:ind w:left="360" w:hanging="360"/>
        <w:rPr>
          <w:color w:val="000000"/>
          <w:sz w:val="22"/>
          <w:szCs w:val="24"/>
        </w:rPr>
      </w:pPr>
    </w:p>
    <w:p w:rsidR="00A03231" w:rsidRDefault="00A03231" w:rsidP="00A03231">
      <w:pPr>
        <w:tabs>
          <w:tab w:val="left" w:pos="360"/>
        </w:tabs>
        <w:ind w:left="360" w:hanging="360"/>
        <w:rPr>
          <w:sz w:val="18"/>
        </w:rPr>
      </w:pPr>
      <w:r>
        <w:rPr>
          <w:sz w:val="18"/>
        </w:rPr>
        <w:t>6.</w:t>
      </w:r>
      <w:r>
        <w:rPr>
          <w:sz w:val="18"/>
        </w:rPr>
        <w:tab/>
        <w:t>Describe the consequence to Federal program or policy activities if the collection is not conducted or is conducted less frequently, as well as any technical or legal obstacles to reducing burden.</w:t>
      </w:r>
    </w:p>
    <w:p w:rsidR="00A03231" w:rsidRDefault="00A03231" w:rsidP="00A03231">
      <w:pPr>
        <w:pStyle w:val="Header"/>
        <w:tabs>
          <w:tab w:val="clear" w:pos="4320"/>
          <w:tab w:val="clear" w:pos="8640"/>
          <w:tab w:val="left" w:pos="360"/>
          <w:tab w:val="left" w:pos="480"/>
        </w:tabs>
        <w:ind w:left="360" w:hanging="360"/>
        <w:rPr>
          <w:color w:val="000000"/>
          <w:sz w:val="22"/>
          <w:szCs w:val="24"/>
        </w:rPr>
      </w:pPr>
    </w:p>
    <w:p w:rsidR="00A03231" w:rsidRPr="00ED579B" w:rsidRDefault="00A03231" w:rsidP="00A03231">
      <w:pPr>
        <w:ind w:left="360"/>
        <w:rPr>
          <w:sz w:val="22"/>
          <w:szCs w:val="22"/>
        </w:rPr>
      </w:pPr>
      <w:r w:rsidRPr="00ED579B">
        <w:rPr>
          <w:color w:val="000000"/>
          <w:sz w:val="22"/>
          <w:szCs w:val="22"/>
        </w:rPr>
        <w:t xml:space="preserve">The IHP and APR are required by NAHASDA to be submitted annually.  If the IHP or APR is not submitted as required, then the recipient may be denied grant funds for that year, prohibited from expending prior grant funds, and denied future grants.  Given the quality of the data being used, if a recipient cannot or does not make corrections or challenge the formula data, it will decrease the fairness of the formula allocation system.  In addition, HUD, the recipient, and the grant beneficiary are involved with program monitoring and auditing activities.  HUD has the responsibility to challenge the validity of data used to allocate IHBG funds. </w:t>
      </w:r>
    </w:p>
    <w:p w:rsidR="00A03231" w:rsidRDefault="00A03231" w:rsidP="00A03231">
      <w:pPr>
        <w:tabs>
          <w:tab w:val="left" w:pos="0"/>
          <w:tab w:val="left" w:pos="360"/>
        </w:tabs>
        <w:ind w:left="360"/>
        <w:rPr>
          <w:color w:val="000000"/>
          <w:sz w:val="22"/>
          <w:szCs w:val="24"/>
        </w:rPr>
      </w:pPr>
    </w:p>
    <w:p w:rsidR="00A03231" w:rsidRDefault="00A03231" w:rsidP="00A03231">
      <w:pPr>
        <w:numPr>
          <w:ilvl w:val="0"/>
          <w:numId w:val="3"/>
        </w:numPr>
        <w:tabs>
          <w:tab w:val="left" w:pos="360"/>
        </w:tabs>
        <w:rPr>
          <w:sz w:val="18"/>
        </w:rPr>
      </w:pPr>
      <w:r>
        <w:rPr>
          <w:sz w:val="18"/>
        </w:rPr>
        <w:t xml:space="preserve">Explain any special circumstances that would cause an information collection to be conducted in a manner: </w:t>
      </w:r>
    </w:p>
    <w:p w:rsidR="00A03231" w:rsidRDefault="00A03231" w:rsidP="00A03231">
      <w:pPr>
        <w:numPr>
          <w:ilvl w:val="0"/>
          <w:numId w:val="1"/>
        </w:numPr>
        <w:tabs>
          <w:tab w:val="left" w:pos="600"/>
        </w:tabs>
        <w:rPr>
          <w:sz w:val="18"/>
        </w:rPr>
      </w:pPr>
      <w:r>
        <w:rPr>
          <w:sz w:val="18"/>
        </w:rPr>
        <w:t xml:space="preserve">requiring respondents to report information to the agency more than quarterly; </w:t>
      </w:r>
    </w:p>
    <w:p w:rsidR="00A03231" w:rsidRDefault="00A03231" w:rsidP="00A03231">
      <w:pPr>
        <w:numPr>
          <w:ilvl w:val="0"/>
          <w:numId w:val="1"/>
        </w:numPr>
        <w:tabs>
          <w:tab w:val="left" w:pos="600"/>
        </w:tabs>
        <w:rPr>
          <w:sz w:val="18"/>
        </w:rPr>
      </w:pPr>
      <w:r>
        <w:rPr>
          <w:sz w:val="18"/>
        </w:rPr>
        <w:t xml:space="preserve">requiring respondents to prepare a written response to a collection of information in fewer than 30 days after receipt of it; </w:t>
      </w:r>
    </w:p>
    <w:p w:rsidR="00A03231" w:rsidRDefault="00A03231" w:rsidP="00A03231">
      <w:pPr>
        <w:numPr>
          <w:ilvl w:val="0"/>
          <w:numId w:val="1"/>
        </w:numPr>
        <w:tabs>
          <w:tab w:val="left" w:pos="600"/>
        </w:tabs>
        <w:rPr>
          <w:sz w:val="18"/>
        </w:rPr>
      </w:pPr>
      <w:r>
        <w:rPr>
          <w:sz w:val="18"/>
        </w:rPr>
        <w:t xml:space="preserve">requiring respondents to submit more than an original and two copies of any document; </w:t>
      </w:r>
    </w:p>
    <w:p w:rsidR="00A03231" w:rsidRDefault="00A03231" w:rsidP="00A03231">
      <w:pPr>
        <w:numPr>
          <w:ilvl w:val="0"/>
          <w:numId w:val="1"/>
        </w:numPr>
        <w:tabs>
          <w:tab w:val="left" w:pos="600"/>
        </w:tabs>
        <w:rPr>
          <w:sz w:val="18"/>
        </w:rPr>
      </w:pPr>
      <w:r>
        <w:rPr>
          <w:sz w:val="18"/>
        </w:rPr>
        <w:t xml:space="preserve">requiring respondents to retain records other than health, medical, government contract, grant-in-aid, or tax records for more than three years; </w:t>
      </w:r>
    </w:p>
    <w:p w:rsidR="00A03231" w:rsidRDefault="00A03231" w:rsidP="00A03231">
      <w:pPr>
        <w:numPr>
          <w:ilvl w:val="0"/>
          <w:numId w:val="1"/>
        </w:numPr>
        <w:tabs>
          <w:tab w:val="left" w:pos="600"/>
        </w:tabs>
        <w:rPr>
          <w:sz w:val="18"/>
        </w:rPr>
      </w:pPr>
      <w:r>
        <w:rPr>
          <w:sz w:val="18"/>
        </w:rPr>
        <w:t xml:space="preserve">in connection with a statistical survey, that is not designed to produce valid and reliable results than can be generalized to the universe of study; </w:t>
      </w:r>
    </w:p>
    <w:p w:rsidR="00A03231" w:rsidRDefault="00A03231" w:rsidP="00A03231">
      <w:pPr>
        <w:numPr>
          <w:ilvl w:val="0"/>
          <w:numId w:val="1"/>
        </w:numPr>
        <w:tabs>
          <w:tab w:val="left" w:pos="600"/>
        </w:tabs>
        <w:rPr>
          <w:sz w:val="18"/>
        </w:rPr>
      </w:pPr>
      <w:r>
        <w:rPr>
          <w:sz w:val="18"/>
        </w:rPr>
        <w:t xml:space="preserve">requiring the use of a statistical data classification that has not been reviewed and approved by OMB; </w:t>
      </w:r>
    </w:p>
    <w:p w:rsidR="00A03231" w:rsidRDefault="00A03231" w:rsidP="00A03231">
      <w:pPr>
        <w:numPr>
          <w:ilvl w:val="0"/>
          <w:numId w:val="1"/>
        </w:numPr>
        <w:tabs>
          <w:tab w:val="left" w:pos="600"/>
        </w:tabs>
        <w:rPr>
          <w:sz w:val="18"/>
        </w:rPr>
      </w:pPr>
      <w:r>
        <w:rPr>
          <w:sz w:val="18"/>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A03231" w:rsidRDefault="00A03231" w:rsidP="00A03231">
      <w:pPr>
        <w:numPr>
          <w:ilvl w:val="0"/>
          <w:numId w:val="1"/>
        </w:numPr>
        <w:tabs>
          <w:tab w:val="left" w:pos="600"/>
        </w:tabs>
        <w:rPr>
          <w:sz w:val="18"/>
        </w:rPr>
      </w:pPr>
      <w:r>
        <w:rPr>
          <w:sz w:val="18"/>
        </w:rPr>
        <w:t>requiring respondents to submit proprietary trade secret, or other confidential information unless the agency can demonstrate that it has instituted procedures to protect the information's confidentiality to the extent permitted by law.</w:t>
      </w:r>
    </w:p>
    <w:p w:rsidR="00A03231" w:rsidRDefault="00A03231" w:rsidP="00A03231">
      <w:pPr>
        <w:tabs>
          <w:tab w:val="left" w:pos="360"/>
          <w:tab w:val="left" w:pos="720"/>
        </w:tabs>
        <w:ind w:left="360"/>
        <w:rPr>
          <w:rFonts w:ascii="Arial" w:hAnsi="Arial"/>
          <w:sz w:val="24"/>
        </w:rPr>
      </w:pPr>
    </w:p>
    <w:p w:rsidR="00A03231" w:rsidRDefault="00A03231" w:rsidP="00A03231">
      <w:pPr>
        <w:ind w:left="360"/>
        <w:rPr>
          <w:color w:val="000000"/>
          <w:sz w:val="22"/>
          <w:szCs w:val="22"/>
        </w:rPr>
      </w:pPr>
      <w:r w:rsidRPr="00ED579B">
        <w:rPr>
          <w:color w:val="000000"/>
          <w:sz w:val="22"/>
          <w:szCs w:val="22"/>
        </w:rPr>
        <w:t xml:space="preserve">There are no special circumstances that would cause the information collection to be conducted more often than quarterly.  IHBG recipients may submit the </w:t>
      </w:r>
      <w:r w:rsidRPr="00ED579B">
        <w:rPr>
          <w:i/>
          <w:color w:val="000000"/>
          <w:sz w:val="22"/>
          <w:szCs w:val="22"/>
        </w:rPr>
        <w:t>Formula Response Form</w:t>
      </w:r>
      <w:r w:rsidRPr="00ED579B">
        <w:rPr>
          <w:color w:val="000000"/>
          <w:sz w:val="22"/>
          <w:szCs w:val="22"/>
        </w:rPr>
        <w:t xml:space="preserve"> or the </w:t>
      </w:r>
      <w:r w:rsidRPr="00ED579B">
        <w:rPr>
          <w:i/>
          <w:color w:val="000000"/>
          <w:sz w:val="22"/>
          <w:szCs w:val="22"/>
        </w:rPr>
        <w:t xml:space="preserve">Guidelines for Challenging the U.S. Decennial Census </w:t>
      </w:r>
      <w:r w:rsidRPr="00ED579B">
        <w:rPr>
          <w:color w:val="000000"/>
          <w:sz w:val="22"/>
          <w:szCs w:val="22"/>
        </w:rPr>
        <w:t>document to challenge or make corrections at any time.  Recipients receive a copy of the data at least 30 days before the recipient needs to make corrections or submit a challenge that would be acceptable for that fiscal year’s formula allocation.  IHBG recipients are not required to submit more than the original information collection document.  Financial and programmatic records, supporting documents, and statistical records of the recipient must be retained for a period of 3 years according to 24 CFR § 1000.550.  IHBG recipients may submit data to challenge the U.S. Decennial Census data, but by regulation, that information must be collected in a uniform manner that be confirmed and verified (24 CFR §  1000.330).   Data must be gathered, evaluated, and presented in a manner acceptable to HUD and the standards for data acceptability must be applied consistently (24 CFR §  1000.334).  IHBG recipients are not requested to submit proprietary trade secrets or other confidential information.</w:t>
      </w:r>
    </w:p>
    <w:p w:rsidR="00A03231" w:rsidRPr="00ED579B" w:rsidRDefault="00A03231" w:rsidP="00A03231">
      <w:pPr>
        <w:ind w:left="360"/>
        <w:rPr>
          <w:color w:val="000000"/>
          <w:sz w:val="22"/>
          <w:szCs w:val="22"/>
        </w:rPr>
      </w:pPr>
    </w:p>
    <w:p w:rsidR="00A03231" w:rsidRDefault="00A03231" w:rsidP="00A03231">
      <w:pPr>
        <w:tabs>
          <w:tab w:val="left" w:pos="360"/>
        </w:tabs>
        <w:ind w:left="360" w:hanging="360"/>
        <w:rPr>
          <w:sz w:val="18"/>
        </w:rPr>
      </w:pPr>
      <w:r>
        <w:rPr>
          <w:sz w:val="18"/>
        </w:rPr>
        <w:t>8.</w:t>
      </w:r>
      <w:r>
        <w:rPr>
          <w:sz w:val="18"/>
        </w:rPr>
        <w:tab/>
        <w:t xml:space="preserve">If applicable, provide a copy and identify the date and page number of publication in the Federal Register of the agency's notice, required by 5 CFR 1320.8(d), soliciting comments on the information collection prior to submission to OMB.  Summarize public </w:t>
      </w:r>
      <w:r>
        <w:rPr>
          <w:sz w:val="18"/>
        </w:rPr>
        <w:lastRenderedPageBreak/>
        <w:t xml:space="preserve">comments received in response to that notice and describe actions taken by the agency in response to these comments.  Specifically address comments received on cost and hour burden. </w:t>
      </w:r>
    </w:p>
    <w:p w:rsidR="00A03231" w:rsidRDefault="00A03231" w:rsidP="00A03231">
      <w:pPr>
        <w:numPr>
          <w:ilvl w:val="0"/>
          <w:numId w:val="4"/>
        </w:numPr>
        <w:tabs>
          <w:tab w:val="left" w:pos="360"/>
        </w:tabs>
        <w:ind w:left="504" w:hanging="144"/>
        <w:rPr>
          <w:sz w:val="18"/>
        </w:rPr>
      </w:pPr>
      <w:r>
        <w:rPr>
          <w:sz w:val="18"/>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A03231" w:rsidRDefault="00A03231" w:rsidP="00A03231">
      <w:pPr>
        <w:numPr>
          <w:ilvl w:val="0"/>
          <w:numId w:val="4"/>
        </w:numPr>
        <w:tabs>
          <w:tab w:val="left" w:pos="360"/>
        </w:tabs>
        <w:ind w:left="480" w:hanging="144"/>
        <w:rPr>
          <w:sz w:val="18"/>
        </w:rPr>
      </w:pPr>
      <w:r>
        <w:rPr>
          <w:sz w:val="18"/>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A03231" w:rsidRDefault="00A03231" w:rsidP="00A03231">
      <w:pPr>
        <w:tabs>
          <w:tab w:val="left" w:pos="0"/>
          <w:tab w:val="left" w:pos="360"/>
        </w:tabs>
        <w:ind w:left="360"/>
        <w:rPr>
          <w:color w:val="000000"/>
          <w:sz w:val="22"/>
          <w:szCs w:val="24"/>
        </w:rPr>
      </w:pPr>
    </w:p>
    <w:p w:rsidR="00A03231" w:rsidRPr="00A112D6" w:rsidRDefault="00A03231" w:rsidP="00A03231">
      <w:pPr>
        <w:tabs>
          <w:tab w:val="left" w:pos="0"/>
          <w:tab w:val="left" w:pos="360"/>
        </w:tabs>
        <w:ind w:left="360"/>
        <w:rPr>
          <w:color w:val="000000"/>
          <w:sz w:val="22"/>
          <w:szCs w:val="22"/>
        </w:rPr>
      </w:pPr>
      <w:r w:rsidRPr="00A112D6">
        <w:rPr>
          <w:sz w:val="22"/>
          <w:szCs w:val="22"/>
        </w:rPr>
        <w:t>A notice was published in the Federal Register, volume XX, number XX, page XXXXX, dated XXXXX, announcing the intent to submit the proposed information collection to the Office of Management and Budget and invited comments.  No comments were received in response to the Federal Register notice (VERIFY).  HUD convenes consultations and negotiated rule making with tribes on an on-going basis and currently i</w:t>
      </w:r>
      <w:r>
        <w:rPr>
          <w:sz w:val="22"/>
          <w:szCs w:val="22"/>
        </w:rPr>
        <w:t>s conducting</w:t>
      </w:r>
      <w:r w:rsidRPr="00A112D6">
        <w:rPr>
          <w:sz w:val="22"/>
          <w:szCs w:val="22"/>
        </w:rPr>
        <w:t xml:space="preserve"> negotiated rule making to discuss the recent reauthorization of NAHASDA and its amendments.</w:t>
      </w:r>
    </w:p>
    <w:p w:rsidR="00A03231" w:rsidRDefault="00A03231" w:rsidP="00A03231">
      <w:pPr>
        <w:tabs>
          <w:tab w:val="left" w:pos="0"/>
          <w:tab w:val="left" w:pos="360"/>
        </w:tabs>
        <w:ind w:left="360"/>
        <w:rPr>
          <w:color w:val="000000"/>
          <w:sz w:val="22"/>
          <w:szCs w:val="24"/>
        </w:rPr>
      </w:pPr>
    </w:p>
    <w:p w:rsidR="00A03231" w:rsidRDefault="00A03231" w:rsidP="00A03231">
      <w:pPr>
        <w:spacing w:line="240" w:lineRule="atLeast"/>
        <w:ind w:left="360"/>
        <w:rPr>
          <w:color w:val="000000"/>
          <w:szCs w:val="24"/>
        </w:rPr>
      </w:pPr>
      <w:r w:rsidRPr="00ED579B">
        <w:rPr>
          <w:color w:val="000000"/>
          <w:sz w:val="22"/>
          <w:szCs w:val="24"/>
        </w:rPr>
        <w:t>The Department held eight tribal consultation meetings from January through May 2005.  A tribal workgroup consisting of 12 tribal representatives worked with Department staff to incorporate suggestions gathered at the tribal consultations into a revised form for the IHP and APR.  The draft combined IHP/APR was presented to tribal leaders at HUD’s Native American Homeownership Summit in September 2005 and at the National American Indian Housing Council Convention in May 2007.</w:t>
      </w:r>
    </w:p>
    <w:p w:rsidR="00A03231" w:rsidRDefault="00A03231" w:rsidP="00A03231">
      <w:pPr>
        <w:tabs>
          <w:tab w:val="left" w:pos="360"/>
        </w:tabs>
        <w:spacing w:line="240" w:lineRule="atLeast"/>
        <w:ind w:left="360" w:hanging="360"/>
        <w:rPr>
          <w:color w:val="000000"/>
          <w:szCs w:val="24"/>
        </w:rPr>
      </w:pPr>
    </w:p>
    <w:p w:rsidR="00A03231" w:rsidRDefault="00A03231" w:rsidP="00A03231">
      <w:pPr>
        <w:tabs>
          <w:tab w:val="left" w:pos="360"/>
        </w:tabs>
        <w:ind w:left="360" w:hanging="360"/>
        <w:rPr>
          <w:sz w:val="18"/>
        </w:rPr>
      </w:pPr>
      <w:r>
        <w:rPr>
          <w:sz w:val="18"/>
        </w:rPr>
        <w:t>9.</w:t>
      </w:r>
      <w:r>
        <w:rPr>
          <w:sz w:val="18"/>
        </w:rPr>
        <w:tab/>
        <w:t>Explain any decision to provide any payment or gift to respondents, other than reenumeration of contractors or grantees.</w:t>
      </w:r>
    </w:p>
    <w:p w:rsidR="00A03231" w:rsidRDefault="00A03231" w:rsidP="00A03231">
      <w:pPr>
        <w:tabs>
          <w:tab w:val="left" w:pos="360"/>
          <w:tab w:val="left" w:pos="720"/>
        </w:tabs>
        <w:ind w:left="360"/>
        <w:rPr>
          <w:rFonts w:ascii="Arial" w:hAnsi="Arial"/>
          <w:sz w:val="24"/>
        </w:rPr>
      </w:pPr>
    </w:p>
    <w:p w:rsidR="00A03231" w:rsidRPr="00A112D6" w:rsidRDefault="00A03231" w:rsidP="00A03231">
      <w:pPr>
        <w:ind w:left="360"/>
        <w:rPr>
          <w:sz w:val="22"/>
          <w:szCs w:val="22"/>
        </w:rPr>
      </w:pPr>
      <w:r w:rsidRPr="00A112D6">
        <w:rPr>
          <w:color w:val="000000"/>
          <w:sz w:val="22"/>
          <w:szCs w:val="22"/>
        </w:rPr>
        <w:t>There are no provisions to provide any payments or gifts to respondents, other than remuneration of contractors or grantees.</w:t>
      </w:r>
    </w:p>
    <w:p w:rsidR="00A03231" w:rsidRDefault="00A03231" w:rsidP="00A03231">
      <w:pPr>
        <w:tabs>
          <w:tab w:val="left" w:pos="360"/>
        </w:tabs>
        <w:spacing w:line="240" w:lineRule="atLeast"/>
        <w:ind w:left="360" w:hanging="360"/>
        <w:rPr>
          <w:color w:val="000000"/>
          <w:szCs w:val="24"/>
        </w:rPr>
      </w:pPr>
    </w:p>
    <w:p w:rsidR="00A03231" w:rsidRDefault="00A03231" w:rsidP="00A03231">
      <w:pPr>
        <w:tabs>
          <w:tab w:val="left" w:pos="360"/>
        </w:tabs>
        <w:ind w:left="360" w:hanging="360"/>
        <w:rPr>
          <w:sz w:val="18"/>
        </w:rPr>
      </w:pPr>
      <w:r>
        <w:rPr>
          <w:sz w:val="18"/>
        </w:rPr>
        <w:t>10.</w:t>
      </w:r>
      <w:r>
        <w:rPr>
          <w:sz w:val="18"/>
        </w:rPr>
        <w:tab/>
        <w:t>Describe any assurance of confidentiality provided to respondents and the basis for assurance in statute, regulation or agency policy.</w:t>
      </w:r>
    </w:p>
    <w:p w:rsidR="00A03231" w:rsidRDefault="00A03231" w:rsidP="00A03231">
      <w:pPr>
        <w:tabs>
          <w:tab w:val="left" w:pos="360"/>
        </w:tabs>
        <w:spacing w:line="240" w:lineRule="atLeast"/>
        <w:ind w:left="360" w:hanging="360"/>
        <w:rPr>
          <w:color w:val="000000"/>
          <w:szCs w:val="24"/>
        </w:rPr>
      </w:pPr>
    </w:p>
    <w:p w:rsidR="00A03231" w:rsidRDefault="00A03231" w:rsidP="00A03231">
      <w:pPr>
        <w:spacing w:line="240" w:lineRule="atLeast"/>
        <w:ind w:left="360"/>
        <w:rPr>
          <w:color w:val="000000"/>
          <w:sz w:val="22"/>
          <w:szCs w:val="24"/>
        </w:rPr>
      </w:pPr>
      <w:r>
        <w:rPr>
          <w:color w:val="000000"/>
          <w:sz w:val="22"/>
          <w:szCs w:val="24"/>
        </w:rPr>
        <w:t>The information collection is public information; therefore, there is no assurance of confidentiality.</w:t>
      </w:r>
    </w:p>
    <w:p w:rsidR="00A03231" w:rsidRDefault="00A03231" w:rsidP="00A03231">
      <w:pPr>
        <w:spacing w:line="240" w:lineRule="atLeast"/>
        <w:ind w:left="360"/>
        <w:rPr>
          <w:color w:val="000000"/>
          <w:sz w:val="22"/>
          <w:szCs w:val="24"/>
        </w:rPr>
      </w:pPr>
    </w:p>
    <w:p w:rsidR="00A03231" w:rsidRDefault="00A03231" w:rsidP="00A03231">
      <w:pPr>
        <w:tabs>
          <w:tab w:val="left" w:pos="360"/>
        </w:tabs>
        <w:ind w:left="360" w:hanging="360"/>
        <w:rPr>
          <w:sz w:val="18"/>
        </w:rPr>
      </w:pPr>
      <w:r>
        <w:rPr>
          <w:sz w:val="18"/>
        </w:rPr>
        <w:t>11.</w:t>
      </w:r>
      <w:r>
        <w:rPr>
          <w:sz w:val="18"/>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03231" w:rsidRDefault="00A03231" w:rsidP="00A03231">
      <w:pPr>
        <w:rPr>
          <w:rFonts w:ascii="Arial" w:hAnsi="Arial"/>
          <w:sz w:val="24"/>
        </w:rPr>
      </w:pPr>
    </w:p>
    <w:p w:rsidR="00A03231" w:rsidRPr="00A112D6" w:rsidRDefault="00A03231" w:rsidP="00A03231">
      <w:pPr>
        <w:spacing w:line="240" w:lineRule="atLeast"/>
        <w:ind w:left="360"/>
        <w:rPr>
          <w:color w:val="000000"/>
          <w:sz w:val="22"/>
          <w:szCs w:val="22"/>
        </w:rPr>
      </w:pPr>
      <w:r w:rsidRPr="00A112D6">
        <w:rPr>
          <w:rFonts w:eastAsia="Calibri"/>
          <w:color w:val="000000"/>
          <w:sz w:val="22"/>
          <w:szCs w:val="22"/>
        </w:rPr>
        <w:t>There are no questions of a sensitive nature included in the information to be collected.</w:t>
      </w:r>
    </w:p>
    <w:p w:rsidR="00A03231" w:rsidRDefault="00A03231" w:rsidP="00A03231">
      <w:pPr>
        <w:tabs>
          <w:tab w:val="left" w:pos="360"/>
        </w:tabs>
        <w:spacing w:line="240" w:lineRule="atLeast"/>
        <w:ind w:left="360" w:hanging="360"/>
        <w:rPr>
          <w:color w:val="000000"/>
          <w:sz w:val="22"/>
          <w:szCs w:val="24"/>
        </w:rPr>
      </w:pPr>
    </w:p>
    <w:p w:rsidR="00A03231" w:rsidRDefault="00A03231" w:rsidP="00A03231">
      <w:pPr>
        <w:tabs>
          <w:tab w:val="left" w:pos="360"/>
        </w:tabs>
        <w:ind w:left="360" w:hanging="360"/>
        <w:rPr>
          <w:sz w:val="18"/>
        </w:rPr>
      </w:pPr>
      <w:r>
        <w:rPr>
          <w:sz w:val="18"/>
        </w:rPr>
        <w:t>12.</w:t>
      </w:r>
      <w:r>
        <w:rPr>
          <w:sz w:val="18"/>
        </w:rPr>
        <w:tab/>
        <w:t xml:space="preserve">Provide estimates of the hour burden of the collection of information.  The statement should: </w:t>
      </w:r>
    </w:p>
    <w:p w:rsidR="00A03231" w:rsidRDefault="00A03231" w:rsidP="00A03231">
      <w:pPr>
        <w:numPr>
          <w:ilvl w:val="0"/>
          <w:numId w:val="5"/>
        </w:numPr>
        <w:tabs>
          <w:tab w:val="left" w:pos="480"/>
        </w:tabs>
        <w:ind w:left="504" w:hanging="144"/>
        <w:rPr>
          <w:sz w:val="18"/>
        </w:rPr>
      </w:pPr>
      <w:r>
        <w:rPr>
          <w:sz w:val="18"/>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A03231" w:rsidRDefault="00A03231" w:rsidP="00A03231">
      <w:pPr>
        <w:numPr>
          <w:ilvl w:val="0"/>
          <w:numId w:val="5"/>
        </w:numPr>
        <w:tabs>
          <w:tab w:val="left" w:pos="480"/>
        </w:tabs>
        <w:ind w:left="480" w:hanging="144"/>
        <w:rPr>
          <w:sz w:val="18"/>
        </w:rPr>
      </w:pPr>
      <w:r>
        <w:rPr>
          <w:sz w:val="18"/>
        </w:rPr>
        <w:t xml:space="preserve">if this request covers more than one form, provide separate hour burden estimates for each form and aggregate the hour burdens in Item 13 of OMB Form 83-I; and </w:t>
      </w:r>
    </w:p>
    <w:p w:rsidR="00A03231" w:rsidRDefault="00A03231" w:rsidP="00A03231">
      <w:pPr>
        <w:numPr>
          <w:ilvl w:val="0"/>
          <w:numId w:val="5"/>
        </w:numPr>
        <w:tabs>
          <w:tab w:val="left" w:pos="480"/>
        </w:tabs>
        <w:ind w:left="480" w:hanging="144"/>
        <w:rPr>
          <w:sz w:val="18"/>
        </w:rPr>
      </w:pPr>
      <w:r>
        <w:rPr>
          <w:sz w:val="18"/>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A03231" w:rsidRDefault="00A03231" w:rsidP="00A03231">
      <w:pPr>
        <w:tabs>
          <w:tab w:val="left" w:pos="360"/>
        </w:tabs>
        <w:spacing w:line="240" w:lineRule="atLeast"/>
        <w:ind w:left="360" w:hanging="360"/>
        <w:rPr>
          <w:color w:val="000000"/>
          <w:sz w:val="22"/>
          <w:szCs w:val="24"/>
        </w:rPr>
      </w:pPr>
    </w:p>
    <w:p w:rsidR="00A03231" w:rsidRPr="00A112D6" w:rsidRDefault="00A03231" w:rsidP="00A03231">
      <w:pPr>
        <w:ind w:left="360"/>
        <w:rPr>
          <w:rFonts w:eastAsia="Calibri"/>
          <w:color w:val="000000"/>
          <w:sz w:val="22"/>
          <w:szCs w:val="22"/>
        </w:rPr>
      </w:pPr>
      <w:r w:rsidRPr="00A112D6">
        <w:rPr>
          <w:rFonts w:eastAsia="Calibri"/>
          <w:color w:val="000000"/>
          <w:sz w:val="22"/>
          <w:szCs w:val="22"/>
        </w:rPr>
        <w:t>There are approximately 579 native entities throughout the country, which includes tribes, pueblos, Alaska Native Regional Corporations, Alaska Nat</w:t>
      </w:r>
      <w:r>
        <w:rPr>
          <w:rFonts w:eastAsia="Calibri"/>
          <w:color w:val="000000"/>
          <w:sz w:val="22"/>
          <w:szCs w:val="22"/>
        </w:rPr>
        <w:t>ive Villages, and Hawaiian Home L</w:t>
      </w:r>
      <w:r w:rsidRPr="00A112D6">
        <w:rPr>
          <w:rFonts w:eastAsia="Calibri"/>
          <w:color w:val="000000"/>
          <w:sz w:val="22"/>
          <w:szCs w:val="22"/>
        </w:rPr>
        <w:t>ands.  The native entities may designate a housing entity to oversee all of their housing programs.  These designated housing entities may represent one or many native entities.  It is these 366 housing entities that are funded through the IHBG program.</w:t>
      </w:r>
    </w:p>
    <w:p w:rsidR="00A03231" w:rsidRDefault="00A03231" w:rsidP="00A03231">
      <w:pPr>
        <w:tabs>
          <w:tab w:val="left" w:pos="360"/>
        </w:tabs>
        <w:ind w:left="360"/>
        <w:rPr>
          <w:color w:val="000000"/>
          <w:sz w:val="22"/>
          <w:szCs w:val="24"/>
        </w:rPr>
      </w:pPr>
    </w:p>
    <w:p w:rsidR="00A03231" w:rsidRDefault="00A03231" w:rsidP="00A03231">
      <w:pPr>
        <w:tabs>
          <w:tab w:val="left" w:pos="360"/>
        </w:tabs>
        <w:ind w:left="360"/>
        <w:rPr>
          <w:color w:val="000000"/>
          <w:sz w:val="22"/>
          <w:szCs w:val="24"/>
        </w:rPr>
      </w:pPr>
      <w:r>
        <w:rPr>
          <w:color w:val="000000"/>
          <w:sz w:val="22"/>
          <w:szCs w:val="24"/>
        </w:rPr>
        <w:t xml:space="preserve">Each of the 366 recipients is required to submit an IHP and an APR for a total of 732 responses.  Allowing for variations in the recipient’s program to provide and maintain low-income housing, HUD anticipates that </w:t>
      </w:r>
      <w:r w:rsidRPr="00A112D6">
        <w:rPr>
          <w:color w:val="000000"/>
          <w:sz w:val="22"/>
          <w:szCs w:val="24"/>
        </w:rPr>
        <w:t xml:space="preserve">the simplification of the IHP will reduce the average estimated hours from approximately </w:t>
      </w:r>
      <w:r>
        <w:rPr>
          <w:color w:val="000000"/>
          <w:sz w:val="22"/>
          <w:szCs w:val="24"/>
        </w:rPr>
        <w:t>120 to 89 hours</w:t>
      </w:r>
      <w:r w:rsidRPr="00A112D6">
        <w:rPr>
          <w:color w:val="000000"/>
          <w:sz w:val="22"/>
          <w:szCs w:val="24"/>
        </w:rPr>
        <w:t xml:space="preserve"> to complete the IHP section of the IHP/APR.  With the simplification of the APR and combining it with the IHP so that data does not have to be repeated, as well as the elimination of the need to report on multiple open grants in each APR, it is estimated that the average time will be reduced from </w:t>
      </w:r>
      <w:r>
        <w:rPr>
          <w:color w:val="000000"/>
          <w:sz w:val="22"/>
          <w:szCs w:val="24"/>
        </w:rPr>
        <w:t>120 to 49 hours</w:t>
      </w:r>
      <w:r w:rsidRPr="00A112D6">
        <w:rPr>
          <w:color w:val="000000"/>
          <w:sz w:val="22"/>
          <w:szCs w:val="24"/>
        </w:rPr>
        <w:t xml:space="preserve"> to complete the IHP/APR for submission after the end of the program year.</w:t>
      </w:r>
      <w:r>
        <w:rPr>
          <w:color w:val="000000"/>
          <w:sz w:val="22"/>
          <w:szCs w:val="24"/>
        </w:rPr>
        <w:t xml:space="preserve">  HUD anticipates 15 tribes a year challenging the </w:t>
      </w:r>
      <w:r>
        <w:rPr>
          <w:color w:val="000000"/>
          <w:sz w:val="22"/>
          <w:szCs w:val="24"/>
        </w:rPr>
        <w:lastRenderedPageBreak/>
        <w:t>data at an average burden of 150 hours per challenge.  The total number of responses including the IHP, APR and the Census challenge and correction forms is estimated to be 1,113.</w:t>
      </w:r>
    </w:p>
    <w:p w:rsidR="00A03231" w:rsidRDefault="00A03231" w:rsidP="00A03231">
      <w:pPr>
        <w:tabs>
          <w:tab w:val="left" w:pos="360"/>
        </w:tabs>
        <w:ind w:left="360"/>
        <w:rPr>
          <w:color w:val="000000"/>
          <w:sz w:val="22"/>
          <w:szCs w:val="24"/>
        </w:rPr>
      </w:pPr>
    </w:p>
    <w:p w:rsidR="00A03231" w:rsidRPr="00A65B01" w:rsidRDefault="00A03231" w:rsidP="00A03231">
      <w:pPr>
        <w:ind w:left="360"/>
        <w:rPr>
          <w:rFonts w:eastAsia="Calibri"/>
          <w:color w:val="000000"/>
          <w:sz w:val="22"/>
          <w:szCs w:val="22"/>
        </w:rPr>
      </w:pPr>
      <w:r w:rsidRPr="00A65B01">
        <w:rPr>
          <w:rFonts w:eastAsia="Calibri"/>
          <w:color w:val="000000"/>
          <w:sz w:val="22"/>
          <w:szCs w:val="22"/>
        </w:rPr>
        <w:t xml:space="preserve">In total, this request will have an annual reporting burden of </w:t>
      </w:r>
      <w:r>
        <w:rPr>
          <w:rFonts w:eastAsia="Calibri"/>
          <w:b/>
          <w:color w:val="000000"/>
          <w:sz w:val="22"/>
          <w:szCs w:val="22"/>
        </w:rPr>
        <w:t>52,941</w:t>
      </w:r>
      <w:r w:rsidRPr="00A65B01">
        <w:rPr>
          <w:rFonts w:eastAsia="Calibri"/>
          <w:color w:val="000000"/>
          <w:sz w:val="22"/>
          <w:szCs w:val="22"/>
        </w:rPr>
        <w:t xml:space="preserve"> hours.  </w:t>
      </w:r>
      <w:r>
        <w:rPr>
          <w:color w:val="000000"/>
          <w:sz w:val="22"/>
          <w:szCs w:val="22"/>
        </w:rPr>
        <w:t>The table</w:t>
      </w:r>
      <w:r w:rsidRPr="00A65B01">
        <w:rPr>
          <w:rFonts w:eastAsia="Calibri"/>
          <w:color w:val="000000"/>
          <w:sz w:val="22"/>
          <w:szCs w:val="22"/>
        </w:rPr>
        <w:t xml:space="preserve"> below provide</w:t>
      </w:r>
      <w:r>
        <w:rPr>
          <w:rFonts w:eastAsia="Calibri"/>
          <w:color w:val="000000"/>
          <w:sz w:val="22"/>
          <w:szCs w:val="22"/>
        </w:rPr>
        <w:t>s</w:t>
      </w:r>
      <w:r w:rsidRPr="00A65B01">
        <w:rPr>
          <w:rFonts w:eastAsia="Calibri"/>
          <w:color w:val="000000"/>
          <w:sz w:val="22"/>
          <w:szCs w:val="22"/>
        </w:rPr>
        <w:t xml:space="preserve"> estimates on the number of respondents, frequency of submissions, total responses, and the estimated annual burden.  The estimates are based on field office experience.  </w:t>
      </w:r>
    </w:p>
    <w:p w:rsidR="00A03231" w:rsidRDefault="00A03231" w:rsidP="00A03231">
      <w:pPr>
        <w:tabs>
          <w:tab w:val="left" w:pos="360"/>
        </w:tabs>
        <w:spacing w:after="120"/>
        <w:rPr>
          <w:color w:val="000000"/>
          <w:sz w:val="22"/>
          <w:szCs w:val="24"/>
        </w:rPr>
      </w:pPr>
    </w:p>
    <w:tbl>
      <w:tblPr>
        <w:tblW w:w="9025" w:type="dxa"/>
        <w:tblInd w:w="345" w:type="dxa"/>
        <w:tblCellMar>
          <w:left w:w="0" w:type="dxa"/>
          <w:right w:w="0" w:type="dxa"/>
        </w:tblCellMar>
        <w:tblLook w:val="0000"/>
      </w:tblPr>
      <w:tblGrid>
        <w:gridCol w:w="2217"/>
        <w:gridCol w:w="1179"/>
        <w:gridCol w:w="1289"/>
        <w:gridCol w:w="1399"/>
        <w:gridCol w:w="1458"/>
        <w:gridCol w:w="1483"/>
      </w:tblGrid>
      <w:tr w:rsidR="00A03231" w:rsidTr="007616B0">
        <w:trPr>
          <w:trHeight w:val="799"/>
        </w:trPr>
        <w:tc>
          <w:tcPr>
            <w:tcW w:w="2217" w:type="dxa"/>
            <w:tcBorders>
              <w:top w:val="single" w:sz="4" w:space="0" w:color="auto"/>
              <w:left w:val="single" w:sz="4" w:space="0" w:color="auto"/>
              <w:bottom w:val="single" w:sz="4" w:space="0" w:color="auto"/>
              <w:right w:val="single" w:sz="4" w:space="0" w:color="auto"/>
            </w:tcBorders>
            <w:vAlign w:val="center"/>
          </w:tcPr>
          <w:p w:rsidR="00A03231" w:rsidRDefault="00A03231" w:rsidP="007616B0">
            <w:pPr>
              <w:spacing w:before="40" w:after="40"/>
              <w:rPr>
                <w:rFonts w:ascii="Helvetica" w:hAnsi="Helvetica" w:cs="Helvetica"/>
                <w:color w:val="000000"/>
                <w:sz w:val="18"/>
                <w:szCs w:val="18"/>
              </w:rPr>
            </w:pPr>
            <w:r>
              <w:rPr>
                <w:rFonts w:ascii="Helvetica" w:hAnsi="Helvetica" w:cs="Helvetica"/>
                <w:color w:val="000000"/>
                <w:sz w:val="18"/>
                <w:szCs w:val="18"/>
              </w:rPr>
              <w:t>Type of Submission</w:t>
            </w:r>
          </w:p>
        </w:tc>
        <w:tc>
          <w:tcPr>
            <w:tcW w:w="1179" w:type="dxa"/>
            <w:tcBorders>
              <w:top w:val="single" w:sz="4" w:space="0" w:color="auto"/>
              <w:left w:val="nil"/>
              <w:bottom w:val="single" w:sz="4" w:space="0" w:color="auto"/>
              <w:right w:val="single" w:sz="4" w:space="0" w:color="auto"/>
            </w:tcBorders>
            <w:vAlign w:val="center"/>
          </w:tcPr>
          <w:p w:rsidR="00A03231" w:rsidRDefault="00A03231" w:rsidP="007616B0">
            <w:pPr>
              <w:spacing w:before="40" w:after="40"/>
              <w:jc w:val="center"/>
              <w:rPr>
                <w:rFonts w:ascii="Helvetica" w:hAnsi="Helvetica" w:cs="Helvetica"/>
                <w:color w:val="000000"/>
                <w:sz w:val="18"/>
                <w:szCs w:val="18"/>
              </w:rPr>
            </w:pPr>
            <w:r>
              <w:rPr>
                <w:rFonts w:ascii="Helvetica" w:hAnsi="Helvetica" w:cs="Helvetica"/>
                <w:color w:val="000000"/>
                <w:sz w:val="18"/>
                <w:szCs w:val="18"/>
              </w:rPr>
              <w:t>Number of Respondents</w:t>
            </w:r>
          </w:p>
        </w:tc>
        <w:tc>
          <w:tcPr>
            <w:tcW w:w="1289" w:type="dxa"/>
            <w:tcBorders>
              <w:top w:val="single" w:sz="4" w:space="0" w:color="auto"/>
              <w:left w:val="nil"/>
              <w:bottom w:val="single" w:sz="4" w:space="0" w:color="auto"/>
              <w:right w:val="single" w:sz="4" w:space="0" w:color="auto"/>
            </w:tcBorders>
            <w:vAlign w:val="center"/>
          </w:tcPr>
          <w:p w:rsidR="00A03231" w:rsidRDefault="00A03231" w:rsidP="007616B0">
            <w:pPr>
              <w:spacing w:before="40" w:after="40"/>
              <w:jc w:val="center"/>
              <w:rPr>
                <w:rFonts w:ascii="Helvetica" w:hAnsi="Helvetica" w:cs="Helvetica"/>
                <w:color w:val="000000"/>
                <w:sz w:val="18"/>
                <w:szCs w:val="18"/>
              </w:rPr>
            </w:pPr>
            <w:r>
              <w:rPr>
                <w:rFonts w:ascii="Helvetica" w:hAnsi="Helvetica" w:cs="Helvetica"/>
                <w:color w:val="000000"/>
                <w:sz w:val="18"/>
                <w:szCs w:val="18"/>
              </w:rPr>
              <w:t>Frequency of Submissions</w:t>
            </w:r>
          </w:p>
        </w:tc>
        <w:tc>
          <w:tcPr>
            <w:tcW w:w="1399" w:type="dxa"/>
            <w:tcBorders>
              <w:top w:val="single" w:sz="4" w:space="0" w:color="auto"/>
              <w:left w:val="nil"/>
              <w:bottom w:val="single" w:sz="4" w:space="0" w:color="auto"/>
              <w:right w:val="single" w:sz="4" w:space="0" w:color="auto"/>
            </w:tcBorders>
            <w:vAlign w:val="center"/>
          </w:tcPr>
          <w:p w:rsidR="00A03231" w:rsidRDefault="00A03231" w:rsidP="007616B0">
            <w:pPr>
              <w:spacing w:before="40" w:after="40"/>
              <w:jc w:val="center"/>
              <w:rPr>
                <w:rFonts w:ascii="Helvetica" w:hAnsi="Helvetica" w:cs="Helvetica"/>
                <w:color w:val="000000"/>
                <w:sz w:val="18"/>
                <w:szCs w:val="18"/>
              </w:rPr>
            </w:pPr>
            <w:r>
              <w:rPr>
                <w:rFonts w:ascii="Helvetica" w:hAnsi="Helvetica" w:cs="Helvetica"/>
                <w:color w:val="000000"/>
                <w:sz w:val="18"/>
                <w:szCs w:val="18"/>
              </w:rPr>
              <w:t>Total Responses</w:t>
            </w:r>
          </w:p>
        </w:tc>
        <w:tc>
          <w:tcPr>
            <w:tcW w:w="1458" w:type="dxa"/>
            <w:tcBorders>
              <w:top w:val="single" w:sz="4" w:space="0" w:color="auto"/>
              <w:left w:val="single" w:sz="4" w:space="0" w:color="auto"/>
              <w:bottom w:val="single" w:sz="4" w:space="0" w:color="auto"/>
              <w:right w:val="single" w:sz="4" w:space="0" w:color="auto"/>
            </w:tcBorders>
            <w:vAlign w:val="center"/>
          </w:tcPr>
          <w:p w:rsidR="00A03231" w:rsidRDefault="00A03231" w:rsidP="007616B0">
            <w:pPr>
              <w:spacing w:before="40" w:after="40"/>
              <w:jc w:val="center"/>
              <w:rPr>
                <w:rFonts w:ascii="Helvetica" w:hAnsi="Helvetica" w:cs="Helvetica"/>
                <w:color w:val="000000"/>
                <w:sz w:val="18"/>
                <w:szCs w:val="18"/>
              </w:rPr>
            </w:pPr>
            <w:r>
              <w:rPr>
                <w:rFonts w:ascii="Helvetica" w:hAnsi="Helvetica" w:cs="Helvetica"/>
                <w:color w:val="000000"/>
                <w:sz w:val="18"/>
                <w:szCs w:val="18"/>
              </w:rPr>
              <w:t>Estimate Average Time (Hrs)</w:t>
            </w:r>
          </w:p>
        </w:tc>
        <w:tc>
          <w:tcPr>
            <w:tcW w:w="1483" w:type="dxa"/>
            <w:tcBorders>
              <w:top w:val="single" w:sz="4" w:space="0" w:color="auto"/>
              <w:left w:val="nil"/>
              <w:bottom w:val="single" w:sz="4" w:space="0" w:color="auto"/>
              <w:right w:val="single" w:sz="4" w:space="0" w:color="auto"/>
            </w:tcBorders>
            <w:vAlign w:val="center"/>
          </w:tcPr>
          <w:p w:rsidR="00A03231" w:rsidRDefault="00A03231" w:rsidP="007616B0">
            <w:pPr>
              <w:spacing w:before="40" w:after="40"/>
              <w:jc w:val="center"/>
              <w:rPr>
                <w:rFonts w:ascii="Helvetica" w:hAnsi="Helvetica" w:cs="Helvetica"/>
                <w:color w:val="000000"/>
                <w:sz w:val="18"/>
                <w:szCs w:val="18"/>
              </w:rPr>
            </w:pPr>
            <w:r>
              <w:rPr>
                <w:rFonts w:ascii="Helvetica" w:hAnsi="Helvetica" w:cs="Helvetica"/>
                <w:color w:val="000000"/>
                <w:sz w:val="18"/>
                <w:szCs w:val="18"/>
              </w:rPr>
              <w:t>Estimate Annual Burden (Hrs)</w:t>
            </w:r>
          </w:p>
        </w:tc>
      </w:tr>
      <w:tr w:rsidR="00A03231" w:rsidTr="007616B0">
        <w:trPr>
          <w:trHeight w:val="300"/>
        </w:trPr>
        <w:tc>
          <w:tcPr>
            <w:tcW w:w="2217" w:type="dxa"/>
            <w:tcBorders>
              <w:top w:val="nil"/>
              <w:left w:val="single" w:sz="4" w:space="0" w:color="auto"/>
              <w:bottom w:val="single" w:sz="4" w:space="0" w:color="auto"/>
              <w:right w:val="single" w:sz="4" w:space="0" w:color="auto"/>
            </w:tcBorders>
            <w:vAlign w:val="center"/>
          </w:tcPr>
          <w:p w:rsidR="00A03231" w:rsidRDefault="00A03231" w:rsidP="007616B0">
            <w:pPr>
              <w:spacing w:before="40" w:after="40"/>
              <w:ind w:left="140"/>
              <w:rPr>
                <w:rFonts w:ascii="Helvetica" w:hAnsi="Helvetica" w:cs="Helvetica"/>
                <w:color w:val="000000"/>
                <w:sz w:val="18"/>
                <w:szCs w:val="18"/>
              </w:rPr>
            </w:pPr>
            <w:r>
              <w:rPr>
                <w:rFonts w:ascii="Helvetica" w:hAnsi="Helvetica" w:cs="Helvetica"/>
                <w:color w:val="000000"/>
                <w:sz w:val="18"/>
                <w:szCs w:val="18"/>
              </w:rPr>
              <w:t>IHP  (form 52735)</w:t>
            </w:r>
          </w:p>
        </w:tc>
        <w:tc>
          <w:tcPr>
            <w:tcW w:w="1179" w:type="dxa"/>
            <w:tcBorders>
              <w:top w:val="nil"/>
              <w:left w:val="nil"/>
              <w:bottom w:val="single" w:sz="4" w:space="0" w:color="auto"/>
              <w:right w:val="single" w:sz="4" w:space="0" w:color="auto"/>
            </w:tcBorders>
            <w:vAlign w:val="center"/>
          </w:tcPr>
          <w:p w:rsidR="00A03231" w:rsidRDefault="00A03231" w:rsidP="007616B0">
            <w:pPr>
              <w:spacing w:before="40" w:after="40"/>
              <w:ind w:right="368"/>
              <w:jc w:val="right"/>
              <w:rPr>
                <w:rFonts w:ascii="Helvetica" w:hAnsi="Helvetica" w:cs="Helvetica"/>
                <w:color w:val="000000"/>
                <w:sz w:val="18"/>
                <w:szCs w:val="18"/>
              </w:rPr>
            </w:pPr>
            <w:r>
              <w:rPr>
                <w:rFonts w:ascii="Helvetica" w:hAnsi="Helvetica" w:cs="Helvetica"/>
                <w:color w:val="000000"/>
                <w:sz w:val="18"/>
                <w:szCs w:val="18"/>
              </w:rPr>
              <w:t>366</w:t>
            </w:r>
          </w:p>
        </w:tc>
        <w:tc>
          <w:tcPr>
            <w:tcW w:w="1289" w:type="dxa"/>
            <w:tcBorders>
              <w:top w:val="nil"/>
              <w:left w:val="nil"/>
              <w:bottom w:val="single" w:sz="4" w:space="0" w:color="auto"/>
              <w:right w:val="single" w:sz="4" w:space="0" w:color="auto"/>
            </w:tcBorders>
            <w:vAlign w:val="center"/>
          </w:tcPr>
          <w:p w:rsidR="00A03231" w:rsidRDefault="00A03231" w:rsidP="007616B0">
            <w:pPr>
              <w:spacing w:before="40" w:after="40"/>
              <w:jc w:val="center"/>
              <w:rPr>
                <w:rFonts w:ascii="Helvetica" w:hAnsi="Helvetica" w:cs="Helvetica"/>
                <w:color w:val="000000"/>
                <w:sz w:val="18"/>
                <w:szCs w:val="18"/>
              </w:rPr>
            </w:pPr>
            <w:r>
              <w:rPr>
                <w:rFonts w:ascii="Helvetica" w:hAnsi="Helvetica" w:cs="Helvetica"/>
                <w:color w:val="000000"/>
                <w:sz w:val="18"/>
                <w:szCs w:val="18"/>
              </w:rPr>
              <w:t>1</w:t>
            </w:r>
          </w:p>
        </w:tc>
        <w:tc>
          <w:tcPr>
            <w:tcW w:w="1399" w:type="dxa"/>
            <w:tcBorders>
              <w:top w:val="single" w:sz="4" w:space="0" w:color="auto"/>
              <w:left w:val="nil"/>
              <w:bottom w:val="single" w:sz="4" w:space="0" w:color="auto"/>
              <w:right w:val="single" w:sz="4" w:space="0" w:color="auto"/>
            </w:tcBorders>
          </w:tcPr>
          <w:p w:rsidR="00A03231" w:rsidRPr="00455878" w:rsidRDefault="00A03231" w:rsidP="007616B0">
            <w:pPr>
              <w:spacing w:before="40" w:after="40"/>
              <w:ind w:right="644"/>
              <w:jc w:val="right"/>
              <w:rPr>
                <w:rFonts w:ascii="Helvetica" w:hAnsi="Helvetica" w:cs="Helvetica"/>
                <w:color w:val="000000"/>
                <w:sz w:val="18"/>
                <w:szCs w:val="18"/>
              </w:rPr>
            </w:pPr>
            <w:r w:rsidRPr="00455878">
              <w:rPr>
                <w:rFonts w:ascii="Helvetica" w:hAnsi="Helvetica" w:cs="Helvetica"/>
                <w:color w:val="000000"/>
                <w:sz w:val="18"/>
                <w:szCs w:val="18"/>
              </w:rPr>
              <w:t>366</w:t>
            </w:r>
          </w:p>
        </w:tc>
        <w:tc>
          <w:tcPr>
            <w:tcW w:w="1458" w:type="dxa"/>
            <w:tcBorders>
              <w:top w:val="single" w:sz="4" w:space="0" w:color="auto"/>
              <w:left w:val="single" w:sz="4" w:space="0" w:color="auto"/>
              <w:bottom w:val="single" w:sz="4" w:space="0" w:color="auto"/>
              <w:right w:val="single" w:sz="4" w:space="0" w:color="auto"/>
            </w:tcBorders>
            <w:vAlign w:val="center"/>
          </w:tcPr>
          <w:p w:rsidR="00A03231" w:rsidRPr="00455878" w:rsidRDefault="00A03231" w:rsidP="007616B0">
            <w:pPr>
              <w:spacing w:before="40" w:after="40"/>
              <w:ind w:right="644"/>
              <w:jc w:val="right"/>
              <w:rPr>
                <w:rFonts w:ascii="Helvetica" w:hAnsi="Helvetica" w:cs="Helvetica"/>
                <w:color w:val="000000"/>
                <w:sz w:val="18"/>
                <w:szCs w:val="18"/>
              </w:rPr>
            </w:pPr>
            <w:r>
              <w:rPr>
                <w:rFonts w:ascii="Helvetica" w:hAnsi="Helvetica" w:cs="Helvetica"/>
                <w:color w:val="000000"/>
                <w:sz w:val="18"/>
                <w:szCs w:val="18"/>
              </w:rPr>
              <w:t>89</w:t>
            </w:r>
          </w:p>
        </w:tc>
        <w:tc>
          <w:tcPr>
            <w:tcW w:w="1483" w:type="dxa"/>
            <w:tcBorders>
              <w:top w:val="nil"/>
              <w:left w:val="nil"/>
              <w:bottom w:val="single" w:sz="4" w:space="0" w:color="auto"/>
              <w:right w:val="single" w:sz="4" w:space="0" w:color="auto"/>
            </w:tcBorders>
            <w:vAlign w:val="center"/>
          </w:tcPr>
          <w:p w:rsidR="00A03231" w:rsidRPr="00455878" w:rsidRDefault="00A03231" w:rsidP="007616B0">
            <w:pPr>
              <w:spacing w:before="40" w:after="40"/>
              <w:ind w:right="675"/>
              <w:jc w:val="right"/>
              <w:rPr>
                <w:rFonts w:ascii="Helvetica" w:hAnsi="Helvetica" w:cs="Helvetica"/>
                <w:color w:val="000000"/>
                <w:sz w:val="18"/>
                <w:szCs w:val="18"/>
              </w:rPr>
            </w:pPr>
            <w:r>
              <w:rPr>
                <w:rFonts w:ascii="Helvetica" w:hAnsi="Helvetica" w:cs="Helvetica"/>
                <w:color w:val="000000"/>
                <w:sz w:val="18"/>
                <w:szCs w:val="18"/>
              </w:rPr>
              <w:t>32,574</w:t>
            </w:r>
          </w:p>
        </w:tc>
      </w:tr>
      <w:tr w:rsidR="00A03231" w:rsidTr="007616B0">
        <w:trPr>
          <w:trHeight w:val="330"/>
        </w:trPr>
        <w:tc>
          <w:tcPr>
            <w:tcW w:w="2217" w:type="dxa"/>
            <w:tcBorders>
              <w:top w:val="nil"/>
              <w:left w:val="single" w:sz="4" w:space="0" w:color="auto"/>
              <w:bottom w:val="single" w:sz="4" w:space="0" w:color="auto"/>
              <w:right w:val="single" w:sz="4" w:space="0" w:color="auto"/>
            </w:tcBorders>
            <w:vAlign w:val="center"/>
          </w:tcPr>
          <w:p w:rsidR="00A03231" w:rsidRDefault="00A03231" w:rsidP="007616B0">
            <w:pPr>
              <w:spacing w:before="40" w:after="40"/>
              <w:ind w:left="140"/>
              <w:rPr>
                <w:rFonts w:ascii="Helvetica" w:hAnsi="Helvetica" w:cs="Helvetica"/>
                <w:color w:val="000000"/>
                <w:sz w:val="18"/>
                <w:szCs w:val="18"/>
              </w:rPr>
            </w:pPr>
            <w:r>
              <w:rPr>
                <w:rFonts w:ascii="Helvetica" w:hAnsi="Helvetica" w:cs="Helvetica"/>
                <w:color w:val="000000"/>
                <w:sz w:val="18"/>
                <w:szCs w:val="18"/>
              </w:rPr>
              <w:t>APR  (form 52735-AS)</w:t>
            </w:r>
          </w:p>
        </w:tc>
        <w:tc>
          <w:tcPr>
            <w:tcW w:w="1179" w:type="dxa"/>
            <w:tcBorders>
              <w:top w:val="nil"/>
              <w:left w:val="nil"/>
              <w:bottom w:val="single" w:sz="4" w:space="0" w:color="auto"/>
              <w:right w:val="single" w:sz="4" w:space="0" w:color="auto"/>
            </w:tcBorders>
            <w:vAlign w:val="center"/>
          </w:tcPr>
          <w:p w:rsidR="00A03231" w:rsidRDefault="00A03231" w:rsidP="007616B0">
            <w:pPr>
              <w:spacing w:before="40" w:after="40"/>
              <w:ind w:right="368"/>
              <w:jc w:val="right"/>
              <w:rPr>
                <w:rFonts w:ascii="Helvetica" w:hAnsi="Helvetica" w:cs="Helvetica"/>
                <w:color w:val="000000"/>
                <w:sz w:val="18"/>
                <w:szCs w:val="18"/>
              </w:rPr>
            </w:pPr>
            <w:r>
              <w:rPr>
                <w:rFonts w:ascii="Helvetica" w:hAnsi="Helvetica" w:cs="Helvetica"/>
                <w:color w:val="000000"/>
                <w:sz w:val="18"/>
                <w:szCs w:val="18"/>
              </w:rPr>
              <w:t>366</w:t>
            </w:r>
          </w:p>
        </w:tc>
        <w:tc>
          <w:tcPr>
            <w:tcW w:w="1289" w:type="dxa"/>
            <w:tcBorders>
              <w:top w:val="nil"/>
              <w:left w:val="nil"/>
              <w:bottom w:val="single" w:sz="4" w:space="0" w:color="auto"/>
              <w:right w:val="single" w:sz="4" w:space="0" w:color="auto"/>
            </w:tcBorders>
            <w:vAlign w:val="center"/>
          </w:tcPr>
          <w:p w:rsidR="00A03231" w:rsidRDefault="00A03231" w:rsidP="007616B0">
            <w:pPr>
              <w:spacing w:before="40" w:after="40"/>
              <w:jc w:val="center"/>
              <w:rPr>
                <w:rFonts w:ascii="Helvetica" w:hAnsi="Helvetica" w:cs="Helvetica"/>
                <w:color w:val="000000"/>
                <w:sz w:val="18"/>
                <w:szCs w:val="18"/>
              </w:rPr>
            </w:pPr>
            <w:r>
              <w:rPr>
                <w:rFonts w:ascii="Helvetica" w:hAnsi="Helvetica" w:cs="Helvetica"/>
                <w:color w:val="000000"/>
                <w:sz w:val="18"/>
                <w:szCs w:val="18"/>
              </w:rPr>
              <w:t>1</w:t>
            </w:r>
          </w:p>
        </w:tc>
        <w:tc>
          <w:tcPr>
            <w:tcW w:w="1399" w:type="dxa"/>
            <w:tcBorders>
              <w:top w:val="single" w:sz="4" w:space="0" w:color="auto"/>
              <w:left w:val="nil"/>
              <w:bottom w:val="single" w:sz="4" w:space="0" w:color="auto"/>
              <w:right w:val="single" w:sz="4" w:space="0" w:color="auto"/>
            </w:tcBorders>
          </w:tcPr>
          <w:p w:rsidR="00A03231" w:rsidRPr="00455878" w:rsidRDefault="00A03231" w:rsidP="007616B0">
            <w:pPr>
              <w:spacing w:before="40" w:after="40"/>
              <w:ind w:right="644"/>
              <w:jc w:val="right"/>
              <w:rPr>
                <w:rFonts w:ascii="Helvetica" w:hAnsi="Helvetica" w:cs="Helvetica"/>
                <w:color w:val="000000"/>
                <w:sz w:val="18"/>
                <w:szCs w:val="18"/>
              </w:rPr>
            </w:pPr>
            <w:r w:rsidRPr="00455878">
              <w:rPr>
                <w:rFonts w:ascii="Helvetica" w:hAnsi="Helvetica" w:cs="Helvetica"/>
                <w:color w:val="000000"/>
                <w:sz w:val="18"/>
                <w:szCs w:val="18"/>
              </w:rPr>
              <w:t>366</w:t>
            </w:r>
          </w:p>
        </w:tc>
        <w:tc>
          <w:tcPr>
            <w:tcW w:w="1458" w:type="dxa"/>
            <w:tcBorders>
              <w:top w:val="single" w:sz="4" w:space="0" w:color="auto"/>
              <w:left w:val="single" w:sz="4" w:space="0" w:color="auto"/>
              <w:bottom w:val="single" w:sz="4" w:space="0" w:color="auto"/>
              <w:right w:val="single" w:sz="4" w:space="0" w:color="auto"/>
            </w:tcBorders>
            <w:vAlign w:val="center"/>
          </w:tcPr>
          <w:p w:rsidR="00A03231" w:rsidRPr="00455878" w:rsidRDefault="00A03231" w:rsidP="007616B0">
            <w:pPr>
              <w:spacing w:before="40" w:after="40"/>
              <w:ind w:right="644"/>
              <w:jc w:val="right"/>
              <w:rPr>
                <w:rFonts w:ascii="Helvetica" w:hAnsi="Helvetica" w:cs="Helvetica"/>
                <w:color w:val="000000"/>
                <w:sz w:val="18"/>
                <w:szCs w:val="18"/>
              </w:rPr>
            </w:pPr>
            <w:r>
              <w:rPr>
                <w:rFonts w:ascii="Helvetica" w:hAnsi="Helvetica" w:cs="Helvetica"/>
                <w:color w:val="000000"/>
                <w:sz w:val="18"/>
                <w:szCs w:val="18"/>
              </w:rPr>
              <w:t>49</w:t>
            </w:r>
          </w:p>
        </w:tc>
        <w:tc>
          <w:tcPr>
            <w:tcW w:w="1483" w:type="dxa"/>
            <w:tcBorders>
              <w:top w:val="nil"/>
              <w:left w:val="nil"/>
              <w:bottom w:val="single" w:sz="4" w:space="0" w:color="auto"/>
              <w:right w:val="single" w:sz="4" w:space="0" w:color="auto"/>
            </w:tcBorders>
            <w:vAlign w:val="center"/>
          </w:tcPr>
          <w:p w:rsidR="00A03231" w:rsidRPr="00455878" w:rsidRDefault="00A03231" w:rsidP="007616B0">
            <w:pPr>
              <w:spacing w:before="40" w:after="40"/>
              <w:ind w:right="675"/>
              <w:jc w:val="right"/>
              <w:rPr>
                <w:rFonts w:ascii="Helvetica" w:hAnsi="Helvetica" w:cs="Helvetica"/>
                <w:color w:val="000000"/>
                <w:sz w:val="18"/>
                <w:szCs w:val="18"/>
              </w:rPr>
            </w:pPr>
            <w:r>
              <w:rPr>
                <w:rFonts w:ascii="Helvetica" w:hAnsi="Helvetica" w:cs="Helvetica"/>
                <w:color w:val="000000"/>
                <w:sz w:val="18"/>
                <w:szCs w:val="18"/>
              </w:rPr>
              <w:t>17,934</w:t>
            </w:r>
          </w:p>
        </w:tc>
      </w:tr>
      <w:tr w:rsidR="00A03231" w:rsidTr="007616B0">
        <w:trPr>
          <w:trHeight w:val="225"/>
        </w:trPr>
        <w:tc>
          <w:tcPr>
            <w:tcW w:w="2217" w:type="dxa"/>
            <w:tcBorders>
              <w:top w:val="nil"/>
              <w:left w:val="single" w:sz="4" w:space="0" w:color="auto"/>
              <w:bottom w:val="single" w:sz="4" w:space="0" w:color="auto"/>
              <w:right w:val="single" w:sz="4" w:space="0" w:color="auto"/>
            </w:tcBorders>
            <w:vAlign w:val="center"/>
          </w:tcPr>
          <w:p w:rsidR="00A03231" w:rsidRDefault="00A03231" w:rsidP="007616B0">
            <w:pPr>
              <w:spacing w:before="40" w:after="40"/>
              <w:ind w:left="140"/>
              <w:rPr>
                <w:rFonts w:ascii="Helvetica" w:hAnsi="Helvetica" w:cs="Helvetica"/>
                <w:color w:val="000000"/>
                <w:sz w:val="18"/>
                <w:szCs w:val="18"/>
              </w:rPr>
            </w:pPr>
            <w:r w:rsidRPr="006E41D7">
              <w:rPr>
                <w:rFonts w:ascii="Helvetica" w:hAnsi="Helvetica" w:cs="Helvetica"/>
                <w:b/>
                <w:color w:val="000000"/>
                <w:sz w:val="18"/>
                <w:szCs w:val="18"/>
              </w:rPr>
              <w:t xml:space="preserve">(Combined </w:t>
            </w:r>
            <w:r>
              <w:rPr>
                <w:rFonts w:ascii="Helvetica" w:hAnsi="Helvetica" w:cs="Helvetica"/>
                <w:b/>
                <w:color w:val="000000"/>
                <w:sz w:val="18"/>
                <w:szCs w:val="18"/>
              </w:rPr>
              <w:t xml:space="preserve">Totals for </w:t>
            </w:r>
            <w:r w:rsidRPr="006E41D7">
              <w:rPr>
                <w:rFonts w:ascii="Helvetica" w:hAnsi="Helvetica" w:cs="Helvetica"/>
                <w:b/>
                <w:color w:val="000000"/>
                <w:sz w:val="18"/>
                <w:szCs w:val="18"/>
              </w:rPr>
              <w:t>52735 &amp; 52735-AS)</w:t>
            </w:r>
            <w:r>
              <w:rPr>
                <w:rFonts w:ascii="Helvetica" w:hAnsi="Helvetica" w:cs="Helvetica"/>
                <w:color w:val="000000"/>
                <w:sz w:val="18"/>
                <w:szCs w:val="18"/>
              </w:rPr>
              <w:t xml:space="preserve"> </w:t>
            </w:r>
            <w:r w:rsidRPr="000E1614">
              <w:rPr>
                <w:rFonts w:ascii="Helvetica" w:hAnsi="Helvetica" w:cs="Helvetica"/>
                <w:color w:val="000000"/>
                <w:sz w:val="18"/>
                <w:szCs w:val="18"/>
              </w:rPr>
              <w:t>Indian Housing Plan-Annual Performance Report</w:t>
            </w:r>
            <w:r>
              <w:rPr>
                <w:rFonts w:ascii="Helvetica" w:hAnsi="Helvetica" w:cs="Helvetica"/>
                <w:color w:val="000000"/>
                <w:sz w:val="18"/>
                <w:szCs w:val="18"/>
              </w:rPr>
              <w:t xml:space="preserve"> (52735-B) </w:t>
            </w:r>
          </w:p>
        </w:tc>
        <w:tc>
          <w:tcPr>
            <w:tcW w:w="1179" w:type="dxa"/>
            <w:tcBorders>
              <w:top w:val="nil"/>
              <w:left w:val="nil"/>
              <w:bottom w:val="single" w:sz="4" w:space="0" w:color="auto"/>
              <w:right w:val="single" w:sz="4" w:space="0" w:color="auto"/>
            </w:tcBorders>
            <w:vAlign w:val="center"/>
          </w:tcPr>
          <w:p w:rsidR="00A03231" w:rsidRPr="00ED728A" w:rsidRDefault="00A03231" w:rsidP="007616B0">
            <w:pPr>
              <w:spacing w:before="40" w:after="40"/>
              <w:ind w:right="368"/>
              <w:jc w:val="right"/>
              <w:rPr>
                <w:rFonts w:ascii="Helvetica" w:hAnsi="Helvetica" w:cs="Helvetica"/>
                <w:b/>
                <w:color w:val="000000"/>
                <w:sz w:val="18"/>
                <w:szCs w:val="18"/>
              </w:rPr>
            </w:pPr>
            <w:r w:rsidRPr="00ED728A">
              <w:rPr>
                <w:rFonts w:ascii="Helvetica" w:hAnsi="Helvetica" w:cs="Helvetica"/>
                <w:b/>
                <w:color w:val="000000"/>
                <w:sz w:val="18"/>
                <w:szCs w:val="18"/>
              </w:rPr>
              <w:t>366</w:t>
            </w:r>
          </w:p>
        </w:tc>
        <w:tc>
          <w:tcPr>
            <w:tcW w:w="1289" w:type="dxa"/>
            <w:tcBorders>
              <w:top w:val="nil"/>
              <w:left w:val="nil"/>
              <w:bottom w:val="single" w:sz="4" w:space="0" w:color="auto"/>
              <w:right w:val="single" w:sz="4" w:space="0" w:color="auto"/>
            </w:tcBorders>
            <w:vAlign w:val="center"/>
          </w:tcPr>
          <w:p w:rsidR="00A03231" w:rsidRPr="00ED728A" w:rsidRDefault="00A03231" w:rsidP="007616B0">
            <w:pPr>
              <w:spacing w:before="40" w:after="40"/>
              <w:jc w:val="center"/>
              <w:rPr>
                <w:rFonts w:ascii="Helvetica" w:hAnsi="Helvetica" w:cs="Helvetica"/>
                <w:b/>
                <w:color w:val="000000"/>
                <w:sz w:val="18"/>
                <w:szCs w:val="18"/>
              </w:rPr>
            </w:pPr>
            <w:r w:rsidRPr="00ED728A">
              <w:rPr>
                <w:rFonts w:ascii="Helvetica" w:hAnsi="Helvetica" w:cs="Helvetica"/>
                <w:b/>
                <w:color w:val="000000"/>
                <w:sz w:val="18"/>
                <w:szCs w:val="18"/>
              </w:rPr>
              <w:t>1</w:t>
            </w:r>
          </w:p>
        </w:tc>
        <w:tc>
          <w:tcPr>
            <w:tcW w:w="1399" w:type="dxa"/>
            <w:tcBorders>
              <w:top w:val="single" w:sz="4" w:space="0" w:color="auto"/>
              <w:left w:val="nil"/>
              <w:bottom w:val="single" w:sz="4" w:space="0" w:color="auto"/>
              <w:right w:val="single" w:sz="4" w:space="0" w:color="auto"/>
            </w:tcBorders>
          </w:tcPr>
          <w:p w:rsidR="00A03231" w:rsidRPr="00ED728A" w:rsidRDefault="00A03231" w:rsidP="007616B0">
            <w:pPr>
              <w:spacing w:before="40" w:after="40"/>
              <w:ind w:right="644"/>
              <w:jc w:val="right"/>
              <w:rPr>
                <w:rFonts w:ascii="Helvetica" w:hAnsi="Helvetica" w:cs="Helvetica"/>
                <w:b/>
                <w:color w:val="000000"/>
                <w:sz w:val="18"/>
                <w:szCs w:val="18"/>
              </w:rPr>
            </w:pPr>
          </w:p>
          <w:p w:rsidR="00A03231" w:rsidRDefault="00A03231" w:rsidP="007616B0">
            <w:pPr>
              <w:spacing w:before="40" w:after="40"/>
              <w:ind w:right="644"/>
              <w:rPr>
                <w:rFonts w:ascii="Helvetica" w:hAnsi="Helvetica" w:cs="Helvetica"/>
                <w:b/>
                <w:color w:val="000000"/>
                <w:sz w:val="18"/>
                <w:szCs w:val="18"/>
              </w:rPr>
            </w:pPr>
          </w:p>
          <w:p w:rsidR="00A03231" w:rsidRPr="00ED728A" w:rsidRDefault="00A03231" w:rsidP="007616B0">
            <w:pPr>
              <w:spacing w:before="40" w:after="40"/>
              <w:ind w:right="644"/>
              <w:jc w:val="center"/>
              <w:rPr>
                <w:rFonts w:ascii="Helvetica" w:hAnsi="Helvetica" w:cs="Helvetica"/>
                <w:b/>
                <w:color w:val="000000"/>
                <w:sz w:val="18"/>
                <w:szCs w:val="18"/>
              </w:rPr>
            </w:pPr>
            <w:r>
              <w:rPr>
                <w:rFonts w:ascii="Helvetica" w:hAnsi="Helvetica" w:cs="Helvetica"/>
                <w:b/>
                <w:color w:val="000000"/>
                <w:sz w:val="18"/>
                <w:szCs w:val="18"/>
              </w:rPr>
              <w:t xml:space="preserve">        </w:t>
            </w:r>
            <w:r w:rsidRPr="00ED728A">
              <w:rPr>
                <w:rFonts w:ascii="Helvetica" w:hAnsi="Helvetica" w:cs="Helvetica"/>
                <w:b/>
                <w:color w:val="000000"/>
                <w:sz w:val="18"/>
                <w:szCs w:val="18"/>
              </w:rPr>
              <w:t>366</w:t>
            </w:r>
          </w:p>
        </w:tc>
        <w:tc>
          <w:tcPr>
            <w:tcW w:w="1458" w:type="dxa"/>
            <w:tcBorders>
              <w:top w:val="single" w:sz="4" w:space="0" w:color="auto"/>
              <w:left w:val="single" w:sz="4" w:space="0" w:color="auto"/>
              <w:bottom w:val="single" w:sz="4" w:space="0" w:color="auto"/>
              <w:right w:val="single" w:sz="4" w:space="0" w:color="auto"/>
            </w:tcBorders>
            <w:vAlign w:val="center"/>
          </w:tcPr>
          <w:p w:rsidR="00A03231" w:rsidRPr="00ED728A" w:rsidRDefault="00A03231" w:rsidP="007616B0">
            <w:pPr>
              <w:spacing w:before="40" w:after="40"/>
              <w:ind w:right="644"/>
              <w:jc w:val="right"/>
              <w:rPr>
                <w:rFonts w:ascii="Helvetica" w:hAnsi="Helvetica" w:cs="Helvetica"/>
                <w:b/>
                <w:color w:val="000000"/>
                <w:sz w:val="18"/>
                <w:szCs w:val="18"/>
              </w:rPr>
            </w:pPr>
            <w:r w:rsidRPr="00ED728A">
              <w:rPr>
                <w:rFonts w:ascii="Helvetica" w:hAnsi="Helvetica" w:cs="Helvetica"/>
                <w:b/>
                <w:color w:val="000000"/>
                <w:sz w:val="18"/>
                <w:szCs w:val="18"/>
              </w:rPr>
              <w:t>138</w:t>
            </w:r>
          </w:p>
        </w:tc>
        <w:tc>
          <w:tcPr>
            <w:tcW w:w="1483" w:type="dxa"/>
            <w:tcBorders>
              <w:top w:val="nil"/>
              <w:left w:val="nil"/>
              <w:bottom w:val="single" w:sz="4" w:space="0" w:color="auto"/>
              <w:right w:val="single" w:sz="4" w:space="0" w:color="auto"/>
            </w:tcBorders>
            <w:vAlign w:val="center"/>
          </w:tcPr>
          <w:p w:rsidR="00A03231" w:rsidRPr="00ED728A" w:rsidRDefault="00A03231" w:rsidP="007616B0">
            <w:pPr>
              <w:spacing w:before="40" w:after="40"/>
              <w:ind w:right="675"/>
              <w:jc w:val="right"/>
              <w:rPr>
                <w:rFonts w:ascii="Helvetica" w:hAnsi="Helvetica" w:cs="Helvetica"/>
                <w:b/>
                <w:color w:val="000000"/>
                <w:sz w:val="18"/>
                <w:szCs w:val="18"/>
              </w:rPr>
            </w:pPr>
            <w:r w:rsidRPr="00ED728A">
              <w:rPr>
                <w:rFonts w:ascii="Helvetica" w:hAnsi="Helvetica" w:cs="Helvetica"/>
                <w:b/>
                <w:color w:val="000000"/>
                <w:sz w:val="18"/>
                <w:szCs w:val="18"/>
              </w:rPr>
              <w:t>50,508</w:t>
            </w:r>
          </w:p>
        </w:tc>
      </w:tr>
      <w:tr w:rsidR="00A03231" w:rsidTr="007616B0">
        <w:trPr>
          <w:trHeight w:val="225"/>
        </w:trPr>
        <w:tc>
          <w:tcPr>
            <w:tcW w:w="2217" w:type="dxa"/>
            <w:tcBorders>
              <w:top w:val="nil"/>
              <w:left w:val="single" w:sz="4" w:space="0" w:color="auto"/>
              <w:bottom w:val="single" w:sz="4" w:space="0" w:color="auto"/>
              <w:right w:val="single" w:sz="4" w:space="0" w:color="auto"/>
            </w:tcBorders>
            <w:vAlign w:val="center"/>
          </w:tcPr>
          <w:p w:rsidR="00A03231" w:rsidRDefault="00A03231" w:rsidP="007616B0">
            <w:pPr>
              <w:spacing w:before="40" w:after="40"/>
              <w:ind w:left="140"/>
              <w:rPr>
                <w:rFonts w:ascii="Helvetica" w:hAnsi="Helvetica" w:cs="Helvetica"/>
                <w:color w:val="000000"/>
                <w:sz w:val="18"/>
                <w:szCs w:val="18"/>
              </w:rPr>
            </w:pPr>
            <w:r>
              <w:rPr>
                <w:rFonts w:ascii="Helvetica" w:hAnsi="Helvetica" w:cs="Helvetica"/>
                <w:color w:val="000000"/>
                <w:sz w:val="18"/>
                <w:szCs w:val="18"/>
              </w:rPr>
              <w:t>Federal Financial Report (SF-425)*</w:t>
            </w:r>
          </w:p>
        </w:tc>
        <w:tc>
          <w:tcPr>
            <w:tcW w:w="1179" w:type="dxa"/>
            <w:tcBorders>
              <w:top w:val="nil"/>
              <w:left w:val="nil"/>
              <w:bottom w:val="single" w:sz="4" w:space="0" w:color="auto"/>
              <w:right w:val="single" w:sz="4" w:space="0" w:color="auto"/>
            </w:tcBorders>
            <w:vAlign w:val="center"/>
          </w:tcPr>
          <w:p w:rsidR="00A03231" w:rsidRDefault="00A03231" w:rsidP="007616B0">
            <w:pPr>
              <w:spacing w:before="40" w:after="40"/>
              <w:ind w:right="368"/>
              <w:jc w:val="right"/>
              <w:rPr>
                <w:rFonts w:ascii="Helvetica" w:hAnsi="Helvetica" w:cs="Helvetica"/>
                <w:color w:val="000000"/>
                <w:sz w:val="18"/>
                <w:szCs w:val="18"/>
              </w:rPr>
            </w:pPr>
            <w:r>
              <w:rPr>
                <w:rFonts w:ascii="Helvetica" w:hAnsi="Helvetica" w:cs="Helvetica"/>
                <w:color w:val="000000"/>
                <w:sz w:val="18"/>
                <w:szCs w:val="18"/>
              </w:rPr>
              <w:t>366</w:t>
            </w:r>
          </w:p>
        </w:tc>
        <w:tc>
          <w:tcPr>
            <w:tcW w:w="1289" w:type="dxa"/>
            <w:tcBorders>
              <w:top w:val="nil"/>
              <w:left w:val="nil"/>
              <w:bottom w:val="single" w:sz="4" w:space="0" w:color="auto"/>
              <w:right w:val="single" w:sz="4" w:space="0" w:color="auto"/>
            </w:tcBorders>
            <w:vAlign w:val="center"/>
          </w:tcPr>
          <w:p w:rsidR="00A03231" w:rsidRDefault="00A03231" w:rsidP="007616B0">
            <w:pPr>
              <w:spacing w:before="40" w:after="40"/>
              <w:jc w:val="center"/>
              <w:rPr>
                <w:rFonts w:ascii="Helvetica" w:hAnsi="Helvetica" w:cs="Helvetica"/>
                <w:color w:val="000000"/>
                <w:sz w:val="18"/>
                <w:szCs w:val="18"/>
              </w:rPr>
            </w:pPr>
          </w:p>
        </w:tc>
        <w:tc>
          <w:tcPr>
            <w:tcW w:w="1399" w:type="dxa"/>
            <w:tcBorders>
              <w:top w:val="single" w:sz="4" w:space="0" w:color="auto"/>
              <w:left w:val="nil"/>
              <w:bottom w:val="single" w:sz="4" w:space="0" w:color="auto"/>
              <w:right w:val="single" w:sz="4" w:space="0" w:color="auto"/>
            </w:tcBorders>
          </w:tcPr>
          <w:p w:rsidR="00A03231" w:rsidRDefault="00A03231" w:rsidP="007616B0">
            <w:pPr>
              <w:spacing w:before="40" w:after="40"/>
              <w:ind w:right="644"/>
              <w:jc w:val="right"/>
              <w:rPr>
                <w:rFonts w:ascii="Helvetica" w:hAnsi="Helvetica" w:cs="Helvetica"/>
                <w:color w:val="000000"/>
                <w:sz w:val="18"/>
                <w:szCs w:val="18"/>
              </w:rPr>
            </w:pPr>
          </w:p>
        </w:tc>
        <w:tc>
          <w:tcPr>
            <w:tcW w:w="1458" w:type="dxa"/>
            <w:tcBorders>
              <w:top w:val="single" w:sz="4" w:space="0" w:color="auto"/>
              <w:left w:val="single" w:sz="4" w:space="0" w:color="auto"/>
              <w:bottom w:val="single" w:sz="4" w:space="0" w:color="auto"/>
              <w:right w:val="single" w:sz="4" w:space="0" w:color="auto"/>
            </w:tcBorders>
            <w:vAlign w:val="center"/>
          </w:tcPr>
          <w:p w:rsidR="00A03231" w:rsidRDefault="00A03231" w:rsidP="007616B0">
            <w:pPr>
              <w:spacing w:before="40" w:after="40"/>
              <w:ind w:right="644"/>
              <w:jc w:val="right"/>
              <w:rPr>
                <w:rFonts w:ascii="Helvetica" w:hAnsi="Helvetica" w:cs="Helvetica"/>
                <w:color w:val="000000"/>
                <w:sz w:val="18"/>
                <w:szCs w:val="18"/>
              </w:rPr>
            </w:pPr>
          </w:p>
        </w:tc>
        <w:tc>
          <w:tcPr>
            <w:tcW w:w="1483" w:type="dxa"/>
            <w:tcBorders>
              <w:top w:val="nil"/>
              <w:left w:val="nil"/>
              <w:bottom w:val="single" w:sz="4" w:space="0" w:color="auto"/>
              <w:right w:val="single" w:sz="4" w:space="0" w:color="auto"/>
            </w:tcBorders>
            <w:vAlign w:val="center"/>
          </w:tcPr>
          <w:p w:rsidR="00A03231" w:rsidRDefault="00A03231" w:rsidP="007616B0">
            <w:pPr>
              <w:spacing w:before="40" w:after="40"/>
              <w:ind w:right="675"/>
              <w:jc w:val="right"/>
              <w:rPr>
                <w:rFonts w:ascii="Helvetica" w:hAnsi="Helvetica" w:cs="Helvetica"/>
                <w:color w:val="000000"/>
                <w:sz w:val="18"/>
                <w:szCs w:val="18"/>
              </w:rPr>
            </w:pPr>
          </w:p>
        </w:tc>
      </w:tr>
      <w:tr w:rsidR="00A03231" w:rsidTr="007616B0">
        <w:trPr>
          <w:trHeight w:val="285"/>
        </w:trPr>
        <w:tc>
          <w:tcPr>
            <w:tcW w:w="2217" w:type="dxa"/>
            <w:tcBorders>
              <w:top w:val="nil"/>
              <w:left w:val="single" w:sz="4" w:space="0" w:color="auto"/>
              <w:bottom w:val="single" w:sz="4" w:space="0" w:color="auto"/>
              <w:right w:val="single" w:sz="4" w:space="0" w:color="auto"/>
            </w:tcBorders>
            <w:vAlign w:val="center"/>
          </w:tcPr>
          <w:p w:rsidR="00A03231" w:rsidRDefault="00A03231" w:rsidP="007616B0">
            <w:pPr>
              <w:spacing w:before="40" w:after="40"/>
              <w:ind w:left="140"/>
              <w:rPr>
                <w:rFonts w:ascii="Helvetica" w:hAnsi="Helvetica" w:cs="Helvetica"/>
                <w:color w:val="000000"/>
                <w:sz w:val="18"/>
                <w:szCs w:val="18"/>
              </w:rPr>
            </w:pPr>
            <w:r>
              <w:rPr>
                <w:rFonts w:ascii="Helvetica" w:hAnsi="Helvetica" w:cs="Helvetica"/>
                <w:color w:val="000000"/>
                <w:sz w:val="18"/>
                <w:szCs w:val="18"/>
              </w:rPr>
              <w:t>Corrections  (form 4117)</w:t>
            </w:r>
          </w:p>
        </w:tc>
        <w:tc>
          <w:tcPr>
            <w:tcW w:w="1179" w:type="dxa"/>
            <w:tcBorders>
              <w:top w:val="nil"/>
              <w:left w:val="nil"/>
              <w:bottom w:val="single" w:sz="4" w:space="0" w:color="auto"/>
              <w:right w:val="single" w:sz="4" w:space="0" w:color="auto"/>
            </w:tcBorders>
            <w:vAlign w:val="center"/>
          </w:tcPr>
          <w:p w:rsidR="00A03231" w:rsidRDefault="00A03231" w:rsidP="007616B0">
            <w:pPr>
              <w:spacing w:before="40" w:after="40"/>
              <w:ind w:right="368"/>
              <w:jc w:val="right"/>
              <w:rPr>
                <w:rFonts w:ascii="Helvetica" w:hAnsi="Helvetica" w:cs="Helvetica"/>
                <w:color w:val="000000"/>
                <w:sz w:val="18"/>
                <w:szCs w:val="18"/>
              </w:rPr>
            </w:pPr>
            <w:r>
              <w:rPr>
                <w:rFonts w:ascii="Helvetica" w:hAnsi="Helvetica" w:cs="Helvetica"/>
                <w:color w:val="000000"/>
                <w:sz w:val="18"/>
                <w:szCs w:val="18"/>
              </w:rPr>
              <w:t>366</w:t>
            </w:r>
          </w:p>
        </w:tc>
        <w:tc>
          <w:tcPr>
            <w:tcW w:w="1289" w:type="dxa"/>
            <w:tcBorders>
              <w:top w:val="nil"/>
              <w:left w:val="nil"/>
              <w:bottom w:val="single" w:sz="4" w:space="0" w:color="auto"/>
              <w:right w:val="single" w:sz="4" w:space="0" w:color="auto"/>
            </w:tcBorders>
            <w:vAlign w:val="center"/>
          </w:tcPr>
          <w:p w:rsidR="00A03231" w:rsidRDefault="00A03231" w:rsidP="007616B0">
            <w:pPr>
              <w:spacing w:before="40" w:after="40"/>
              <w:jc w:val="center"/>
              <w:rPr>
                <w:rFonts w:ascii="Helvetica" w:hAnsi="Helvetica" w:cs="Helvetica"/>
                <w:color w:val="000000"/>
                <w:sz w:val="18"/>
                <w:szCs w:val="18"/>
              </w:rPr>
            </w:pPr>
            <w:r>
              <w:rPr>
                <w:rFonts w:ascii="Helvetica" w:hAnsi="Helvetica" w:cs="Helvetica"/>
                <w:color w:val="000000"/>
                <w:sz w:val="18"/>
                <w:szCs w:val="18"/>
              </w:rPr>
              <w:t>1</w:t>
            </w:r>
          </w:p>
        </w:tc>
        <w:tc>
          <w:tcPr>
            <w:tcW w:w="1399" w:type="dxa"/>
            <w:tcBorders>
              <w:top w:val="single" w:sz="4" w:space="0" w:color="auto"/>
              <w:left w:val="nil"/>
              <w:bottom w:val="single" w:sz="4" w:space="0" w:color="auto"/>
              <w:right w:val="single" w:sz="4" w:space="0" w:color="auto"/>
            </w:tcBorders>
          </w:tcPr>
          <w:p w:rsidR="00A03231" w:rsidRDefault="00A03231" w:rsidP="007616B0">
            <w:pPr>
              <w:spacing w:before="40" w:after="40"/>
              <w:ind w:right="644"/>
              <w:jc w:val="right"/>
              <w:rPr>
                <w:rFonts w:ascii="Helvetica" w:hAnsi="Helvetica" w:cs="Helvetica"/>
                <w:color w:val="000000"/>
                <w:sz w:val="18"/>
                <w:szCs w:val="18"/>
              </w:rPr>
            </w:pPr>
            <w:r>
              <w:rPr>
                <w:rFonts w:ascii="Helvetica" w:hAnsi="Helvetica" w:cs="Helvetica"/>
                <w:color w:val="000000"/>
                <w:sz w:val="18"/>
                <w:szCs w:val="18"/>
              </w:rPr>
              <w:t>366</w:t>
            </w:r>
          </w:p>
        </w:tc>
        <w:tc>
          <w:tcPr>
            <w:tcW w:w="1458" w:type="dxa"/>
            <w:tcBorders>
              <w:top w:val="single" w:sz="4" w:space="0" w:color="auto"/>
              <w:left w:val="single" w:sz="4" w:space="0" w:color="auto"/>
              <w:bottom w:val="single" w:sz="4" w:space="0" w:color="auto"/>
              <w:right w:val="single" w:sz="4" w:space="0" w:color="auto"/>
            </w:tcBorders>
            <w:vAlign w:val="center"/>
          </w:tcPr>
          <w:p w:rsidR="00A03231" w:rsidRDefault="00A03231" w:rsidP="007616B0">
            <w:pPr>
              <w:spacing w:before="40" w:after="40"/>
              <w:ind w:right="644"/>
              <w:jc w:val="right"/>
              <w:rPr>
                <w:rFonts w:ascii="Helvetica" w:hAnsi="Helvetica" w:cs="Helvetica"/>
                <w:color w:val="000000"/>
                <w:sz w:val="18"/>
                <w:szCs w:val="18"/>
              </w:rPr>
            </w:pPr>
            <w:r>
              <w:rPr>
                <w:rFonts w:ascii="Helvetica" w:hAnsi="Helvetica" w:cs="Helvetica"/>
                <w:color w:val="000000"/>
                <w:sz w:val="18"/>
                <w:szCs w:val="18"/>
              </w:rPr>
              <w:t>0.5</w:t>
            </w:r>
          </w:p>
        </w:tc>
        <w:tc>
          <w:tcPr>
            <w:tcW w:w="1483" w:type="dxa"/>
            <w:tcBorders>
              <w:top w:val="nil"/>
              <w:left w:val="nil"/>
              <w:bottom w:val="single" w:sz="4" w:space="0" w:color="auto"/>
              <w:right w:val="single" w:sz="4" w:space="0" w:color="auto"/>
            </w:tcBorders>
            <w:vAlign w:val="center"/>
          </w:tcPr>
          <w:p w:rsidR="00A03231" w:rsidRDefault="00A03231" w:rsidP="007616B0">
            <w:pPr>
              <w:spacing w:before="40" w:after="40"/>
              <w:ind w:right="675"/>
              <w:jc w:val="right"/>
              <w:rPr>
                <w:rFonts w:ascii="Helvetica" w:hAnsi="Helvetica" w:cs="Helvetica"/>
                <w:color w:val="000000"/>
                <w:sz w:val="18"/>
                <w:szCs w:val="18"/>
              </w:rPr>
            </w:pPr>
            <w:r>
              <w:rPr>
                <w:rFonts w:ascii="Helvetica" w:hAnsi="Helvetica" w:cs="Helvetica"/>
                <w:color w:val="000000"/>
                <w:sz w:val="18"/>
                <w:szCs w:val="18"/>
              </w:rPr>
              <w:t>183</w:t>
            </w:r>
          </w:p>
        </w:tc>
      </w:tr>
      <w:tr w:rsidR="00A03231" w:rsidTr="007616B0">
        <w:trPr>
          <w:trHeight w:val="285"/>
        </w:trPr>
        <w:tc>
          <w:tcPr>
            <w:tcW w:w="2217" w:type="dxa"/>
            <w:tcBorders>
              <w:top w:val="nil"/>
              <w:left w:val="single" w:sz="4" w:space="0" w:color="auto"/>
              <w:bottom w:val="single" w:sz="4" w:space="0" w:color="auto"/>
              <w:right w:val="single" w:sz="4" w:space="0" w:color="auto"/>
            </w:tcBorders>
            <w:vAlign w:val="center"/>
          </w:tcPr>
          <w:p w:rsidR="00A03231" w:rsidRDefault="00A03231" w:rsidP="007616B0">
            <w:pPr>
              <w:spacing w:before="40" w:after="40"/>
              <w:ind w:left="140"/>
              <w:rPr>
                <w:rFonts w:ascii="Helvetica" w:hAnsi="Helvetica" w:cs="Helvetica"/>
                <w:color w:val="000000"/>
                <w:sz w:val="18"/>
                <w:szCs w:val="18"/>
              </w:rPr>
            </w:pPr>
            <w:r>
              <w:rPr>
                <w:rFonts w:ascii="Helvetica" w:hAnsi="Helvetica" w:cs="Helvetica"/>
                <w:color w:val="000000"/>
                <w:sz w:val="18"/>
                <w:szCs w:val="18"/>
              </w:rPr>
              <w:t>Challenges  (form 4119)</w:t>
            </w:r>
          </w:p>
        </w:tc>
        <w:tc>
          <w:tcPr>
            <w:tcW w:w="1179" w:type="dxa"/>
            <w:tcBorders>
              <w:top w:val="nil"/>
              <w:left w:val="nil"/>
              <w:bottom w:val="single" w:sz="4" w:space="0" w:color="auto"/>
              <w:right w:val="single" w:sz="4" w:space="0" w:color="auto"/>
            </w:tcBorders>
            <w:vAlign w:val="center"/>
          </w:tcPr>
          <w:p w:rsidR="00A03231" w:rsidRDefault="00A03231" w:rsidP="007616B0">
            <w:pPr>
              <w:spacing w:before="40" w:after="40"/>
              <w:ind w:right="368"/>
              <w:jc w:val="right"/>
              <w:rPr>
                <w:rFonts w:ascii="Helvetica" w:hAnsi="Helvetica" w:cs="Helvetica"/>
                <w:color w:val="000000"/>
                <w:sz w:val="18"/>
                <w:szCs w:val="18"/>
              </w:rPr>
            </w:pPr>
            <w:r>
              <w:rPr>
                <w:rFonts w:ascii="Helvetica" w:hAnsi="Helvetica" w:cs="Helvetica"/>
                <w:color w:val="000000"/>
                <w:sz w:val="18"/>
                <w:szCs w:val="18"/>
              </w:rPr>
              <w:t>15</w:t>
            </w:r>
          </w:p>
        </w:tc>
        <w:tc>
          <w:tcPr>
            <w:tcW w:w="1289" w:type="dxa"/>
            <w:tcBorders>
              <w:top w:val="nil"/>
              <w:left w:val="nil"/>
              <w:bottom w:val="single" w:sz="4" w:space="0" w:color="auto"/>
              <w:right w:val="single" w:sz="4" w:space="0" w:color="auto"/>
            </w:tcBorders>
            <w:vAlign w:val="center"/>
          </w:tcPr>
          <w:p w:rsidR="00A03231" w:rsidRDefault="00A03231" w:rsidP="007616B0">
            <w:pPr>
              <w:spacing w:before="40" w:after="40"/>
              <w:jc w:val="center"/>
              <w:rPr>
                <w:rFonts w:ascii="Helvetica" w:hAnsi="Helvetica" w:cs="Helvetica"/>
                <w:color w:val="000000"/>
                <w:sz w:val="18"/>
                <w:szCs w:val="18"/>
              </w:rPr>
            </w:pPr>
            <w:r>
              <w:rPr>
                <w:rFonts w:ascii="Helvetica" w:hAnsi="Helvetica" w:cs="Helvetica"/>
                <w:color w:val="000000"/>
                <w:sz w:val="18"/>
                <w:szCs w:val="18"/>
              </w:rPr>
              <w:t>1</w:t>
            </w:r>
          </w:p>
        </w:tc>
        <w:tc>
          <w:tcPr>
            <w:tcW w:w="1399" w:type="dxa"/>
            <w:tcBorders>
              <w:top w:val="single" w:sz="4" w:space="0" w:color="auto"/>
              <w:left w:val="nil"/>
              <w:bottom w:val="single" w:sz="4" w:space="0" w:color="auto"/>
              <w:right w:val="single" w:sz="4" w:space="0" w:color="auto"/>
            </w:tcBorders>
          </w:tcPr>
          <w:p w:rsidR="00A03231" w:rsidRDefault="00A03231" w:rsidP="007616B0">
            <w:pPr>
              <w:spacing w:before="40" w:after="40"/>
              <w:ind w:right="644"/>
              <w:jc w:val="right"/>
              <w:rPr>
                <w:rFonts w:ascii="Helvetica" w:hAnsi="Helvetica" w:cs="Helvetica"/>
                <w:color w:val="000000"/>
                <w:sz w:val="18"/>
                <w:szCs w:val="18"/>
              </w:rPr>
            </w:pPr>
            <w:r>
              <w:rPr>
                <w:rFonts w:ascii="Helvetica" w:hAnsi="Helvetica" w:cs="Helvetica"/>
                <w:color w:val="000000"/>
                <w:sz w:val="18"/>
                <w:szCs w:val="18"/>
              </w:rPr>
              <w:t>15</w:t>
            </w:r>
          </w:p>
        </w:tc>
        <w:tc>
          <w:tcPr>
            <w:tcW w:w="1458" w:type="dxa"/>
            <w:tcBorders>
              <w:top w:val="single" w:sz="4" w:space="0" w:color="auto"/>
              <w:left w:val="single" w:sz="4" w:space="0" w:color="auto"/>
              <w:bottom w:val="single" w:sz="4" w:space="0" w:color="auto"/>
              <w:right w:val="single" w:sz="4" w:space="0" w:color="auto"/>
            </w:tcBorders>
            <w:vAlign w:val="center"/>
          </w:tcPr>
          <w:p w:rsidR="00A03231" w:rsidRDefault="00A03231" w:rsidP="007616B0">
            <w:pPr>
              <w:spacing w:before="40" w:after="40"/>
              <w:ind w:right="644"/>
              <w:jc w:val="right"/>
              <w:rPr>
                <w:rFonts w:ascii="Helvetica" w:hAnsi="Helvetica" w:cs="Helvetica"/>
                <w:color w:val="000000"/>
                <w:sz w:val="18"/>
                <w:szCs w:val="18"/>
              </w:rPr>
            </w:pPr>
            <w:r>
              <w:rPr>
                <w:rFonts w:ascii="Helvetica" w:hAnsi="Helvetica" w:cs="Helvetica"/>
                <w:color w:val="000000"/>
                <w:sz w:val="18"/>
                <w:szCs w:val="18"/>
              </w:rPr>
              <w:t>150</w:t>
            </w:r>
          </w:p>
        </w:tc>
        <w:tc>
          <w:tcPr>
            <w:tcW w:w="1483" w:type="dxa"/>
            <w:tcBorders>
              <w:top w:val="nil"/>
              <w:left w:val="nil"/>
              <w:bottom w:val="single" w:sz="4" w:space="0" w:color="auto"/>
              <w:right w:val="single" w:sz="4" w:space="0" w:color="auto"/>
            </w:tcBorders>
            <w:vAlign w:val="center"/>
          </w:tcPr>
          <w:p w:rsidR="00A03231" w:rsidRDefault="00A03231" w:rsidP="007616B0">
            <w:pPr>
              <w:spacing w:before="40" w:after="40"/>
              <w:ind w:right="675"/>
              <w:jc w:val="right"/>
              <w:rPr>
                <w:rFonts w:ascii="Helvetica" w:hAnsi="Helvetica" w:cs="Helvetica"/>
                <w:color w:val="000000"/>
                <w:sz w:val="18"/>
                <w:szCs w:val="18"/>
              </w:rPr>
            </w:pPr>
            <w:r>
              <w:rPr>
                <w:rFonts w:ascii="Helvetica" w:hAnsi="Helvetica" w:cs="Helvetica"/>
                <w:color w:val="000000"/>
                <w:sz w:val="18"/>
                <w:szCs w:val="18"/>
              </w:rPr>
              <w:t>2,250</w:t>
            </w:r>
          </w:p>
        </w:tc>
      </w:tr>
      <w:tr w:rsidR="00A03231" w:rsidTr="007616B0">
        <w:trPr>
          <w:trHeight w:val="255"/>
        </w:trPr>
        <w:tc>
          <w:tcPr>
            <w:tcW w:w="2217" w:type="dxa"/>
            <w:tcBorders>
              <w:top w:val="nil"/>
              <w:left w:val="single" w:sz="4" w:space="0" w:color="auto"/>
              <w:bottom w:val="single" w:sz="4" w:space="0" w:color="auto"/>
              <w:right w:val="single" w:sz="4" w:space="0" w:color="auto"/>
            </w:tcBorders>
            <w:vAlign w:val="center"/>
          </w:tcPr>
          <w:p w:rsidR="00A03231" w:rsidRPr="00912402" w:rsidRDefault="00A03231" w:rsidP="007616B0">
            <w:pPr>
              <w:spacing w:before="40" w:after="40"/>
              <w:rPr>
                <w:rFonts w:ascii="Helvetica" w:hAnsi="Helvetica" w:cs="Helvetica"/>
                <w:b/>
                <w:bCs/>
                <w:color w:val="000000"/>
                <w:sz w:val="18"/>
                <w:szCs w:val="18"/>
              </w:rPr>
            </w:pPr>
            <w:r w:rsidRPr="00912402">
              <w:rPr>
                <w:rFonts w:ascii="Helvetica" w:hAnsi="Helvetica" w:cs="Helvetica"/>
                <w:b/>
                <w:bCs/>
                <w:color w:val="000000"/>
                <w:sz w:val="18"/>
                <w:szCs w:val="18"/>
              </w:rPr>
              <w:t>Total</w:t>
            </w:r>
          </w:p>
        </w:tc>
        <w:tc>
          <w:tcPr>
            <w:tcW w:w="1179" w:type="dxa"/>
            <w:tcBorders>
              <w:top w:val="nil"/>
              <w:left w:val="nil"/>
              <w:bottom w:val="single" w:sz="4" w:space="0" w:color="auto"/>
              <w:right w:val="single" w:sz="4" w:space="0" w:color="auto"/>
            </w:tcBorders>
            <w:vAlign w:val="center"/>
          </w:tcPr>
          <w:p w:rsidR="00A03231" w:rsidRPr="00912402" w:rsidRDefault="00A03231" w:rsidP="007616B0">
            <w:pPr>
              <w:spacing w:before="40" w:after="40"/>
              <w:ind w:right="368"/>
              <w:jc w:val="right"/>
              <w:rPr>
                <w:rFonts w:ascii="Helvetica" w:hAnsi="Helvetica" w:cs="Helvetica"/>
                <w:b/>
                <w:bCs/>
                <w:color w:val="000000"/>
                <w:sz w:val="18"/>
                <w:szCs w:val="18"/>
              </w:rPr>
            </w:pPr>
            <w:r>
              <w:rPr>
                <w:rFonts w:ascii="Helvetica" w:hAnsi="Helvetica" w:cs="Helvetica"/>
                <w:b/>
                <w:bCs/>
                <w:color w:val="000000"/>
                <w:sz w:val="18"/>
                <w:szCs w:val="18"/>
              </w:rPr>
              <w:t>366</w:t>
            </w:r>
          </w:p>
        </w:tc>
        <w:tc>
          <w:tcPr>
            <w:tcW w:w="1289" w:type="dxa"/>
            <w:tcBorders>
              <w:top w:val="nil"/>
              <w:left w:val="nil"/>
              <w:bottom w:val="single" w:sz="4" w:space="0" w:color="auto"/>
              <w:right w:val="single" w:sz="4" w:space="0" w:color="auto"/>
            </w:tcBorders>
            <w:vAlign w:val="center"/>
          </w:tcPr>
          <w:p w:rsidR="00A03231" w:rsidRPr="00912402" w:rsidRDefault="00A03231" w:rsidP="007616B0">
            <w:pPr>
              <w:spacing w:before="40" w:after="40"/>
              <w:jc w:val="center"/>
            </w:pPr>
            <w:r w:rsidRPr="00912402">
              <w:t> </w:t>
            </w:r>
          </w:p>
        </w:tc>
        <w:tc>
          <w:tcPr>
            <w:tcW w:w="1399" w:type="dxa"/>
            <w:tcBorders>
              <w:top w:val="single" w:sz="4" w:space="0" w:color="auto"/>
              <w:left w:val="nil"/>
              <w:bottom w:val="single" w:sz="4" w:space="0" w:color="auto"/>
              <w:right w:val="single" w:sz="4" w:space="0" w:color="auto"/>
            </w:tcBorders>
          </w:tcPr>
          <w:p w:rsidR="00A03231" w:rsidRPr="00912402" w:rsidRDefault="00A03231" w:rsidP="007616B0">
            <w:pPr>
              <w:spacing w:before="40" w:after="40"/>
              <w:ind w:right="644"/>
              <w:jc w:val="right"/>
            </w:pPr>
            <w:r>
              <w:t>1,113</w:t>
            </w:r>
          </w:p>
        </w:tc>
        <w:tc>
          <w:tcPr>
            <w:tcW w:w="1458" w:type="dxa"/>
            <w:tcBorders>
              <w:top w:val="single" w:sz="4" w:space="0" w:color="auto"/>
              <w:left w:val="single" w:sz="4" w:space="0" w:color="auto"/>
              <w:bottom w:val="single" w:sz="4" w:space="0" w:color="auto"/>
              <w:right w:val="single" w:sz="4" w:space="0" w:color="auto"/>
            </w:tcBorders>
            <w:vAlign w:val="center"/>
          </w:tcPr>
          <w:p w:rsidR="00A03231" w:rsidRPr="00912402" w:rsidRDefault="00A03231" w:rsidP="007616B0">
            <w:pPr>
              <w:spacing w:before="40" w:after="40"/>
              <w:ind w:right="644"/>
              <w:jc w:val="right"/>
            </w:pPr>
            <w:r w:rsidRPr="00912402">
              <w:t> </w:t>
            </w:r>
          </w:p>
        </w:tc>
        <w:tc>
          <w:tcPr>
            <w:tcW w:w="1483" w:type="dxa"/>
            <w:tcBorders>
              <w:top w:val="nil"/>
              <w:left w:val="nil"/>
              <w:bottom w:val="single" w:sz="4" w:space="0" w:color="auto"/>
              <w:right w:val="single" w:sz="4" w:space="0" w:color="auto"/>
            </w:tcBorders>
            <w:vAlign w:val="center"/>
          </w:tcPr>
          <w:p w:rsidR="00A03231" w:rsidRDefault="00A03231" w:rsidP="007616B0">
            <w:pPr>
              <w:spacing w:before="40" w:after="40"/>
              <w:ind w:right="675"/>
              <w:jc w:val="right"/>
              <w:rPr>
                <w:rFonts w:ascii="Helvetica" w:hAnsi="Helvetica" w:cs="Helvetica"/>
                <w:b/>
                <w:bCs/>
                <w:color w:val="000000"/>
                <w:sz w:val="18"/>
                <w:szCs w:val="18"/>
              </w:rPr>
            </w:pPr>
            <w:r>
              <w:rPr>
                <w:rFonts w:ascii="Helvetica" w:hAnsi="Helvetica" w:cs="Helvetica"/>
                <w:b/>
                <w:bCs/>
                <w:color w:val="000000"/>
                <w:sz w:val="18"/>
                <w:szCs w:val="18"/>
              </w:rPr>
              <w:t>52,941</w:t>
            </w:r>
          </w:p>
        </w:tc>
      </w:tr>
    </w:tbl>
    <w:p w:rsidR="00A03231" w:rsidRPr="00455878" w:rsidRDefault="00A03231" w:rsidP="00A03231">
      <w:pPr>
        <w:ind w:left="360"/>
        <w:rPr>
          <w:color w:val="000000"/>
          <w:sz w:val="18"/>
          <w:szCs w:val="18"/>
        </w:rPr>
      </w:pPr>
      <w:r w:rsidRPr="00455878">
        <w:rPr>
          <w:color w:val="000000"/>
          <w:sz w:val="18"/>
          <w:szCs w:val="18"/>
        </w:rPr>
        <w:t xml:space="preserve">*Burden housing included in SF-425 Paperwork Reduction Act submission. </w:t>
      </w:r>
    </w:p>
    <w:p w:rsidR="00A03231" w:rsidRDefault="00A03231" w:rsidP="00A03231">
      <w:pPr>
        <w:tabs>
          <w:tab w:val="left" w:pos="480"/>
        </w:tabs>
        <w:rPr>
          <w:color w:val="000000"/>
          <w:sz w:val="22"/>
        </w:rPr>
      </w:pPr>
    </w:p>
    <w:p w:rsidR="00A03231" w:rsidRDefault="00A03231" w:rsidP="00A03231">
      <w:pPr>
        <w:tabs>
          <w:tab w:val="left" w:pos="360"/>
        </w:tabs>
        <w:ind w:left="360" w:hanging="360"/>
        <w:rPr>
          <w:sz w:val="18"/>
        </w:rPr>
      </w:pPr>
      <w:r>
        <w:rPr>
          <w:sz w:val="18"/>
        </w:rPr>
        <w:t>13.</w:t>
      </w:r>
      <w:r>
        <w:rPr>
          <w:sz w:val="18"/>
        </w:rPr>
        <w:tab/>
        <w:t xml:space="preserve">Provide an estimate of the total annual cost burden to respondents or recordkeepers resulting from the collection of information (do not include the cost of any hour burden shown in Items 12 and 14). </w:t>
      </w:r>
    </w:p>
    <w:p w:rsidR="00A03231" w:rsidRDefault="00A03231" w:rsidP="00A03231">
      <w:pPr>
        <w:numPr>
          <w:ilvl w:val="0"/>
          <w:numId w:val="6"/>
        </w:numPr>
        <w:tabs>
          <w:tab w:val="left" w:pos="360"/>
        </w:tabs>
        <w:ind w:left="504" w:hanging="144"/>
        <w:rPr>
          <w:sz w:val="18"/>
        </w:rPr>
      </w:pPr>
      <w:r>
        <w:rPr>
          <w:sz w:val="18"/>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A03231" w:rsidRDefault="00A03231" w:rsidP="00A03231">
      <w:pPr>
        <w:numPr>
          <w:ilvl w:val="0"/>
          <w:numId w:val="6"/>
        </w:numPr>
        <w:tabs>
          <w:tab w:val="left" w:pos="360"/>
        </w:tabs>
        <w:ind w:left="480" w:hanging="144"/>
        <w:rPr>
          <w:sz w:val="18"/>
        </w:rPr>
      </w:pPr>
      <w:r>
        <w:rPr>
          <w:sz w:val="18"/>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A03231" w:rsidRDefault="00A03231" w:rsidP="00A03231">
      <w:pPr>
        <w:numPr>
          <w:ilvl w:val="0"/>
          <w:numId w:val="6"/>
        </w:numPr>
        <w:tabs>
          <w:tab w:val="left" w:pos="360"/>
        </w:tabs>
        <w:ind w:left="480" w:hanging="144"/>
        <w:rPr>
          <w:sz w:val="18"/>
        </w:rPr>
      </w:pPr>
      <w:r>
        <w:rPr>
          <w:sz w:val="18"/>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03231" w:rsidRDefault="00A03231" w:rsidP="00A03231">
      <w:pPr>
        <w:tabs>
          <w:tab w:val="left" w:pos="360"/>
        </w:tabs>
        <w:ind w:left="336"/>
        <w:rPr>
          <w:sz w:val="18"/>
        </w:rPr>
      </w:pPr>
    </w:p>
    <w:p w:rsidR="00A03231" w:rsidRDefault="00A03231" w:rsidP="00A03231">
      <w:pPr>
        <w:tabs>
          <w:tab w:val="left" w:pos="360"/>
          <w:tab w:val="left" w:pos="720"/>
        </w:tabs>
        <w:ind w:left="360"/>
        <w:rPr>
          <w:rFonts w:eastAsia="Calibri"/>
          <w:color w:val="000000"/>
          <w:sz w:val="22"/>
          <w:szCs w:val="22"/>
        </w:rPr>
      </w:pPr>
      <w:r w:rsidRPr="00ED11DD">
        <w:rPr>
          <w:rFonts w:eastAsia="Calibri"/>
          <w:color w:val="000000"/>
          <w:sz w:val="22"/>
          <w:szCs w:val="22"/>
        </w:rPr>
        <w:t xml:space="preserve">The table below shows the estimated cost burden to respondents and is based on an average annual salary of $37,000.  </w:t>
      </w:r>
    </w:p>
    <w:p w:rsidR="00A03231" w:rsidRDefault="00A03231" w:rsidP="00A03231">
      <w:pPr>
        <w:tabs>
          <w:tab w:val="left" w:pos="360"/>
          <w:tab w:val="left" w:pos="720"/>
        </w:tabs>
        <w:ind w:left="360"/>
        <w:rPr>
          <w:rFonts w:eastAsia="Calibri"/>
          <w:color w:val="000000"/>
          <w:sz w:val="22"/>
          <w:szCs w:val="22"/>
        </w:rPr>
      </w:pPr>
    </w:p>
    <w:p w:rsidR="00A03231" w:rsidRDefault="00A03231" w:rsidP="00A03231">
      <w:pPr>
        <w:tabs>
          <w:tab w:val="left" w:pos="360"/>
          <w:tab w:val="left" w:pos="720"/>
        </w:tabs>
        <w:ind w:left="360"/>
        <w:rPr>
          <w:rFonts w:eastAsia="Calibri"/>
          <w:color w:val="000000"/>
          <w:sz w:val="22"/>
          <w:szCs w:val="22"/>
        </w:rPr>
      </w:pPr>
    </w:p>
    <w:p w:rsidR="00A03231" w:rsidRDefault="00A03231" w:rsidP="00A03231">
      <w:pPr>
        <w:tabs>
          <w:tab w:val="left" w:pos="360"/>
          <w:tab w:val="left" w:pos="720"/>
        </w:tabs>
        <w:ind w:left="360"/>
        <w:rPr>
          <w:rFonts w:eastAsia="Calibri"/>
          <w:color w:val="000000"/>
          <w:sz w:val="22"/>
          <w:szCs w:val="22"/>
        </w:rPr>
      </w:pPr>
    </w:p>
    <w:p w:rsidR="00A03231" w:rsidRDefault="00A03231" w:rsidP="00A03231">
      <w:pPr>
        <w:tabs>
          <w:tab w:val="left" w:pos="360"/>
          <w:tab w:val="left" w:pos="720"/>
        </w:tabs>
        <w:ind w:left="360"/>
        <w:rPr>
          <w:rFonts w:eastAsia="Calibri"/>
          <w:color w:val="000000"/>
          <w:sz w:val="22"/>
          <w:szCs w:val="22"/>
        </w:rPr>
      </w:pPr>
    </w:p>
    <w:p w:rsidR="00A03231" w:rsidRDefault="00A03231" w:rsidP="00A03231">
      <w:pPr>
        <w:tabs>
          <w:tab w:val="left" w:pos="360"/>
          <w:tab w:val="left" w:pos="720"/>
        </w:tabs>
        <w:ind w:left="360"/>
        <w:rPr>
          <w:rFonts w:eastAsia="Calibri"/>
          <w:color w:val="000000"/>
          <w:sz w:val="22"/>
          <w:szCs w:val="22"/>
        </w:rPr>
      </w:pPr>
    </w:p>
    <w:p w:rsidR="00A03231" w:rsidRPr="00ED11DD" w:rsidRDefault="00A03231" w:rsidP="00A03231">
      <w:pPr>
        <w:tabs>
          <w:tab w:val="left" w:pos="360"/>
          <w:tab w:val="left" w:pos="720"/>
        </w:tabs>
        <w:ind w:left="360"/>
        <w:rPr>
          <w:rFonts w:eastAsia="Calibri"/>
          <w:color w:val="000000"/>
          <w:sz w:val="22"/>
          <w:szCs w:val="22"/>
        </w:rPr>
      </w:pPr>
    </w:p>
    <w:p w:rsidR="00A03231" w:rsidRPr="00ED11DD" w:rsidRDefault="00A03231" w:rsidP="00A03231">
      <w:pPr>
        <w:tabs>
          <w:tab w:val="left" w:pos="360"/>
          <w:tab w:val="left" w:pos="720"/>
        </w:tabs>
        <w:ind w:left="360"/>
        <w:rPr>
          <w:rFonts w:ascii="Arial" w:hAnsi="Arial"/>
          <w:sz w:val="22"/>
          <w:szCs w:val="22"/>
        </w:rPr>
      </w:pPr>
    </w:p>
    <w:tbl>
      <w:tblPr>
        <w:tblW w:w="9336"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00"/>
        <w:gridCol w:w="1596"/>
        <w:gridCol w:w="1890"/>
        <w:gridCol w:w="2250"/>
      </w:tblGrid>
      <w:tr w:rsidR="00A03231" w:rsidRPr="00ED11DD" w:rsidTr="007616B0">
        <w:tc>
          <w:tcPr>
            <w:tcW w:w="3600" w:type="dxa"/>
            <w:vAlign w:val="center"/>
          </w:tcPr>
          <w:p w:rsidR="00A03231" w:rsidRPr="00ED11DD" w:rsidRDefault="00A03231" w:rsidP="007616B0">
            <w:pPr>
              <w:spacing w:before="40" w:after="40"/>
              <w:jc w:val="center"/>
              <w:rPr>
                <w:rFonts w:eastAsia="Calibri"/>
                <w:i/>
                <w:color w:val="000000"/>
                <w:sz w:val="22"/>
                <w:szCs w:val="22"/>
              </w:rPr>
            </w:pPr>
            <w:r w:rsidRPr="00ED11DD">
              <w:rPr>
                <w:rFonts w:eastAsia="Calibri"/>
                <w:i/>
                <w:color w:val="000000"/>
                <w:sz w:val="22"/>
                <w:szCs w:val="22"/>
              </w:rPr>
              <w:t>Type of Submission</w:t>
            </w:r>
          </w:p>
        </w:tc>
        <w:tc>
          <w:tcPr>
            <w:tcW w:w="1596" w:type="dxa"/>
          </w:tcPr>
          <w:p w:rsidR="00A03231" w:rsidRPr="00ED11DD" w:rsidRDefault="00A03231" w:rsidP="007616B0">
            <w:pPr>
              <w:tabs>
                <w:tab w:val="left" w:pos="360"/>
                <w:tab w:val="left" w:pos="720"/>
              </w:tabs>
              <w:jc w:val="center"/>
              <w:rPr>
                <w:i/>
                <w:sz w:val="22"/>
                <w:szCs w:val="22"/>
              </w:rPr>
            </w:pPr>
            <w:r w:rsidRPr="00ED11DD">
              <w:rPr>
                <w:i/>
                <w:sz w:val="22"/>
                <w:szCs w:val="22"/>
              </w:rPr>
              <w:t>Number of Hours</w:t>
            </w:r>
          </w:p>
        </w:tc>
        <w:tc>
          <w:tcPr>
            <w:tcW w:w="1890" w:type="dxa"/>
          </w:tcPr>
          <w:p w:rsidR="00A03231" w:rsidRPr="00ED11DD" w:rsidRDefault="00A03231" w:rsidP="007616B0">
            <w:pPr>
              <w:tabs>
                <w:tab w:val="left" w:pos="360"/>
                <w:tab w:val="left" w:pos="720"/>
              </w:tabs>
              <w:jc w:val="center"/>
              <w:rPr>
                <w:i/>
                <w:sz w:val="22"/>
                <w:szCs w:val="22"/>
              </w:rPr>
            </w:pPr>
            <w:r w:rsidRPr="00ED11DD">
              <w:rPr>
                <w:i/>
                <w:sz w:val="22"/>
                <w:szCs w:val="22"/>
              </w:rPr>
              <w:t>Cost per Hour</w:t>
            </w:r>
          </w:p>
        </w:tc>
        <w:tc>
          <w:tcPr>
            <w:tcW w:w="2250" w:type="dxa"/>
          </w:tcPr>
          <w:p w:rsidR="00A03231" w:rsidRPr="00ED11DD" w:rsidRDefault="00A03231" w:rsidP="007616B0">
            <w:pPr>
              <w:tabs>
                <w:tab w:val="left" w:pos="360"/>
                <w:tab w:val="left" w:pos="720"/>
              </w:tabs>
              <w:jc w:val="center"/>
              <w:rPr>
                <w:i/>
                <w:sz w:val="22"/>
                <w:szCs w:val="22"/>
              </w:rPr>
            </w:pPr>
            <w:r w:rsidRPr="00ED11DD">
              <w:rPr>
                <w:i/>
                <w:sz w:val="22"/>
                <w:szCs w:val="22"/>
              </w:rPr>
              <w:t>Total Cost</w:t>
            </w:r>
          </w:p>
        </w:tc>
      </w:tr>
      <w:tr w:rsidR="00A03231" w:rsidRPr="00ED11DD" w:rsidTr="007616B0">
        <w:tc>
          <w:tcPr>
            <w:tcW w:w="3600" w:type="dxa"/>
            <w:vAlign w:val="center"/>
          </w:tcPr>
          <w:p w:rsidR="00A03231" w:rsidRPr="00ED11DD" w:rsidRDefault="00A03231" w:rsidP="007616B0">
            <w:pPr>
              <w:spacing w:before="40" w:after="40"/>
              <w:rPr>
                <w:rFonts w:eastAsia="Calibri"/>
                <w:color w:val="000000"/>
                <w:sz w:val="22"/>
                <w:szCs w:val="22"/>
              </w:rPr>
            </w:pPr>
            <w:r w:rsidRPr="00ED11DD">
              <w:rPr>
                <w:color w:val="000000"/>
                <w:sz w:val="22"/>
                <w:szCs w:val="22"/>
              </w:rPr>
              <w:t>IHP  (HUD-</w:t>
            </w:r>
            <w:r w:rsidRPr="00ED11DD">
              <w:rPr>
                <w:rFonts w:eastAsia="Calibri"/>
                <w:color w:val="000000"/>
                <w:sz w:val="22"/>
                <w:szCs w:val="22"/>
              </w:rPr>
              <w:t>52735)</w:t>
            </w:r>
          </w:p>
        </w:tc>
        <w:tc>
          <w:tcPr>
            <w:tcW w:w="1596" w:type="dxa"/>
            <w:vAlign w:val="center"/>
          </w:tcPr>
          <w:p w:rsidR="00A03231" w:rsidRPr="00ED11DD" w:rsidRDefault="00A03231" w:rsidP="007616B0">
            <w:pPr>
              <w:spacing w:before="40" w:after="40"/>
              <w:ind w:right="72"/>
              <w:jc w:val="right"/>
              <w:rPr>
                <w:rFonts w:eastAsia="Calibri"/>
                <w:color w:val="000000"/>
                <w:sz w:val="22"/>
                <w:szCs w:val="22"/>
              </w:rPr>
            </w:pPr>
            <w:r>
              <w:rPr>
                <w:color w:val="000000"/>
                <w:sz w:val="22"/>
                <w:szCs w:val="22"/>
              </w:rPr>
              <w:t>32,574</w:t>
            </w:r>
          </w:p>
        </w:tc>
        <w:tc>
          <w:tcPr>
            <w:tcW w:w="1890" w:type="dxa"/>
          </w:tcPr>
          <w:p w:rsidR="00A03231" w:rsidRPr="00ED11DD" w:rsidRDefault="00A03231" w:rsidP="007616B0">
            <w:pPr>
              <w:ind w:right="72"/>
              <w:jc w:val="right"/>
              <w:rPr>
                <w:sz w:val="22"/>
                <w:szCs w:val="22"/>
              </w:rPr>
            </w:pPr>
            <w:r w:rsidRPr="00ED11DD">
              <w:rPr>
                <w:sz w:val="22"/>
                <w:szCs w:val="22"/>
              </w:rPr>
              <w:t>$18</w:t>
            </w:r>
          </w:p>
        </w:tc>
        <w:tc>
          <w:tcPr>
            <w:tcW w:w="2250" w:type="dxa"/>
          </w:tcPr>
          <w:p w:rsidR="00A03231" w:rsidRPr="00ED11DD" w:rsidRDefault="00A03231" w:rsidP="007616B0">
            <w:pPr>
              <w:tabs>
                <w:tab w:val="left" w:pos="360"/>
                <w:tab w:val="left" w:pos="720"/>
              </w:tabs>
              <w:ind w:right="72"/>
              <w:jc w:val="right"/>
              <w:rPr>
                <w:sz w:val="22"/>
                <w:szCs w:val="22"/>
              </w:rPr>
            </w:pPr>
            <w:r>
              <w:rPr>
                <w:sz w:val="22"/>
                <w:szCs w:val="22"/>
              </w:rPr>
              <w:t>$586,332</w:t>
            </w:r>
          </w:p>
        </w:tc>
      </w:tr>
      <w:tr w:rsidR="00A03231" w:rsidRPr="00ED11DD" w:rsidTr="007616B0">
        <w:tc>
          <w:tcPr>
            <w:tcW w:w="3600" w:type="dxa"/>
            <w:vAlign w:val="center"/>
          </w:tcPr>
          <w:p w:rsidR="00A03231" w:rsidRPr="00ED11DD" w:rsidRDefault="00A03231" w:rsidP="007616B0">
            <w:pPr>
              <w:spacing w:before="40" w:after="40"/>
              <w:rPr>
                <w:rFonts w:eastAsia="Calibri"/>
                <w:color w:val="000000"/>
                <w:sz w:val="22"/>
                <w:szCs w:val="22"/>
              </w:rPr>
            </w:pPr>
            <w:r w:rsidRPr="00ED11DD">
              <w:rPr>
                <w:color w:val="000000"/>
                <w:sz w:val="22"/>
                <w:szCs w:val="22"/>
              </w:rPr>
              <w:t>APR  (HUD-</w:t>
            </w:r>
            <w:r w:rsidRPr="00ED11DD">
              <w:rPr>
                <w:rFonts w:eastAsia="Calibri"/>
                <w:color w:val="000000"/>
                <w:sz w:val="22"/>
                <w:szCs w:val="22"/>
              </w:rPr>
              <w:t>52735-AS)</w:t>
            </w:r>
          </w:p>
        </w:tc>
        <w:tc>
          <w:tcPr>
            <w:tcW w:w="1596" w:type="dxa"/>
            <w:vAlign w:val="center"/>
          </w:tcPr>
          <w:p w:rsidR="00A03231" w:rsidRPr="00ED11DD" w:rsidRDefault="00A03231" w:rsidP="007616B0">
            <w:pPr>
              <w:spacing w:before="40" w:after="40"/>
              <w:ind w:right="72"/>
              <w:jc w:val="right"/>
              <w:rPr>
                <w:rFonts w:eastAsia="Calibri"/>
                <w:color w:val="000000"/>
                <w:sz w:val="22"/>
                <w:szCs w:val="22"/>
              </w:rPr>
            </w:pPr>
            <w:r>
              <w:rPr>
                <w:color w:val="000000"/>
                <w:sz w:val="22"/>
                <w:szCs w:val="22"/>
              </w:rPr>
              <w:t>17,934</w:t>
            </w:r>
          </w:p>
        </w:tc>
        <w:tc>
          <w:tcPr>
            <w:tcW w:w="1890" w:type="dxa"/>
          </w:tcPr>
          <w:p w:rsidR="00A03231" w:rsidRPr="00ED11DD" w:rsidRDefault="00A03231" w:rsidP="007616B0">
            <w:pPr>
              <w:tabs>
                <w:tab w:val="left" w:pos="360"/>
                <w:tab w:val="left" w:pos="720"/>
              </w:tabs>
              <w:ind w:right="72"/>
              <w:jc w:val="right"/>
              <w:rPr>
                <w:rFonts w:ascii="Arial" w:hAnsi="Arial"/>
                <w:sz w:val="22"/>
                <w:szCs w:val="22"/>
              </w:rPr>
            </w:pPr>
            <w:r w:rsidRPr="00ED11DD">
              <w:rPr>
                <w:sz w:val="22"/>
                <w:szCs w:val="22"/>
              </w:rPr>
              <w:t>$18</w:t>
            </w:r>
          </w:p>
        </w:tc>
        <w:tc>
          <w:tcPr>
            <w:tcW w:w="2250" w:type="dxa"/>
          </w:tcPr>
          <w:p w:rsidR="00A03231" w:rsidRPr="00ED11DD" w:rsidRDefault="00A03231" w:rsidP="007616B0">
            <w:pPr>
              <w:tabs>
                <w:tab w:val="left" w:pos="360"/>
                <w:tab w:val="left" w:pos="720"/>
              </w:tabs>
              <w:ind w:right="72"/>
              <w:jc w:val="right"/>
              <w:rPr>
                <w:sz w:val="22"/>
                <w:szCs w:val="22"/>
              </w:rPr>
            </w:pPr>
            <w:r>
              <w:rPr>
                <w:sz w:val="22"/>
                <w:szCs w:val="22"/>
              </w:rPr>
              <w:t>$322,812</w:t>
            </w:r>
          </w:p>
        </w:tc>
      </w:tr>
      <w:tr w:rsidR="00A03231" w:rsidRPr="00ED11DD" w:rsidTr="007616B0">
        <w:tc>
          <w:tcPr>
            <w:tcW w:w="3600" w:type="dxa"/>
            <w:vAlign w:val="center"/>
          </w:tcPr>
          <w:p w:rsidR="00A03231" w:rsidRDefault="00A03231" w:rsidP="007616B0">
            <w:pPr>
              <w:spacing w:before="40" w:after="40"/>
              <w:rPr>
                <w:color w:val="000000"/>
                <w:sz w:val="22"/>
                <w:szCs w:val="22"/>
              </w:rPr>
            </w:pPr>
            <w:r w:rsidRPr="006E41D7">
              <w:rPr>
                <w:rFonts w:ascii="Helvetica" w:hAnsi="Helvetica" w:cs="Helvetica"/>
                <w:b/>
                <w:color w:val="000000"/>
                <w:sz w:val="18"/>
                <w:szCs w:val="18"/>
              </w:rPr>
              <w:t xml:space="preserve">(Combined </w:t>
            </w:r>
            <w:r>
              <w:rPr>
                <w:rFonts w:ascii="Helvetica" w:hAnsi="Helvetica" w:cs="Helvetica"/>
                <w:b/>
                <w:color w:val="000000"/>
                <w:sz w:val="18"/>
                <w:szCs w:val="18"/>
              </w:rPr>
              <w:t xml:space="preserve">Totals for </w:t>
            </w:r>
            <w:r w:rsidRPr="006E41D7">
              <w:rPr>
                <w:rFonts w:ascii="Helvetica" w:hAnsi="Helvetica" w:cs="Helvetica"/>
                <w:b/>
                <w:color w:val="000000"/>
                <w:sz w:val="18"/>
                <w:szCs w:val="18"/>
              </w:rPr>
              <w:t>52735 &amp; 52735-AS)</w:t>
            </w:r>
            <w:r>
              <w:rPr>
                <w:rFonts w:ascii="Helvetica" w:hAnsi="Helvetica" w:cs="Helvetica"/>
                <w:color w:val="000000"/>
                <w:sz w:val="18"/>
                <w:szCs w:val="18"/>
              </w:rPr>
              <w:t xml:space="preserve"> </w:t>
            </w:r>
            <w:r w:rsidRPr="000E1614">
              <w:rPr>
                <w:rFonts w:ascii="Helvetica" w:hAnsi="Helvetica" w:cs="Helvetica"/>
                <w:color w:val="000000"/>
                <w:sz w:val="18"/>
                <w:szCs w:val="18"/>
              </w:rPr>
              <w:t>Indian Housing Plan-Annual Performance Report</w:t>
            </w:r>
            <w:r>
              <w:rPr>
                <w:rFonts w:ascii="Helvetica" w:hAnsi="Helvetica" w:cs="Helvetica"/>
                <w:color w:val="000000"/>
                <w:sz w:val="18"/>
                <w:szCs w:val="18"/>
              </w:rPr>
              <w:t xml:space="preserve"> (52735-B)</w:t>
            </w:r>
          </w:p>
        </w:tc>
        <w:tc>
          <w:tcPr>
            <w:tcW w:w="1596" w:type="dxa"/>
            <w:vAlign w:val="center"/>
          </w:tcPr>
          <w:p w:rsidR="00A03231" w:rsidRPr="002A35D3" w:rsidRDefault="00A03231" w:rsidP="007616B0">
            <w:pPr>
              <w:spacing w:before="40" w:after="40"/>
              <w:ind w:right="72"/>
              <w:jc w:val="right"/>
              <w:rPr>
                <w:rFonts w:eastAsia="Calibri"/>
                <w:b/>
                <w:color w:val="000000"/>
                <w:sz w:val="22"/>
                <w:szCs w:val="22"/>
              </w:rPr>
            </w:pPr>
            <w:r w:rsidRPr="002A35D3">
              <w:rPr>
                <w:rFonts w:eastAsia="Calibri"/>
                <w:b/>
                <w:color w:val="000000"/>
                <w:sz w:val="22"/>
                <w:szCs w:val="22"/>
              </w:rPr>
              <w:t>50,508</w:t>
            </w:r>
          </w:p>
        </w:tc>
        <w:tc>
          <w:tcPr>
            <w:tcW w:w="1890" w:type="dxa"/>
          </w:tcPr>
          <w:p w:rsidR="00A03231" w:rsidRPr="002A35D3" w:rsidRDefault="00A03231" w:rsidP="007616B0">
            <w:pPr>
              <w:tabs>
                <w:tab w:val="left" w:pos="360"/>
                <w:tab w:val="left" w:pos="720"/>
              </w:tabs>
              <w:ind w:right="72"/>
              <w:jc w:val="right"/>
              <w:rPr>
                <w:b/>
                <w:sz w:val="22"/>
                <w:szCs w:val="22"/>
              </w:rPr>
            </w:pPr>
          </w:p>
          <w:p w:rsidR="00A03231" w:rsidRPr="002A35D3" w:rsidRDefault="00A03231" w:rsidP="007616B0">
            <w:pPr>
              <w:tabs>
                <w:tab w:val="left" w:pos="360"/>
                <w:tab w:val="left" w:pos="720"/>
              </w:tabs>
              <w:ind w:right="72"/>
              <w:jc w:val="right"/>
              <w:rPr>
                <w:b/>
                <w:sz w:val="22"/>
                <w:szCs w:val="22"/>
              </w:rPr>
            </w:pPr>
            <w:r w:rsidRPr="002A35D3">
              <w:rPr>
                <w:b/>
                <w:sz w:val="22"/>
                <w:szCs w:val="22"/>
              </w:rPr>
              <w:t>$18</w:t>
            </w:r>
          </w:p>
        </w:tc>
        <w:tc>
          <w:tcPr>
            <w:tcW w:w="2250" w:type="dxa"/>
          </w:tcPr>
          <w:p w:rsidR="00A03231" w:rsidRPr="002A35D3" w:rsidRDefault="00A03231" w:rsidP="007616B0">
            <w:pPr>
              <w:tabs>
                <w:tab w:val="left" w:pos="360"/>
                <w:tab w:val="left" w:pos="720"/>
              </w:tabs>
              <w:ind w:right="72"/>
              <w:jc w:val="right"/>
              <w:rPr>
                <w:b/>
                <w:sz w:val="22"/>
                <w:szCs w:val="22"/>
              </w:rPr>
            </w:pPr>
          </w:p>
          <w:p w:rsidR="00A03231" w:rsidRPr="002A35D3" w:rsidRDefault="00A03231" w:rsidP="007616B0">
            <w:pPr>
              <w:tabs>
                <w:tab w:val="left" w:pos="360"/>
                <w:tab w:val="left" w:pos="720"/>
              </w:tabs>
              <w:ind w:right="72"/>
              <w:jc w:val="right"/>
              <w:rPr>
                <w:b/>
                <w:sz w:val="22"/>
                <w:szCs w:val="22"/>
              </w:rPr>
            </w:pPr>
            <w:r w:rsidRPr="002A35D3">
              <w:rPr>
                <w:b/>
                <w:sz w:val="22"/>
                <w:szCs w:val="22"/>
              </w:rPr>
              <w:t>$909,144</w:t>
            </w:r>
          </w:p>
        </w:tc>
      </w:tr>
      <w:tr w:rsidR="00A03231" w:rsidRPr="00ED11DD" w:rsidTr="007616B0">
        <w:tc>
          <w:tcPr>
            <w:tcW w:w="3600" w:type="dxa"/>
            <w:vAlign w:val="center"/>
          </w:tcPr>
          <w:p w:rsidR="00A03231" w:rsidRPr="00ED11DD" w:rsidRDefault="00A03231" w:rsidP="007616B0">
            <w:pPr>
              <w:spacing w:before="40" w:after="40"/>
              <w:rPr>
                <w:rFonts w:eastAsia="Calibri"/>
                <w:color w:val="000000"/>
                <w:sz w:val="22"/>
                <w:szCs w:val="22"/>
              </w:rPr>
            </w:pPr>
            <w:r>
              <w:rPr>
                <w:color w:val="000000"/>
                <w:sz w:val="22"/>
                <w:szCs w:val="22"/>
              </w:rPr>
              <w:t>Federal Financial Report (SF-425)*</w:t>
            </w:r>
          </w:p>
        </w:tc>
        <w:tc>
          <w:tcPr>
            <w:tcW w:w="1596" w:type="dxa"/>
            <w:vAlign w:val="center"/>
          </w:tcPr>
          <w:p w:rsidR="00A03231" w:rsidRPr="00ED11DD" w:rsidRDefault="00A03231" w:rsidP="007616B0">
            <w:pPr>
              <w:spacing w:before="40" w:after="40"/>
              <w:ind w:right="72"/>
              <w:jc w:val="right"/>
              <w:rPr>
                <w:rFonts w:eastAsia="Calibri"/>
                <w:color w:val="000000"/>
                <w:sz w:val="22"/>
                <w:szCs w:val="22"/>
              </w:rPr>
            </w:pPr>
          </w:p>
        </w:tc>
        <w:tc>
          <w:tcPr>
            <w:tcW w:w="1890" w:type="dxa"/>
          </w:tcPr>
          <w:p w:rsidR="00A03231" w:rsidRPr="00ED11DD" w:rsidRDefault="00A03231" w:rsidP="007616B0">
            <w:pPr>
              <w:tabs>
                <w:tab w:val="left" w:pos="360"/>
                <w:tab w:val="left" w:pos="720"/>
              </w:tabs>
              <w:ind w:right="72"/>
              <w:jc w:val="right"/>
              <w:rPr>
                <w:rFonts w:ascii="Arial" w:hAnsi="Arial"/>
                <w:sz w:val="22"/>
                <w:szCs w:val="22"/>
              </w:rPr>
            </w:pPr>
          </w:p>
        </w:tc>
        <w:tc>
          <w:tcPr>
            <w:tcW w:w="2250" w:type="dxa"/>
          </w:tcPr>
          <w:p w:rsidR="00A03231" w:rsidRPr="00ED11DD" w:rsidRDefault="00A03231" w:rsidP="007616B0">
            <w:pPr>
              <w:tabs>
                <w:tab w:val="left" w:pos="360"/>
                <w:tab w:val="left" w:pos="720"/>
              </w:tabs>
              <w:ind w:right="72"/>
              <w:jc w:val="right"/>
              <w:rPr>
                <w:sz w:val="22"/>
                <w:szCs w:val="22"/>
              </w:rPr>
            </w:pPr>
          </w:p>
        </w:tc>
      </w:tr>
      <w:tr w:rsidR="00A03231" w:rsidRPr="00ED11DD" w:rsidTr="007616B0">
        <w:tc>
          <w:tcPr>
            <w:tcW w:w="3600" w:type="dxa"/>
            <w:vAlign w:val="center"/>
          </w:tcPr>
          <w:p w:rsidR="00A03231" w:rsidRPr="00ED11DD" w:rsidRDefault="00A03231" w:rsidP="007616B0">
            <w:pPr>
              <w:spacing w:before="40" w:after="40"/>
              <w:rPr>
                <w:color w:val="000000"/>
                <w:sz w:val="22"/>
                <w:szCs w:val="22"/>
              </w:rPr>
            </w:pPr>
            <w:r w:rsidRPr="00ED11DD">
              <w:rPr>
                <w:color w:val="000000"/>
                <w:sz w:val="22"/>
                <w:szCs w:val="22"/>
              </w:rPr>
              <w:lastRenderedPageBreak/>
              <w:t>Formula Correction (HUD-4117)</w:t>
            </w:r>
          </w:p>
        </w:tc>
        <w:tc>
          <w:tcPr>
            <w:tcW w:w="1596" w:type="dxa"/>
          </w:tcPr>
          <w:p w:rsidR="00A03231" w:rsidRPr="00ED11DD" w:rsidRDefault="00A03231" w:rsidP="007616B0">
            <w:pPr>
              <w:spacing w:before="40" w:after="40"/>
              <w:ind w:right="72"/>
              <w:jc w:val="right"/>
              <w:rPr>
                <w:rFonts w:eastAsia="Calibri"/>
                <w:color w:val="000000"/>
                <w:sz w:val="22"/>
                <w:szCs w:val="22"/>
              </w:rPr>
            </w:pPr>
            <w:r>
              <w:rPr>
                <w:rFonts w:eastAsia="Calibri"/>
                <w:color w:val="000000"/>
                <w:sz w:val="22"/>
                <w:szCs w:val="22"/>
              </w:rPr>
              <w:t>183</w:t>
            </w:r>
          </w:p>
        </w:tc>
        <w:tc>
          <w:tcPr>
            <w:tcW w:w="1890" w:type="dxa"/>
          </w:tcPr>
          <w:p w:rsidR="00A03231" w:rsidRPr="00ED11DD" w:rsidRDefault="00A03231" w:rsidP="007616B0">
            <w:pPr>
              <w:tabs>
                <w:tab w:val="left" w:pos="360"/>
                <w:tab w:val="left" w:pos="720"/>
              </w:tabs>
              <w:ind w:right="72"/>
              <w:jc w:val="right"/>
              <w:rPr>
                <w:rFonts w:ascii="Arial" w:hAnsi="Arial"/>
                <w:sz w:val="22"/>
                <w:szCs w:val="22"/>
              </w:rPr>
            </w:pPr>
            <w:r w:rsidRPr="00ED11DD">
              <w:rPr>
                <w:sz w:val="22"/>
                <w:szCs w:val="22"/>
              </w:rPr>
              <w:t>$18</w:t>
            </w:r>
          </w:p>
        </w:tc>
        <w:tc>
          <w:tcPr>
            <w:tcW w:w="2250" w:type="dxa"/>
          </w:tcPr>
          <w:p w:rsidR="00A03231" w:rsidRPr="00ED11DD" w:rsidRDefault="00A03231" w:rsidP="007616B0">
            <w:pPr>
              <w:tabs>
                <w:tab w:val="left" w:pos="360"/>
                <w:tab w:val="left" w:pos="720"/>
              </w:tabs>
              <w:ind w:right="72"/>
              <w:jc w:val="right"/>
              <w:rPr>
                <w:sz w:val="22"/>
                <w:szCs w:val="22"/>
              </w:rPr>
            </w:pPr>
            <w:r w:rsidRPr="00ED11DD">
              <w:rPr>
                <w:sz w:val="22"/>
                <w:szCs w:val="22"/>
              </w:rPr>
              <w:t>$</w:t>
            </w:r>
            <w:r>
              <w:rPr>
                <w:sz w:val="22"/>
                <w:szCs w:val="22"/>
              </w:rPr>
              <w:t>3,294</w:t>
            </w:r>
          </w:p>
        </w:tc>
      </w:tr>
      <w:tr w:rsidR="00A03231" w:rsidRPr="00ED11DD" w:rsidTr="007616B0">
        <w:tc>
          <w:tcPr>
            <w:tcW w:w="3600" w:type="dxa"/>
            <w:vAlign w:val="center"/>
          </w:tcPr>
          <w:p w:rsidR="00A03231" w:rsidRPr="00ED11DD" w:rsidRDefault="00A03231" w:rsidP="007616B0">
            <w:pPr>
              <w:spacing w:before="40" w:after="40"/>
              <w:rPr>
                <w:color w:val="000000"/>
                <w:sz w:val="22"/>
                <w:szCs w:val="22"/>
              </w:rPr>
            </w:pPr>
            <w:r w:rsidRPr="00ED11DD">
              <w:rPr>
                <w:color w:val="000000"/>
                <w:sz w:val="22"/>
                <w:szCs w:val="22"/>
              </w:rPr>
              <w:t>Formula Challenge (HUD-4119)</w:t>
            </w:r>
          </w:p>
        </w:tc>
        <w:tc>
          <w:tcPr>
            <w:tcW w:w="1596" w:type="dxa"/>
            <w:vAlign w:val="center"/>
          </w:tcPr>
          <w:p w:rsidR="00A03231" w:rsidRPr="00ED11DD" w:rsidRDefault="00A03231" w:rsidP="007616B0">
            <w:pPr>
              <w:spacing w:before="40" w:after="40"/>
              <w:ind w:right="72"/>
              <w:jc w:val="right"/>
              <w:rPr>
                <w:rFonts w:eastAsia="Calibri"/>
                <w:color w:val="000000"/>
                <w:sz w:val="22"/>
                <w:szCs w:val="22"/>
              </w:rPr>
            </w:pPr>
            <w:r w:rsidRPr="00ED11DD">
              <w:rPr>
                <w:rFonts w:eastAsia="Calibri"/>
                <w:color w:val="000000"/>
                <w:sz w:val="22"/>
                <w:szCs w:val="22"/>
              </w:rPr>
              <w:t>2,250</w:t>
            </w:r>
          </w:p>
        </w:tc>
        <w:tc>
          <w:tcPr>
            <w:tcW w:w="1890" w:type="dxa"/>
          </w:tcPr>
          <w:p w:rsidR="00A03231" w:rsidRPr="00ED11DD" w:rsidRDefault="00A03231" w:rsidP="007616B0">
            <w:pPr>
              <w:tabs>
                <w:tab w:val="left" w:pos="360"/>
                <w:tab w:val="left" w:pos="720"/>
              </w:tabs>
              <w:ind w:right="72"/>
              <w:jc w:val="right"/>
              <w:rPr>
                <w:rFonts w:ascii="Arial" w:hAnsi="Arial"/>
                <w:sz w:val="22"/>
                <w:szCs w:val="22"/>
              </w:rPr>
            </w:pPr>
            <w:r w:rsidRPr="00ED11DD">
              <w:rPr>
                <w:sz w:val="22"/>
                <w:szCs w:val="22"/>
              </w:rPr>
              <w:t>$18</w:t>
            </w:r>
          </w:p>
        </w:tc>
        <w:tc>
          <w:tcPr>
            <w:tcW w:w="2250" w:type="dxa"/>
          </w:tcPr>
          <w:p w:rsidR="00A03231" w:rsidRPr="00ED11DD" w:rsidRDefault="00A03231" w:rsidP="007616B0">
            <w:pPr>
              <w:tabs>
                <w:tab w:val="left" w:pos="360"/>
                <w:tab w:val="left" w:pos="720"/>
              </w:tabs>
              <w:ind w:right="72"/>
              <w:jc w:val="right"/>
              <w:rPr>
                <w:sz w:val="22"/>
                <w:szCs w:val="22"/>
              </w:rPr>
            </w:pPr>
            <w:r w:rsidRPr="00ED11DD">
              <w:rPr>
                <w:sz w:val="22"/>
                <w:szCs w:val="22"/>
              </w:rPr>
              <w:t>$40,500</w:t>
            </w:r>
          </w:p>
        </w:tc>
      </w:tr>
      <w:tr w:rsidR="00A03231" w:rsidRPr="00ED11DD" w:rsidTr="007616B0">
        <w:tc>
          <w:tcPr>
            <w:tcW w:w="3600" w:type="dxa"/>
            <w:vAlign w:val="center"/>
          </w:tcPr>
          <w:p w:rsidR="00A03231" w:rsidRPr="00ED11DD" w:rsidRDefault="00A03231" w:rsidP="007616B0">
            <w:pPr>
              <w:spacing w:before="40" w:after="40"/>
              <w:rPr>
                <w:rFonts w:eastAsia="Calibri"/>
                <w:bCs/>
                <w:color w:val="000000"/>
                <w:sz w:val="22"/>
                <w:szCs w:val="22"/>
              </w:rPr>
            </w:pPr>
            <w:r w:rsidRPr="00ED11DD">
              <w:rPr>
                <w:rFonts w:eastAsia="Calibri"/>
                <w:bCs/>
                <w:color w:val="000000"/>
                <w:sz w:val="22"/>
                <w:szCs w:val="22"/>
              </w:rPr>
              <w:t>Total</w:t>
            </w:r>
          </w:p>
        </w:tc>
        <w:tc>
          <w:tcPr>
            <w:tcW w:w="1596" w:type="dxa"/>
          </w:tcPr>
          <w:p w:rsidR="00A03231" w:rsidRPr="00ED11DD" w:rsidRDefault="00A03231" w:rsidP="007616B0">
            <w:pPr>
              <w:spacing w:before="40" w:after="40"/>
              <w:ind w:right="48"/>
              <w:jc w:val="right"/>
              <w:rPr>
                <w:rFonts w:eastAsia="Calibri"/>
                <w:bCs/>
                <w:color w:val="000000"/>
                <w:sz w:val="22"/>
                <w:szCs w:val="22"/>
              </w:rPr>
            </w:pPr>
            <w:r>
              <w:rPr>
                <w:rFonts w:eastAsia="Calibri"/>
                <w:bCs/>
                <w:color w:val="000000"/>
                <w:sz w:val="22"/>
                <w:szCs w:val="22"/>
              </w:rPr>
              <w:t>52,941</w:t>
            </w:r>
          </w:p>
        </w:tc>
        <w:tc>
          <w:tcPr>
            <w:tcW w:w="1890" w:type="dxa"/>
          </w:tcPr>
          <w:p w:rsidR="00A03231" w:rsidRPr="00ED11DD" w:rsidRDefault="00A03231" w:rsidP="007616B0">
            <w:pPr>
              <w:tabs>
                <w:tab w:val="left" w:pos="360"/>
                <w:tab w:val="left" w:pos="720"/>
              </w:tabs>
              <w:rPr>
                <w:rFonts w:ascii="Arial" w:hAnsi="Arial"/>
                <w:sz w:val="22"/>
                <w:szCs w:val="22"/>
              </w:rPr>
            </w:pPr>
          </w:p>
        </w:tc>
        <w:tc>
          <w:tcPr>
            <w:tcW w:w="2250" w:type="dxa"/>
          </w:tcPr>
          <w:p w:rsidR="00A03231" w:rsidRPr="00ED11DD" w:rsidRDefault="00A03231" w:rsidP="007616B0">
            <w:pPr>
              <w:tabs>
                <w:tab w:val="left" w:pos="360"/>
                <w:tab w:val="left" w:pos="720"/>
              </w:tabs>
              <w:jc w:val="right"/>
              <w:rPr>
                <w:sz w:val="22"/>
                <w:szCs w:val="22"/>
              </w:rPr>
            </w:pPr>
            <w:r>
              <w:rPr>
                <w:sz w:val="22"/>
                <w:szCs w:val="22"/>
              </w:rPr>
              <w:t>$952,938</w:t>
            </w:r>
          </w:p>
        </w:tc>
      </w:tr>
    </w:tbl>
    <w:p w:rsidR="00A03231" w:rsidRDefault="00A03231" w:rsidP="00A03231">
      <w:pPr>
        <w:ind w:left="360"/>
        <w:rPr>
          <w:color w:val="000000"/>
          <w:sz w:val="22"/>
        </w:rPr>
      </w:pPr>
      <w:r w:rsidRPr="00455878">
        <w:rPr>
          <w:color w:val="000000"/>
          <w:sz w:val="18"/>
          <w:szCs w:val="18"/>
        </w:rPr>
        <w:t>*Burden housing included in SF-425 Paperwork Reduction Act submission.</w:t>
      </w:r>
    </w:p>
    <w:p w:rsidR="00A03231" w:rsidRDefault="00A03231" w:rsidP="00A03231">
      <w:pPr>
        <w:tabs>
          <w:tab w:val="left" w:pos="480"/>
        </w:tabs>
        <w:rPr>
          <w:color w:val="000000"/>
          <w:sz w:val="22"/>
        </w:rPr>
      </w:pPr>
    </w:p>
    <w:p w:rsidR="00A03231" w:rsidRDefault="00A03231" w:rsidP="00A03231">
      <w:pPr>
        <w:tabs>
          <w:tab w:val="left" w:pos="360"/>
        </w:tabs>
        <w:ind w:left="360" w:hanging="360"/>
        <w:rPr>
          <w:sz w:val="18"/>
        </w:rPr>
      </w:pPr>
      <w:r>
        <w:rPr>
          <w:sz w:val="18"/>
        </w:rPr>
        <w:t>14.</w:t>
      </w:r>
      <w:r>
        <w:rPr>
          <w:sz w:val="18"/>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03231" w:rsidRDefault="00A03231" w:rsidP="00A03231">
      <w:pPr>
        <w:tabs>
          <w:tab w:val="left" w:pos="360"/>
          <w:tab w:val="left" w:pos="720"/>
        </w:tabs>
        <w:ind w:left="360"/>
        <w:rPr>
          <w:sz w:val="18"/>
        </w:rPr>
      </w:pPr>
    </w:p>
    <w:p w:rsidR="00A03231" w:rsidRPr="00A73CE6" w:rsidRDefault="00A03231" w:rsidP="00A03231">
      <w:pPr>
        <w:ind w:left="360"/>
        <w:rPr>
          <w:sz w:val="22"/>
          <w:szCs w:val="22"/>
        </w:rPr>
      </w:pPr>
      <w:r w:rsidRPr="00A73CE6">
        <w:rPr>
          <w:rFonts w:eastAsia="Calibri"/>
          <w:color w:val="000000"/>
          <w:sz w:val="22"/>
          <w:szCs w:val="22"/>
        </w:rPr>
        <w:t>There are no additional costs to the Federal Government.</w:t>
      </w:r>
    </w:p>
    <w:p w:rsidR="00A03231" w:rsidRDefault="00A03231" w:rsidP="00A03231">
      <w:pPr>
        <w:tabs>
          <w:tab w:val="left" w:pos="360"/>
        </w:tabs>
        <w:ind w:left="360" w:hanging="360"/>
        <w:rPr>
          <w:color w:val="000000"/>
          <w:sz w:val="22"/>
          <w:szCs w:val="24"/>
        </w:rPr>
      </w:pPr>
    </w:p>
    <w:p w:rsidR="00A03231" w:rsidRDefault="00A03231" w:rsidP="00A03231">
      <w:pPr>
        <w:tabs>
          <w:tab w:val="left" w:pos="360"/>
        </w:tabs>
        <w:ind w:left="360" w:hanging="360"/>
        <w:rPr>
          <w:sz w:val="18"/>
        </w:rPr>
      </w:pPr>
      <w:r>
        <w:rPr>
          <w:sz w:val="18"/>
        </w:rPr>
        <w:t>15.</w:t>
      </w:r>
      <w:r>
        <w:rPr>
          <w:sz w:val="18"/>
        </w:rPr>
        <w:tab/>
        <w:t>Explain the reasons for any program changes or adjustments reported in Items 13 and 14 of the OMB Form 83-I.</w:t>
      </w:r>
    </w:p>
    <w:p w:rsidR="00A03231" w:rsidRDefault="00A03231" w:rsidP="00A03231">
      <w:pPr>
        <w:tabs>
          <w:tab w:val="left" w:pos="360"/>
        </w:tabs>
        <w:ind w:left="360" w:hanging="360"/>
        <w:rPr>
          <w:sz w:val="18"/>
        </w:rPr>
      </w:pPr>
    </w:p>
    <w:p w:rsidR="00A03231" w:rsidRPr="00A73CE6" w:rsidRDefault="00A03231" w:rsidP="00A03231">
      <w:pPr>
        <w:ind w:left="360"/>
        <w:rPr>
          <w:sz w:val="22"/>
          <w:szCs w:val="22"/>
        </w:rPr>
      </w:pPr>
      <w:r w:rsidRPr="00A73CE6">
        <w:rPr>
          <w:sz w:val="22"/>
          <w:szCs w:val="22"/>
        </w:rPr>
        <w:t xml:space="preserve">The number of burden hours to complete an IHP </w:t>
      </w:r>
      <w:r>
        <w:rPr>
          <w:sz w:val="22"/>
          <w:szCs w:val="22"/>
        </w:rPr>
        <w:t xml:space="preserve">has been revised downward from 120 to 89 hours </w:t>
      </w:r>
      <w:r w:rsidRPr="00A73CE6">
        <w:rPr>
          <w:sz w:val="22"/>
          <w:szCs w:val="22"/>
        </w:rPr>
        <w:t xml:space="preserve">and </w:t>
      </w:r>
      <w:r>
        <w:rPr>
          <w:sz w:val="22"/>
          <w:szCs w:val="22"/>
        </w:rPr>
        <w:t xml:space="preserve">an </w:t>
      </w:r>
      <w:r w:rsidRPr="00A73CE6">
        <w:rPr>
          <w:sz w:val="22"/>
          <w:szCs w:val="22"/>
        </w:rPr>
        <w:t>APR ha</w:t>
      </w:r>
      <w:r>
        <w:rPr>
          <w:sz w:val="22"/>
          <w:szCs w:val="22"/>
        </w:rPr>
        <w:t xml:space="preserve">s been revised downward from </w:t>
      </w:r>
      <w:r w:rsidRPr="00A73CE6">
        <w:rPr>
          <w:sz w:val="22"/>
          <w:szCs w:val="22"/>
        </w:rPr>
        <w:t xml:space="preserve">120 </w:t>
      </w:r>
      <w:r>
        <w:rPr>
          <w:sz w:val="22"/>
          <w:szCs w:val="22"/>
        </w:rPr>
        <w:t xml:space="preserve">to 49 </w:t>
      </w:r>
      <w:r w:rsidRPr="00A73CE6">
        <w:rPr>
          <w:sz w:val="22"/>
          <w:szCs w:val="22"/>
        </w:rPr>
        <w:t>hour</w:t>
      </w:r>
      <w:r>
        <w:rPr>
          <w:sz w:val="22"/>
          <w:szCs w:val="22"/>
        </w:rPr>
        <w:t>s</w:t>
      </w:r>
      <w:r w:rsidRPr="00A73CE6">
        <w:rPr>
          <w:sz w:val="22"/>
          <w:szCs w:val="22"/>
        </w:rPr>
        <w:t xml:space="preserve">.  The total </w:t>
      </w:r>
      <w:r>
        <w:rPr>
          <w:sz w:val="22"/>
          <w:szCs w:val="22"/>
        </w:rPr>
        <w:t>reduction</w:t>
      </w:r>
      <w:r w:rsidRPr="00A73CE6">
        <w:rPr>
          <w:sz w:val="22"/>
          <w:szCs w:val="22"/>
        </w:rPr>
        <w:t xml:space="preserve"> in annual burden hours </w:t>
      </w:r>
      <w:r w:rsidRPr="00D20AB1">
        <w:rPr>
          <w:sz w:val="22"/>
          <w:szCs w:val="22"/>
        </w:rPr>
        <w:t xml:space="preserve">is </w:t>
      </w:r>
      <w:r>
        <w:rPr>
          <w:sz w:val="22"/>
          <w:szCs w:val="22"/>
        </w:rPr>
        <w:t>40,367</w:t>
      </w:r>
      <w:r w:rsidRPr="00D20AB1">
        <w:rPr>
          <w:sz w:val="22"/>
          <w:szCs w:val="22"/>
        </w:rPr>
        <w:t>.</w:t>
      </w:r>
    </w:p>
    <w:p w:rsidR="00A03231" w:rsidRDefault="00A03231" w:rsidP="00A03231">
      <w:pPr>
        <w:tabs>
          <w:tab w:val="left" w:pos="360"/>
        </w:tabs>
        <w:ind w:left="360" w:hanging="360"/>
        <w:rPr>
          <w:color w:val="000000"/>
          <w:sz w:val="22"/>
          <w:szCs w:val="24"/>
        </w:rPr>
      </w:pPr>
    </w:p>
    <w:p w:rsidR="00A03231" w:rsidRDefault="00A03231" w:rsidP="00A03231">
      <w:pPr>
        <w:tabs>
          <w:tab w:val="left" w:pos="360"/>
        </w:tabs>
        <w:ind w:left="360" w:hanging="360"/>
        <w:rPr>
          <w:sz w:val="18"/>
        </w:rPr>
      </w:pPr>
      <w:r>
        <w:rPr>
          <w:sz w:val="18"/>
        </w:rPr>
        <w:t>16.</w:t>
      </w:r>
      <w:r>
        <w:rPr>
          <w:sz w:val="18"/>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03231" w:rsidRDefault="00A03231" w:rsidP="00A03231">
      <w:pPr>
        <w:rPr>
          <w:rFonts w:ascii="Arial" w:hAnsi="Arial"/>
          <w:sz w:val="24"/>
        </w:rPr>
      </w:pPr>
    </w:p>
    <w:p w:rsidR="00A03231" w:rsidRPr="00A73CE6" w:rsidRDefault="00A03231" w:rsidP="00A03231">
      <w:pPr>
        <w:ind w:left="360"/>
        <w:rPr>
          <w:sz w:val="22"/>
          <w:szCs w:val="22"/>
        </w:rPr>
      </w:pPr>
      <w:r w:rsidRPr="00A73CE6">
        <w:rPr>
          <w:rFonts w:eastAsia="Calibri"/>
          <w:color w:val="000000"/>
          <w:sz w:val="22"/>
          <w:szCs w:val="22"/>
        </w:rPr>
        <w:t xml:space="preserve">Section 407 of NAHASDA requires the Secretary to prepare an annual report to Congress; the information collected in the APR will be used to prepare that report.  The Secretary is required to include a description of the progress made in accomplishing the objectives of NAHASDA and to summarize the use of funds during the preceding 12-month period.  </w:t>
      </w:r>
    </w:p>
    <w:p w:rsidR="00A03231" w:rsidRDefault="00A03231" w:rsidP="00A03231">
      <w:pPr>
        <w:tabs>
          <w:tab w:val="left" w:pos="360"/>
        </w:tabs>
        <w:ind w:left="360" w:hanging="360"/>
        <w:rPr>
          <w:color w:val="000000"/>
          <w:sz w:val="22"/>
          <w:szCs w:val="24"/>
        </w:rPr>
      </w:pPr>
    </w:p>
    <w:p w:rsidR="00A03231" w:rsidRDefault="00A03231" w:rsidP="00A03231">
      <w:pPr>
        <w:tabs>
          <w:tab w:val="left" w:pos="360"/>
        </w:tabs>
        <w:ind w:left="360" w:hanging="360"/>
        <w:rPr>
          <w:sz w:val="18"/>
        </w:rPr>
      </w:pPr>
      <w:r>
        <w:rPr>
          <w:sz w:val="18"/>
        </w:rPr>
        <w:t>17.</w:t>
      </w:r>
      <w:r>
        <w:rPr>
          <w:sz w:val="18"/>
        </w:rPr>
        <w:tab/>
        <w:t>If seeking approval to not display the expiration date for OMB approval of the information collection, explain the reasons that display would be inappropriate.</w:t>
      </w:r>
    </w:p>
    <w:p w:rsidR="00A03231" w:rsidRDefault="00A03231" w:rsidP="00A03231">
      <w:pPr>
        <w:tabs>
          <w:tab w:val="left" w:pos="360"/>
          <w:tab w:val="left" w:pos="720"/>
        </w:tabs>
        <w:ind w:left="360"/>
      </w:pPr>
    </w:p>
    <w:p w:rsidR="00A03231" w:rsidRPr="00A73CE6" w:rsidRDefault="00A03231" w:rsidP="00A03231">
      <w:pPr>
        <w:ind w:left="360"/>
        <w:rPr>
          <w:sz w:val="22"/>
          <w:szCs w:val="22"/>
        </w:rPr>
      </w:pPr>
      <w:r w:rsidRPr="00A73CE6">
        <w:rPr>
          <w:rFonts w:eastAsia="Calibri"/>
          <w:color w:val="000000"/>
          <w:sz w:val="22"/>
          <w:szCs w:val="22"/>
        </w:rPr>
        <w:t xml:space="preserve">The OMB number and expiration date of the information collection will be displayed on the forms.  </w:t>
      </w:r>
    </w:p>
    <w:p w:rsidR="00A03231" w:rsidRDefault="00A03231" w:rsidP="00A03231">
      <w:pPr>
        <w:tabs>
          <w:tab w:val="left" w:pos="360"/>
        </w:tabs>
        <w:ind w:left="360" w:hanging="360"/>
        <w:rPr>
          <w:color w:val="000000"/>
          <w:sz w:val="22"/>
          <w:szCs w:val="24"/>
        </w:rPr>
      </w:pPr>
    </w:p>
    <w:p w:rsidR="00A03231" w:rsidRDefault="00A03231" w:rsidP="00A03231">
      <w:pPr>
        <w:numPr>
          <w:ilvl w:val="0"/>
          <w:numId w:val="7"/>
        </w:numPr>
        <w:tabs>
          <w:tab w:val="left" w:pos="360"/>
        </w:tabs>
        <w:rPr>
          <w:sz w:val="18"/>
        </w:rPr>
      </w:pPr>
      <w:r>
        <w:rPr>
          <w:sz w:val="18"/>
        </w:rPr>
        <w:t>Explain each exception to the certification statement identified in item 19.</w:t>
      </w:r>
    </w:p>
    <w:p w:rsidR="00A03231" w:rsidRDefault="00A03231" w:rsidP="00A03231">
      <w:pPr>
        <w:tabs>
          <w:tab w:val="left" w:pos="360"/>
        </w:tabs>
        <w:rPr>
          <w:sz w:val="18"/>
        </w:rPr>
      </w:pPr>
    </w:p>
    <w:p w:rsidR="00A03231" w:rsidRPr="00A73CE6" w:rsidRDefault="00A03231" w:rsidP="00A03231">
      <w:pPr>
        <w:tabs>
          <w:tab w:val="left" w:pos="360"/>
        </w:tabs>
        <w:ind w:left="360"/>
        <w:rPr>
          <w:rFonts w:eastAsia="Calibri"/>
          <w:color w:val="000000"/>
          <w:sz w:val="22"/>
          <w:szCs w:val="22"/>
        </w:rPr>
      </w:pPr>
      <w:r w:rsidRPr="00A73CE6">
        <w:rPr>
          <w:rFonts w:eastAsia="Calibri"/>
          <w:color w:val="000000"/>
          <w:sz w:val="22"/>
          <w:szCs w:val="22"/>
        </w:rPr>
        <w:t>There are no exceptions to the certification identified in Item 19 of the OMB 83-i.</w:t>
      </w:r>
    </w:p>
    <w:p w:rsidR="00A03231" w:rsidRDefault="00A03231" w:rsidP="00A03231">
      <w:pPr>
        <w:tabs>
          <w:tab w:val="left" w:pos="360"/>
          <w:tab w:val="left" w:pos="720"/>
        </w:tabs>
      </w:pPr>
    </w:p>
    <w:p w:rsidR="00A03231" w:rsidRDefault="00A03231" w:rsidP="00A03231">
      <w:pPr>
        <w:tabs>
          <w:tab w:val="left" w:pos="480"/>
        </w:tabs>
        <w:rPr>
          <w:color w:val="000000"/>
          <w:sz w:val="22"/>
          <w:szCs w:val="24"/>
        </w:rPr>
      </w:pPr>
    </w:p>
    <w:p w:rsidR="00A03231" w:rsidRDefault="00A03231" w:rsidP="00A03231">
      <w:pPr>
        <w:pBdr>
          <w:top w:val="single" w:sz="4" w:space="1" w:color="auto"/>
        </w:pBdr>
        <w:tabs>
          <w:tab w:val="left" w:pos="360"/>
        </w:tabs>
        <w:ind w:left="360" w:hanging="360"/>
        <w:rPr>
          <w:b/>
          <w:bCs/>
          <w:color w:val="000000"/>
          <w:sz w:val="22"/>
          <w:szCs w:val="24"/>
        </w:rPr>
      </w:pPr>
      <w:r>
        <w:rPr>
          <w:b/>
          <w:bCs/>
          <w:color w:val="000000"/>
          <w:sz w:val="22"/>
          <w:szCs w:val="24"/>
        </w:rPr>
        <w:t>B.</w:t>
      </w:r>
      <w:r>
        <w:rPr>
          <w:b/>
          <w:bCs/>
          <w:color w:val="000000"/>
          <w:sz w:val="22"/>
          <w:szCs w:val="24"/>
        </w:rPr>
        <w:tab/>
        <w:t>Collections of Information Employing Statistical Methods.</w:t>
      </w:r>
    </w:p>
    <w:p w:rsidR="00A03231" w:rsidRDefault="00A03231" w:rsidP="00A03231">
      <w:pPr>
        <w:tabs>
          <w:tab w:val="left" w:pos="360"/>
        </w:tabs>
        <w:ind w:left="360" w:hanging="360"/>
        <w:rPr>
          <w:color w:val="000000"/>
          <w:sz w:val="22"/>
          <w:szCs w:val="24"/>
        </w:rPr>
      </w:pPr>
    </w:p>
    <w:p w:rsidR="00A03231" w:rsidRDefault="00A03231" w:rsidP="00A03231">
      <w:pPr>
        <w:tabs>
          <w:tab w:val="left" w:pos="360"/>
        </w:tabs>
        <w:ind w:left="360" w:hanging="360"/>
        <w:rPr>
          <w:color w:val="000000"/>
          <w:sz w:val="22"/>
          <w:szCs w:val="24"/>
        </w:rPr>
      </w:pPr>
      <w:r>
        <w:rPr>
          <w:color w:val="000000"/>
          <w:sz w:val="22"/>
          <w:szCs w:val="24"/>
        </w:rPr>
        <w:tab/>
        <w:t>Statistical methods are not applicable for this recordkeeping requirement.</w:t>
      </w:r>
    </w:p>
    <w:p w:rsidR="00517AB4" w:rsidRDefault="00517AB4"/>
    <w:sectPr w:rsidR="00517AB4" w:rsidSect="003737DD">
      <w:pgSz w:w="12240" w:h="15840"/>
      <w:pgMar w:top="475" w:right="1440" w:bottom="475" w:left="1440" w:header="475" w:footer="475" w:gutter="0"/>
      <w:cols w:space="480" w:equalWidth="0">
        <w:col w:w="10080"/>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D83" w:rsidRDefault="00890D83" w:rsidP="00A03231">
      <w:r>
        <w:separator/>
      </w:r>
    </w:p>
  </w:endnote>
  <w:endnote w:type="continuationSeparator" w:id="0">
    <w:p w:rsidR="00890D83" w:rsidRDefault="00890D83" w:rsidP="00A032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D83" w:rsidRDefault="00890D83" w:rsidP="00A03231">
      <w:r>
        <w:separator/>
      </w:r>
    </w:p>
  </w:footnote>
  <w:footnote w:type="continuationSeparator" w:id="0">
    <w:p w:rsidR="00890D83" w:rsidRDefault="00890D83" w:rsidP="00A032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09F0A92"/>
    <w:multiLevelType w:val="singleLevel"/>
    <w:tmpl w:val="B26EA4E0"/>
    <w:lvl w:ilvl="0">
      <w:numFmt w:val="decimal"/>
      <w:lvlText w:val="*"/>
      <w:lvlJc w:val="left"/>
    </w:lvl>
  </w:abstractNum>
  <w:abstractNum w:abstractNumId="2">
    <w:nsid w:val="1B2C0AF1"/>
    <w:multiLevelType w:val="hybridMultilevel"/>
    <w:tmpl w:val="417820F2"/>
    <w:lvl w:ilvl="0" w:tplc="4F3AD9B2">
      <w:start w:val="1"/>
      <w:numFmt w:val="upp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F874AB"/>
    <w:multiLevelType w:val="singleLevel"/>
    <w:tmpl w:val="13A63DBA"/>
    <w:lvl w:ilvl="0">
      <w:start w:val="18"/>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4">
    <w:nsid w:val="25B4228A"/>
    <w:multiLevelType w:val="singleLevel"/>
    <w:tmpl w:val="B26EA4E0"/>
    <w:lvl w:ilvl="0">
      <w:numFmt w:val="decimal"/>
      <w:lvlText w:val="*"/>
      <w:lvlJc w:val="left"/>
    </w:lvl>
  </w:abstractNum>
  <w:abstractNum w:abstractNumId="5">
    <w:nsid w:val="56AE0BD1"/>
    <w:multiLevelType w:val="singleLevel"/>
    <w:tmpl w:val="1C10ED8A"/>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6">
    <w:nsid w:val="7C2C65E4"/>
    <w:multiLevelType w:val="singleLevel"/>
    <w:tmpl w:val="B26EA4E0"/>
    <w:lvl w:ilvl="0">
      <w:numFmt w:val="decimal"/>
      <w:lvlText w:val="*"/>
      <w:lvlJc w:val="left"/>
    </w:lvl>
  </w:abstractNum>
  <w:num w:numId="1">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2">
    <w:abstractNumId w:val="2"/>
  </w:num>
  <w:num w:numId="3">
    <w:abstractNumId w:val="5"/>
  </w:num>
  <w:num w:numId="4">
    <w:abstractNumId w:val="4"/>
  </w:num>
  <w:num w:numId="5">
    <w:abstractNumId w:val="1"/>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1"/>
    <w:footnote w:id="0"/>
  </w:footnotePr>
  <w:endnotePr>
    <w:endnote w:id="-1"/>
    <w:endnote w:id="0"/>
  </w:endnotePr>
  <w:compat/>
  <w:rsids>
    <w:rsidRoot w:val="00A03231"/>
    <w:rsid w:val="00017A0A"/>
    <w:rsid w:val="00517AB4"/>
    <w:rsid w:val="00890D83"/>
    <w:rsid w:val="00A032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323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03231"/>
    <w:pPr>
      <w:tabs>
        <w:tab w:val="center" w:pos="4320"/>
        <w:tab w:val="right" w:pos="8640"/>
      </w:tabs>
    </w:pPr>
  </w:style>
  <w:style w:type="character" w:customStyle="1" w:styleId="HeaderChar">
    <w:name w:val="Header Char"/>
    <w:basedOn w:val="DefaultParagraphFont"/>
    <w:link w:val="Header"/>
    <w:rsid w:val="00A03231"/>
  </w:style>
  <w:style w:type="paragraph" w:styleId="Footer">
    <w:name w:val="footer"/>
    <w:basedOn w:val="Normal"/>
    <w:link w:val="FooterChar"/>
    <w:rsid w:val="00A03231"/>
    <w:pPr>
      <w:tabs>
        <w:tab w:val="center" w:pos="4320"/>
        <w:tab w:val="right" w:pos="8640"/>
      </w:tabs>
    </w:pPr>
  </w:style>
  <w:style w:type="character" w:customStyle="1" w:styleId="FooterChar">
    <w:name w:val="Footer Char"/>
    <w:basedOn w:val="DefaultParagraphFont"/>
    <w:link w:val="Footer"/>
    <w:rsid w:val="00A03231"/>
  </w:style>
  <w:style w:type="paragraph" w:styleId="BodyText">
    <w:name w:val="Body Text"/>
    <w:basedOn w:val="Normal"/>
    <w:link w:val="BodyTextChar"/>
    <w:rsid w:val="00A03231"/>
    <w:pPr>
      <w:ind w:right="1440"/>
    </w:pPr>
    <w:rPr>
      <w:rFonts w:ascii="Courier" w:hAnsi="Courier"/>
    </w:rPr>
  </w:style>
  <w:style w:type="character" w:customStyle="1" w:styleId="BodyTextChar">
    <w:name w:val="Body Text Char"/>
    <w:basedOn w:val="DefaultParagraphFont"/>
    <w:link w:val="BodyText"/>
    <w:rsid w:val="00A03231"/>
    <w:rPr>
      <w:rFonts w:ascii="Courier" w:hAnsi="Courie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3110</Words>
  <Characters>17727</Characters>
  <Application>Microsoft Office Word</Application>
  <DocSecurity>0</DocSecurity>
  <Lines>147</Lines>
  <Paragraphs>41</Paragraphs>
  <ScaleCrop>false</ScaleCrop>
  <Company>Housing and Urban Development</Company>
  <LinksUpToDate>false</LinksUpToDate>
  <CharactersWithSpaces>20796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H45351</dc:creator>
  <cp:keywords/>
  <dc:description/>
  <cp:lastModifiedBy>H45351</cp:lastModifiedBy>
  <cp:revision>2</cp:revision>
  <dcterms:created xsi:type="dcterms:W3CDTF">2010-05-24T18:50:00Z</dcterms:created>
  <dcterms:modified xsi:type="dcterms:W3CDTF">2010-05-24T18:53:00Z</dcterms:modified>
</cp:coreProperties>
</file>