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226" w:rsidRDefault="00237226" w:rsidP="00237226">
      <w:pPr>
        <w:pStyle w:val="Heading1"/>
        <w:keepLines/>
        <w:jc w:val="center"/>
      </w:pPr>
      <w:bookmarkStart w:id="0" w:name="_Toc255810360"/>
      <w:r>
        <w:t>Supporting Document B</w:t>
      </w:r>
    </w:p>
    <w:p w:rsidR="00237226" w:rsidRDefault="00237226" w:rsidP="00237226">
      <w:pPr>
        <w:pStyle w:val="Heading1"/>
        <w:keepLines/>
        <w:jc w:val="center"/>
      </w:pPr>
      <w:r>
        <w:t>Overview of the OMB Data Collection Package</w:t>
      </w:r>
      <w:bookmarkEnd w:id="0"/>
    </w:p>
    <w:p w:rsidR="00237226" w:rsidRPr="00E367D6" w:rsidRDefault="00237226" w:rsidP="00237226">
      <w:pPr>
        <w:keepNext/>
        <w:keepLines/>
      </w:pPr>
    </w:p>
    <w:p w:rsidR="00237226" w:rsidRDefault="00237226" w:rsidP="00237226">
      <w:pPr>
        <w:pStyle w:val="Heading2"/>
        <w:keepLines/>
        <w:spacing w:before="120" w:after="0"/>
      </w:pPr>
      <w:r>
        <w:t>Background</w:t>
      </w:r>
    </w:p>
    <w:p w:rsidR="00237226" w:rsidRDefault="00237226" w:rsidP="00237226">
      <w:pPr>
        <w:pStyle w:val="Default"/>
        <w:keepNext/>
        <w:keepLines/>
      </w:pPr>
    </w:p>
    <w:p w:rsidR="00237226" w:rsidRDefault="00237226" w:rsidP="00237226">
      <w:pPr>
        <w:keepNext/>
        <w:keepLines/>
        <w:jc w:val="both"/>
      </w:pPr>
      <w:r w:rsidRPr="00DD446B">
        <w:rPr>
          <w:color w:val="000000"/>
        </w:rPr>
        <w:t>The Office of Management and Budget (OMB) recent</w:t>
      </w:r>
      <w:r>
        <w:rPr>
          <w:color w:val="000000"/>
        </w:rPr>
        <w:t>ly performed a</w:t>
      </w:r>
      <w:r w:rsidRPr="00DD446B">
        <w:rPr>
          <w:color w:val="000000"/>
        </w:rPr>
        <w:t xml:space="preserve"> Program Assessment Rating Tool (PART) </w:t>
      </w:r>
      <w:r>
        <w:rPr>
          <w:color w:val="000000"/>
        </w:rPr>
        <w:t xml:space="preserve">review </w:t>
      </w:r>
      <w:r w:rsidRPr="00DD446B">
        <w:rPr>
          <w:color w:val="000000"/>
        </w:rPr>
        <w:t xml:space="preserve">of the </w:t>
      </w:r>
      <w:r>
        <w:rPr>
          <w:color w:val="000000"/>
        </w:rPr>
        <w:t xml:space="preserve">Department of Housing and Urban Development’s (HUD) </w:t>
      </w:r>
      <w:r w:rsidRPr="00DD446B">
        <w:rPr>
          <w:color w:val="000000"/>
        </w:rPr>
        <w:t>Section 108 program</w:t>
      </w:r>
      <w:r>
        <w:rPr>
          <w:color w:val="000000"/>
        </w:rPr>
        <w:t>.</w:t>
      </w:r>
      <w:r w:rsidRPr="00DD446B">
        <w:rPr>
          <w:color w:val="000000"/>
        </w:rPr>
        <w:t xml:space="preserve"> </w:t>
      </w:r>
      <w:r>
        <w:rPr>
          <w:color w:val="000000"/>
        </w:rPr>
        <w:t xml:space="preserve"> OMB’s review </w:t>
      </w:r>
      <w:r w:rsidRPr="00DD446B">
        <w:rPr>
          <w:color w:val="000000"/>
        </w:rPr>
        <w:t xml:space="preserve">led to </w:t>
      </w:r>
      <w:r>
        <w:rPr>
          <w:color w:val="000000"/>
        </w:rPr>
        <w:t xml:space="preserve">a </w:t>
      </w:r>
      <w:r w:rsidRPr="00DD446B">
        <w:rPr>
          <w:color w:val="000000"/>
        </w:rPr>
        <w:t xml:space="preserve">commitment </w:t>
      </w:r>
      <w:r>
        <w:rPr>
          <w:color w:val="000000"/>
        </w:rPr>
        <w:t xml:space="preserve">by HUD </w:t>
      </w:r>
      <w:r w:rsidRPr="00DD446B">
        <w:rPr>
          <w:color w:val="000000"/>
        </w:rPr>
        <w:t xml:space="preserve">to evaluate the program. The PART </w:t>
      </w:r>
      <w:r>
        <w:rPr>
          <w:color w:val="000000"/>
        </w:rPr>
        <w:t xml:space="preserve">assessment </w:t>
      </w:r>
      <w:r w:rsidRPr="00DD446B">
        <w:rPr>
          <w:color w:val="000000"/>
        </w:rPr>
        <w:t>found</w:t>
      </w:r>
      <w:r w:rsidRPr="00DD446B">
        <w:t xml:space="preserve"> that the Section 108 program:</w:t>
      </w:r>
      <w:r w:rsidRPr="00DD446B">
        <w:rPr>
          <w:rStyle w:val="FootnoteReference"/>
        </w:rPr>
        <w:footnoteReference w:id="1"/>
      </w:r>
    </w:p>
    <w:p w:rsidR="00237226" w:rsidRPr="00DD446B" w:rsidRDefault="00237226" w:rsidP="00237226">
      <w:pPr>
        <w:keepNext/>
        <w:keepLines/>
        <w:jc w:val="both"/>
      </w:pPr>
    </w:p>
    <w:p w:rsidR="00237226" w:rsidRDefault="00237226" w:rsidP="00237226">
      <w:pPr>
        <w:keepNext/>
        <w:keepLines/>
        <w:numPr>
          <w:ilvl w:val="0"/>
          <w:numId w:val="1"/>
        </w:numPr>
        <w:spacing w:after="120"/>
        <w:jc w:val="both"/>
        <w:rPr>
          <w:szCs w:val="22"/>
        </w:rPr>
      </w:pPr>
      <w:r>
        <w:rPr>
          <w:szCs w:val="22"/>
        </w:rPr>
        <w:t>Lacks long-term performance measures that focus on outcomes and meaningfully reflect the purpose of the program.</w:t>
      </w:r>
    </w:p>
    <w:p w:rsidR="00237226" w:rsidRDefault="00237226" w:rsidP="00237226">
      <w:pPr>
        <w:keepNext/>
        <w:keepLines/>
        <w:numPr>
          <w:ilvl w:val="0"/>
          <w:numId w:val="1"/>
        </w:numPr>
        <w:spacing w:after="120"/>
        <w:jc w:val="both"/>
        <w:rPr>
          <w:szCs w:val="22"/>
        </w:rPr>
      </w:pPr>
      <w:r>
        <w:rPr>
          <w:szCs w:val="22"/>
        </w:rPr>
        <w:t>Has not demonstrated adequate progress in achieving its long-term performance goals.</w:t>
      </w:r>
    </w:p>
    <w:p w:rsidR="00237226" w:rsidRDefault="00237226" w:rsidP="00237226">
      <w:pPr>
        <w:keepNext/>
        <w:keepLines/>
        <w:numPr>
          <w:ilvl w:val="0"/>
          <w:numId w:val="1"/>
        </w:numPr>
        <w:spacing w:after="120"/>
        <w:jc w:val="both"/>
        <w:rPr>
          <w:szCs w:val="22"/>
        </w:rPr>
      </w:pPr>
      <w:r>
        <w:rPr>
          <w:szCs w:val="22"/>
        </w:rPr>
        <w:t>Provides insufficient evidence to draw a strong conclusion regarding how Section 108 compares to other similar programs.</w:t>
      </w:r>
    </w:p>
    <w:p w:rsidR="00237226" w:rsidRDefault="00237226" w:rsidP="00237226">
      <w:pPr>
        <w:keepNext/>
        <w:keepLines/>
        <w:numPr>
          <w:ilvl w:val="0"/>
          <w:numId w:val="1"/>
        </w:numPr>
        <w:jc w:val="both"/>
        <w:rPr>
          <w:szCs w:val="22"/>
        </w:rPr>
      </w:pPr>
      <w:r>
        <w:rPr>
          <w:szCs w:val="22"/>
        </w:rPr>
        <w:t>Has an inherent weakness relative to better designed credit loan guarantee programs—the federal government bears 100 percent of any losses; private lenders do not share the risks of loss from default, suggesting that the program generally encourages private lenders to exercise less caution than they otherwise would.</w:t>
      </w:r>
    </w:p>
    <w:p w:rsidR="00237226" w:rsidRDefault="00237226" w:rsidP="00237226">
      <w:pPr>
        <w:keepNext/>
        <w:keepLines/>
        <w:jc w:val="both"/>
      </w:pPr>
    </w:p>
    <w:p w:rsidR="00237226" w:rsidRDefault="00237226" w:rsidP="00237226">
      <w:pPr>
        <w:keepNext/>
        <w:keepLines/>
        <w:spacing w:after="120"/>
        <w:jc w:val="both"/>
        <w:rPr>
          <w:b/>
        </w:rPr>
      </w:pPr>
      <w:r w:rsidRPr="00954DE5">
        <w:rPr>
          <w:color w:val="151414"/>
        </w:rPr>
        <w:t xml:space="preserve">HUD’s Office of Policy Development and Research </w:t>
      </w:r>
      <w:r>
        <w:rPr>
          <w:color w:val="151414"/>
        </w:rPr>
        <w:t>(</w:t>
      </w:r>
      <w:r w:rsidRPr="00954DE5">
        <w:rPr>
          <w:color w:val="151414"/>
        </w:rPr>
        <w:t>PD&amp;R</w:t>
      </w:r>
      <w:r>
        <w:rPr>
          <w:color w:val="151414"/>
        </w:rPr>
        <w:t xml:space="preserve">) was charged with </w:t>
      </w:r>
      <w:r>
        <w:t>c</w:t>
      </w:r>
      <w:r w:rsidRPr="00954DE5">
        <w:t>omplet</w:t>
      </w:r>
      <w:r>
        <w:t>ing</w:t>
      </w:r>
      <w:r w:rsidRPr="00954DE5">
        <w:t xml:space="preserve"> an evaluation of the Section 108 program to assess the program's effectiveness and to identify areas for improvement.</w:t>
      </w:r>
      <w:r>
        <w:t xml:space="preserve">  </w:t>
      </w:r>
      <w:r>
        <w:rPr>
          <w:color w:val="151414"/>
        </w:rPr>
        <w:t xml:space="preserve"> </w:t>
      </w:r>
      <w:r w:rsidRPr="007E4729">
        <w:t xml:space="preserve">The goal of </w:t>
      </w:r>
      <w:r>
        <w:t xml:space="preserve">this </w:t>
      </w:r>
      <w:r w:rsidRPr="007E4729">
        <w:t>evaluation is to examine the results of eligible activities under Section 108 and explain the relationship between program inputs, activities, outputs, and outcomes.</w:t>
      </w:r>
      <w:r w:rsidRPr="007E4729">
        <w:rPr>
          <w:rStyle w:val="FootnoteReference"/>
        </w:rPr>
        <w:footnoteReference w:id="2"/>
      </w:r>
      <w:r w:rsidRPr="007E4729">
        <w:t xml:space="preserve"> The evaluation will c</w:t>
      </w:r>
      <w:r w:rsidRPr="007E4729">
        <w:rPr>
          <w:rFonts w:cs="FHPPPP+TimesNewRoman"/>
          <w:color w:val="000000"/>
        </w:rPr>
        <w:t>ollect data for the purposes of quantifying achievements of program outputs.</w:t>
      </w:r>
      <w:r>
        <w:rPr>
          <w:rFonts w:cs="FHPPPP+TimesNewRoman"/>
          <w:color w:val="000000"/>
          <w:sz w:val="23"/>
          <w:szCs w:val="23"/>
        </w:rPr>
        <w:t xml:space="preserve">  </w:t>
      </w:r>
      <w:r w:rsidRPr="00550BD5">
        <w:t>The evaluation is designed to answer three core questions</w:t>
      </w:r>
      <w:r w:rsidRPr="00831FF9">
        <w:t xml:space="preserve">:  </w:t>
      </w:r>
    </w:p>
    <w:p w:rsidR="00237226" w:rsidRPr="00831FF9" w:rsidRDefault="00237226" w:rsidP="00237226">
      <w:pPr>
        <w:keepNext/>
        <w:keepLines/>
        <w:numPr>
          <w:ilvl w:val="0"/>
          <w:numId w:val="2"/>
        </w:numPr>
        <w:spacing w:after="120"/>
        <w:jc w:val="both"/>
        <w:rPr>
          <w:b/>
        </w:rPr>
      </w:pPr>
      <w:r w:rsidRPr="00831FF9">
        <w:rPr>
          <w:b/>
        </w:rPr>
        <w:t>Does the Section 108 program overlap with economic development programs operated by other federal agencies?</w:t>
      </w:r>
    </w:p>
    <w:p w:rsidR="00237226" w:rsidRPr="00831FF9" w:rsidRDefault="00237226" w:rsidP="00237226">
      <w:pPr>
        <w:keepNext/>
        <w:keepLines/>
        <w:spacing w:after="120"/>
        <w:ind w:left="720"/>
        <w:jc w:val="both"/>
      </w:pPr>
      <w:r w:rsidRPr="00831FF9">
        <w:t>The issues to be examined here are the (a) extent and (b) nature of the overlap between Section 108 and other federal programs and (c) whether such overlap is functional or not.</w:t>
      </w:r>
    </w:p>
    <w:p w:rsidR="00237226" w:rsidRPr="00831FF9" w:rsidRDefault="00237226" w:rsidP="00237226">
      <w:pPr>
        <w:keepNext/>
        <w:keepLines/>
        <w:numPr>
          <w:ilvl w:val="0"/>
          <w:numId w:val="2"/>
        </w:numPr>
        <w:spacing w:after="120"/>
        <w:jc w:val="both"/>
        <w:rPr>
          <w:b/>
        </w:rPr>
      </w:pPr>
      <w:r w:rsidRPr="00831FF9">
        <w:rPr>
          <w:b/>
        </w:rPr>
        <w:t>What types of projects are being funded through Section 108 guaranteed loans?</w:t>
      </w:r>
    </w:p>
    <w:p w:rsidR="00237226" w:rsidRPr="00831FF9" w:rsidRDefault="00237226" w:rsidP="00237226">
      <w:pPr>
        <w:keepNext/>
        <w:keepLines/>
        <w:autoSpaceDE w:val="0"/>
        <w:autoSpaceDN w:val="0"/>
        <w:adjustRightInd w:val="0"/>
        <w:spacing w:after="120"/>
        <w:ind w:left="720"/>
        <w:jc w:val="both"/>
      </w:pPr>
      <w:r w:rsidRPr="00831FF9">
        <w:t xml:space="preserve">Different communities have used the program to support a wide range of projects such as neighborhood </w:t>
      </w:r>
      <w:r>
        <w:t xml:space="preserve">mixed </w:t>
      </w:r>
      <w:r w:rsidRPr="00831FF9">
        <w:t>commercial</w:t>
      </w:r>
      <w:r>
        <w:t xml:space="preserve"> and residential development</w:t>
      </w:r>
      <w:r w:rsidRPr="00831FF9">
        <w:t>, industrial park</w:t>
      </w:r>
      <w:r>
        <w:t>s</w:t>
      </w:r>
      <w:r w:rsidRPr="00831FF9">
        <w:t xml:space="preserve">, </w:t>
      </w:r>
      <w:r>
        <w:t xml:space="preserve">public facilities, infrastructure development, and </w:t>
      </w:r>
      <w:r w:rsidRPr="00831FF9">
        <w:t xml:space="preserve">affordable housing activities. The questions to be examined here are what types of projects are most commonly funded and what role does Section 108 </w:t>
      </w:r>
      <w:r>
        <w:t>have</w:t>
      </w:r>
      <w:r w:rsidRPr="00831FF9">
        <w:t xml:space="preserve"> in these projects?   </w:t>
      </w:r>
    </w:p>
    <w:p w:rsidR="00237226" w:rsidRDefault="00237226" w:rsidP="00237226">
      <w:pPr>
        <w:keepNext/>
        <w:keepLines/>
        <w:numPr>
          <w:ilvl w:val="0"/>
          <w:numId w:val="2"/>
        </w:numPr>
        <w:jc w:val="both"/>
        <w:rPr>
          <w:b/>
        </w:rPr>
      </w:pPr>
      <w:r w:rsidRPr="00831FF9">
        <w:rPr>
          <w:b/>
        </w:rPr>
        <w:lastRenderedPageBreak/>
        <w:t>What are the results of the Section 108 projects?</w:t>
      </w:r>
    </w:p>
    <w:p w:rsidR="00237226" w:rsidRDefault="00237226" w:rsidP="00237226">
      <w:pPr>
        <w:keepNext/>
        <w:keepLines/>
        <w:ind w:left="720"/>
        <w:jc w:val="both"/>
      </w:pPr>
      <w:r w:rsidRPr="00831FF9">
        <w:t>What quantifiable and qualitative results have Section 108-backed investments produced—ranging from jobs created to local revenues generated, to sites cleaned and cleared, to buildings constructed,</w:t>
      </w:r>
      <w:r>
        <w:t xml:space="preserve"> and infrastructure upgraded?</w:t>
      </w:r>
    </w:p>
    <w:p w:rsidR="00237226" w:rsidRDefault="00237226" w:rsidP="00237226">
      <w:pPr>
        <w:keepNext/>
        <w:keepLines/>
        <w:jc w:val="both"/>
      </w:pPr>
    </w:p>
    <w:p w:rsidR="00237226" w:rsidRDefault="00237226" w:rsidP="00237226">
      <w:pPr>
        <w:keepNext/>
        <w:keepLines/>
        <w:jc w:val="both"/>
      </w:pPr>
      <w:r w:rsidRPr="00831FF9">
        <w:t>To answer the key research questions, we have devised a four-part approach, consisting of:</w:t>
      </w:r>
    </w:p>
    <w:p w:rsidR="00237226" w:rsidRPr="00831FF9" w:rsidRDefault="00237226" w:rsidP="00237226">
      <w:pPr>
        <w:keepNext/>
        <w:keepLines/>
        <w:jc w:val="both"/>
      </w:pPr>
    </w:p>
    <w:p w:rsidR="00237226" w:rsidRPr="00831FF9" w:rsidRDefault="00237226" w:rsidP="00237226">
      <w:pPr>
        <w:keepNext/>
        <w:keepLines/>
        <w:numPr>
          <w:ilvl w:val="0"/>
          <w:numId w:val="3"/>
        </w:numPr>
        <w:spacing w:after="120"/>
        <w:jc w:val="both"/>
      </w:pPr>
      <w:r w:rsidRPr="00831FF9">
        <w:t xml:space="preserve">Conducting an analysis of </w:t>
      </w:r>
      <w:r>
        <w:t>programmatic issues raised by OMB’s PART evaluation that address program design.</w:t>
      </w:r>
      <w:r w:rsidRPr="00831FF9">
        <w:t xml:space="preserve"> </w:t>
      </w:r>
    </w:p>
    <w:p w:rsidR="00237226" w:rsidRPr="00831FF9" w:rsidRDefault="00237226" w:rsidP="00237226">
      <w:pPr>
        <w:keepNext/>
        <w:keepLines/>
        <w:numPr>
          <w:ilvl w:val="0"/>
          <w:numId w:val="3"/>
        </w:numPr>
        <w:spacing w:after="120"/>
        <w:jc w:val="both"/>
      </w:pPr>
      <w:r w:rsidRPr="00831FF9">
        <w:t xml:space="preserve">Examining the administrative files to gain a historical perspective of the program objectives and proposed </w:t>
      </w:r>
      <w:r>
        <w:t xml:space="preserve">outputs and </w:t>
      </w:r>
      <w:r w:rsidRPr="00831FF9">
        <w:t xml:space="preserve">outcomes. </w:t>
      </w:r>
    </w:p>
    <w:p w:rsidR="00237226" w:rsidRDefault="00237226" w:rsidP="00237226">
      <w:pPr>
        <w:keepNext/>
        <w:keepLines/>
        <w:numPr>
          <w:ilvl w:val="0"/>
          <w:numId w:val="3"/>
        </w:numPr>
        <w:spacing w:after="120"/>
        <w:jc w:val="both"/>
      </w:pPr>
      <w:r w:rsidRPr="00831FF9">
        <w:t>Surveying the Section 108 grantees</w:t>
      </w:r>
      <w:r>
        <w:rPr>
          <w:rStyle w:val="FootnoteReference"/>
        </w:rPr>
        <w:footnoteReference w:id="3"/>
      </w:r>
      <w:r w:rsidRPr="00831FF9">
        <w:t xml:space="preserve"> to better understand the </w:t>
      </w:r>
      <w:r>
        <w:t xml:space="preserve">actual </w:t>
      </w:r>
      <w:r w:rsidRPr="00831FF9">
        <w:t>project operations and outcomes.</w:t>
      </w:r>
    </w:p>
    <w:p w:rsidR="00237226" w:rsidRPr="00DD446B" w:rsidRDefault="00237226" w:rsidP="00237226">
      <w:pPr>
        <w:keepNext/>
        <w:keepLines/>
        <w:numPr>
          <w:ilvl w:val="0"/>
          <w:numId w:val="3"/>
        </w:numPr>
        <w:jc w:val="both"/>
      </w:pPr>
      <w:r w:rsidRPr="00831FF9">
        <w:t>Conducting site visits to provide additional clarifications</w:t>
      </w:r>
      <w:r>
        <w:t xml:space="preserve"> and </w:t>
      </w:r>
      <w:r w:rsidRPr="00831FF9">
        <w:t>insights. </w:t>
      </w:r>
    </w:p>
    <w:p w:rsidR="00237226" w:rsidRDefault="00237226" w:rsidP="00237226">
      <w:pPr>
        <w:pStyle w:val="Default"/>
        <w:keepNext/>
        <w:keepLines/>
        <w:jc w:val="both"/>
      </w:pPr>
    </w:p>
    <w:p w:rsidR="00237226" w:rsidRDefault="00237226" w:rsidP="00237226">
      <w:pPr>
        <w:pStyle w:val="Heading2"/>
        <w:keepLines/>
      </w:pPr>
      <w:r>
        <w:t>Research Objectives, Research Questions and Survey Questions</w:t>
      </w:r>
    </w:p>
    <w:p w:rsidR="00237226" w:rsidRDefault="00237226" w:rsidP="00237226">
      <w:pPr>
        <w:keepNext/>
        <w:keepLines/>
      </w:pPr>
    </w:p>
    <w:p w:rsidR="00237226" w:rsidRDefault="00237226" w:rsidP="00237226">
      <w:pPr>
        <w:keepNext/>
        <w:keepLines/>
      </w:pPr>
      <w:r>
        <w:t>The following tables help explain how the three primary research questions are related to the data sources and how the web survey questions are related to the research questions.</w:t>
      </w:r>
    </w:p>
    <w:p w:rsidR="00237226" w:rsidRDefault="00237226" w:rsidP="00237226">
      <w:pPr>
        <w:keepNext/>
        <w:keepLines/>
      </w:pPr>
    </w:p>
    <w:p w:rsidR="00237226" w:rsidRPr="00C357EF" w:rsidRDefault="00237226" w:rsidP="00237226">
      <w:pPr>
        <w:keepNext/>
        <w:keepLines/>
      </w:pPr>
      <w:r>
        <w:rPr>
          <w:rFonts w:ascii="Arial" w:hAnsi="Arial" w:cs="Arial"/>
          <w:b/>
        </w:rPr>
        <w:t xml:space="preserve">Research Questions, Variables, and Data Sources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3192"/>
        <w:gridCol w:w="3193"/>
        <w:gridCol w:w="3191"/>
      </w:tblGrid>
      <w:tr w:rsidR="00237226" w:rsidTr="00F02425">
        <w:trPr>
          <w:tblHeader/>
        </w:trPr>
        <w:tc>
          <w:tcPr>
            <w:tcW w:w="1667" w:type="pct"/>
            <w:shd w:val="clear" w:color="auto" w:fill="99CCFF"/>
          </w:tcPr>
          <w:p w:rsidR="00237226" w:rsidRDefault="00237226" w:rsidP="00F02425">
            <w:pPr>
              <w:keepNext/>
              <w:keepLines/>
              <w:jc w:val="center"/>
              <w:rPr>
                <w:rFonts w:ascii="Arial" w:hAnsi="Arial" w:cs="Arial"/>
                <w:b/>
                <w:sz w:val="20"/>
                <w:szCs w:val="20"/>
              </w:rPr>
            </w:pPr>
            <w:r>
              <w:rPr>
                <w:rFonts w:ascii="Arial" w:hAnsi="Arial" w:cs="Arial"/>
                <w:b/>
                <w:sz w:val="20"/>
                <w:szCs w:val="20"/>
              </w:rPr>
              <w:t xml:space="preserve">Primary Research Question </w:t>
            </w:r>
          </w:p>
        </w:tc>
        <w:tc>
          <w:tcPr>
            <w:tcW w:w="1667" w:type="pct"/>
            <w:shd w:val="clear" w:color="auto" w:fill="99CCFF"/>
          </w:tcPr>
          <w:p w:rsidR="00237226" w:rsidRDefault="00237226" w:rsidP="00F02425">
            <w:pPr>
              <w:keepNext/>
              <w:keepLines/>
              <w:jc w:val="center"/>
              <w:rPr>
                <w:rFonts w:ascii="Arial" w:hAnsi="Arial" w:cs="Arial"/>
                <w:b/>
                <w:sz w:val="20"/>
                <w:szCs w:val="20"/>
              </w:rPr>
            </w:pPr>
            <w:r>
              <w:rPr>
                <w:rFonts w:ascii="Arial" w:hAnsi="Arial" w:cs="Arial"/>
                <w:b/>
                <w:sz w:val="20"/>
                <w:szCs w:val="20"/>
              </w:rPr>
              <w:t>Variable</w:t>
            </w:r>
          </w:p>
        </w:tc>
        <w:tc>
          <w:tcPr>
            <w:tcW w:w="1667" w:type="pct"/>
            <w:shd w:val="clear" w:color="auto" w:fill="99CCFF"/>
          </w:tcPr>
          <w:p w:rsidR="00237226" w:rsidRDefault="00237226" w:rsidP="00F02425">
            <w:pPr>
              <w:keepNext/>
              <w:keepLines/>
              <w:jc w:val="center"/>
              <w:rPr>
                <w:rFonts w:ascii="Arial" w:hAnsi="Arial" w:cs="Arial"/>
                <w:b/>
                <w:sz w:val="20"/>
                <w:szCs w:val="20"/>
              </w:rPr>
            </w:pPr>
            <w:r>
              <w:rPr>
                <w:rFonts w:ascii="Arial" w:hAnsi="Arial" w:cs="Arial"/>
                <w:b/>
                <w:sz w:val="20"/>
                <w:szCs w:val="20"/>
              </w:rPr>
              <w:t>Data Source</w:t>
            </w:r>
          </w:p>
        </w:tc>
      </w:tr>
      <w:tr w:rsidR="00237226" w:rsidTr="00F02425">
        <w:tc>
          <w:tcPr>
            <w:tcW w:w="1667" w:type="pct"/>
          </w:tcPr>
          <w:p w:rsidR="00237226" w:rsidRDefault="00237226" w:rsidP="00F02425">
            <w:pPr>
              <w:keepNext/>
              <w:keepLines/>
              <w:spacing w:before="60" w:after="120"/>
              <w:rPr>
                <w:rFonts w:ascii="Arial" w:hAnsi="Arial" w:cs="Arial"/>
                <w:b/>
                <w:i/>
                <w:sz w:val="20"/>
                <w:szCs w:val="20"/>
              </w:rPr>
            </w:pPr>
            <w:r>
              <w:rPr>
                <w:rFonts w:ascii="Arial" w:hAnsi="Arial" w:cs="Arial"/>
                <w:b/>
                <w:i/>
                <w:sz w:val="20"/>
                <w:szCs w:val="20"/>
              </w:rPr>
              <w:t>Does the Section 108 program overlap with economic development programs operated by other federal agencies?</w:t>
            </w:r>
          </w:p>
          <w:p w:rsidR="00237226" w:rsidRDefault="00237226" w:rsidP="00F02425">
            <w:pPr>
              <w:keepNext/>
              <w:keepLines/>
              <w:rPr>
                <w:rFonts w:ascii="Arial" w:hAnsi="Arial" w:cs="Arial"/>
                <w:sz w:val="20"/>
                <w:szCs w:val="20"/>
              </w:rPr>
            </w:pPr>
          </w:p>
        </w:tc>
        <w:tc>
          <w:tcPr>
            <w:tcW w:w="1667" w:type="pct"/>
          </w:tcPr>
          <w:p w:rsidR="00237226" w:rsidRPr="00601B49" w:rsidRDefault="00237226" w:rsidP="00237226">
            <w:pPr>
              <w:keepNext/>
              <w:keepLines/>
              <w:numPr>
                <w:ilvl w:val="0"/>
                <w:numId w:val="9"/>
              </w:numPr>
              <w:rPr>
                <w:rFonts w:ascii="Arial" w:hAnsi="Arial" w:cs="Arial"/>
                <w:sz w:val="20"/>
                <w:szCs w:val="20"/>
              </w:rPr>
            </w:pPr>
            <w:r>
              <w:rPr>
                <w:rFonts w:ascii="Arial" w:hAnsi="Arial" w:cs="Arial"/>
                <w:sz w:val="20"/>
                <w:szCs w:val="20"/>
              </w:rPr>
              <w:t>P</w:t>
            </w:r>
            <w:r w:rsidRPr="00601B49">
              <w:rPr>
                <w:rFonts w:ascii="Arial" w:hAnsi="Arial" w:cs="Arial"/>
                <w:sz w:val="20"/>
                <w:szCs w:val="20"/>
              </w:rPr>
              <w:t>rogram activities funded through Section 108.</w:t>
            </w:r>
          </w:p>
          <w:p w:rsidR="00237226" w:rsidRDefault="00237226" w:rsidP="00237226">
            <w:pPr>
              <w:keepNext/>
              <w:keepLines/>
              <w:numPr>
                <w:ilvl w:val="0"/>
                <w:numId w:val="9"/>
              </w:numPr>
              <w:rPr>
                <w:rFonts w:ascii="Arial" w:hAnsi="Arial" w:cs="Arial"/>
                <w:sz w:val="20"/>
                <w:szCs w:val="20"/>
              </w:rPr>
            </w:pPr>
            <w:r>
              <w:rPr>
                <w:rFonts w:ascii="Arial" w:hAnsi="Arial" w:cs="Arial"/>
                <w:sz w:val="20"/>
                <w:szCs w:val="20"/>
              </w:rPr>
              <w:t>G</w:t>
            </w:r>
            <w:r w:rsidRPr="00601B49">
              <w:rPr>
                <w:rFonts w:ascii="Arial" w:hAnsi="Arial" w:cs="Arial"/>
                <w:sz w:val="20"/>
                <w:szCs w:val="20"/>
              </w:rPr>
              <w:t>overnment programs that are most likely to overlap with the activities funded through Section 108</w:t>
            </w:r>
            <w:r>
              <w:rPr>
                <w:rFonts w:ascii="Arial" w:hAnsi="Arial" w:cs="Arial"/>
                <w:sz w:val="20"/>
                <w:szCs w:val="20"/>
              </w:rPr>
              <w:t>.</w:t>
            </w:r>
          </w:p>
          <w:p w:rsidR="00237226" w:rsidRPr="00601B49" w:rsidRDefault="00237226" w:rsidP="00237226">
            <w:pPr>
              <w:keepNext/>
              <w:keepLines/>
              <w:numPr>
                <w:ilvl w:val="0"/>
                <w:numId w:val="9"/>
              </w:numPr>
              <w:rPr>
                <w:rFonts w:ascii="Arial" w:hAnsi="Arial" w:cs="Arial"/>
                <w:sz w:val="20"/>
                <w:szCs w:val="20"/>
              </w:rPr>
            </w:pPr>
            <w:r>
              <w:rPr>
                <w:rFonts w:ascii="Arial" w:hAnsi="Arial" w:cs="Arial"/>
                <w:sz w:val="20"/>
                <w:szCs w:val="20"/>
              </w:rPr>
              <w:t>A</w:t>
            </w:r>
            <w:r w:rsidRPr="00601B49">
              <w:rPr>
                <w:rFonts w:ascii="Arial" w:hAnsi="Arial" w:cs="Arial"/>
                <w:sz w:val="20"/>
                <w:szCs w:val="20"/>
              </w:rPr>
              <w:t>lternative sources of program funds for carrying out eventual Section 108-supported activities</w:t>
            </w:r>
            <w:r>
              <w:rPr>
                <w:rFonts w:ascii="Arial" w:hAnsi="Arial" w:cs="Arial"/>
                <w:sz w:val="20"/>
                <w:szCs w:val="20"/>
              </w:rPr>
              <w:t>.</w:t>
            </w:r>
          </w:p>
          <w:p w:rsidR="00237226" w:rsidRDefault="00237226" w:rsidP="00237226">
            <w:pPr>
              <w:keepNext/>
              <w:keepLines/>
              <w:numPr>
                <w:ilvl w:val="0"/>
                <w:numId w:val="9"/>
              </w:numPr>
              <w:rPr>
                <w:rFonts w:ascii="Arial" w:hAnsi="Arial" w:cs="Arial"/>
                <w:sz w:val="20"/>
                <w:szCs w:val="20"/>
              </w:rPr>
            </w:pPr>
            <w:r>
              <w:rPr>
                <w:rFonts w:ascii="Arial" w:hAnsi="Arial" w:cs="Arial"/>
                <w:sz w:val="20"/>
                <w:szCs w:val="20"/>
              </w:rPr>
              <w:t>Reasons for using or not using Section 108.</w:t>
            </w:r>
          </w:p>
        </w:tc>
        <w:tc>
          <w:tcPr>
            <w:tcW w:w="1667" w:type="pct"/>
          </w:tcPr>
          <w:p w:rsidR="00237226" w:rsidRDefault="00237226" w:rsidP="00237226">
            <w:pPr>
              <w:keepNext/>
              <w:keepLines/>
              <w:numPr>
                <w:ilvl w:val="0"/>
                <w:numId w:val="9"/>
              </w:numPr>
              <w:rPr>
                <w:rFonts w:ascii="Arial" w:hAnsi="Arial" w:cs="Arial"/>
                <w:sz w:val="20"/>
                <w:szCs w:val="20"/>
              </w:rPr>
            </w:pPr>
            <w:r>
              <w:rPr>
                <w:rFonts w:ascii="Arial" w:hAnsi="Arial" w:cs="Arial"/>
                <w:sz w:val="20"/>
                <w:szCs w:val="20"/>
              </w:rPr>
              <w:t>Literature review</w:t>
            </w:r>
          </w:p>
          <w:p w:rsidR="00237226" w:rsidRDefault="00237226" w:rsidP="00237226">
            <w:pPr>
              <w:keepNext/>
              <w:keepLines/>
              <w:numPr>
                <w:ilvl w:val="0"/>
                <w:numId w:val="9"/>
              </w:numPr>
              <w:rPr>
                <w:rFonts w:ascii="Arial" w:hAnsi="Arial" w:cs="Arial"/>
                <w:sz w:val="20"/>
                <w:szCs w:val="20"/>
              </w:rPr>
            </w:pPr>
            <w:r>
              <w:rPr>
                <w:rFonts w:ascii="Arial" w:hAnsi="Arial" w:cs="Arial"/>
                <w:sz w:val="20"/>
                <w:szCs w:val="20"/>
              </w:rPr>
              <w:t>Web searches</w:t>
            </w:r>
          </w:p>
          <w:p w:rsidR="00237226" w:rsidRDefault="00237226" w:rsidP="00237226">
            <w:pPr>
              <w:keepNext/>
              <w:keepLines/>
              <w:numPr>
                <w:ilvl w:val="0"/>
                <w:numId w:val="9"/>
              </w:numPr>
              <w:rPr>
                <w:rFonts w:ascii="Arial" w:hAnsi="Arial" w:cs="Arial"/>
                <w:sz w:val="20"/>
                <w:szCs w:val="20"/>
              </w:rPr>
            </w:pPr>
            <w:r>
              <w:rPr>
                <w:rFonts w:ascii="Arial" w:hAnsi="Arial" w:cs="Arial"/>
                <w:sz w:val="20"/>
                <w:szCs w:val="20"/>
              </w:rPr>
              <w:t>GAO report</w:t>
            </w:r>
          </w:p>
          <w:p w:rsidR="00237226" w:rsidRDefault="00237226" w:rsidP="00237226">
            <w:pPr>
              <w:keepNext/>
              <w:keepLines/>
              <w:numPr>
                <w:ilvl w:val="0"/>
                <w:numId w:val="9"/>
              </w:numPr>
              <w:rPr>
                <w:rFonts w:ascii="Arial" w:hAnsi="Arial" w:cs="Arial"/>
                <w:sz w:val="20"/>
                <w:szCs w:val="20"/>
              </w:rPr>
            </w:pPr>
            <w:r>
              <w:rPr>
                <w:rFonts w:ascii="Arial" w:hAnsi="Arial" w:cs="Arial"/>
                <w:sz w:val="20"/>
                <w:szCs w:val="20"/>
              </w:rPr>
              <w:t>HUD administrative data.</w:t>
            </w:r>
          </w:p>
          <w:p w:rsidR="00237226" w:rsidRDefault="00237226" w:rsidP="00237226">
            <w:pPr>
              <w:keepNext/>
              <w:keepLines/>
              <w:numPr>
                <w:ilvl w:val="0"/>
                <w:numId w:val="9"/>
              </w:numPr>
              <w:rPr>
                <w:rFonts w:ascii="Arial" w:hAnsi="Arial" w:cs="Arial"/>
                <w:sz w:val="20"/>
                <w:szCs w:val="20"/>
              </w:rPr>
            </w:pPr>
            <w:r>
              <w:rPr>
                <w:rFonts w:ascii="Arial" w:hAnsi="Arial" w:cs="Arial"/>
                <w:sz w:val="20"/>
                <w:szCs w:val="20"/>
              </w:rPr>
              <w:t>Web Survey.</w:t>
            </w:r>
          </w:p>
          <w:p w:rsidR="00237226" w:rsidRDefault="00237226" w:rsidP="00237226">
            <w:pPr>
              <w:keepNext/>
              <w:keepLines/>
              <w:numPr>
                <w:ilvl w:val="0"/>
                <w:numId w:val="9"/>
              </w:numPr>
              <w:rPr>
                <w:rFonts w:ascii="Arial" w:hAnsi="Arial" w:cs="Arial"/>
                <w:sz w:val="20"/>
                <w:szCs w:val="20"/>
              </w:rPr>
            </w:pPr>
            <w:r>
              <w:rPr>
                <w:rFonts w:ascii="Arial" w:hAnsi="Arial" w:cs="Arial"/>
                <w:sz w:val="20"/>
                <w:szCs w:val="20"/>
              </w:rPr>
              <w:t>Site Visits.</w:t>
            </w:r>
          </w:p>
        </w:tc>
      </w:tr>
      <w:tr w:rsidR="00237226" w:rsidTr="00F02425">
        <w:tc>
          <w:tcPr>
            <w:tcW w:w="1667" w:type="pct"/>
          </w:tcPr>
          <w:p w:rsidR="00237226" w:rsidRDefault="00237226" w:rsidP="00F02425">
            <w:pPr>
              <w:keepNext/>
              <w:keepLines/>
              <w:rPr>
                <w:rFonts w:ascii="Arial" w:hAnsi="Arial" w:cs="Arial"/>
                <w:sz w:val="20"/>
                <w:szCs w:val="20"/>
              </w:rPr>
            </w:pPr>
            <w:r>
              <w:rPr>
                <w:rFonts w:ascii="Arial" w:hAnsi="Arial" w:cs="Arial"/>
                <w:b/>
                <w:i/>
                <w:sz w:val="20"/>
                <w:szCs w:val="20"/>
              </w:rPr>
              <w:t>What types of projects are being funded through Section 108 guaranteed loans?</w:t>
            </w:r>
          </w:p>
        </w:tc>
        <w:tc>
          <w:tcPr>
            <w:tcW w:w="1667" w:type="pct"/>
          </w:tcPr>
          <w:p w:rsidR="00237226" w:rsidRDefault="00237226" w:rsidP="00237226">
            <w:pPr>
              <w:keepNext/>
              <w:keepLines/>
              <w:numPr>
                <w:ilvl w:val="0"/>
                <w:numId w:val="11"/>
              </w:numPr>
              <w:rPr>
                <w:rFonts w:ascii="Arial" w:hAnsi="Arial" w:cs="Arial"/>
                <w:sz w:val="20"/>
                <w:szCs w:val="20"/>
              </w:rPr>
            </w:pPr>
            <w:r>
              <w:rPr>
                <w:rFonts w:ascii="Arial" w:hAnsi="Arial" w:cs="Arial"/>
                <w:sz w:val="20"/>
                <w:szCs w:val="20"/>
              </w:rPr>
              <w:t>Projects funded FYs 2002–2007</w:t>
            </w:r>
          </w:p>
          <w:p w:rsidR="00237226" w:rsidRDefault="00237226" w:rsidP="00237226">
            <w:pPr>
              <w:keepNext/>
              <w:keepLines/>
              <w:numPr>
                <w:ilvl w:val="0"/>
                <w:numId w:val="11"/>
              </w:numPr>
              <w:rPr>
                <w:rFonts w:ascii="Arial" w:hAnsi="Arial" w:cs="Arial"/>
                <w:sz w:val="20"/>
                <w:szCs w:val="20"/>
              </w:rPr>
            </w:pPr>
            <w:r>
              <w:rPr>
                <w:rFonts w:ascii="Arial" w:hAnsi="Arial" w:cs="Arial"/>
                <w:sz w:val="20"/>
                <w:szCs w:val="20"/>
              </w:rPr>
              <w:t xml:space="preserve">Grantees </w:t>
            </w:r>
          </w:p>
          <w:p w:rsidR="00237226" w:rsidRDefault="00237226" w:rsidP="00237226">
            <w:pPr>
              <w:keepNext/>
              <w:keepLines/>
              <w:numPr>
                <w:ilvl w:val="0"/>
                <w:numId w:val="11"/>
              </w:numPr>
              <w:rPr>
                <w:rFonts w:ascii="Arial" w:hAnsi="Arial" w:cs="Arial"/>
                <w:sz w:val="20"/>
                <w:szCs w:val="20"/>
              </w:rPr>
            </w:pPr>
            <w:r>
              <w:rPr>
                <w:rFonts w:ascii="Arial" w:hAnsi="Arial" w:cs="Arial"/>
                <w:sz w:val="20"/>
                <w:szCs w:val="20"/>
              </w:rPr>
              <w:t>Locations</w:t>
            </w:r>
          </w:p>
          <w:p w:rsidR="00237226" w:rsidRDefault="00237226" w:rsidP="00237226">
            <w:pPr>
              <w:keepNext/>
              <w:keepLines/>
              <w:numPr>
                <w:ilvl w:val="0"/>
                <w:numId w:val="11"/>
              </w:numPr>
              <w:rPr>
                <w:rFonts w:ascii="Arial" w:hAnsi="Arial" w:cs="Arial"/>
                <w:sz w:val="20"/>
                <w:szCs w:val="20"/>
              </w:rPr>
            </w:pPr>
            <w:r>
              <w:rPr>
                <w:rFonts w:ascii="Arial" w:hAnsi="Arial" w:cs="Arial"/>
                <w:sz w:val="20"/>
                <w:szCs w:val="20"/>
              </w:rPr>
              <w:t>Project descriptions</w:t>
            </w:r>
          </w:p>
          <w:p w:rsidR="00237226" w:rsidRDefault="00237226" w:rsidP="00237226">
            <w:pPr>
              <w:keepNext/>
              <w:keepLines/>
              <w:numPr>
                <w:ilvl w:val="0"/>
                <w:numId w:val="11"/>
              </w:numPr>
              <w:rPr>
                <w:rFonts w:ascii="Arial" w:hAnsi="Arial" w:cs="Arial"/>
                <w:sz w:val="20"/>
                <w:szCs w:val="20"/>
              </w:rPr>
            </w:pPr>
            <w:r>
              <w:rPr>
                <w:rFonts w:ascii="Arial" w:hAnsi="Arial" w:cs="Arial"/>
                <w:sz w:val="20"/>
                <w:szCs w:val="20"/>
              </w:rPr>
              <w:t>Project characteristics</w:t>
            </w:r>
          </w:p>
          <w:p w:rsidR="00237226" w:rsidRDefault="00237226" w:rsidP="00237226">
            <w:pPr>
              <w:keepNext/>
              <w:keepLines/>
              <w:numPr>
                <w:ilvl w:val="0"/>
                <w:numId w:val="11"/>
              </w:numPr>
              <w:rPr>
                <w:rFonts w:ascii="Arial" w:hAnsi="Arial" w:cs="Arial"/>
                <w:sz w:val="20"/>
                <w:szCs w:val="20"/>
              </w:rPr>
            </w:pPr>
            <w:r>
              <w:rPr>
                <w:rFonts w:ascii="Arial" w:hAnsi="Arial" w:cs="Arial"/>
                <w:sz w:val="20"/>
                <w:szCs w:val="20"/>
              </w:rPr>
              <w:t>National objectives</w:t>
            </w:r>
          </w:p>
          <w:p w:rsidR="00237226" w:rsidRDefault="00237226" w:rsidP="00237226">
            <w:pPr>
              <w:keepNext/>
              <w:keepLines/>
              <w:numPr>
                <w:ilvl w:val="0"/>
                <w:numId w:val="11"/>
              </w:numPr>
              <w:rPr>
                <w:rFonts w:ascii="Arial" w:hAnsi="Arial" w:cs="Arial"/>
                <w:sz w:val="20"/>
                <w:szCs w:val="20"/>
              </w:rPr>
            </w:pPr>
            <w:r>
              <w:rPr>
                <w:rFonts w:ascii="Arial" w:hAnsi="Arial" w:cs="Arial"/>
                <w:sz w:val="20"/>
                <w:szCs w:val="20"/>
              </w:rPr>
              <w:t>Activity (outputs)</w:t>
            </w:r>
          </w:p>
          <w:p w:rsidR="00237226" w:rsidRDefault="00237226" w:rsidP="00237226">
            <w:pPr>
              <w:keepNext/>
              <w:keepLines/>
              <w:numPr>
                <w:ilvl w:val="0"/>
                <w:numId w:val="11"/>
              </w:numPr>
              <w:rPr>
                <w:rFonts w:ascii="Arial" w:hAnsi="Arial" w:cs="Arial"/>
                <w:sz w:val="20"/>
                <w:szCs w:val="20"/>
              </w:rPr>
            </w:pPr>
            <w:r>
              <w:rPr>
                <w:rFonts w:ascii="Arial" w:hAnsi="Arial" w:cs="Arial"/>
                <w:sz w:val="20"/>
                <w:szCs w:val="20"/>
              </w:rPr>
              <w:t>Proposed outcome</w:t>
            </w:r>
          </w:p>
          <w:p w:rsidR="00237226" w:rsidRDefault="00237226" w:rsidP="00237226">
            <w:pPr>
              <w:keepNext/>
              <w:keepLines/>
              <w:numPr>
                <w:ilvl w:val="0"/>
                <w:numId w:val="11"/>
              </w:numPr>
              <w:rPr>
                <w:rFonts w:ascii="Arial" w:hAnsi="Arial" w:cs="Arial"/>
                <w:sz w:val="20"/>
                <w:szCs w:val="20"/>
              </w:rPr>
            </w:pPr>
            <w:r>
              <w:rPr>
                <w:rFonts w:ascii="Arial" w:hAnsi="Arial" w:cs="Arial"/>
                <w:sz w:val="20"/>
                <w:szCs w:val="20"/>
              </w:rPr>
              <w:lastRenderedPageBreak/>
              <w:t>Jurisdiction (recipient) and neighborhood characteristics</w:t>
            </w:r>
          </w:p>
        </w:tc>
        <w:tc>
          <w:tcPr>
            <w:tcW w:w="1667" w:type="pct"/>
          </w:tcPr>
          <w:p w:rsidR="00237226" w:rsidRDefault="00237226" w:rsidP="00237226">
            <w:pPr>
              <w:keepNext/>
              <w:keepLines/>
              <w:numPr>
                <w:ilvl w:val="0"/>
                <w:numId w:val="10"/>
              </w:numPr>
              <w:rPr>
                <w:rFonts w:ascii="Arial" w:hAnsi="Arial" w:cs="Arial"/>
                <w:sz w:val="20"/>
                <w:szCs w:val="20"/>
              </w:rPr>
            </w:pPr>
            <w:r>
              <w:rPr>
                <w:rFonts w:ascii="Arial" w:hAnsi="Arial" w:cs="Arial"/>
                <w:sz w:val="20"/>
                <w:szCs w:val="20"/>
              </w:rPr>
              <w:lastRenderedPageBreak/>
              <w:t xml:space="preserve">HUD program data: administrative files, </w:t>
            </w:r>
            <w:r>
              <w:rPr>
                <w:rFonts w:ascii="Arial" w:hAnsi="Arial" w:cs="Arial"/>
                <w:sz w:val="20"/>
                <w:szCs w:val="20"/>
              </w:rPr>
              <w:br/>
              <w:t>dBase file, LAMS</w:t>
            </w:r>
          </w:p>
          <w:p w:rsidR="00237226" w:rsidRDefault="00237226" w:rsidP="00237226">
            <w:pPr>
              <w:keepNext/>
              <w:keepLines/>
              <w:numPr>
                <w:ilvl w:val="0"/>
                <w:numId w:val="10"/>
              </w:numPr>
              <w:rPr>
                <w:rFonts w:ascii="Arial" w:hAnsi="Arial" w:cs="Arial"/>
                <w:sz w:val="20"/>
                <w:szCs w:val="20"/>
              </w:rPr>
            </w:pPr>
            <w:r>
              <w:rPr>
                <w:rFonts w:ascii="Arial" w:hAnsi="Arial" w:cs="Arial"/>
                <w:sz w:val="20"/>
                <w:szCs w:val="20"/>
              </w:rPr>
              <w:t>Web survey</w:t>
            </w:r>
          </w:p>
          <w:p w:rsidR="00237226" w:rsidRDefault="00237226" w:rsidP="00237226">
            <w:pPr>
              <w:keepNext/>
              <w:keepLines/>
              <w:numPr>
                <w:ilvl w:val="0"/>
                <w:numId w:val="10"/>
              </w:numPr>
              <w:rPr>
                <w:rFonts w:ascii="Arial" w:hAnsi="Arial" w:cs="Arial"/>
                <w:sz w:val="20"/>
                <w:szCs w:val="20"/>
              </w:rPr>
            </w:pPr>
            <w:r>
              <w:rPr>
                <w:rFonts w:ascii="Arial" w:hAnsi="Arial" w:cs="Arial"/>
                <w:sz w:val="20"/>
                <w:szCs w:val="20"/>
              </w:rPr>
              <w:t>Site visits</w:t>
            </w:r>
          </w:p>
          <w:p w:rsidR="00237226" w:rsidRDefault="00237226" w:rsidP="00237226">
            <w:pPr>
              <w:keepNext/>
              <w:keepLines/>
              <w:numPr>
                <w:ilvl w:val="0"/>
                <w:numId w:val="12"/>
              </w:numPr>
              <w:rPr>
                <w:rFonts w:ascii="Arial" w:hAnsi="Arial" w:cs="Arial"/>
                <w:sz w:val="20"/>
                <w:szCs w:val="20"/>
              </w:rPr>
            </w:pPr>
            <w:r>
              <w:rPr>
                <w:rFonts w:ascii="Arial" w:hAnsi="Arial" w:cs="Arial"/>
                <w:sz w:val="20"/>
                <w:szCs w:val="20"/>
              </w:rPr>
              <w:t>U.S. Census data</w:t>
            </w:r>
          </w:p>
          <w:p w:rsidR="00237226" w:rsidRDefault="00237226" w:rsidP="00237226">
            <w:pPr>
              <w:keepNext/>
              <w:keepLines/>
              <w:numPr>
                <w:ilvl w:val="0"/>
                <w:numId w:val="10"/>
              </w:numPr>
              <w:rPr>
                <w:rFonts w:ascii="Arial" w:hAnsi="Arial" w:cs="Arial"/>
                <w:sz w:val="20"/>
                <w:szCs w:val="20"/>
              </w:rPr>
            </w:pPr>
            <w:r>
              <w:rPr>
                <w:rFonts w:ascii="Arial" w:hAnsi="Arial" w:cs="Arial"/>
                <w:sz w:val="20"/>
                <w:szCs w:val="20"/>
              </w:rPr>
              <w:t>ACS data</w:t>
            </w:r>
          </w:p>
        </w:tc>
      </w:tr>
      <w:tr w:rsidR="00237226" w:rsidTr="00F02425">
        <w:tc>
          <w:tcPr>
            <w:tcW w:w="1667" w:type="pct"/>
          </w:tcPr>
          <w:p w:rsidR="00237226" w:rsidRDefault="00237226" w:rsidP="00F02425">
            <w:pPr>
              <w:keepNext/>
              <w:keepLines/>
              <w:rPr>
                <w:rFonts w:ascii="Arial" w:hAnsi="Arial" w:cs="Arial"/>
                <w:b/>
                <w:i/>
                <w:sz w:val="20"/>
                <w:szCs w:val="20"/>
              </w:rPr>
            </w:pPr>
            <w:r>
              <w:rPr>
                <w:rFonts w:ascii="Arial" w:hAnsi="Arial" w:cs="Arial"/>
                <w:b/>
                <w:i/>
                <w:sz w:val="20"/>
                <w:szCs w:val="20"/>
              </w:rPr>
              <w:lastRenderedPageBreak/>
              <w:t>What are the results of the Section 108 projects?</w:t>
            </w:r>
          </w:p>
          <w:p w:rsidR="00237226" w:rsidRDefault="00237226" w:rsidP="00F02425">
            <w:pPr>
              <w:keepNext/>
              <w:keepLines/>
              <w:rPr>
                <w:rFonts w:ascii="Arial" w:hAnsi="Arial" w:cs="Arial"/>
                <w:sz w:val="20"/>
                <w:szCs w:val="20"/>
              </w:rPr>
            </w:pPr>
          </w:p>
        </w:tc>
        <w:tc>
          <w:tcPr>
            <w:tcW w:w="1667" w:type="pct"/>
          </w:tcPr>
          <w:p w:rsidR="00237226" w:rsidRDefault="00237226" w:rsidP="00237226">
            <w:pPr>
              <w:keepNext/>
              <w:keepLines/>
              <w:numPr>
                <w:ilvl w:val="0"/>
                <w:numId w:val="13"/>
              </w:numPr>
              <w:rPr>
                <w:rFonts w:ascii="Arial" w:hAnsi="Arial" w:cs="Arial"/>
                <w:sz w:val="20"/>
                <w:szCs w:val="20"/>
              </w:rPr>
            </w:pPr>
            <w:r>
              <w:rPr>
                <w:rFonts w:ascii="Arial" w:hAnsi="Arial" w:cs="Arial"/>
                <w:sz w:val="20"/>
                <w:szCs w:val="20"/>
              </w:rPr>
              <w:t>Verification of HUD program data on characteristics of projects</w:t>
            </w:r>
          </w:p>
          <w:p w:rsidR="00237226" w:rsidRDefault="00237226" w:rsidP="00237226">
            <w:pPr>
              <w:keepNext/>
              <w:keepLines/>
              <w:numPr>
                <w:ilvl w:val="0"/>
                <w:numId w:val="13"/>
              </w:numPr>
              <w:rPr>
                <w:rFonts w:ascii="Arial" w:hAnsi="Arial" w:cs="Arial"/>
                <w:sz w:val="20"/>
                <w:szCs w:val="20"/>
              </w:rPr>
            </w:pPr>
            <w:r>
              <w:rPr>
                <w:rFonts w:ascii="Arial" w:hAnsi="Arial" w:cs="Arial"/>
                <w:sz w:val="20"/>
                <w:szCs w:val="20"/>
              </w:rPr>
              <w:t>Accomplishments, benefits, and outcomes</w:t>
            </w:r>
          </w:p>
          <w:p w:rsidR="00237226" w:rsidRDefault="00237226" w:rsidP="00237226">
            <w:pPr>
              <w:keepNext/>
              <w:keepLines/>
              <w:numPr>
                <w:ilvl w:val="0"/>
                <w:numId w:val="13"/>
              </w:numPr>
              <w:rPr>
                <w:rFonts w:ascii="Arial" w:hAnsi="Arial" w:cs="Arial"/>
                <w:sz w:val="20"/>
                <w:szCs w:val="20"/>
              </w:rPr>
            </w:pPr>
            <w:r>
              <w:rPr>
                <w:rFonts w:ascii="Arial" w:hAnsi="Arial" w:cs="Arial"/>
                <w:sz w:val="20"/>
                <w:szCs w:val="20"/>
              </w:rPr>
              <w:t>Leveraging</w:t>
            </w:r>
          </w:p>
          <w:p w:rsidR="00237226" w:rsidRDefault="00237226" w:rsidP="00237226">
            <w:pPr>
              <w:keepNext/>
              <w:keepLines/>
              <w:numPr>
                <w:ilvl w:val="0"/>
                <w:numId w:val="13"/>
              </w:numPr>
              <w:rPr>
                <w:rFonts w:ascii="Arial" w:hAnsi="Arial" w:cs="Arial"/>
                <w:sz w:val="20"/>
                <w:szCs w:val="20"/>
              </w:rPr>
            </w:pPr>
            <w:r>
              <w:rPr>
                <w:rFonts w:ascii="Arial" w:hAnsi="Arial" w:cs="Arial"/>
                <w:sz w:val="20"/>
                <w:szCs w:val="20"/>
              </w:rPr>
              <w:t>Use of other federal programs and funds</w:t>
            </w:r>
          </w:p>
          <w:p w:rsidR="00237226" w:rsidRDefault="00237226" w:rsidP="00237226">
            <w:pPr>
              <w:keepNext/>
              <w:keepLines/>
              <w:numPr>
                <w:ilvl w:val="0"/>
                <w:numId w:val="13"/>
              </w:numPr>
              <w:rPr>
                <w:rFonts w:ascii="Arial" w:hAnsi="Arial" w:cs="Arial"/>
                <w:sz w:val="20"/>
                <w:szCs w:val="20"/>
              </w:rPr>
            </w:pPr>
            <w:r>
              <w:rPr>
                <w:rFonts w:ascii="Arial" w:hAnsi="Arial" w:cs="Arial"/>
                <w:sz w:val="20"/>
                <w:szCs w:val="20"/>
              </w:rPr>
              <w:t>Proposed performance measures for use in future program monitoring and evaluation.</w:t>
            </w:r>
          </w:p>
        </w:tc>
        <w:tc>
          <w:tcPr>
            <w:tcW w:w="1667" w:type="pct"/>
          </w:tcPr>
          <w:p w:rsidR="00237226" w:rsidRDefault="00237226" w:rsidP="00237226">
            <w:pPr>
              <w:keepNext/>
              <w:keepLines/>
              <w:numPr>
                <w:ilvl w:val="0"/>
                <w:numId w:val="12"/>
              </w:numPr>
              <w:rPr>
                <w:rFonts w:ascii="Arial" w:hAnsi="Arial" w:cs="Arial"/>
                <w:sz w:val="20"/>
                <w:szCs w:val="20"/>
              </w:rPr>
            </w:pPr>
            <w:r>
              <w:rPr>
                <w:rFonts w:ascii="Arial" w:hAnsi="Arial" w:cs="Arial"/>
                <w:sz w:val="20"/>
                <w:szCs w:val="20"/>
              </w:rPr>
              <w:t>Web survey</w:t>
            </w:r>
          </w:p>
          <w:p w:rsidR="00237226" w:rsidRDefault="00237226" w:rsidP="00237226">
            <w:pPr>
              <w:keepNext/>
              <w:keepLines/>
              <w:numPr>
                <w:ilvl w:val="0"/>
                <w:numId w:val="12"/>
              </w:numPr>
              <w:rPr>
                <w:rFonts w:ascii="Arial" w:hAnsi="Arial" w:cs="Arial"/>
                <w:sz w:val="20"/>
                <w:szCs w:val="20"/>
              </w:rPr>
            </w:pPr>
            <w:r>
              <w:rPr>
                <w:rFonts w:ascii="Arial" w:hAnsi="Arial" w:cs="Arial"/>
                <w:sz w:val="20"/>
                <w:szCs w:val="20"/>
              </w:rPr>
              <w:t>Site visits</w:t>
            </w:r>
          </w:p>
          <w:p w:rsidR="00237226" w:rsidRDefault="00237226" w:rsidP="00237226">
            <w:pPr>
              <w:keepNext/>
              <w:keepLines/>
              <w:numPr>
                <w:ilvl w:val="0"/>
                <w:numId w:val="12"/>
              </w:numPr>
              <w:rPr>
                <w:rFonts w:ascii="Arial" w:hAnsi="Arial" w:cs="Arial"/>
                <w:sz w:val="20"/>
                <w:szCs w:val="20"/>
              </w:rPr>
            </w:pPr>
            <w:r>
              <w:rPr>
                <w:rFonts w:ascii="Arial" w:hAnsi="Arial" w:cs="Arial"/>
                <w:sz w:val="20"/>
                <w:szCs w:val="20"/>
              </w:rPr>
              <w:t xml:space="preserve">Census Data </w:t>
            </w:r>
          </w:p>
          <w:p w:rsidR="00237226" w:rsidRDefault="00237226" w:rsidP="00237226">
            <w:pPr>
              <w:keepNext/>
              <w:keepLines/>
              <w:numPr>
                <w:ilvl w:val="0"/>
                <w:numId w:val="12"/>
              </w:numPr>
              <w:rPr>
                <w:rFonts w:ascii="Arial" w:hAnsi="Arial" w:cs="Arial"/>
                <w:sz w:val="20"/>
                <w:szCs w:val="20"/>
              </w:rPr>
            </w:pPr>
            <w:r>
              <w:rPr>
                <w:rFonts w:ascii="Arial" w:hAnsi="Arial" w:cs="Arial"/>
                <w:sz w:val="20"/>
                <w:szCs w:val="20"/>
              </w:rPr>
              <w:t>ACS Data</w:t>
            </w:r>
          </w:p>
          <w:p w:rsidR="00237226" w:rsidRDefault="00237226" w:rsidP="00237226">
            <w:pPr>
              <w:keepNext/>
              <w:keepLines/>
              <w:numPr>
                <w:ilvl w:val="0"/>
                <w:numId w:val="12"/>
              </w:numPr>
              <w:rPr>
                <w:rFonts w:ascii="Arial" w:hAnsi="Arial" w:cs="Arial"/>
                <w:sz w:val="20"/>
                <w:szCs w:val="20"/>
              </w:rPr>
            </w:pPr>
            <w:r>
              <w:rPr>
                <w:rFonts w:ascii="Arial" w:hAnsi="Arial" w:cs="Arial"/>
                <w:sz w:val="20"/>
                <w:szCs w:val="20"/>
              </w:rPr>
              <w:t>CPD Outcome Performance Measurement system for community planning and development</w:t>
            </w:r>
          </w:p>
          <w:p w:rsidR="00237226" w:rsidRDefault="00237226" w:rsidP="00237226">
            <w:pPr>
              <w:keepNext/>
              <w:keepLines/>
              <w:numPr>
                <w:ilvl w:val="0"/>
                <w:numId w:val="12"/>
              </w:numPr>
              <w:rPr>
                <w:rFonts w:ascii="Arial" w:hAnsi="Arial" w:cs="Arial"/>
                <w:sz w:val="20"/>
                <w:szCs w:val="20"/>
              </w:rPr>
            </w:pPr>
            <w:r>
              <w:rPr>
                <w:rFonts w:ascii="Arial" w:hAnsi="Arial" w:cs="Arial"/>
                <w:sz w:val="20"/>
                <w:szCs w:val="20"/>
              </w:rPr>
              <w:t>Integrated Disbursement and Information System (IDIS)</w:t>
            </w:r>
            <w:r>
              <w:rPr>
                <w:rStyle w:val="FootnoteReference"/>
                <w:rFonts w:ascii="Arial" w:hAnsi="Arial" w:cs="Arial"/>
                <w:sz w:val="20"/>
                <w:szCs w:val="20"/>
              </w:rPr>
              <w:footnoteReference w:id="4"/>
            </w:r>
          </w:p>
          <w:p w:rsidR="00237226" w:rsidRDefault="00237226" w:rsidP="00F02425">
            <w:pPr>
              <w:keepNext/>
              <w:keepLines/>
              <w:rPr>
                <w:rFonts w:ascii="Arial" w:hAnsi="Arial" w:cs="Arial"/>
                <w:sz w:val="20"/>
                <w:szCs w:val="20"/>
              </w:rPr>
            </w:pPr>
          </w:p>
        </w:tc>
      </w:tr>
    </w:tbl>
    <w:p w:rsidR="00237226" w:rsidRDefault="00237226" w:rsidP="00237226">
      <w:pPr>
        <w:keepNext/>
        <w:keepLines/>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653"/>
        <w:gridCol w:w="1235"/>
        <w:gridCol w:w="3380"/>
        <w:gridCol w:w="2308"/>
      </w:tblGrid>
      <w:tr w:rsidR="00237226" w:rsidTr="00F02425">
        <w:trPr>
          <w:tblHeader/>
        </w:trPr>
        <w:tc>
          <w:tcPr>
            <w:tcW w:w="1385" w:type="pct"/>
            <w:shd w:val="clear" w:color="auto" w:fill="99CCFF"/>
          </w:tcPr>
          <w:p w:rsidR="00237226" w:rsidRDefault="00237226" w:rsidP="00F02425">
            <w:pPr>
              <w:keepNext/>
              <w:keepLines/>
              <w:spacing w:before="60" w:after="60"/>
              <w:jc w:val="center"/>
              <w:rPr>
                <w:rFonts w:ascii="Arial" w:hAnsi="Arial" w:cs="Arial"/>
                <w:b/>
                <w:sz w:val="20"/>
                <w:szCs w:val="20"/>
              </w:rPr>
            </w:pPr>
          </w:p>
          <w:p w:rsidR="00237226" w:rsidRDefault="00237226" w:rsidP="00F02425">
            <w:pPr>
              <w:keepNext/>
              <w:keepLines/>
              <w:spacing w:before="60" w:after="60"/>
              <w:jc w:val="center"/>
              <w:rPr>
                <w:rFonts w:ascii="Arial" w:hAnsi="Arial" w:cs="Arial"/>
                <w:b/>
                <w:i/>
                <w:sz w:val="20"/>
                <w:szCs w:val="20"/>
              </w:rPr>
            </w:pPr>
            <w:r>
              <w:rPr>
                <w:rFonts w:ascii="Arial" w:hAnsi="Arial" w:cs="Arial"/>
                <w:b/>
                <w:sz w:val="20"/>
                <w:szCs w:val="20"/>
              </w:rPr>
              <w:t>Section of Survey</w:t>
            </w:r>
          </w:p>
        </w:tc>
        <w:tc>
          <w:tcPr>
            <w:tcW w:w="645" w:type="pct"/>
            <w:shd w:val="clear" w:color="auto" w:fill="99CCFF"/>
          </w:tcPr>
          <w:p w:rsidR="00237226" w:rsidRDefault="00237226" w:rsidP="00F02425">
            <w:pPr>
              <w:keepNext/>
              <w:keepLines/>
              <w:spacing w:before="60" w:after="60"/>
              <w:jc w:val="center"/>
              <w:rPr>
                <w:rFonts w:ascii="Arial" w:hAnsi="Arial" w:cs="Arial"/>
                <w:b/>
                <w:sz w:val="20"/>
                <w:szCs w:val="20"/>
              </w:rPr>
            </w:pPr>
            <w:r>
              <w:rPr>
                <w:rFonts w:ascii="Arial" w:hAnsi="Arial" w:cs="Arial"/>
                <w:b/>
                <w:sz w:val="20"/>
                <w:szCs w:val="20"/>
              </w:rPr>
              <w:t>Question Number(s)</w:t>
            </w:r>
          </w:p>
        </w:tc>
        <w:tc>
          <w:tcPr>
            <w:tcW w:w="1765" w:type="pct"/>
            <w:shd w:val="clear" w:color="auto" w:fill="99CCFF"/>
          </w:tcPr>
          <w:p w:rsidR="00237226" w:rsidRDefault="00237226" w:rsidP="00F02425">
            <w:pPr>
              <w:keepNext/>
              <w:keepLines/>
              <w:spacing w:before="60" w:after="60"/>
              <w:jc w:val="center"/>
              <w:rPr>
                <w:rFonts w:ascii="Arial" w:hAnsi="Arial" w:cs="Arial"/>
                <w:b/>
                <w:sz w:val="20"/>
                <w:szCs w:val="20"/>
              </w:rPr>
            </w:pPr>
            <w:r>
              <w:rPr>
                <w:rFonts w:ascii="Arial" w:hAnsi="Arial" w:cs="Arial"/>
                <w:b/>
                <w:sz w:val="20"/>
                <w:szCs w:val="20"/>
              </w:rPr>
              <w:t>Primary Research Question Addressed by this Section of Survey</w:t>
            </w:r>
          </w:p>
        </w:tc>
        <w:tc>
          <w:tcPr>
            <w:tcW w:w="1205" w:type="pct"/>
            <w:shd w:val="clear" w:color="auto" w:fill="99CCFF"/>
          </w:tcPr>
          <w:p w:rsidR="00237226" w:rsidRDefault="00237226" w:rsidP="00F02425">
            <w:pPr>
              <w:keepNext/>
              <w:keepLines/>
              <w:spacing w:before="60" w:after="60"/>
              <w:jc w:val="center"/>
              <w:rPr>
                <w:rFonts w:ascii="Arial" w:hAnsi="Arial" w:cs="Arial"/>
                <w:b/>
                <w:sz w:val="20"/>
                <w:szCs w:val="20"/>
              </w:rPr>
            </w:pPr>
            <w:r>
              <w:rPr>
                <w:rFonts w:ascii="Arial" w:hAnsi="Arial" w:cs="Arial"/>
                <w:b/>
                <w:sz w:val="20"/>
                <w:szCs w:val="20"/>
              </w:rPr>
              <w:t>Comments</w:t>
            </w:r>
          </w:p>
        </w:tc>
      </w:tr>
      <w:tr w:rsidR="00237226" w:rsidTr="00F02425">
        <w:tc>
          <w:tcPr>
            <w:tcW w:w="1385" w:type="pct"/>
          </w:tcPr>
          <w:p w:rsidR="00237226" w:rsidRDefault="00237226" w:rsidP="00F02425">
            <w:pPr>
              <w:keepNext/>
              <w:keepLines/>
            </w:pPr>
            <w:r>
              <w:t>General Project Information</w:t>
            </w:r>
          </w:p>
          <w:p w:rsidR="00237226" w:rsidRDefault="00237226" w:rsidP="00F02425">
            <w:pPr>
              <w:keepNext/>
              <w:keepLines/>
              <w:ind w:left="360"/>
            </w:pPr>
          </w:p>
          <w:p w:rsidR="00237226" w:rsidRDefault="00237226" w:rsidP="00F02425">
            <w:pPr>
              <w:keepNext/>
              <w:keepLines/>
              <w:spacing w:before="60" w:after="120"/>
              <w:rPr>
                <w:rFonts w:ascii="Arial" w:hAnsi="Arial" w:cs="Arial"/>
                <w:sz w:val="20"/>
                <w:szCs w:val="20"/>
              </w:rPr>
            </w:pPr>
          </w:p>
        </w:tc>
        <w:tc>
          <w:tcPr>
            <w:tcW w:w="645" w:type="pct"/>
          </w:tcPr>
          <w:p w:rsidR="00237226" w:rsidRDefault="00237226" w:rsidP="00F02425">
            <w:pPr>
              <w:keepNext/>
              <w:keepLines/>
              <w:spacing w:before="60"/>
              <w:rPr>
                <w:rFonts w:ascii="Arial" w:hAnsi="Arial" w:cs="Arial"/>
                <w:sz w:val="20"/>
                <w:szCs w:val="20"/>
              </w:rPr>
            </w:pPr>
            <w:r>
              <w:rPr>
                <w:rFonts w:ascii="Arial" w:hAnsi="Arial" w:cs="Arial"/>
                <w:sz w:val="20"/>
                <w:szCs w:val="20"/>
              </w:rPr>
              <w:t>1-7</w:t>
            </w:r>
          </w:p>
        </w:tc>
        <w:tc>
          <w:tcPr>
            <w:tcW w:w="1765" w:type="pct"/>
          </w:tcPr>
          <w:p w:rsidR="00237226" w:rsidRPr="000C672A" w:rsidRDefault="00237226" w:rsidP="00F02425">
            <w:pPr>
              <w:keepNext/>
              <w:keepLines/>
              <w:spacing w:before="60" w:after="120"/>
            </w:pPr>
            <w:r w:rsidRPr="000C672A">
              <w:rPr>
                <w:rFonts w:ascii="Arial" w:hAnsi="Arial" w:cs="Arial"/>
                <w:sz w:val="20"/>
                <w:szCs w:val="20"/>
              </w:rPr>
              <w:t>What types of projects are being funded through Section 108- guaranteed loans?</w:t>
            </w:r>
          </w:p>
          <w:p w:rsidR="00237226" w:rsidRDefault="00237226" w:rsidP="00F02425">
            <w:pPr>
              <w:keepNext/>
              <w:keepLines/>
              <w:spacing w:after="60"/>
              <w:rPr>
                <w:rFonts w:ascii="Arial" w:hAnsi="Arial" w:cs="Arial"/>
                <w:sz w:val="20"/>
                <w:szCs w:val="20"/>
              </w:rPr>
            </w:pPr>
          </w:p>
        </w:tc>
        <w:tc>
          <w:tcPr>
            <w:tcW w:w="1205" w:type="pct"/>
          </w:tcPr>
          <w:p w:rsidR="00237226" w:rsidRDefault="00237226" w:rsidP="00237226">
            <w:pPr>
              <w:keepNext/>
              <w:keepLines/>
              <w:numPr>
                <w:ilvl w:val="0"/>
                <w:numId w:val="5"/>
              </w:numPr>
              <w:spacing w:after="60"/>
              <w:rPr>
                <w:rFonts w:ascii="Arial" w:hAnsi="Arial" w:cs="Arial"/>
                <w:sz w:val="20"/>
                <w:szCs w:val="20"/>
              </w:rPr>
            </w:pPr>
            <w:r>
              <w:rPr>
                <w:rFonts w:ascii="Arial" w:hAnsi="Arial" w:cs="Arial"/>
                <w:sz w:val="20"/>
                <w:szCs w:val="20"/>
              </w:rPr>
              <w:t>Questions 1-3 are needed to verify HDQ information, especially since paper files are sometimes variable or unavailable.</w:t>
            </w:r>
          </w:p>
          <w:p w:rsidR="00237226" w:rsidRDefault="00237226" w:rsidP="00237226">
            <w:pPr>
              <w:keepNext/>
              <w:keepLines/>
              <w:numPr>
                <w:ilvl w:val="0"/>
                <w:numId w:val="5"/>
              </w:numPr>
              <w:spacing w:after="60"/>
              <w:rPr>
                <w:rFonts w:ascii="Arial" w:hAnsi="Arial" w:cs="Arial"/>
                <w:sz w:val="20"/>
                <w:szCs w:val="20"/>
              </w:rPr>
            </w:pPr>
            <w:r>
              <w:rPr>
                <w:rFonts w:ascii="Arial" w:hAnsi="Arial" w:cs="Arial"/>
                <w:sz w:val="20"/>
                <w:szCs w:val="20"/>
              </w:rPr>
              <w:t>Questions 4 and 5 relate the Section 108 loan to total project size.</w:t>
            </w:r>
          </w:p>
          <w:p w:rsidR="00237226" w:rsidRDefault="00237226" w:rsidP="00237226">
            <w:pPr>
              <w:keepNext/>
              <w:keepLines/>
              <w:numPr>
                <w:ilvl w:val="0"/>
                <w:numId w:val="5"/>
              </w:numPr>
              <w:spacing w:after="60"/>
              <w:rPr>
                <w:rFonts w:ascii="Arial" w:hAnsi="Arial" w:cs="Arial"/>
                <w:sz w:val="20"/>
                <w:szCs w:val="20"/>
              </w:rPr>
            </w:pPr>
            <w:r>
              <w:rPr>
                <w:rFonts w:ascii="Arial" w:hAnsi="Arial" w:cs="Arial"/>
                <w:sz w:val="20"/>
                <w:szCs w:val="20"/>
              </w:rPr>
              <w:t xml:space="preserve">Questions 3-7 are needed to perform analysis of outcomes. </w:t>
            </w:r>
          </w:p>
        </w:tc>
      </w:tr>
      <w:tr w:rsidR="00237226" w:rsidTr="00F02425">
        <w:tc>
          <w:tcPr>
            <w:tcW w:w="1385" w:type="pct"/>
          </w:tcPr>
          <w:p w:rsidR="00237226" w:rsidRDefault="00237226" w:rsidP="00F02425">
            <w:pPr>
              <w:keepNext/>
              <w:keepLines/>
            </w:pPr>
            <w:r>
              <w:t>Assistance to Specific  Businesses or Government Agencies</w:t>
            </w:r>
          </w:p>
          <w:p w:rsidR="00237226" w:rsidRDefault="00237226" w:rsidP="00F02425">
            <w:pPr>
              <w:keepNext/>
              <w:keepLines/>
              <w:spacing w:before="60"/>
              <w:rPr>
                <w:rFonts w:ascii="Arial" w:hAnsi="Arial" w:cs="Arial"/>
                <w:b/>
                <w:i/>
                <w:sz w:val="20"/>
                <w:szCs w:val="20"/>
              </w:rPr>
            </w:pPr>
          </w:p>
          <w:p w:rsidR="00237226" w:rsidRDefault="00237226" w:rsidP="00F02425">
            <w:pPr>
              <w:keepNext/>
              <w:keepLines/>
              <w:spacing w:before="60"/>
              <w:rPr>
                <w:rFonts w:ascii="Arial" w:hAnsi="Arial" w:cs="Arial"/>
                <w:i/>
                <w:sz w:val="20"/>
                <w:szCs w:val="20"/>
              </w:rPr>
            </w:pPr>
          </w:p>
        </w:tc>
        <w:tc>
          <w:tcPr>
            <w:tcW w:w="645" w:type="pct"/>
          </w:tcPr>
          <w:p w:rsidR="00237226" w:rsidRDefault="00237226" w:rsidP="00F02425">
            <w:pPr>
              <w:keepNext/>
              <w:keepLines/>
              <w:spacing w:before="60"/>
              <w:rPr>
                <w:rFonts w:ascii="Arial" w:hAnsi="Arial" w:cs="Arial"/>
                <w:sz w:val="20"/>
                <w:szCs w:val="20"/>
              </w:rPr>
            </w:pPr>
            <w:r>
              <w:rPr>
                <w:rFonts w:ascii="Arial" w:hAnsi="Arial" w:cs="Arial"/>
                <w:sz w:val="20"/>
                <w:szCs w:val="20"/>
              </w:rPr>
              <w:t>8-12</w:t>
            </w:r>
          </w:p>
        </w:tc>
        <w:tc>
          <w:tcPr>
            <w:tcW w:w="1765" w:type="pct"/>
          </w:tcPr>
          <w:p w:rsidR="00237226" w:rsidRPr="000C672A" w:rsidRDefault="00237226" w:rsidP="00F02425">
            <w:pPr>
              <w:keepNext/>
              <w:keepLines/>
              <w:spacing w:before="60" w:after="120"/>
            </w:pPr>
            <w:r w:rsidRPr="000C672A">
              <w:rPr>
                <w:rFonts w:ascii="Arial" w:hAnsi="Arial" w:cs="Arial"/>
                <w:sz w:val="20"/>
                <w:szCs w:val="20"/>
              </w:rPr>
              <w:t>What types of projects are being funded through Section 108- guaranteed loans?</w:t>
            </w:r>
          </w:p>
          <w:p w:rsidR="00237226" w:rsidRDefault="00237226" w:rsidP="00F02425">
            <w:pPr>
              <w:keepNext/>
              <w:keepLines/>
              <w:spacing w:after="60"/>
              <w:rPr>
                <w:rFonts w:ascii="Arial" w:hAnsi="Arial" w:cs="Arial"/>
                <w:sz w:val="20"/>
                <w:szCs w:val="20"/>
              </w:rPr>
            </w:pPr>
          </w:p>
        </w:tc>
        <w:tc>
          <w:tcPr>
            <w:tcW w:w="1205" w:type="pct"/>
          </w:tcPr>
          <w:p w:rsidR="00237226" w:rsidRDefault="00237226" w:rsidP="00866245">
            <w:pPr>
              <w:keepNext/>
              <w:keepLines/>
              <w:numPr>
                <w:ilvl w:val="0"/>
                <w:numId w:val="6"/>
              </w:numPr>
              <w:spacing w:after="60"/>
              <w:rPr>
                <w:rFonts w:ascii="Arial" w:hAnsi="Arial" w:cs="Arial"/>
                <w:sz w:val="20"/>
                <w:szCs w:val="20"/>
              </w:rPr>
            </w:pPr>
            <w:r>
              <w:rPr>
                <w:rFonts w:ascii="Arial" w:hAnsi="Arial" w:cs="Arial"/>
                <w:sz w:val="20"/>
                <w:szCs w:val="20"/>
              </w:rPr>
              <w:t>Questions provide a unique source of the nature of assistance provided and are essential for analysis.</w:t>
            </w:r>
          </w:p>
        </w:tc>
      </w:tr>
      <w:tr w:rsidR="00237226" w:rsidTr="00F02425">
        <w:tc>
          <w:tcPr>
            <w:tcW w:w="1385" w:type="pct"/>
          </w:tcPr>
          <w:p w:rsidR="00237226" w:rsidRDefault="00237226" w:rsidP="00F02425">
            <w:pPr>
              <w:keepNext/>
              <w:keepLines/>
            </w:pPr>
            <w:r>
              <w:t>Third Party Loans (Loan Pools)</w:t>
            </w:r>
          </w:p>
          <w:p w:rsidR="00237226" w:rsidRDefault="00237226" w:rsidP="00F02425">
            <w:pPr>
              <w:keepNext/>
              <w:keepLines/>
              <w:spacing w:before="60"/>
              <w:rPr>
                <w:rFonts w:ascii="Arial" w:hAnsi="Arial" w:cs="Arial"/>
                <w:sz w:val="20"/>
                <w:szCs w:val="20"/>
              </w:rPr>
            </w:pPr>
          </w:p>
        </w:tc>
        <w:tc>
          <w:tcPr>
            <w:tcW w:w="645" w:type="pct"/>
          </w:tcPr>
          <w:p w:rsidR="00237226" w:rsidRDefault="00237226" w:rsidP="00F02425">
            <w:pPr>
              <w:keepNext/>
              <w:keepLines/>
              <w:autoSpaceDE w:val="0"/>
              <w:autoSpaceDN w:val="0"/>
              <w:adjustRightInd w:val="0"/>
              <w:spacing w:before="60"/>
              <w:rPr>
                <w:rFonts w:ascii="Arial" w:hAnsi="Arial" w:cs="Arial"/>
                <w:sz w:val="20"/>
                <w:szCs w:val="20"/>
              </w:rPr>
            </w:pPr>
            <w:r>
              <w:rPr>
                <w:rFonts w:ascii="Arial" w:hAnsi="Arial" w:cs="Arial"/>
                <w:sz w:val="20"/>
                <w:szCs w:val="20"/>
              </w:rPr>
              <w:t>13-19</w:t>
            </w:r>
          </w:p>
        </w:tc>
        <w:tc>
          <w:tcPr>
            <w:tcW w:w="1765" w:type="pct"/>
          </w:tcPr>
          <w:p w:rsidR="00237226" w:rsidRPr="006F5122" w:rsidRDefault="00237226" w:rsidP="00F02425">
            <w:pPr>
              <w:keepNext/>
              <w:keepLines/>
              <w:spacing w:before="60" w:after="120"/>
            </w:pPr>
            <w:r w:rsidRPr="000C672A">
              <w:rPr>
                <w:rFonts w:ascii="Arial" w:hAnsi="Arial" w:cs="Arial"/>
                <w:sz w:val="20"/>
                <w:szCs w:val="20"/>
              </w:rPr>
              <w:t>What types of projects are being funded through Section 108- guaranteed loans?</w:t>
            </w:r>
          </w:p>
        </w:tc>
        <w:tc>
          <w:tcPr>
            <w:tcW w:w="1205" w:type="pct"/>
          </w:tcPr>
          <w:p w:rsidR="00237226" w:rsidRDefault="00237226" w:rsidP="00237226">
            <w:pPr>
              <w:keepNext/>
              <w:keepLines/>
              <w:numPr>
                <w:ilvl w:val="0"/>
                <w:numId w:val="6"/>
              </w:numPr>
              <w:autoSpaceDE w:val="0"/>
              <w:autoSpaceDN w:val="0"/>
              <w:adjustRightInd w:val="0"/>
              <w:spacing w:after="60"/>
              <w:rPr>
                <w:rFonts w:ascii="Arial" w:hAnsi="Arial" w:cs="Arial"/>
                <w:sz w:val="20"/>
                <w:szCs w:val="20"/>
              </w:rPr>
            </w:pPr>
            <w:r>
              <w:rPr>
                <w:rFonts w:ascii="Arial" w:hAnsi="Arial" w:cs="Arial"/>
                <w:sz w:val="20"/>
                <w:szCs w:val="20"/>
              </w:rPr>
              <w:t xml:space="preserve">There is almost no information on loan pool activity in </w:t>
            </w:r>
            <w:r>
              <w:rPr>
                <w:rFonts w:ascii="Arial" w:hAnsi="Arial" w:cs="Arial"/>
                <w:sz w:val="20"/>
                <w:szCs w:val="20"/>
              </w:rPr>
              <w:lastRenderedPageBreak/>
              <w:t>HDQ files.</w:t>
            </w:r>
          </w:p>
        </w:tc>
      </w:tr>
      <w:tr w:rsidR="00237226" w:rsidTr="00F02425">
        <w:tc>
          <w:tcPr>
            <w:tcW w:w="1385" w:type="pct"/>
          </w:tcPr>
          <w:p w:rsidR="00237226" w:rsidRDefault="00237226" w:rsidP="00F02425">
            <w:pPr>
              <w:keepNext/>
              <w:keepLines/>
            </w:pPr>
            <w:r>
              <w:lastRenderedPageBreak/>
              <w:t>Economic Development</w:t>
            </w:r>
          </w:p>
          <w:p w:rsidR="00237226" w:rsidRDefault="00237226" w:rsidP="00F02425">
            <w:pPr>
              <w:keepNext/>
              <w:keepLines/>
            </w:pPr>
          </w:p>
        </w:tc>
        <w:tc>
          <w:tcPr>
            <w:tcW w:w="645" w:type="pct"/>
          </w:tcPr>
          <w:p w:rsidR="00237226" w:rsidRDefault="00237226" w:rsidP="00866245">
            <w:pPr>
              <w:keepNext/>
              <w:keepLines/>
              <w:autoSpaceDE w:val="0"/>
              <w:autoSpaceDN w:val="0"/>
              <w:adjustRightInd w:val="0"/>
              <w:spacing w:before="60"/>
              <w:rPr>
                <w:rFonts w:ascii="Arial" w:hAnsi="Arial" w:cs="Arial"/>
                <w:sz w:val="20"/>
                <w:szCs w:val="20"/>
              </w:rPr>
            </w:pPr>
            <w:r>
              <w:rPr>
                <w:rFonts w:ascii="Arial" w:hAnsi="Arial" w:cs="Arial"/>
                <w:sz w:val="20"/>
                <w:szCs w:val="20"/>
              </w:rPr>
              <w:t>20-2</w:t>
            </w:r>
            <w:r w:rsidR="00866245">
              <w:rPr>
                <w:rFonts w:ascii="Arial" w:hAnsi="Arial" w:cs="Arial"/>
                <w:sz w:val="20"/>
                <w:szCs w:val="20"/>
              </w:rPr>
              <w:t>6</w:t>
            </w:r>
          </w:p>
        </w:tc>
        <w:tc>
          <w:tcPr>
            <w:tcW w:w="1765" w:type="pct"/>
          </w:tcPr>
          <w:p w:rsidR="00237226" w:rsidRPr="000C672A" w:rsidRDefault="00237226" w:rsidP="00F02425">
            <w:pPr>
              <w:keepNext/>
              <w:keepLines/>
              <w:spacing w:before="60" w:after="120"/>
            </w:pPr>
            <w:r w:rsidRPr="000C672A">
              <w:rPr>
                <w:rFonts w:ascii="Arial" w:hAnsi="Arial" w:cs="Arial"/>
                <w:sz w:val="20"/>
                <w:szCs w:val="20"/>
              </w:rPr>
              <w:t>What types of projects are being funded through Section 108- guaranteed loans?</w:t>
            </w:r>
          </w:p>
          <w:p w:rsidR="00237226" w:rsidRDefault="00237226" w:rsidP="00F02425">
            <w:pPr>
              <w:keepNext/>
              <w:keepLines/>
              <w:autoSpaceDE w:val="0"/>
              <w:autoSpaceDN w:val="0"/>
              <w:adjustRightInd w:val="0"/>
              <w:spacing w:after="60"/>
              <w:rPr>
                <w:rFonts w:ascii="Arial" w:hAnsi="Arial" w:cs="Arial"/>
                <w:sz w:val="20"/>
                <w:szCs w:val="20"/>
              </w:rPr>
            </w:pPr>
          </w:p>
        </w:tc>
        <w:tc>
          <w:tcPr>
            <w:tcW w:w="1205" w:type="pct"/>
          </w:tcPr>
          <w:p w:rsidR="00237226" w:rsidRDefault="00237226" w:rsidP="00237226">
            <w:pPr>
              <w:keepNext/>
              <w:keepLines/>
              <w:numPr>
                <w:ilvl w:val="0"/>
                <w:numId w:val="6"/>
              </w:numPr>
              <w:autoSpaceDE w:val="0"/>
              <w:autoSpaceDN w:val="0"/>
              <w:adjustRightInd w:val="0"/>
              <w:spacing w:after="60"/>
              <w:rPr>
                <w:rFonts w:ascii="Arial" w:hAnsi="Arial" w:cs="Arial"/>
                <w:sz w:val="20"/>
                <w:szCs w:val="20"/>
              </w:rPr>
            </w:pPr>
            <w:r>
              <w:rPr>
                <w:rFonts w:ascii="Arial" w:hAnsi="Arial" w:cs="Arial"/>
                <w:sz w:val="20"/>
                <w:szCs w:val="20"/>
              </w:rPr>
              <w:t>Categories used in these questions are consistent with definitions and terminology used in HUD’s Integrated Disbursement Information System (IDIS).</w:t>
            </w:r>
          </w:p>
          <w:p w:rsidR="00237226" w:rsidRDefault="00237226" w:rsidP="00866245">
            <w:pPr>
              <w:keepNext/>
              <w:keepLines/>
              <w:numPr>
                <w:ilvl w:val="0"/>
                <w:numId w:val="6"/>
              </w:numPr>
              <w:autoSpaceDE w:val="0"/>
              <w:autoSpaceDN w:val="0"/>
              <w:adjustRightInd w:val="0"/>
              <w:spacing w:after="60"/>
              <w:rPr>
                <w:rFonts w:ascii="Arial" w:hAnsi="Arial" w:cs="Arial"/>
                <w:sz w:val="20"/>
                <w:szCs w:val="20"/>
              </w:rPr>
            </w:pPr>
            <w:proofErr w:type="gramStart"/>
            <w:r>
              <w:rPr>
                <w:rFonts w:ascii="Arial" w:hAnsi="Arial" w:cs="Arial"/>
                <w:sz w:val="20"/>
                <w:szCs w:val="20"/>
              </w:rPr>
              <w:t>Question are</w:t>
            </w:r>
            <w:proofErr w:type="gramEnd"/>
            <w:r>
              <w:rPr>
                <w:rFonts w:ascii="Arial" w:hAnsi="Arial" w:cs="Arial"/>
                <w:sz w:val="20"/>
                <w:szCs w:val="20"/>
              </w:rPr>
              <w:t xml:space="preserve"> designed to support analysis of outcomes.</w:t>
            </w:r>
          </w:p>
        </w:tc>
      </w:tr>
      <w:tr w:rsidR="00237226" w:rsidTr="00F02425">
        <w:tc>
          <w:tcPr>
            <w:tcW w:w="1385" w:type="pct"/>
          </w:tcPr>
          <w:p w:rsidR="00237226" w:rsidRDefault="00237226" w:rsidP="00F02425">
            <w:pPr>
              <w:keepNext/>
              <w:keepLines/>
            </w:pPr>
            <w:r>
              <w:t>Public Facilities</w:t>
            </w:r>
          </w:p>
          <w:p w:rsidR="00237226" w:rsidRDefault="00237226" w:rsidP="00F02425">
            <w:pPr>
              <w:keepNext/>
              <w:keepLines/>
            </w:pPr>
          </w:p>
        </w:tc>
        <w:tc>
          <w:tcPr>
            <w:tcW w:w="645" w:type="pct"/>
          </w:tcPr>
          <w:p w:rsidR="00237226" w:rsidRDefault="00866245" w:rsidP="00F02425">
            <w:pPr>
              <w:keepNext/>
              <w:keepLines/>
              <w:autoSpaceDE w:val="0"/>
              <w:autoSpaceDN w:val="0"/>
              <w:adjustRightInd w:val="0"/>
              <w:spacing w:before="60"/>
              <w:rPr>
                <w:rFonts w:ascii="Arial" w:hAnsi="Arial" w:cs="Arial"/>
                <w:sz w:val="20"/>
                <w:szCs w:val="20"/>
              </w:rPr>
            </w:pPr>
            <w:r>
              <w:rPr>
                <w:rFonts w:ascii="Arial" w:hAnsi="Arial" w:cs="Arial"/>
                <w:sz w:val="20"/>
                <w:szCs w:val="20"/>
              </w:rPr>
              <w:t>27-31</w:t>
            </w:r>
          </w:p>
        </w:tc>
        <w:tc>
          <w:tcPr>
            <w:tcW w:w="1765" w:type="pct"/>
          </w:tcPr>
          <w:p w:rsidR="00237226" w:rsidRPr="000C672A" w:rsidRDefault="00237226" w:rsidP="00F02425">
            <w:pPr>
              <w:keepNext/>
              <w:keepLines/>
              <w:spacing w:before="60" w:after="120"/>
            </w:pPr>
            <w:r w:rsidRPr="000C672A">
              <w:rPr>
                <w:rFonts w:ascii="Arial" w:hAnsi="Arial" w:cs="Arial"/>
                <w:sz w:val="20"/>
                <w:szCs w:val="20"/>
              </w:rPr>
              <w:t>What types of projects are being funded through Section 108- guaranteed loans?</w:t>
            </w:r>
          </w:p>
          <w:p w:rsidR="00237226" w:rsidRDefault="00237226" w:rsidP="00F02425">
            <w:pPr>
              <w:keepNext/>
              <w:keepLines/>
              <w:autoSpaceDE w:val="0"/>
              <w:autoSpaceDN w:val="0"/>
              <w:adjustRightInd w:val="0"/>
              <w:spacing w:after="60"/>
              <w:rPr>
                <w:rFonts w:ascii="Arial" w:hAnsi="Arial" w:cs="Arial"/>
                <w:sz w:val="20"/>
                <w:szCs w:val="20"/>
              </w:rPr>
            </w:pPr>
          </w:p>
        </w:tc>
        <w:tc>
          <w:tcPr>
            <w:tcW w:w="1205" w:type="pct"/>
          </w:tcPr>
          <w:p w:rsidR="00237226" w:rsidRPr="006F5122" w:rsidRDefault="00237226" w:rsidP="00237226">
            <w:pPr>
              <w:keepNext/>
              <w:keepLines/>
              <w:numPr>
                <w:ilvl w:val="0"/>
                <w:numId w:val="6"/>
              </w:numPr>
              <w:autoSpaceDE w:val="0"/>
              <w:autoSpaceDN w:val="0"/>
              <w:adjustRightInd w:val="0"/>
              <w:spacing w:after="60"/>
              <w:rPr>
                <w:rFonts w:ascii="Arial" w:hAnsi="Arial" w:cs="Arial"/>
                <w:sz w:val="20"/>
                <w:szCs w:val="20"/>
              </w:rPr>
            </w:pPr>
            <w:r>
              <w:rPr>
                <w:rFonts w:ascii="Arial" w:hAnsi="Arial" w:cs="Arial"/>
                <w:sz w:val="20"/>
                <w:szCs w:val="20"/>
              </w:rPr>
              <w:t>Categories used in these questions are consistent with definitions and terminology used in IDIS.</w:t>
            </w:r>
          </w:p>
        </w:tc>
      </w:tr>
      <w:tr w:rsidR="00237226" w:rsidTr="00F02425">
        <w:tc>
          <w:tcPr>
            <w:tcW w:w="1385" w:type="pct"/>
          </w:tcPr>
          <w:p w:rsidR="00237226" w:rsidRDefault="00237226" w:rsidP="00F02425">
            <w:pPr>
              <w:keepNext/>
              <w:keepLines/>
            </w:pPr>
            <w:r>
              <w:t>Housing</w:t>
            </w:r>
          </w:p>
          <w:p w:rsidR="00237226" w:rsidRDefault="00237226" w:rsidP="00F02425">
            <w:pPr>
              <w:keepNext/>
              <w:keepLines/>
            </w:pPr>
          </w:p>
        </w:tc>
        <w:tc>
          <w:tcPr>
            <w:tcW w:w="645" w:type="pct"/>
          </w:tcPr>
          <w:p w:rsidR="00237226" w:rsidRDefault="00866245" w:rsidP="00866245">
            <w:pPr>
              <w:keepNext/>
              <w:keepLines/>
              <w:autoSpaceDE w:val="0"/>
              <w:autoSpaceDN w:val="0"/>
              <w:adjustRightInd w:val="0"/>
              <w:spacing w:before="60"/>
              <w:rPr>
                <w:rFonts w:ascii="Arial" w:hAnsi="Arial" w:cs="Arial"/>
                <w:sz w:val="20"/>
                <w:szCs w:val="20"/>
              </w:rPr>
            </w:pPr>
            <w:r>
              <w:rPr>
                <w:rFonts w:ascii="Arial" w:hAnsi="Arial" w:cs="Arial"/>
                <w:sz w:val="20"/>
                <w:szCs w:val="20"/>
              </w:rPr>
              <w:t>32</w:t>
            </w:r>
            <w:r w:rsidR="00237226">
              <w:rPr>
                <w:rFonts w:ascii="Arial" w:hAnsi="Arial" w:cs="Arial"/>
                <w:sz w:val="20"/>
                <w:szCs w:val="20"/>
              </w:rPr>
              <w:t>-3</w:t>
            </w:r>
            <w:r>
              <w:rPr>
                <w:rFonts w:ascii="Arial" w:hAnsi="Arial" w:cs="Arial"/>
                <w:sz w:val="20"/>
                <w:szCs w:val="20"/>
              </w:rPr>
              <w:t>9</w:t>
            </w:r>
          </w:p>
        </w:tc>
        <w:tc>
          <w:tcPr>
            <w:tcW w:w="1765" w:type="pct"/>
          </w:tcPr>
          <w:p w:rsidR="00237226" w:rsidRPr="000C672A" w:rsidRDefault="00237226" w:rsidP="00F02425">
            <w:pPr>
              <w:keepNext/>
              <w:keepLines/>
              <w:spacing w:before="60" w:after="120"/>
            </w:pPr>
            <w:r w:rsidRPr="000C672A">
              <w:rPr>
                <w:rFonts w:ascii="Arial" w:hAnsi="Arial" w:cs="Arial"/>
                <w:sz w:val="20"/>
                <w:szCs w:val="20"/>
              </w:rPr>
              <w:t>What types of projects are being funded through Section 108- guaranteed loans?</w:t>
            </w:r>
          </w:p>
          <w:p w:rsidR="00237226" w:rsidRDefault="00237226" w:rsidP="00F02425">
            <w:pPr>
              <w:keepNext/>
              <w:keepLines/>
              <w:autoSpaceDE w:val="0"/>
              <w:autoSpaceDN w:val="0"/>
              <w:adjustRightInd w:val="0"/>
              <w:spacing w:after="60"/>
              <w:rPr>
                <w:rFonts w:ascii="Arial" w:hAnsi="Arial" w:cs="Arial"/>
                <w:sz w:val="20"/>
                <w:szCs w:val="20"/>
              </w:rPr>
            </w:pPr>
          </w:p>
        </w:tc>
        <w:tc>
          <w:tcPr>
            <w:tcW w:w="1205" w:type="pct"/>
          </w:tcPr>
          <w:p w:rsidR="00237226" w:rsidRDefault="00237226" w:rsidP="00237226">
            <w:pPr>
              <w:keepNext/>
              <w:keepLines/>
              <w:numPr>
                <w:ilvl w:val="0"/>
                <w:numId w:val="6"/>
              </w:numPr>
              <w:autoSpaceDE w:val="0"/>
              <w:autoSpaceDN w:val="0"/>
              <w:adjustRightInd w:val="0"/>
              <w:spacing w:after="60"/>
              <w:rPr>
                <w:rFonts w:ascii="Arial" w:hAnsi="Arial" w:cs="Arial"/>
                <w:sz w:val="20"/>
                <w:szCs w:val="20"/>
              </w:rPr>
            </w:pPr>
            <w:r>
              <w:rPr>
                <w:rFonts w:ascii="Arial" w:hAnsi="Arial" w:cs="Arial"/>
                <w:sz w:val="20"/>
                <w:szCs w:val="20"/>
              </w:rPr>
              <w:t>Categories used in these questions are consistent with definitions and terminology used in IDIS.</w:t>
            </w:r>
          </w:p>
        </w:tc>
      </w:tr>
      <w:tr w:rsidR="00237226" w:rsidTr="00F02425">
        <w:tc>
          <w:tcPr>
            <w:tcW w:w="1385" w:type="pct"/>
          </w:tcPr>
          <w:p w:rsidR="00237226" w:rsidRDefault="00237226" w:rsidP="00F02425">
            <w:pPr>
              <w:keepNext/>
              <w:keepLines/>
            </w:pPr>
            <w:r>
              <w:t>Outcomes</w:t>
            </w:r>
          </w:p>
          <w:p w:rsidR="00237226" w:rsidRDefault="00237226" w:rsidP="00F02425">
            <w:pPr>
              <w:keepNext/>
              <w:keepLines/>
            </w:pPr>
          </w:p>
        </w:tc>
        <w:tc>
          <w:tcPr>
            <w:tcW w:w="645" w:type="pct"/>
          </w:tcPr>
          <w:p w:rsidR="00237226" w:rsidRDefault="00866245" w:rsidP="00866245">
            <w:pPr>
              <w:keepNext/>
              <w:keepLines/>
              <w:autoSpaceDE w:val="0"/>
              <w:autoSpaceDN w:val="0"/>
              <w:adjustRightInd w:val="0"/>
              <w:spacing w:before="60"/>
              <w:rPr>
                <w:rFonts w:ascii="Arial" w:hAnsi="Arial" w:cs="Arial"/>
                <w:sz w:val="20"/>
                <w:szCs w:val="20"/>
              </w:rPr>
            </w:pPr>
            <w:r>
              <w:rPr>
                <w:rFonts w:ascii="Arial" w:hAnsi="Arial" w:cs="Arial"/>
                <w:sz w:val="20"/>
                <w:szCs w:val="20"/>
              </w:rPr>
              <w:t>40</w:t>
            </w:r>
            <w:r w:rsidR="00237226">
              <w:rPr>
                <w:rFonts w:ascii="Arial" w:hAnsi="Arial" w:cs="Arial"/>
                <w:sz w:val="20"/>
                <w:szCs w:val="20"/>
              </w:rPr>
              <w:t>-5</w:t>
            </w:r>
            <w:r>
              <w:rPr>
                <w:rFonts w:ascii="Arial" w:hAnsi="Arial" w:cs="Arial"/>
                <w:sz w:val="20"/>
                <w:szCs w:val="20"/>
              </w:rPr>
              <w:t>3</w:t>
            </w:r>
          </w:p>
        </w:tc>
        <w:tc>
          <w:tcPr>
            <w:tcW w:w="1765" w:type="pct"/>
          </w:tcPr>
          <w:p w:rsidR="00237226" w:rsidRPr="000C672A" w:rsidRDefault="00237226" w:rsidP="00F02425">
            <w:pPr>
              <w:keepNext/>
              <w:keepLines/>
              <w:spacing w:before="60" w:after="120"/>
            </w:pPr>
            <w:r w:rsidRPr="000C672A">
              <w:rPr>
                <w:rFonts w:ascii="Arial" w:hAnsi="Arial" w:cs="Arial"/>
                <w:sz w:val="20"/>
                <w:szCs w:val="20"/>
              </w:rPr>
              <w:t>What are the results of the Section 108 projects?</w:t>
            </w:r>
          </w:p>
          <w:p w:rsidR="00237226" w:rsidRDefault="00237226" w:rsidP="00F02425">
            <w:pPr>
              <w:keepNext/>
              <w:keepLines/>
              <w:autoSpaceDE w:val="0"/>
              <w:autoSpaceDN w:val="0"/>
              <w:adjustRightInd w:val="0"/>
              <w:spacing w:after="60"/>
              <w:rPr>
                <w:rFonts w:ascii="Arial" w:hAnsi="Arial" w:cs="Arial"/>
                <w:sz w:val="20"/>
                <w:szCs w:val="20"/>
              </w:rPr>
            </w:pPr>
          </w:p>
        </w:tc>
        <w:tc>
          <w:tcPr>
            <w:tcW w:w="1205" w:type="pct"/>
          </w:tcPr>
          <w:p w:rsidR="00237226" w:rsidRDefault="00237226" w:rsidP="00237226">
            <w:pPr>
              <w:keepNext/>
              <w:keepLines/>
              <w:numPr>
                <w:ilvl w:val="0"/>
                <w:numId w:val="7"/>
              </w:numPr>
              <w:autoSpaceDE w:val="0"/>
              <w:autoSpaceDN w:val="0"/>
              <w:adjustRightInd w:val="0"/>
              <w:spacing w:after="60"/>
              <w:rPr>
                <w:rFonts w:ascii="Arial" w:hAnsi="Arial" w:cs="Arial"/>
                <w:sz w:val="20"/>
                <w:szCs w:val="20"/>
              </w:rPr>
            </w:pPr>
            <w:r>
              <w:rPr>
                <w:rFonts w:ascii="Arial" w:hAnsi="Arial" w:cs="Arial"/>
                <w:sz w:val="20"/>
                <w:szCs w:val="20"/>
              </w:rPr>
              <w:t>Questions collect basic outcome information by individual national objective.</w:t>
            </w:r>
          </w:p>
          <w:p w:rsidR="00237226" w:rsidRDefault="00237226" w:rsidP="00237226">
            <w:pPr>
              <w:keepNext/>
              <w:keepLines/>
              <w:numPr>
                <w:ilvl w:val="0"/>
                <w:numId w:val="7"/>
              </w:numPr>
              <w:autoSpaceDE w:val="0"/>
              <w:autoSpaceDN w:val="0"/>
              <w:adjustRightInd w:val="0"/>
              <w:spacing w:after="60"/>
              <w:rPr>
                <w:rFonts w:ascii="Arial" w:hAnsi="Arial" w:cs="Arial"/>
                <w:sz w:val="20"/>
                <w:szCs w:val="20"/>
              </w:rPr>
            </w:pPr>
            <w:r>
              <w:rPr>
                <w:rFonts w:ascii="Arial" w:hAnsi="Arial" w:cs="Arial"/>
                <w:sz w:val="20"/>
                <w:szCs w:val="20"/>
              </w:rPr>
              <w:t>Questions probe for additional information on outcomes, and on reasons for success or failure.</w:t>
            </w:r>
          </w:p>
          <w:p w:rsidR="00237226" w:rsidRDefault="00237226" w:rsidP="00866245">
            <w:pPr>
              <w:keepNext/>
              <w:keepLines/>
              <w:numPr>
                <w:ilvl w:val="0"/>
                <w:numId w:val="7"/>
              </w:numPr>
              <w:autoSpaceDE w:val="0"/>
              <w:autoSpaceDN w:val="0"/>
              <w:adjustRightInd w:val="0"/>
              <w:spacing w:after="60"/>
              <w:rPr>
                <w:rFonts w:ascii="Arial" w:hAnsi="Arial" w:cs="Arial"/>
                <w:sz w:val="20"/>
                <w:szCs w:val="20"/>
              </w:rPr>
            </w:pPr>
            <w:r>
              <w:rPr>
                <w:rFonts w:ascii="Arial" w:hAnsi="Arial" w:cs="Arial"/>
                <w:sz w:val="20"/>
                <w:szCs w:val="20"/>
              </w:rPr>
              <w:t>By asking for data sources, question tests for validity of the outcome information provided.</w:t>
            </w:r>
          </w:p>
        </w:tc>
      </w:tr>
      <w:tr w:rsidR="00237226" w:rsidTr="00F02425">
        <w:tc>
          <w:tcPr>
            <w:tcW w:w="1385" w:type="pct"/>
            <w:tcBorders>
              <w:top w:val="single" w:sz="4" w:space="0" w:color="auto"/>
              <w:left w:val="single" w:sz="12" w:space="0" w:color="auto"/>
              <w:bottom w:val="single" w:sz="12" w:space="0" w:color="auto"/>
              <w:right w:val="single" w:sz="4" w:space="0" w:color="auto"/>
            </w:tcBorders>
          </w:tcPr>
          <w:p w:rsidR="00237226" w:rsidRDefault="00237226" w:rsidP="00F02425">
            <w:pPr>
              <w:keepNext/>
              <w:keepLines/>
            </w:pPr>
            <w:r>
              <w:t>Conclusion</w:t>
            </w:r>
          </w:p>
          <w:p w:rsidR="00237226" w:rsidRDefault="00237226" w:rsidP="00F02425">
            <w:pPr>
              <w:keepNext/>
              <w:keepLines/>
            </w:pPr>
          </w:p>
        </w:tc>
        <w:tc>
          <w:tcPr>
            <w:tcW w:w="645" w:type="pct"/>
            <w:tcBorders>
              <w:top w:val="single" w:sz="4" w:space="0" w:color="auto"/>
              <w:left w:val="single" w:sz="4" w:space="0" w:color="auto"/>
              <w:bottom w:val="single" w:sz="12" w:space="0" w:color="auto"/>
              <w:right w:val="single" w:sz="4" w:space="0" w:color="auto"/>
            </w:tcBorders>
          </w:tcPr>
          <w:p w:rsidR="00237226" w:rsidRDefault="00866245" w:rsidP="00F02425">
            <w:pPr>
              <w:keepNext/>
              <w:keepLines/>
              <w:autoSpaceDE w:val="0"/>
              <w:autoSpaceDN w:val="0"/>
              <w:adjustRightInd w:val="0"/>
              <w:spacing w:before="60"/>
              <w:rPr>
                <w:rFonts w:ascii="Arial" w:hAnsi="Arial" w:cs="Arial"/>
                <w:sz w:val="20"/>
                <w:szCs w:val="20"/>
              </w:rPr>
            </w:pPr>
            <w:r>
              <w:rPr>
                <w:rFonts w:ascii="Arial" w:hAnsi="Arial" w:cs="Arial"/>
                <w:sz w:val="20"/>
                <w:szCs w:val="20"/>
              </w:rPr>
              <w:t>54-58</w:t>
            </w:r>
          </w:p>
        </w:tc>
        <w:tc>
          <w:tcPr>
            <w:tcW w:w="1765" w:type="pct"/>
            <w:tcBorders>
              <w:top w:val="single" w:sz="4" w:space="0" w:color="auto"/>
              <w:left w:val="single" w:sz="4" w:space="0" w:color="auto"/>
              <w:bottom w:val="single" w:sz="12" w:space="0" w:color="auto"/>
              <w:right w:val="single" w:sz="4" w:space="0" w:color="auto"/>
            </w:tcBorders>
          </w:tcPr>
          <w:p w:rsidR="00237226" w:rsidRPr="000C672A" w:rsidRDefault="00237226" w:rsidP="00F02425">
            <w:pPr>
              <w:keepNext/>
              <w:keepLines/>
              <w:spacing w:before="60" w:after="120"/>
              <w:rPr>
                <w:rFonts w:ascii="Arial" w:hAnsi="Arial" w:cs="Arial"/>
                <w:sz w:val="20"/>
                <w:szCs w:val="20"/>
              </w:rPr>
            </w:pPr>
            <w:r w:rsidRPr="000C672A">
              <w:rPr>
                <w:rFonts w:ascii="Arial" w:hAnsi="Arial" w:cs="Arial"/>
                <w:sz w:val="20"/>
                <w:szCs w:val="20"/>
              </w:rPr>
              <w:t>Does the Section 108 program overlap with economic development programs operated by other federal agencies?</w:t>
            </w:r>
          </w:p>
          <w:p w:rsidR="00237226" w:rsidRPr="00FF155E" w:rsidRDefault="00237226" w:rsidP="00F02425">
            <w:pPr>
              <w:keepNext/>
              <w:keepLines/>
              <w:spacing w:before="60" w:after="120"/>
              <w:rPr>
                <w:rFonts w:ascii="Arial" w:hAnsi="Arial" w:cs="Arial"/>
                <w:sz w:val="20"/>
                <w:szCs w:val="20"/>
              </w:rPr>
            </w:pPr>
            <w:r w:rsidRPr="000C672A">
              <w:rPr>
                <w:rFonts w:ascii="Arial" w:hAnsi="Arial" w:cs="Arial"/>
                <w:sz w:val="20"/>
                <w:szCs w:val="20"/>
              </w:rPr>
              <w:t xml:space="preserve">How can the Section 108 program </w:t>
            </w:r>
            <w:r w:rsidRPr="000C672A">
              <w:rPr>
                <w:rFonts w:ascii="Arial" w:hAnsi="Arial" w:cs="Arial"/>
                <w:sz w:val="20"/>
                <w:szCs w:val="20"/>
              </w:rPr>
              <w:lastRenderedPageBreak/>
              <w:t>be improved</w:t>
            </w:r>
            <w:r w:rsidRPr="00FF155E">
              <w:rPr>
                <w:rFonts w:ascii="Arial" w:hAnsi="Arial" w:cs="Arial"/>
                <w:sz w:val="20"/>
                <w:szCs w:val="20"/>
              </w:rPr>
              <w:t>?</w:t>
            </w:r>
          </w:p>
        </w:tc>
        <w:tc>
          <w:tcPr>
            <w:tcW w:w="1205" w:type="pct"/>
            <w:tcBorders>
              <w:top w:val="single" w:sz="4" w:space="0" w:color="auto"/>
              <w:left w:val="single" w:sz="4" w:space="0" w:color="auto"/>
              <w:bottom w:val="single" w:sz="12" w:space="0" w:color="auto"/>
              <w:right w:val="single" w:sz="12" w:space="0" w:color="auto"/>
            </w:tcBorders>
          </w:tcPr>
          <w:p w:rsidR="00237226" w:rsidRDefault="00237226" w:rsidP="00237226">
            <w:pPr>
              <w:keepNext/>
              <w:keepLines/>
              <w:numPr>
                <w:ilvl w:val="0"/>
                <w:numId w:val="8"/>
              </w:numPr>
              <w:autoSpaceDE w:val="0"/>
              <w:autoSpaceDN w:val="0"/>
              <w:adjustRightInd w:val="0"/>
              <w:spacing w:after="60"/>
              <w:rPr>
                <w:rFonts w:ascii="Arial" w:hAnsi="Arial" w:cs="Arial"/>
                <w:sz w:val="20"/>
                <w:szCs w:val="20"/>
              </w:rPr>
            </w:pPr>
            <w:r>
              <w:rPr>
                <w:rFonts w:ascii="Arial" w:hAnsi="Arial" w:cs="Arial"/>
                <w:sz w:val="20"/>
                <w:szCs w:val="20"/>
              </w:rPr>
              <w:lastRenderedPageBreak/>
              <w:t>Questions specifically address the program overlap issue.</w:t>
            </w:r>
          </w:p>
          <w:p w:rsidR="00237226" w:rsidRDefault="00237226" w:rsidP="00237226">
            <w:pPr>
              <w:keepNext/>
              <w:keepLines/>
              <w:numPr>
                <w:ilvl w:val="0"/>
                <w:numId w:val="8"/>
              </w:numPr>
              <w:autoSpaceDE w:val="0"/>
              <w:autoSpaceDN w:val="0"/>
              <w:adjustRightInd w:val="0"/>
              <w:spacing w:after="60"/>
              <w:rPr>
                <w:rFonts w:ascii="Arial" w:hAnsi="Arial" w:cs="Arial"/>
                <w:sz w:val="20"/>
                <w:szCs w:val="20"/>
              </w:rPr>
            </w:pPr>
            <w:r>
              <w:rPr>
                <w:rFonts w:ascii="Arial" w:hAnsi="Arial" w:cs="Arial"/>
                <w:sz w:val="20"/>
                <w:szCs w:val="20"/>
              </w:rPr>
              <w:lastRenderedPageBreak/>
              <w:t>These questions provide an opportunity for feedback from program participants.</w:t>
            </w:r>
          </w:p>
        </w:tc>
      </w:tr>
    </w:tbl>
    <w:p w:rsidR="00237226" w:rsidRDefault="00237226" w:rsidP="00237226">
      <w:pPr>
        <w:pStyle w:val="Default"/>
        <w:keepNext/>
        <w:keepLines/>
        <w:jc w:val="both"/>
      </w:pPr>
    </w:p>
    <w:p w:rsidR="00237226" w:rsidRDefault="00237226" w:rsidP="00237226">
      <w:pPr>
        <w:pStyle w:val="Heading2"/>
        <w:keepLines/>
      </w:pPr>
      <w:r>
        <w:t>Need for OMB Clearance</w:t>
      </w:r>
    </w:p>
    <w:p w:rsidR="00237226" w:rsidRDefault="00237226" w:rsidP="00237226">
      <w:pPr>
        <w:pStyle w:val="Default"/>
        <w:keepNext/>
        <w:keepLines/>
        <w:jc w:val="both"/>
      </w:pPr>
    </w:p>
    <w:p w:rsidR="00237226" w:rsidRPr="007E4729" w:rsidRDefault="00237226" w:rsidP="00237226">
      <w:pPr>
        <w:pStyle w:val="Default"/>
        <w:keepNext/>
        <w:keepLines/>
        <w:jc w:val="both"/>
      </w:pPr>
      <w:r w:rsidRPr="007E4729">
        <w:t xml:space="preserve">Under the Paperwork Reduction Act (PRA) of 1995, OMB requires the Department </w:t>
      </w:r>
      <w:r>
        <w:t xml:space="preserve">to </w:t>
      </w:r>
      <w:r w:rsidRPr="007E4729">
        <w:t xml:space="preserve">clear the questionnaire or survey when asking the same questions of more than </w:t>
      </w:r>
      <w:r>
        <w:t>nine</w:t>
      </w:r>
      <w:r w:rsidRPr="007E4729">
        <w:t xml:space="preserve"> members of the public (non-Federal employees). </w:t>
      </w:r>
      <w:r w:rsidRPr="007E4729">
        <w:rPr>
          <w:color w:val="auto"/>
        </w:rPr>
        <w:t xml:space="preserve"> </w:t>
      </w:r>
      <w:r w:rsidRPr="007E4729">
        <w:t xml:space="preserve">The approval process, which is popularly known as the “OMB clearance process,” is extensive and time-consuming. It requires two </w:t>
      </w:r>
      <w:r w:rsidRPr="009A0567">
        <w:rPr>
          <w:i/>
        </w:rPr>
        <w:t>Federal Register</w:t>
      </w:r>
      <w:r w:rsidRPr="007E4729">
        <w:t xml:space="preserve"> notices and a detailed application to OMB. The PRA requires that we furnish the information to The Departmental Paperwork Reduction Act Officer, within the Office of the Chief Information Officer for the Chief Information Officer’s (CIO) review and certification.</w:t>
      </w:r>
      <w:r w:rsidRPr="007E4729">
        <w:rPr>
          <w:rStyle w:val="FootnoteReference"/>
        </w:rPr>
        <w:footnoteReference w:id="5"/>
      </w:r>
      <w:r w:rsidRPr="007E4729">
        <w:t xml:space="preserve">   </w:t>
      </w:r>
    </w:p>
    <w:p w:rsidR="00237226" w:rsidRDefault="00237226" w:rsidP="00237226">
      <w:pPr>
        <w:pStyle w:val="Default"/>
        <w:keepNext/>
        <w:keepLines/>
        <w:jc w:val="both"/>
      </w:pPr>
    </w:p>
    <w:sectPr w:rsidR="00237226" w:rsidSect="003445A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226" w:rsidRDefault="00237226" w:rsidP="00237226">
      <w:r>
        <w:separator/>
      </w:r>
    </w:p>
  </w:endnote>
  <w:endnote w:type="continuationSeparator" w:id="0">
    <w:p w:rsidR="00237226" w:rsidRDefault="00237226" w:rsidP="002372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FHPPPP+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226" w:rsidRDefault="00237226" w:rsidP="00237226">
      <w:r>
        <w:separator/>
      </w:r>
    </w:p>
  </w:footnote>
  <w:footnote w:type="continuationSeparator" w:id="0">
    <w:p w:rsidR="00237226" w:rsidRDefault="00237226" w:rsidP="00237226">
      <w:r>
        <w:continuationSeparator/>
      </w:r>
    </w:p>
  </w:footnote>
  <w:footnote w:id="1">
    <w:p w:rsidR="00237226" w:rsidRPr="00B96185" w:rsidRDefault="00237226" w:rsidP="00237226">
      <w:pPr>
        <w:pStyle w:val="FootnoteText"/>
        <w:jc w:val="both"/>
      </w:pPr>
      <w:r>
        <w:rPr>
          <w:rStyle w:val="FootnoteReference"/>
        </w:rPr>
        <w:footnoteRef/>
      </w:r>
      <w:r>
        <w:t xml:space="preserve"> </w:t>
      </w:r>
      <w:hyperlink r:id="rId1" w:history="1">
        <w:r w:rsidRPr="007E1CF0">
          <w:rPr>
            <w:rStyle w:val="Hyperlink"/>
          </w:rPr>
          <w:t>http://www.whitehouse.gov/omb/expectmore/detail/10009066.2007.html</w:t>
        </w:r>
      </w:hyperlink>
      <w:r>
        <w:t xml:space="preserve">. </w:t>
      </w:r>
    </w:p>
  </w:footnote>
  <w:footnote w:id="2">
    <w:p w:rsidR="00237226" w:rsidRDefault="00237226" w:rsidP="00237226">
      <w:pPr>
        <w:pStyle w:val="FootnoteText"/>
        <w:jc w:val="both"/>
      </w:pPr>
      <w:r>
        <w:rPr>
          <w:rStyle w:val="FootnoteReference"/>
        </w:rPr>
        <w:footnoteRef/>
      </w:r>
      <w:r>
        <w:t xml:space="preserve"> Throughout this document we use the word “outcomes” to denote accomplishments. Chapter 5 explains why the Office of Community, Planning &amp; Development’s (CPD) Performance Measurement system uses the measurement of outcomes, which is in essence a measure more closely related to accomplishments or outputs than of outcomes.</w:t>
      </w:r>
    </w:p>
  </w:footnote>
  <w:footnote w:id="3">
    <w:p w:rsidR="00237226" w:rsidRDefault="00237226" w:rsidP="00237226">
      <w:pPr>
        <w:pStyle w:val="FootnoteText"/>
        <w:jc w:val="both"/>
      </w:pPr>
      <w:r>
        <w:rPr>
          <w:rStyle w:val="FootnoteReference"/>
        </w:rPr>
        <w:footnoteRef/>
      </w:r>
      <w:r>
        <w:t xml:space="preserve"> Although typically “grantee” implies a Community Development Block Grant (CDBG) recipient, “grantee” has been used in past HUD publications when discussing Section 108 recipients or users.  In this document we use the term grantees to mean “Section 108 recipients,” “Section users,” or “Section 108 borrowers.”</w:t>
      </w:r>
    </w:p>
  </w:footnote>
  <w:footnote w:id="4">
    <w:p w:rsidR="00237226" w:rsidRPr="00E51124" w:rsidRDefault="00237226" w:rsidP="00237226">
      <w:pPr>
        <w:pStyle w:val="FootnoteText"/>
        <w:jc w:val="both"/>
      </w:pPr>
      <w:r>
        <w:rPr>
          <w:rStyle w:val="FootnoteReference"/>
        </w:rPr>
        <w:footnoteRef/>
      </w:r>
      <w:r>
        <w:t xml:space="preserve"> </w:t>
      </w:r>
      <w:r w:rsidRPr="00E51124">
        <w:t xml:space="preserve">IDIS is a nationwide database, IDIS provides HUD with current information regarding the program activities underway across the Nation, including funding data. HUD uses the information in IDIS to report to Congress and to monitor grantees. IDIS is the draw down and reporting system for the four CPD formula grant programs: </w:t>
      </w:r>
      <w:hyperlink r:id="rId2" w:history="1">
        <w:r w:rsidRPr="00E51124">
          <w:rPr>
            <w:rStyle w:val="Hyperlink"/>
          </w:rPr>
          <w:t>CDBG</w:t>
        </w:r>
      </w:hyperlink>
      <w:r w:rsidRPr="00E51124">
        <w:t xml:space="preserve">, </w:t>
      </w:r>
      <w:hyperlink r:id="rId3" w:history="1">
        <w:r w:rsidRPr="00E51124">
          <w:rPr>
            <w:rStyle w:val="Hyperlink"/>
          </w:rPr>
          <w:t>HOME</w:t>
        </w:r>
      </w:hyperlink>
      <w:r w:rsidRPr="00E51124">
        <w:t xml:space="preserve">, </w:t>
      </w:r>
      <w:hyperlink r:id="rId4" w:history="1">
        <w:r w:rsidRPr="00E51124">
          <w:rPr>
            <w:rStyle w:val="Hyperlink"/>
          </w:rPr>
          <w:t>ESG</w:t>
        </w:r>
      </w:hyperlink>
      <w:r w:rsidRPr="00E51124">
        <w:t xml:space="preserve">, and </w:t>
      </w:r>
      <w:hyperlink r:id="rId5" w:history="1">
        <w:r w:rsidRPr="00E51124">
          <w:rPr>
            <w:rStyle w:val="Hyperlink"/>
          </w:rPr>
          <w:t>HOPWA</w:t>
        </w:r>
      </w:hyperlink>
      <w:r w:rsidRPr="00E51124">
        <w:t xml:space="preserve">. This research will define a suitable framework for reliably capturing and reporting on Section 108 program performance. The framework reflects the community development indicators presented in the Department’s Notice of Outcome Performance Measurement System for Community Planning and Development which was </w:t>
      </w:r>
      <w:proofErr w:type="spellStart"/>
      <w:r w:rsidRPr="00E51124">
        <w:t>operationalzed</w:t>
      </w:r>
      <w:proofErr w:type="spellEnd"/>
      <w:r w:rsidRPr="00E51124">
        <w:t xml:space="preserve"> in IDIS for reporting performance for CDBG, HOME, ESG, and HOPWA.</w:t>
      </w:r>
    </w:p>
  </w:footnote>
  <w:footnote w:id="5">
    <w:p w:rsidR="00237226" w:rsidRDefault="00237226" w:rsidP="00237226">
      <w:pPr>
        <w:rPr>
          <w:rFonts w:cs="Arial"/>
          <w:color w:val="000000"/>
        </w:rPr>
      </w:pPr>
      <w:r>
        <w:rPr>
          <w:rStyle w:val="FootnoteReference"/>
        </w:rPr>
        <w:footnoteRef/>
      </w:r>
      <w:r>
        <w:t xml:space="preserve"> </w:t>
      </w:r>
      <w:r w:rsidRPr="00841984">
        <w:rPr>
          <w:rFonts w:cs="Arial"/>
          <w:color w:val="000000"/>
          <w:sz w:val="20"/>
          <w:szCs w:val="20"/>
        </w:rPr>
        <w:t>The provisions of the PRA are implemented under 5 CFR 1320.</w:t>
      </w:r>
      <w:r>
        <w:rPr>
          <w:rFonts w:cs="Arial"/>
          <w:color w:val="000000"/>
        </w:rPr>
        <w:t xml:space="preserve">  </w:t>
      </w:r>
    </w:p>
    <w:p w:rsidR="00237226" w:rsidRDefault="00237226" w:rsidP="00237226">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E75F2"/>
    <w:multiLevelType w:val="hybridMultilevel"/>
    <w:tmpl w:val="13A292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2BF7ED1"/>
    <w:multiLevelType w:val="hybridMultilevel"/>
    <w:tmpl w:val="C0143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FCC372B"/>
    <w:multiLevelType w:val="hybridMultilevel"/>
    <w:tmpl w:val="62689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10B1424"/>
    <w:multiLevelType w:val="hybridMultilevel"/>
    <w:tmpl w:val="466E4F14"/>
    <w:lvl w:ilvl="0" w:tplc="9A2AE24E">
      <w:start w:val="1"/>
      <w:numFmt w:val="bullet"/>
      <w:lvlText w:val=""/>
      <w:lvlJc w:val="left"/>
      <w:pPr>
        <w:tabs>
          <w:tab w:val="num" w:pos="720"/>
        </w:tabs>
        <w:ind w:left="720" w:hanging="360"/>
      </w:pPr>
      <w:rPr>
        <w:rFonts w:ascii="Symbol" w:hAnsi="Symbol" w:hint="default"/>
        <w:sz w:val="20"/>
        <w:szCs w:val="20"/>
      </w:rPr>
    </w:lvl>
    <w:lvl w:ilvl="1" w:tplc="79869764">
      <w:start w:val="1"/>
      <w:numFmt w:val="bullet"/>
      <w:lvlText w:val=""/>
      <w:lvlJc w:val="left"/>
      <w:pPr>
        <w:tabs>
          <w:tab w:val="num" w:pos="2940"/>
        </w:tabs>
        <w:ind w:left="2940" w:hanging="360"/>
      </w:pPr>
      <w:rPr>
        <w:rFonts w:ascii="Symbol" w:hAnsi="Symbol" w:hint="default"/>
        <w:sz w:val="20"/>
        <w:szCs w:val="20"/>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Verdana"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Verdana" w:hint="default"/>
      </w:rPr>
    </w:lvl>
    <w:lvl w:ilvl="8" w:tplc="04090005" w:tentative="1">
      <w:start w:val="1"/>
      <w:numFmt w:val="bullet"/>
      <w:lvlText w:val=""/>
      <w:lvlJc w:val="left"/>
      <w:pPr>
        <w:ind w:left="7980" w:hanging="360"/>
      </w:pPr>
      <w:rPr>
        <w:rFonts w:ascii="Wingdings" w:hAnsi="Wingdings" w:hint="default"/>
      </w:rPr>
    </w:lvl>
  </w:abstractNum>
  <w:abstractNum w:abstractNumId="4">
    <w:nsid w:val="1EE570EF"/>
    <w:multiLevelType w:val="hybridMultilevel"/>
    <w:tmpl w:val="1F0C5A1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2202522"/>
    <w:multiLevelType w:val="hybridMultilevel"/>
    <w:tmpl w:val="657816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5A8E44D1"/>
    <w:multiLevelType w:val="hybridMultilevel"/>
    <w:tmpl w:val="9A2293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1AB1D73"/>
    <w:multiLevelType w:val="hybridMultilevel"/>
    <w:tmpl w:val="E1C6E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76278D9"/>
    <w:multiLevelType w:val="hybridMultilevel"/>
    <w:tmpl w:val="5F6AE512"/>
    <w:lvl w:ilvl="0" w:tplc="864CB80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91467E6"/>
    <w:multiLevelType w:val="hybridMultilevel"/>
    <w:tmpl w:val="6010B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15D4182"/>
    <w:multiLevelType w:val="hybridMultilevel"/>
    <w:tmpl w:val="6BB2FE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5DE28AA"/>
    <w:multiLevelType w:val="hybridMultilevel"/>
    <w:tmpl w:val="79E4AE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8860634"/>
    <w:multiLevelType w:val="hybridMultilevel"/>
    <w:tmpl w:val="4F7A61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12"/>
  </w:num>
  <w:num w:numId="4">
    <w:abstractNumId w:val="8"/>
  </w:num>
  <w:num w:numId="5">
    <w:abstractNumId w:val="9"/>
  </w:num>
  <w:num w:numId="6">
    <w:abstractNumId w:val="2"/>
  </w:num>
  <w:num w:numId="7">
    <w:abstractNumId w:val="1"/>
  </w:num>
  <w:num w:numId="8">
    <w:abstractNumId w:val="7"/>
  </w:num>
  <w:num w:numId="9">
    <w:abstractNumId w:val="10"/>
  </w:num>
  <w:num w:numId="10">
    <w:abstractNumId w:val="11"/>
  </w:num>
  <w:num w:numId="11">
    <w:abstractNumId w:val="6"/>
  </w:num>
  <w:num w:numId="12">
    <w:abstractNumId w:val="5"/>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37226"/>
    <w:rsid w:val="00015539"/>
    <w:rsid w:val="00035414"/>
    <w:rsid w:val="000558E8"/>
    <w:rsid w:val="0006160A"/>
    <w:rsid w:val="00085AF2"/>
    <w:rsid w:val="00090C72"/>
    <w:rsid w:val="000C3F21"/>
    <w:rsid w:val="00185403"/>
    <w:rsid w:val="001D3B40"/>
    <w:rsid w:val="001E6E02"/>
    <w:rsid w:val="00220249"/>
    <w:rsid w:val="00236257"/>
    <w:rsid w:val="00237226"/>
    <w:rsid w:val="002C0E7F"/>
    <w:rsid w:val="0033247C"/>
    <w:rsid w:val="003445A1"/>
    <w:rsid w:val="00347DFD"/>
    <w:rsid w:val="00381FEE"/>
    <w:rsid w:val="003856E5"/>
    <w:rsid w:val="003A71B2"/>
    <w:rsid w:val="003B0E15"/>
    <w:rsid w:val="00416410"/>
    <w:rsid w:val="004421D0"/>
    <w:rsid w:val="00450BC4"/>
    <w:rsid w:val="005B4E32"/>
    <w:rsid w:val="005C39D6"/>
    <w:rsid w:val="005C7DD5"/>
    <w:rsid w:val="005E4CD5"/>
    <w:rsid w:val="00644EEE"/>
    <w:rsid w:val="00651982"/>
    <w:rsid w:val="00670715"/>
    <w:rsid w:val="00695408"/>
    <w:rsid w:val="006A205D"/>
    <w:rsid w:val="00760F31"/>
    <w:rsid w:val="00787FB2"/>
    <w:rsid w:val="007B16A4"/>
    <w:rsid w:val="007B16C0"/>
    <w:rsid w:val="007D0994"/>
    <w:rsid w:val="007F3FBA"/>
    <w:rsid w:val="007F7561"/>
    <w:rsid w:val="00843110"/>
    <w:rsid w:val="00846B24"/>
    <w:rsid w:val="00866245"/>
    <w:rsid w:val="0088298B"/>
    <w:rsid w:val="008B2F58"/>
    <w:rsid w:val="009145BD"/>
    <w:rsid w:val="00962AAD"/>
    <w:rsid w:val="009838ED"/>
    <w:rsid w:val="00993451"/>
    <w:rsid w:val="009D7744"/>
    <w:rsid w:val="009E573D"/>
    <w:rsid w:val="00A44388"/>
    <w:rsid w:val="00A80A67"/>
    <w:rsid w:val="00A81759"/>
    <w:rsid w:val="00A90E02"/>
    <w:rsid w:val="00A95ACC"/>
    <w:rsid w:val="00B2518F"/>
    <w:rsid w:val="00B726B9"/>
    <w:rsid w:val="00B95974"/>
    <w:rsid w:val="00BA1434"/>
    <w:rsid w:val="00BB1E89"/>
    <w:rsid w:val="00BF63C9"/>
    <w:rsid w:val="00C46432"/>
    <w:rsid w:val="00C46DFA"/>
    <w:rsid w:val="00CC6D12"/>
    <w:rsid w:val="00D15CBC"/>
    <w:rsid w:val="00D25129"/>
    <w:rsid w:val="00D6168B"/>
    <w:rsid w:val="00D75696"/>
    <w:rsid w:val="00D959A7"/>
    <w:rsid w:val="00DF456C"/>
    <w:rsid w:val="00E22E41"/>
    <w:rsid w:val="00E32405"/>
    <w:rsid w:val="00E55B71"/>
    <w:rsid w:val="00E85DE4"/>
    <w:rsid w:val="00E955E8"/>
    <w:rsid w:val="00EA034A"/>
    <w:rsid w:val="00EA2CCB"/>
    <w:rsid w:val="00F43656"/>
    <w:rsid w:val="00F946F9"/>
    <w:rsid w:val="00FA30CD"/>
    <w:rsid w:val="00FA52F1"/>
    <w:rsid w:val="00FC7AA8"/>
    <w:rsid w:val="00FF0C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226"/>
    <w:rPr>
      <w:rFonts w:eastAsia="Times New Roman" w:cs="Times New Roman"/>
      <w:szCs w:val="24"/>
    </w:rPr>
  </w:style>
  <w:style w:type="paragraph" w:styleId="Heading1">
    <w:name w:val="heading 1"/>
    <w:basedOn w:val="Normal"/>
    <w:next w:val="Normal"/>
    <w:link w:val="Heading1Char"/>
    <w:qFormat/>
    <w:rsid w:val="0023722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37226"/>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7226"/>
    <w:rPr>
      <w:rFonts w:ascii="Arial" w:eastAsia="Times New Roman" w:hAnsi="Arial" w:cs="Arial"/>
      <w:b/>
      <w:bCs/>
      <w:kern w:val="32"/>
      <w:sz w:val="32"/>
      <w:szCs w:val="32"/>
    </w:rPr>
  </w:style>
  <w:style w:type="character" w:customStyle="1" w:styleId="Heading2Char">
    <w:name w:val="Heading 2 Char"/>
    <w:basedOn w:val="DefaultParagraphFont"/>
    <w:link w:val="Heading2"/>
    <w:rsid w:val="00237226"/>
    <w:rPr>
      <w:rFonts w:ascii="Arial" w:eastAsia="Times New Roman" w:hAnsi="Arial" w:cs="Arial"/>
      <w:b/>
      <w:bCs/>
      <w:i/>
      <w:iCs/>
      <w:sz w:val="28"/>
      <w:szCs w:val="28"/>
    </w:rPr>
  </w:style>
  <w:style w:type="paragraph" w:customStyle="1" w:styleId="Default">
    <w:name w:val="Default"/>
    <w:rsid w:val="00237226"/>
    <w:pPr>
      <w:autoSpaceDE w:val="0"/>
      <w:autoSpaceDN w:val="0"/>
      <w:adjustRightInd w:val="0"/>
    </w:pPr>
    <w:rPr>
      <w:rFonts w:eastAsia="Times New Roman" w:cs="Times New Roman"/>
      <w:color w:val="000000"/>
      <w:szCs w:val="24"/>
    </w:rPr>
  </w:style>
  <w:style w:type="paragraph" w:styleId="FootnoteText">
    <w:name w:val="footnote text"/>
    <w:basedOn w:val="Normal"/>
    <w:link w:val="FootnoteTextChar"/>
    <w:semiHidden/>
    <w:rsid w:val="00237226"/>
    <w:rPr>
      <w:sz w:val="20"/>
      <w:szCs w:val="20"/>
    </w:rPr>
  </w:style>
  <w:style w:type="character" w:customStyle="1" w:styleId="FootnoteTextChar">
    <w:name w:val="Footnote Text Char"/>
    <w:basedOn w:val="DefaultParagraphFont"/>
    <w:link w:val="FootnoteText"/>
    <w:semiHidden/>
    <w:rsid w:val="00237226"/>
    <w:rPr>
      <w:rFonts w:eastAsia="Times New Roman" w:cs="Times New Roman"/>
      <w:sz w:val="20"/>
      <w:szCs w:val="20"/>
    </w:rPr>
  </w:style>
  <w:style w:type="character" w:styleId="FootnoteReference">
    <w:name w:val="footnote reference"/>
    <w:basedOn w:val="DefaultParagraphFont"/>
    <w:semiHidden/>
    <w:rsid w:val="00237226"/>
    <w:rPr>
      <w:vertAlign w:val="superscript"/>
    </w:rPr>
  </w:style>
  <w:style w:type="character" w:styleId="Hyperlink">
    <w:name w:val="Hyperlink"/>
    <w:basedOn w:val="DefaultParagraphFont"/>
    <w:rsid w:val="0023722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www.hud.gov/offices/cpd/affordablehousing/programs/home/" TargetMode="External"/><Relationship Id="rId2" Type="http://schemas.openxmlformats.org/officeDocument/2006/relationships/hyperlink" Target="http://www.hud.gov/offices/cpd/communitydevelopment/programs/" TargetMode="External"/><Relationship Id="rId1" Type="http://schemas.openxmlformats.org/officeDocument/2006/relationships/hyperlink" Target="http://www.whitehouse.gov/omb/expectmore/detail/10009066.2007.html" TargetMode="External"/><Relationship Id="rId5" Type="http://schemas.openxmlformats.org/officeDocument/2006/relationships/hyperlink" Target="http://www.hud.gov/offices/cpd/aidshousing/programs/" TargetMode="External"/><Relationship Id="rId4" Type="http://schemas.openxmlformats.org/officeDocument/2006/relationships/hyperlink" Target="http://www.hud.gov/offices/cpd/homeless/programs/e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1152</Words>
  <Characters>6571</Characters>
  <Application>Microsoft Office Word</Application>
  <DocSecurity>0</DocSecurity>
  <Lines>54</Lines>
  <Paragraphs>15</Paragraphs>
  <ScaleCrop>false</ScaleCrop>
  <Company>Housing and Urban Development</Company>
  <LinksUpToDate>false</LinksUpToDate>
  <CharactersWithSpaces>7708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Judson L. James</dc:creator>
  <cp:lastModifiedBy>Priscila Prunella</cp:lastModifiedBy>
  <cp:revision>2</cp:revision>
  <dcterms:created xsi:type="dcterms:W3CDTF">2010-09-01T14:59:00Z</dcterms:created>
  <dcterms:modified xsi:type="dcterms:W3CDTF">2010-09-01T14:59:00Z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