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D8" w:rsidRPr="0055654C" w:rsidRDefault="00C672D8" w:rsidP="009A13F0"/>
    <w:p w:rsidR="00C672D8" w:rsidRPr="0055654C" w:rsidRDefault="00C672D8" w:rsidP="007C42B6">
      <w:pPr>
        <w:jc w:val="center"/>
        <w:rPr>
          <w:b/>
          <w:sz w:val="28"/>
          <w:szCs w:val="28"/>
        </w:rPr>
      </w:pPr>
      <w:r w:rsidRPr="0055654C">
        <w:rPr>
          <w:b/>
          <w:sz w:val="28"/>
          <w:szCs w:val="28"/>
        </w:rPr>
        <w:t>Supporting Statement for Paperwork Reduction Act Submissions</w:t>
      </w:r>
    </w:p>
    <w:p w:rsidR="00C672D8" w:rsidRPr="0055654C" w:rsidRDefault="00C672D8" w:rsidP="00E652C2">
      <w:pPr>
        <w:jc w:val="center"/>
      </w:pPr>
    </w:p>
    <w:p w:rsidR="00C672D8" w:rsidRPr="0055654C" w:rsidRDefault="00E652C2" w:rsidP="00E652C2">
      <w:pPr>
        <w:jc w:val="center"/>
      </w:pPr>
      <w:r w:rsidRPr="0055654C">
        <w:t>Conversion of Efficiency Units to One-Bedroom Units Multifamily Housing Package</w:t>
      </w:r>
    </w:p>
    <w:p w:rsidR="00C672D8" w:rsidRPr="0055654C" w:rsidRDefault="00C672D8" w:rsidP="0004698A">
      <w:pPr>
        <w:ind w:left="1440" w:firstLine="720"/>
      </w:pPr>
    </w:p>
    <w:p w:rsidR="00607FB2" w:rsidRPr="0055654C" w:rsidRDefault="00607FB2" w:rsidP="00607FB2">
      <w:pPr>
        <w:jc w:val="center"/>
      </w:pPr>
      <w:r w:rsidRPr="0055654C">
        <w:t>HUD-9647, HUD-92030, HUD-92030-I, HUD-92031-IRP, HUD-92032, HUD-92033 and HUD-92040</w:t>
      </w:r>
    </w:p>
    <w:p w:rsidR="00E652C2" w:rsidRPr="0055654C" w:rsidRDefault="00E652C2" w:rsidP="004A4C8A">
      <w:pPr>
        <w:jc w:val="center"/>
      </w:pPr>
    </w:p>
    <w:p w:rsidR="00C672D8" w:rsidRPr="0055654C" w:rsidRDefault="00C672D8" w:rsidP="00812446">
      <w:pPr>
        <w:rPr>
          <w:b/>
        </w:rPr>
      </w:pPr>
      <w:r w:rsidRPr="0055654C">
        <w:rPr>
          <w:b/>
        </w:rPr>
        <w:t>A.</w:t>
      </w:r>
      <w:r w:rsidRPr="0055654C">
        <w:rPr>
          <w:b/>
        </w:rPr>
        <w:tab/>
        <w:t>JUSTIFICATION</w:t>
      </w:r>
    </w:p>
    <w:p w:rsidR="00C672D8" w:rsidRPr="0055654C" w:rsidRDefault="00C672D8" w:rsidP="005318CC">
      <w:pPr>
        <w:rPr>
          <w:b/>
        </w:rPr>
      </w:pPr>
    </w:p>
    <w:p w:rsidR="00C672D8" w:rsidRPr="0055654C" w:rsidRDefault="00C672D8" w:rsidP="005318CC">
      <w:r w:rsidRPr="0055654C">
        <w:t>1.  Why this information is necessary:</w:t>
      </w:r>
    </w:p>
    <w:p w:rsidR="00C672D8" w:rsidRPr="0055654C" w:rsidRDefault="00C672D8" w:rsidP="005318CC">
      <w:pPr>
        <w:ind w:left="360"/>
      </w:pPr>
    </w:p>
    <w:p w:rsidR="004E7FFC" w:rsidRPr="0055654C" w:rsidRDefault="00025C55" w:rsidP="00B438C7">
      <w:pPr>
        <w:ind w:left="345"/>
      </w:pPr>
      <w:r w:rsidRPr="0055654C">
        <w:t xml:space="preserve">The Department has received requests from owners of assisted housing to convert efficiencies to one-bedroom units.  Owners have indicated that such conversions will better serve resident needs, alleviate recurring vacancies, and provide the financial relief necessary to avoid default.  The Department understands that conversions may be necessary to ensure that projects are preserved and resident needs are adequately met.  Pursuant to the </w:t>
      </w:r>
      <w:r w:rsidR="000E79B8" w:rsidRPr="0055654C">
        <w:t xml:space="preserve">HUD Regulations at 24 CFR Part 207 and as stated in the </w:t>
      </w:r>
      <w:r w:rsidRPr="0055654C">
        <w:t>Regulatory Agreement for Multifamily Projects, HUD-92466 Section 6(d)</w:t>
      </w:r>
      <w:r w:rsidR="00ED6C71" w:rsidRPr="0055654C">
        <w:t xml:space="preserve"> (which is attached)</w:t>
      </w:r>
      <w:r w:rsidR="004E7FFC" w:rsidRPr="0055654C">
        <w:t>:</w:t>
      </w:r>
      <w:r w:rsidRPr="0055654C">
        <w:t xml:space="preserve"> </w:t>
      </w:r>
    </w:p>
    <w:p w:rsidR="004E7FFC" w:rsidRPr="0055654C" w:rsidRDefault="004E7FFC" w:rsidP="00025C55">
      <w:pPr>
        <w:ind w:firstLine="720"/>
      </w:pPr>
    </w:p>
    <w:p w:rsidR="004E7FFC" w:rsidRPr="0055654C" w:rsidRDefault="004E7FFC" w:rsidP="00B438C7">
      <w:pPr>
        <w:ind w:left="345"/>
      </w:pPr>
      <w:r w:rsidRPr="0055654C">
        <w:t>“Owners shall not without prior permission from the Secretary…Remodel, add to, reconstruct, or demolish any part of the mortgaged property or subtract from any real or personal property of the project.”</w:t>
      </w:r>
    </w:p>
    <w:p w:rsidR="004E7FFC" w:rsidRPr="0055654C" w:rsidRDefault="004E7FFC" w:rsidP="00025C55">
      <w:pPr>
        <w:ind w:firstLine="720"/>
      </w:pPr>
    </w:p>
    <w:p w:rsidR="00025C55" w:rsidRPr="0055654C" w:rsidRDefault="004E7FFC" w:rsidP="00B438C7">
      <w:pPr>
        <w:ind w:left="345"/>
      </w:pPr>
      <w:r w:rsidRPr="0055654C">
        <w:t xml:space="preserve">Therefore, this information needs to be collected by the Department to verify the contents of an owners request to convert these units into one bedroom apartments.  </w:t>
      </w:r>
      <w:r w:rsidR="00064AC3">
        <w:t xml:space="preserve">In addition, this information collection is aligned with the President’s American Reinvestment and Recovery Plan of reducing and/or preventing mortgage defaults because permitting owners to convert of efficiency units into one-bedroom units will improve a project’s marketability and reduce its vacancies. </w:t>
      </w:r>
      <w:r w:rsidR="00025C55" w:rsidRPr="0055654C">
        <w:t>As such, the Department has developed policies and procedures to permit the conversion of efficiencies to one-bedroom units provided it can be demonstrated that the conversion is warranted by local market demands for affordable housing and results in the long-term financial and physical repositioning of the project.</w:t>
      </w:r>
    </w:p>
    <w:p w:rsidR="00C672D8" w:rsidRPr="0055654C" w:rsidRDefault="00C672D8" w:rsidP="00700953"/>
    <w:p w:rsidR="00C672D8" w:rsidRPr="0055654C" w:rsidRDefault="00C672D8" w:rsidP="00700953">
      <w:r w:rsidRPr="0055654C">
        <w:t>2.  How this information will be used:</w:t>
      </w:r>
    </w:p>
    <w:p w:rsidR="00C672D8" w:rsidRPr="0055654C" w:rsidRDefault="00C672D8" w:rsidP="00700953"/>
    <w:p w:rsidR="00ED6C71" w:rsidRPr="0055654C" w:rsidRDefault="00ED6C71" w:rsidP="00ED6C71">
      <w:pPr>
        <w:ind w:left="360"/>
      </w:pPr>
      <w:r w:rsidRPr="0055654C">
        <w:t>The Department has received several requests to convert efficiency to one-bedroom units in certain types of assisted and insured housing.  Owners have indicated that such conversions will better serve resident needs, alleviate recurring vacancies, and provide the financial relief necessary to avoid default.  The Department understands that conversions may be necessary to ensure that projects are preserved and resident needs are adequately met. As such, the Department has developed this Housing Notice to permit the conversion of efficiencies to one-bedrooms provided it can be demonstrated that the conversion is warranted by local demands and results in the long-term financial and physical repositioning of the project.</w:t>
      </w:r>
    </w:p>
    <w:p w:rsidR="00ED6C71" w:rsidRPr="0055654C" w:rsidRDefault="00ED6C71" w:rsidP="00ED6C71">
      <w:pPr>
        <w:ind w:left="360"/>
      </w:pPr>
    </w:p>
    <w:p w:rsidR="00ED6C71" w:rsidRPr="0055654C" w:rsidRDefault="00ED6C71" w:rsidP="00ED6C71">
      <w:pPr>
        <w:ind w:left="360"/>
      </w:pPr>
      <w:r w:rsidRPr="0055654C">
        <w:t>Conversion actions will result in the loss of existing, underutilized affordable housing.  The policy set forth in the proposed Notice balances this loss with the expressed needs of the industry by requiring owners to demonstrate that conversions will satisfy local affordable housing demand and will result in the long term preservation of the remaining project units. The information collection from owners is vital to ensure that the loss of the units can be justified</w:t>
      </w:r>
      <w:r w:rsidR="00BF5587" w:rsidRPr="0055654C">
        <w:t xml:space="preserve"> and will be converted in accordance with HUD requirements</w:t>
      </w:r>
      <w:r w:rsidRPr="0055654C">
        <w:t xml:space="preserve">.  For example, despite sustained marketing efforts, the vacancy rate for efficiency units targeted for conversion must have been at least 25% over a prior three-year period and there must be a waiting list for the post conversion unit type.  Extended preservation of the remaining project units is achieved by requiring owners to accept contract renewals as long as they are offered by the Department.  In addition, owners must demonstrate that conversions will improve the overall financial and physical condition of the project, thereby ensuring lengthened viability. </w:t>
      </w:r>
    </w:p>
    <w:p w:rsidR="00ED6C71" w:rsidRPr="0055654C" w:rsidRDefault="00ED6C71" w:rsidP="00ED6C71">
      <w:pPr>
        <w:ind w:left="360"/>
      </w:pPr>
    </w:p>
    <w:p w:rsidR="00ED6C71" w:rsidRPr="0055654C" w:rsidRDefault="00ED6C71" w:rsidP="00ED6C71">
      <w:pPr>
        <w:ind w:left="360"/>
      </w:pPr>
      <w:r w:rsidRPr="0055654C">
        <w:lastRenderedPageBreak/>
        <w:t xml:space="preserve">Altogether, these requirements will prohibit the conversion of units with current or projected demand, will ensure the improved condition of the remaining stock, and will provide owners with increased flexibility to respond to local market conditions.    </w:t>
      </w:r>
    </w:p>
    <w:p w:rsidR="00ED6C71" w:rsidRPr="0055654C" w:rsidRDefault="00ED6C71" w:rsidP="00B438C7">
      <w:pPr>
        <w:ind w:left="360"/>
      </w:pPr>
    </w:p>
    <w:p w:rsidR="00C672D8" w:rsidRPr="0055654C" w:rsidRDefault="00BF5587" w:rsidP="00154764">
      <w:pPr>
        <w:numPr>
          <w:ilvl w:val="0"/>
          <w:numId w:val="35"/>
        </w:numPr>
      </w:pPr>
      <w:r w:rsidRPr="0055654C">
        <w:t xml:space="preserve">The Department does not anticipate a high volume of submissions that would warrant developing automated processing.  </w:t>
      </w:r>
      <w:r w:rsidR="00AB3CB3" w:rsidRPr="0055654C">
        <w:t>Electronic submission of this information is not feasible.</w:t>
      </w:r>
      <w:r w:rsidR="00951B96" w:rsidRPr="0055654C">
        <w:t xml:space="preserve"> </w:t>
      </w:r>
      <w:r w:rsidR="00AB3CB3" w:rsidRPr="0055654C">
        <w:t xml:space="preserve"> </w:t>
      </w:r>
      <w:r w:rsidRPr="0055654C">
        <w:t xml:space="preserve">Servicing HUD’s multifamily portfolio has become more complex with the changes in the programs, the uniqueness of each property, and the increasing complexity of mortgage finance.  </w:t>
      </w:r>
      <w:r w:rsidR="00613AFD" w:rsidRPr="0055654C">
        <w:t xml:space="preserve">Each package will consist of unique characteristics for the property (units, financing, etc.) requiring owner certified documents.  </w:t>
      </w:r>
      <w:r w:rsidRPr="0055654C">
        <w:t>Consequently, the creation o</w:t>
      </w:r>
      <w:r w:rsidR="00613AFD" w:rsidRPr="0055654C">
        <w:t xml:space="preserve">f </w:t>
      </w:r>
      <w:r w:rsidRPr="0055654C">
        <w:t xml:space="preserve">a blanket automated system to process a </w:t>
      </w:r>
      <w:r w:rsidR="00613AFD" w:rsidRPr="0055654C">
        <w:t>low volume</w:t>
      </w:r>
      <w:r w:rsidRPr="0055654C">
        <w:t xml:space="preserve"> of request</w:t>
      </w:r>
      <w:r w:rsidR="00613AFD" w:rsidRPr="0055654C">
        <w:t>s</w:t>
      </w:r>
      <w:r w:rsidRPr="0055654C">
        <w:t xml:space="preserve"> would not be practical.  </w:t>
      </w:r>
    </w:p>
    <w:p w:rsidR="00C672D8" w:rsidRPr="0055654C" w:rsidRDefault="00C672D8" w:rsidP="00FC67F9">
      <w:pPr>
        <w:pStyle w:val="BodyTextIndent2"/>
        <w:overflowPunct w:val="0"/>
        <w:autoSpaceDE w:val="0"/>
        <w:autoSpaceDN w:val="0"/>
        <w:adjustRightInd w:val="0"/>
        <w:spacing w:after="0" w:line="240" w:lineRule="auto"/>
        <w:ind w:left="0"/>
        <w:textAlignment w:val="baseline"/>
      </w:pPr>
    </w:p>
    <w:p w:rsidR="00C672D8" w:rsidRPr="0055654C" w:rsidRDefault="00154764" w:rsidP="00FC67F9">
      <w:pPr>
        <w:pStyle w:val="BodyTextIndent2"/>
        <w:numPr>
          <w:ilvl w:val="0"/>
          <w:numId w:val="35"/>
        </w:numPr>
        <w:overflowPunct w:val="0"/>
        <w:autoSpaceDE w:val="0"/>
        <w:autoSpaceDN w:val="0"/>
        <w:adjustRightInd w:val="0"/>
        <w:spacing w:after="0" w:line="240" w:lineRule="auto"/>
        <w:textAlignment w:val="baseline"/>
      </w:pPr>
      <w:r w:rsidRPr="0055654C">
        <w:t>There are no duplicate methods in place to collect and monitor this information.</w:t>
      </w:r>
    </w:p>
    <w:p w:rsidR="00C672D8" w:rsidRPr="0055654C" w:rsidRDefault="00C672D8" w:rsidP="00FC67F9">
      <w:pPr>
        <w:pStyle w:val="BodyTextIndent2"/>
        <w:overflowPunct w:val="0"/>
        <w:autoSpaceDE w:val="0"/>
        <w:autoSpaceDN w:val="0"/>
        <w:adjustRightInd w:val="0"/>
        <w:spacing w:after="0" w:line="240" w:lineRule="auto"/>
        <w:textAlignment w:val="baseline"/>
      </w:pPr>
    </w:p>
    <w:p w:rsidR="00C672D8" w:rsidRPr="0055654C" w:rsidRDefault="00C672D8" w:rsidP="00FC67F9">
      <w:pPr>
        <w:pStyle w:val="BodyTextIndent2"/>
        <w:numPr>
          <w:ilvl w:val="0"/>
          <w:numId w:val="35"/>
        </w:numPr>
        <w:overflowPunct w:val="0"/>
        <w:autoSpaceDE w:val="0"/>
        <w:autoSpaceDN w:val="0"/>
        <w:adjustRightInd w:val="0"/>
        <w:spacing w:after="0" w:line="240" w:lineRule="auto"/>
        <w:textAlignment w:val="baseline"/>
      </w:pPr>
      <w:r w:rsidRPr="0055654C">
        <w:t>The information collected does not have a significant economic impact on a substantial number of small entities.</w:t>
      </w:r>
    </w:p>
    <w:p w:rsidR="00C672D8" w:rsidRPr="0055654C" w:rsidRDefault="00C672D8" w:rsidP="00FC67F9">
      <w:pPr>
        <w:pStyle w:val="BodyTextIndent2"/>
        <w:tabs>
          <w:tab w:val="right" w:pos="8386"/>
        </w:tabs>
        <w:overflowPunct w:val="0"/>
        <w:autoSpaceDE w:val="0"/>
        <w:autoSpaceDN w:val="0"/>
        <w:adjustRightInd w:val="0"/>
        <w:spacing w:after="0" w:line="240" w:lineRule="auto"/>
        <w:ind w:left="0"/>
        <w:textAlignment w:val="baseline"/>
      </w:pPr>
    </w:p>
    <w:p w:rsidR="00C672D8" w:rsidRPr="0055654C" w:rsidRDefault="00C672D8" w:rsidP="00FC67F9">
      <w:pPr>
        <w:pStyle w:val="BodyTextIndent2"/>
        <w:numPr>
          <w:ilvl w:val="0"/>
          <w:numId w:val="35"/>
        </w:numPr>
        <w:tabs>
          <w:tab w:val="right" w:pos="8386"/>
        </w:tabs>
        <w:overflowPunct w:val="0"/>
        <w:autoSpaceDE w:val="0"/>
        <w:autoSpaceDN w:val="0"/>
        <w:adjustRightInd w:val="0"/>
        <w:spacing w:after="0" w:line="240" w:lineRule="auto"/>
        <w:textAlignment w:val="baseline"/>
      </w:pPr>
      <w:r w:rsidRPr="0055654C">
        <w:t>The reportin</w:t>
      </w:r>
      <w:r w:rsidR="00B438C7" w:rsidRPr="0055654C">
        <w:t>g burden is project-specific</w:t>
      </w:r>
      <w:r w:rsidRPr="0055654C">
        <w:t xml:space="preserve">, thus, cannot be conducted less frequently than </w:t>
      </w:r>
      <w:r w:rsidR="00B438C7" w:rsidRPr="0055654C">
        <w:t>on properties where owners are willing to convert efficiency units into one bedroom units.  Addit</w:t>
      </w:r>
      <w:r w:rsidR="009D2529" w:rsidRPr="0055654C">
        <w:t>i</w:t>
      </w:r>
      <w:r w:rsidR="00B438C7" w:rsidRPr="0055654C">
        <w:t xml:space="preserve">onally, if owners want to pursue a conversion they first have to meet with Department staff and </w:t>
      </w:r>
      <w:r w:rsidR="009D2529" w:rsidRPr="0055654C">
        <w:t xml:space="preserve">adhere to </w:t>
      </w:r>
      <w:r w:rsidR="00B438C7" w:rsidRPr="0055654C">
        <w:t xml:space="preserve">programmatic requirements </w:t>
      </w:r>
      <w:r w:rsidR="009D2529" w:rsidRPr="0055654C">
        <w:t>before they begin the paperwork</w:t>
      </w:r>
      <w:r w:rsidR="00B438C7" w:rsidRPr="0055654C">
        <w:t xml:space="preserve">.  </w:t>
      </w:r>
    </w:p>
    <w:p w:rsidR="00C672D8" w:rsidRPr="0055654C" w:rsidRDefault="00C672D8" w:rsidP="00FC67F9">
      <w:pPr>
        <w:pStyle w:val="BodyTextIndent2"/>
        <w:tabs>
          <w:tab w:val="right" w:pos="8291"/>
        </w:tabs>
        <w:overflowPunct w:val="0"/>
        <w:autoSpaceDE w:val="0"/>
        <w:autoSpaceDN w:val="0"/>
        <w:adjustRightInd w:val="0"/>
        <w:spacing w:after="0" w:line="240" w:lineRule="auto"/>
        <w:ind w:left="0"/>
        <w:textAlignment w:val="baseline"/>
        <w:rPr>
          <w:i/>
        </w:rPr>
      </w:pPr>
    </w:p>
    <w:p w:rsidR="00C672D8" w:rsidRPr="0055654C" w:rsidRDefault="009D2529" w:rsidP="00666285">
      <w:pPr>
        <w:pStyle w:val="BodyTextIndent2"/>
        <w:numPr>
          <w:ilvl w:val="0"/>
          <w:numId w:val="35"/>
        </w:numPr>
        <w:tabs>
          <w:tab w:val="right" w:pos="8291"/>
        </w:tabs>
        <w:overflowPunct w:val="0"/>
        <w:autoSpaceDE w:val="0"/>
        <w:autoSpaceDN w:val="0"/>
        <w:adjustRightInd w:val="0"/>
        <w:spacing w:after="0" w:line="240" w:lineRule="auto"/>
        <w:textAlignment w:val="baseline"/>
      </w:pPr>
      <w:r w:rsidRPr="0055654C">
        <w:t>There are no special reporting requirements.</w:t>
      </w:r>
    </w:p>
    <w:p w:rsidR="00C672D8" w:rsidRPr="0055654C" w:rsidRDefault="00C672D8" w:rsidP="00666285">
      <w:pPr>
        <w:pStyle w:val="BodyTextIndent2"/>
        <w:tabs>
          <w:tab w:val="right" w:pos="8291"/>
        </w:tabs>
        <w:overflowPunct w:val="0"/>
        <w:autoSpaceDE w:val="0"/>
        <w:autoSpaceDN w:val="0"/>
        <w:adjustRightInd w:val="0"/>
        <w:spacing w:after="0" w:line="240" w:lineRule="auto"/>
        <w:ind w:left="0"/>
        <w:textAlignment w:val="baseline"/>
      </w:pPr>
    </w:p>
    <w:p w:rsidR="00C672D8" w:rsidRPr="0055654C" w:rsidRDefault="00C672D8" w:rsidP="00FC67F9">
      <w:pPr>
        <w:numPr>
          <w:ilvl w:val="0"/>
          <w:numId w:val="35"/>
        </w:numPr>
        <w:overflowPunct w:val="0"/>
        <w:textAlignment w:val="baseline"/>
        <w:rPr>
          <w:sz w:val="22"/>
          <w:szCs w:val="22"/>
        </w:rPr>
      </w:pPr>
      <w:r w:rsidRPr="0055654C">
        <w:rPr>
          <w:sz w:val="22"/>
          <w:szCs w:val="22"/>
        </w:rPr>
        <w:t xml:space="preserve">In accordance with the requirements of 5 CFR 1320.8(d), the Notice soliciting comments on this collection of information was published in the </w:t>
      </w:r>
      <w:r w:rsidRPr="0055654C">
        <w:rPr>
          <w:iCs/>
          <w:sz w:val="22"/>
          <w:szCs w:val="22"/>
        </w:rPr>
        <w:t>Federal Register</w:t>
      </w:r>
      <w:r w:rsidR="008237A6">
        <w:rPr>
          <w:sz w:val="22"/>
          <w:szCs w:val="22"/>
        </w:rPr>
        <w:t xml:space="preserve"> </w:t>
      </w:r>
      <w:r w:rsidRPr="0055654C">
        <w:rPr>
          <w:sz w:val="22"/>
          <w:szCs w:val="22"/>
        </w:rPr>
        <w:t xml:space="preserve">on </w:t>
      </w:r>
      <w:r w:rsidR="008237A6">
        <w:rPr>
          <w:sz w:val="22"/>
          <w:szCs w:val="22"/>
        </w:rPr>
        <w:t xml:space="preserve">June 3, 2010 </w:t>
      </w:r>
      <w:r w:rsidR="00D16011" w:rsidRPr="0055654C">
        <w:rPr>
          <w:sz w:val="22"/>
          <w:szCs w:val="22"/>
        </w:rPr>
        <w:t xml:space="preserve">(Volume </w:t>
      </w:r>
      <w:r w:rsidR="008237A6">
        <w:rPr>
          <w:sz w:val="22"/>
          <w:szCs w:val="22"/>
        </w:rPr>
        <w:t xml:space="preserve">75, Number 106, </w:t>
      </w:r>
      <w:proofErr w:type="gramStart"/>
      <w:r w:rsidR="008237A6">
        <w:rPr>
          <w:sz w:val="22"/>
          <w:szCs w:val="22"/>
        </w:rPr>
        <w:t>Page</w:t>
      </w:r>
      <w:proofErr w:type="gramEnd"/>
      <w:r w:rsidR="008237A6">
        <w:rPr>
          <w:sz w:val="22"/>
          <w:szCs w:val="22"/>
        </w:rPr>
        <w:t xml:space="preserve"> 31461</w:t>
      </w:r>
      <w:r w:rsidR="00D16011" w:rsidRPr="0055654C">
        <w:rPr>
          <w:sz w:val="22"/>
          <w:szCs w:val="22"/>
        </w:rPr>
        <w:t>). </w:t>
      </w:r>
      <w:r w:rsidR="008237A6">
        <w:rPr>
          <w:sz w:val="22"/>
          <w:szCs w:val="22"/>
        </w:rPr>
        <w:t xml:space="preserve"> </w:t>
      </w:r>
      <w:r w:rsidR="001B6697">
        <w:rPr>
          <w:sz w:val="22"/>
          <w:szCs w:val="22"/>
        </w:rPr>
        <w:t>All c</w:t>
      </w:r>
      <w:r w:rsidR="008237A6">
        <w:rPr>
          <w:sz w:val="22"/>
          <w:szCs w:val="22"/>
        </w:rPr>
        <w:t xml:space="preserve">omments </w:t>
      </w:r>
      <w:r w:rsidR="00D16011" w:rsidRPr="0055654C">
        <w:rPr>
          <w:sz w:val="22"/>
          <w:szCs w:val="22"/>
        </w:rPr>
        <w:t>receive</w:t>
      </w:r>
      <w:r w:rsidR="001B6697">
        <w:rPr>
          <w:sz w:val="22"/>
          <w:szCs w:val="22"/>
        </w:rPr>
        <w:t>d</w:t>
      </w:r>
      <w:r w:rsidR="0062678B">
        <w:rPr>
          <w:sz w:val="22"/>
          <w:szCs w:val="22"/>
        </w:rPr>
        <w:t xml:space="preserve"> from public have</w:t>
      </w:r>
      <w:r w:rsidR="008237A6">
        <w:rPr>
          <w:sz w:val="22"/>
          <w:szCs w:val="22"/>
        </w:rPr>
        <w:t xml:space="preserve"> been responded to and are attached with this document.</w:t>
      </w:r>
      <w:r w:rsidRPr="0055654C">
        <w:t xml:space="preserve"> </w:t>
      </w:r>
    </w:p>
    <w:p w:rsidR="00C672D8" w:rsidRPr="001B6697" w:rsidRDefault="00C672D8" w:rsidP="00FC67F9">
      <w:pPr>
        <w:pStyle w:val="BodyTextIndent2"/>
        <w:overflowPunct w:val="0"/>
        <w:autoSpaceDE w:val="0"/>
        <w:autoSpaceDN w:val="0"/>
        <w:adjustRightInd w:val="0"/>
        <w:spacing w:after="0" w:line="240" w:lineRule="auto"/>
        <w:ind w:left="0"/>
        <w:textAlignment w:val="baseline"/>
      </w:pPr>
    </w:p>
    <w:p w:rsidR="00C672D8" w:rsidRPr="0055654C" w:rsidRDefault="00C672D8" w:rsidP="00FC67F9">
      <w:pPr>
        <w:pStyle w:val="BodyTextIndent2"/>
        <w:numPr>
          <w:ilvl w:val="0"/>
          <w:numId w:val="35"/>
        </w:numPr>
        <w:overflowPunct w:val="0"/>
        <w:autoSpaceDE w:val="0"/>
        <w:autoSpaceDN w:val="0"/>
        <w:adjustRightInd w:val="0"/>
        <w:spacing w:after="0" w:line="240" w:lineRule="auto"/>
        <w:textAlignment w:val="baseline"/>
      </w:pPr>
      <w:r w:rsidRPr="0055654C">
        <w:t>There are no gifts or other type payments made to respondents.</w:t>
      </w:r>
    </w:p>
    <w:p w:rsidR="00C672D8" w:rsidRPr="0055654C" w:rsidRDefault="00C672D8" w:rsidP="000B1F76">
      <w:pPr>
        <w:tabs>
          <w:tab w:val="right" w:pos="8410"/>
        </w:tabs>
        <w:overflowPunct w:val="0"/>
        <w:autoSpaceDE w:val="0"/>
        <w:autoSpaceDN w:val="0"/>
        <w:adjustRightInd w:val="0"/>
        <w:textAlignment w:val="baseline"/>
      </w:pPr>
    </w:p>
    <w:p w:rsidR="00C672D8" w:rsidRPr="0055654C" w:rsidRDefault="00743B9E" w:rsidP="00FC67F9">
      <w:pPr>
        <w:pStyle w:val="BodyTextIndent2"/>
        <w:numPr>
          <w:ilvl w:val="0"/>
          <w:numId w:val="35"/>
        </w:numPr>
        <w:tabs>
          <w:tab w:val="right" w:pos="2525"/>
        </w:tabs>
        <w:overflowPunct w:val="0"/>
        <w:autoSpaceDE w:val="0"/>
        <w:autoSpaceDN w:val="0"/>
        <w:adjustRightInd w:val="0"/>
        <w:spacing w:after="0" w:line="240" w:lineRule="auto"/>
        <w:textAlignment w:val="baseline"/>
      </w:pPr>
      <w:r w:rsidRPr="0055654C">
        <w:t>The information collected is not of a confidential nature.  HUD does not assure confidentiality to respondents.</w:t>
      </w:r>
    </w:p>
    <w:p w:rsidR="00613AFD" w:rsidRPr="0055654C" w:rsidRDefault="00613AFD" w:rsidP="00613AFD">
      <w:pPr>
        <w:pStyle w:val="ListParagraph"/>
      </w:pPr>
    </w:p>
    <w:p w:rsidR="00613AFD" w:rsidRPr="0055654C" w:rsidRDefault="00613AFD" w:rsidP="00FC67F9">
      <w:pPr>
        <w:pStyle w:val="BodyTextIndent2"/>
        <w:numPr>
          <w:ilvl w:val="0"/>
          <w:numId w:val="35"/>
        </w:numPr>
        <w:tabs>
          <w:tab w:val="right" w:pos="2525"/>
        </w:tabs>
        <w:overflowPunct w:val="0"/>
        <w:autoSpaceDE w:val="0"/>
        <w:autoSpaceDN w:val="0"/>
        <w:adjustRightInd w:val="0"/>
        <w:spacing w:after="0" w:line="240" w:lineRule="auto"/>
        <w:textAlignment w:val="baseline"/>
      </w:pPr>
      <w:r w:rsidRPr="0055654C">
        <w:t>This form does not request information that is sensitive in nature.</w:t>
      </w:r>
    </w:p>
    <w:p w:rsidR="00C672D8" w:rsidRPr="0055654C" w:rsidRDefault="00C672D8" w:rsidP="00FC67F9"/>
    <w:p w:rsidR="00743B9E" w:rsidRPr="0055654C" w:rsidRDefault="00743B9E" w:rsidP="00743B9E">
      <w:pPr>
        <w:widowControl w:val="0"/>
        <w:numPr>
          <w:ilvl w:val="0"/>
          <w:numId w:val="35"/>
        </w:numPr>
        <w:overflowPunct w:val="0"/>
        <w:autoSpaceDE w:val="0"/>
        <w:autoSpaceDN w:val="0"/>
        <w:adjustRightInd w:val="0"/>
        <w:textAlignment w:val="baseline"/>
      </w:pPr>
      <w:r w:rsidRPr="0055654C">
        <w:t>Estimated Annual Cost to Respondents.</w:t>
      </w:r>
    </w:p>
    <w:tbl>
      <w:tblPr>
        <w:tblW w:w="10183" w:type="dxa"/>
        <w:jc w:val="center"/>
        <w:tblInd w:w="93" w:type="dxa"/>
        <w:tblLook w:val="04A0"/>
      </w:tblPr>
      <w:tblGrid>
        <w:gridCol w:w="2141"/>
        <w:gridCol w:w="1357"/>
        <w:gridCol w:w="1147"/>
        <w:gridCol w:w="1388"/>
        <w:gridCol w:w="1151"/>
        <w:gridCol w:w="1010"/>
        <w:gridCol w:w="788"/>
        <w:gridCol w:w="1201"/>
      </w:tblGrid>
      <w:tr w:rsidR="004C3AA3" w:rsidRPr="0055654C" w:rsidTr="00607FB2">
        <w:trPr>
          <w:trHeight w:val="852"/>
          <w:jc w:val="center"/>
        </w:trPr>
        <w:tc>
          <w:tcPr>
            <w:tcW w:w="214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Information Collection</w:t>
            </w:r>
          </w:p>
        </w:tc>
        <w:tc>
          <w:tcPr>
            <w:tcW w:w="1357"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Number of Respondents</w:t>
            </w:r>
          </w:p>
        </w:tc>
        <w:tc>
          <w:tcPr>
            <w:tcW w:w="1147"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Frequency of Response</w:t>
            </w:r>
            <w:r w:rsidR="00DD6D08" w:rsidRPr="0055654C">
              <w:rPr>
                <w:rFonts w:ascii="Arial" w:hAnsi="Arial" w:cs="Arial"/>
                <w:b/>
                <w:bCs/>
                <w:sz w:val="18"/>
              </w:rPr>
              <w:t>*</w:t>
            </w:r>
          </w:p>
        </w:tc>
        <w:tc>
          <w:tcPr>
            <w:tcW w:w="1388"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Total Annual Responses</w:t>
            </w:r>
          </w:p>
        </w:tc>
        <w:tc>
          <w:tcPr>
            <w:tcW w:w="1151"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Burden Hours per Response</w:t>
            </w:r>
          </w:p>
        </w:tc>
        <w:tc>
          <w:tcPr>
            <w:tcW w:w="1010"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Total Annual Burden Hrs</w:t>
            </w:r>
          </w:p>
        </w:tc>
        <w:tc>
          <w:tcPr>
            <w:tcW w:w="788"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Hourly Cost</w:t>
            </w:r>
          </w:p>
        </w:tc>
        <w:tc>
          <w:tcPr>
            <w:tcW w:w="1201" w:type="dxa"/>
            <w:tcBorders>
              <w:top w:val="single" w:sz="8" w:space="0" w:color="auto"/>
              <w:left w:val="nil"/>
              <w:bottom w:val="single" w:sz="4" w:space="0" w:color="auto"/>
              <w:right w:val="single" w:sz="8"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Total Annual Cost</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 HAP Contract Amendment</w:t>
            </w:r>
            <w:r w:rsidR="00607FB2" w:rsidRPr="0055654C">
              <w:rPr>
                <w:rFonts w:ascii="Arial" w:hAnsi="Arial" w:cs="Arial"/>
                <w:sz w:val="18"/>
                <w:szCs w:val="18"/>
              </w:rPr>
              <w:t>- HUD9647</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2) Conversion Request Letter</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3) Letter of Lender Consent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267"/>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4) Vacancy Information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267"/>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5) Marketing Efforts</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46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6) Evidence of Need for Conversion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253"/>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7) Rental information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8)Annual Operating Statement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9) Sources and Uses of Funds Statement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598"/>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lastRenderedPageBreak/>
              <w:t>10) Project Capital Needs Assessment (PCNA)</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3</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3,537</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$56,592 </w:t>
            </w:r>
          </w:p>
        </w:tc>
      </w:tr>
      <w:tr w:rsidR="004C3AA3" w:rsidRPr="0055654C" w:rsidTr="00607FB2">
        <w:trPr>
          <w:trHeight w:val="519"/>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11) Proposed Rehabilitation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519"/>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12) Owner Notification to Tenants</w:t>
            </w:r>
            <w:r w:rsidR="00DD6D08" w:rsidRPr="0055654C">
              <w:rPr>
                <w:rFonts w:ascii="Arial" w:hAnsi="Arial" w:cs="Arial"/>
                <w:sz w:val="18"/>
                <w:szCs w:val="18"/>
              </w:rPr>
              <w: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100</w:t>
            </w:r>
          </w:p>
        </w:tc>
        <w:tc>
          <w:tcPr>
            <w:tcW w:w="1388" w:type="dxa"/>
            <w:tcBorders>
              <w:top w:val="nil"/>
              <w:left w:val="nil"/>
              <w:bottom w:val="single" w:sz="4" w:space="0" w:color="auto"/>
              <w:right w:val="single" w:sz="4" w:space="0" w:color="auto"/>
            </w:tcBorders>
            <w:shd w:val="clear" w:color="auto" w:fill="auto"/>
            <w:noWrap/>
            <w:vAlign w:val="bottom"/>
            <w:hideMark/>
          </w:tcPr>
          <w:p w:rsidR="004C3AA3" w:rsidRPr="0055654C" w:rsidRDefault="00DD6D08" w:rsidP="004C3AA3">
            <w:pPr>
              <w:jc w:val="center"/>
              <w:rPr>
                <w:rFonts w:ascii="Arial" w:hAnsi="Arial" w:cs="Arial"/>
                <w:sz w:val="18"/>
                <w:szCs w:val="18"/>
              </w:rPr>
            </w:pPr>
            <w:r w:rsidRPr="0055654C">
              <w:rPr>
                <w:rFonts w:ascii="Arial" w:hAnsi="Arial" w:cs="Arial"/>
                <w:sz w:val="18"/>
                <w:szCs w:val="18"/>
              </w:rPr>
              <w:t>117,900</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DD6D08" w:rsidP="004C3AA3">
            <w:pPr>
              <w:jc w:val="center"/>
              <w:rPr>
                <w:rFonts w:ascii="Arial" w:hAnsi="Arial" w:cs="Arial"/>
                <w:sz w:val="18"/>
                <w:szCs w:val="18"/>
              </w:rPr>
            </w:pPr>
            <w:r w:rsidRPr="0055654C">
              <w:rPr>
                <w:rFonts w:ascii="Arial" w:hAnsi="Arial" w:cs="Arial"/>
                <w:sz w:val="18"/>
                <w:szCs w:val="18"/>
              </w:rPr>
              <w:t>117,900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DD6D08">
            <w:pPr>
              <w:jc w:val="right"/>
              <w:rPr>
                <w:rFonts w:ascii="Arial" w:hAnsi="Arial" w:cs="Arial"/>
                <w:sz w:val="18"/>
                <w:szCs w:val="18"/>
              </w:rPr>
            </w:pPr>
            <w:r w:rsidRPr="0055654C">
              <w:rPr>
                <w:rFonts w:ascii="Arial" w:hAnsi="Arial" w:cs="Arial"/>
                <w:sz w:val="18"/>
                <w:szCs w:val="18"/>
              </w:rPr>
              <w:t>$</w:t>
            </w:r>
            <w:r w:rsidR="00DD6D08" w:rsidRPr="0055654C">
              <w:rPr>
                <w:rFonts w:ascii="Arial" w:hAnsi="Arial" w:cs="Arial"/>
                <w:sz w:val="18"/>
                <w:szCs w:val="18"/>
              </w:rPr>
              <w:t>1,886,400</w:t>
            </w:r>
            <w:r w:rsidRPr="0055654C">
              <w:rPr>
                <w:rFonts w:ascii="Arial" w:hAnsi="Arial" w:cs="Arial"/>
                <w:sz w:val="18"/>
                <w:szCs w:val="18"/>
              </w:rPr>
              <w:t xml:space="preserve">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13) Owner Certification of Notice to Tenants</w:t>
            </w:r>
            <w:r w:rsidR="004B53F3" w:rsidRPr="0055654C">
              <w:rPr>
                <w:rFonts w:ascii="Arial" w:hAnsi="Arial" w:cs="Arial"/>
                <w:sz w:val="18"/>
                <w:szCs w:val="18"/>
              </w:rPr>
              <w:t xml:space="preserve"> – HUD-92032</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0.5</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590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$9,432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14) Temporary Relocation Plan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693"/>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B53F3">
            <w:pPr>
              <w:rPr>
                <w:rFonts w:ascii="Arial" w:hAnsi="Arial" w:cs="Arial"/>
                <w:sz w:val="18"/>
                <w:szCs w:val="18"/>
              </w:rPr>
            </w:pPr>
            <w:r w:rsidRPr="0055654C">
              <w:rPr>
                <w:rFonts w:ascii="Arial" w:hAnsi="Arial" w:cs="Arial"/>
                <w:sz w:val="18"/>
                <w:szCs w:val="18"/>
              </w:rPr>
              <w:t>15) Owner Certification of No Permanent Relocation of Residents</w:t>
            </w:r>
            <w:r w:rsidR="004B53F3" w:rsidRPr="0055654C">
              <w:rPr>
                <w:rFonts w:ascii="Arial" w:hAnsi="Arial" w:cs="Arial"/>
                <w:sz w:val="18"/>
                <w:szCs w:val="18"/>
              </w:rPr>
              <w:t>- HUD-92033</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0.5</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590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$9,432 </w:t>
            </w:r>
          </w:p>
        </w:tc>
      </w:tr>
      <w:tr w:rsidR="004C3AA3" w:rsidRPr="0055654C" w:rsidTr="00607FB2">
        <w:trPr>
          <w:trHeight w:val="50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16) Letter of Local Government Support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319"/>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17) Tenant Selection Plan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B53F3" w:rsidRPr="0055654C" w:rsidTr="006E7E89">
        <w:trPr>
          <w:trHeight w:val="50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B53F3" w:rsidRPr="0055654C" w:rsidRDefault="004B53F3" w:rsidP="006E7E89">
            <w:pPr>
              <w:rPr>
                <w:rFonts w:ascii="Arial" w:hAnsi="Arial" w:cs="Arial"/>
                <w:sz w:val="18"/>
                <w:szCs w:val="18"/>
              </w:rPr>
            </w:pPr>
            <w:r w:rsidRPr="0055654C">
              <w:rPr>
                <w:rFonts w:ascii="Arial" w:hAnsi="Arial" w:cs="Arial"/>
                <w:sz w:val="18"/>
                <w:szCs w:val="18"/>
              </w:rPr>
              <w:t>18) Executed Unit Conversion Agreement – HUD-92030</w:t>
            </w:r>
          </w:p>
        </w:tc>
        <w:tc>
          <w:tcPr>
            <w:tcW w:w="135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50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B53F3" w:rsidP="004B53F3">
            <w:pPr>
              <w:rPr>
                <w:rFonts w:ascii="Arial" w:hAnsi="Arial" w:cs="Arial"/>
                <w:sz w:val="18"/>
                <w:szCs w:val="18"/>
              </w:rPr>
            </w:pPr>
            <w:r w:rsidRPr="0055654C">
              <w:rPr>
                <w:rFonts w:ascii="Arial" w:hAnsi="Arial" w:cs="Arial"/>
                <w:sz w:val="18"/>
                <w:szCs w:val="18"/>
              </w:rPr>
              <w:t>19</w:t>
            </w:r>
            <w:r w:rsidR="004C3AA3" w:rsidRPr="0055654C">
              <w:rPr>
                <w:rFonts w:ascii="Arial" w:hAnsi="Arial" w:cs="Arial"/>
                <w:sz w:val="18"/>
                <w:szCs w:val="18"/>
              </w:rPr>
              <w:t xml:space="preserve">) </w:t>
            </w:r>
            <w:r w:rsidRPr="0055654C">
              <w:rPr>
                <w:rFonts w:ascii="Arial" w:hAnsi="Arial" w:cs="Arial"/>
                <w:sz w:val="18"/>
                <w:szCs w:val="18"/>
              </w:rPr>
              <w:t xml:space="preserve">MF </w:t>
            </w:r>
            <w:r w:rsidR="004C3AA3" w:rsidRPr="0055654C">
              <w:rPr>
                <w:rFonts w:ascii="Arial" w:hAnsi="Arial" w:cs="Arial"/>
                <w:sz w:val="18"/>
                <w:szCs w:val="18"/>
              </w:rPr>
              <w:t xml:space="preserve">Unit Conversion </w:t>
            </w:r>
            <w:r w:rsidRPr="0055654C">
              <w:rPr>
                <w:rFonts w:ascii="Arial" w:hAnsi="Arial" w:cs="Arial"/>
                <w:sz w:val="18"/>
                <w:szCs w:val="18"/>
              </w:rPr>
              <w:t>Checklist</w:t>
            </w:r>
            <w:r w:rsidR="00607FB2" w:rsidRPr="0055654C">
              <w:rPr>
                <w:rFonts w:ascii="Arial" w:hAnsi="Arial" w:cs="Arial"/>
                <w:sz w:val="18"/>
                <w:szCs w:val="18"/>
              </w:rPr>
              <w:t>– HUD-920</w:t>
            </w:r>
            <w:r w:rsidRPr="0055654C">
              <w:rPr>
                <w:rFonts w:ascii="Arial" w:hAnsi="Arial" w:cs="Arial"/>
                <w:sz w:val="18"/>
                <w:szCs w:val="18"/>
              </w:rPr>
              <w:t>40</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right"/>
              <w:rPr>
                <w:rFonts w:ascii="Arial" w:hAnsi="Arial" w:cs="Arial"/>
                <w:sz w:val="18"/>
                <w:szCs w:val="18"/>
              </w:rPr>
            </w:pPr>
            <w:r w:rsidRPr="0055654C">
              <w:rPr>
                <w:rFonts w:ascii="Arial" w:hAnsi="Arial" w:cs="Arial"/>
                <w:sz w:val="18"/>
                <w:szCs w:val="18"/>
              </w:rPr>
              <w:t>0</w:t>
            </w:r>
            <w:r w:rsidR="004C3AA3" w:rsidRPr="0055654C">
              <w:rPr>
                <w:rFonts w:ascii="Arial" w:hAnsi="Arial" w:cs="Arial"/>
                <w:sz w:val="18"/>
                <w:szCs w:val="18"/>
              </w:rPr>
              <w:t xml:space="preserve">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B53F3" w:rsidP="004C3AA3">
            <w:pPr>
              <w:jc w:val="right"/>
              <w:rPr>
                <w:rFonts w:ascii="Arial" w:hAnsi="Arial" w:cs="Arial"/>
                <w:sz w:val="18"/>
                <w:szCs w:val="18"/>
              </w:rPr>
            </w:pPr>
            <w:r w:rsidRPr="0055654C">
              <w:rPr>
                <w:rFonts w:ascii="Arial" w:hAnsi="Arial" w:cs="Arial"/>
                <w:sz w:val="18"/>
                <w:szCs w:val="18"/>
              </w:rPr>
              <w:t>0</w:t>
            </w:r>
            <w:r w:rsidR="004C3AA3" w:rsidRPr="0055654C">
              <w:rPr>
                <w:rFonts w:ascii="Arial" w:hAnsi="Arial" w:cs="Arial"/>
                <w:sz w:val="18"/>
                <w:szCs w:val="18"/>
              </w:rPr>
              <w:t xml:space="preserve"> </w:t>
            </w:r>
          </w:p>
        </w:tc>
      </w:tr>
      <w:tr w:rsidR="004C3AA3" w:rsidRPr="0055654C" w:rsidTr="00607FB2">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19) Extension Amendment to Old Regulation State Agency Housing Assistance Payments Contract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607FB2" w:rsidRPr="0055654C" w:rsidTr="00607FB2">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607FB2" w:rsidRPr="0055654C" w:rsidRDefault="00607FB2" w:rsidP="004C3AA3">
            <w:pPr>
              <w:rPr>
                <w:rFonts w:ascii="Arial" w:hAnsi="Arial" w:cs="Arial"/>
                <w:sz w:val="18"/>
                <w:szCs w:val="18"/>
              </w:rPr>
            </w:pPr>
            <w:r w:rsidRPr="0055654C">
              <w:rPr>
                <w:rFonts w:ascii="Arial" w:hAnsi="Arial" w:cs="Arial"/>
                <w:sz w:val="18"/>
                <w:szCs w:val="18"/>
              </w:rPr>
              <w:t>20.  Steps for Reconfiguring Section 8 Contracts in Unit Conversions – HUD-92030-I</w:t>
            </w:r>
          </w:p>
        </w:tc>
        <w:tc>
          <w:tcPr>
            <w:tcW w:w="135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c>
          <w:tcPr>
            <w:tcW w:w="1201" w:type="dxa"/>
            <w:tcBorders>
              <w:top w:val="nil"/>
              <w:left w:val="nil"/>
              <w:bottom w:val="single" w:sz="4" w:space="0" w:color="auto"/>
              <w:right w:val="single" w:sz="8"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r>
      <w:tr w:rsidR="004B53F3" w:rsidRPr="0055654C" w:rsidTr="006E7E89">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B53F3" w:rsidRPr="0055654C" w:rsidRDefault="004B53F3" w:rsidP="006E7E89">
            <w:pPr>
              <w:rPr>
                <w:rFonts w:ascii="Arial" w:hAnsi="Arial" w:cs="Arial"/>
                <w:sz w:val="18"/>
                <w:szCs w:val="18"/>
              </w:rPr>
            </w:pPr>
            <w:r w:rsidRPr="0055654C">
              <w:rPr>
                <w:rFonts w:ascii="Arial" w:hAnsi="Arial" w:cs="Arial"/>
                <w:sz w:val="18"/>
                <w:szCs w:val="18"/>
              </w:rPr>
              <w:t>21,  Section 236 Interest Reduction Program OCFO Change Control Form</w:t>
            </w:r>
          </w:p>
        </w:tc>
        <w:tc>
          <w:tcPr>
            <w:tcW w:w="135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0</w:t>
            </w:r>
          </w:p>
        </w:tc>
        <w:tc>
          <w:tcPr>
            <w:tcW w:w="1201" w:type="dxa"/>
            <w:tcBorders>
              <w:top w:val="nil"/>
              <w:left w:val="nil"/>
              <w:bottom w:val="single" w:sz="4" w:space="0" w:color="auto"/>
              <w:right w:val="single" w:sz="8"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0</w:t>
            </w:r>
          </w:p>
        </w:tc>
      </w:tr>
      <w:tr w:rsidR="00607FB2" w:rsidRPr="0055654C" w:rsidTr="00607FB2">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607FB2" w:rsidRPr="0055654C" w:rsidRDefault="004B53F3" w:rsidP="004B53F3">
            <w:pPr>
              <w:rPr>
                <w:rFonts w:ascii="Arial" w:hAnsi="Arial" w:cs="Arial"/>
                <w:sz w:val="18"/>
                <w:szCs w:val="18"/>
              </w:rPr>
            </w:pPr>
            <w:r w:rsidRPr="0055654C">
              <w:rPr>
                <w:rFonts w:ascii="Arial" w:hAnsi="Arial" w:cs="Arial"/>
                <w:sz w:val="18"/>
                <w:szCs w:val="18"/>
              </w:rPr>
              <w:t>22</w:t>
            </w:r>
            <w:r w:rsidR="00607FB2" w:rsidRPr="0055654C">
              <w:rPr>
                <w:rFonts w:ascii="Arial" w:hAnsi="Arial" w:cs="Arial"/>
                <w:sz w:val="18"/>
                <w:szCs w:val="18"/>
              </w:rPr>
              <w:t xml:space="preserve">, </w:t>
            </w:r>
            <w:r w:rsidRPr="0055654C">
              <w:rPr>
                <w:rFonts w:ascii="Arial" w:hAnsi="Arial" w:cs="Arial"/>
                <w:sz w:val="18"/>
                <w:szCs w:val="18"/>
              </w:rPr>
              <w:t>Regulatory Agreement MF Housing Projects</w:t>
            </w:r>
          </w:p>
        </w:tc>
        <w:tc>
          <w:tcPr>
            <w:tcW w:w="135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c>
          <w:tcPr>
            <w:tcW w:w="1201" w:type="dxa"/>
            <w:tcBorders>
              <w:top w:val="nil"/>
              <w:left w:val="nil"/>
              <w:bottom w:val="single" w:sz="4" w:space="0" w:color="auto"/>
              <w:right w:val="single" w:sz="8"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r>
      <w:tr w:rsidR="00607FB2" w:rsidRPr="0055654C" w:rsidTr="00607FB2">
        <w:trPr>
          <w:trHeight w:val="293"/>
          <w:jc w:val="center"/>
        </w:trPr>
        <w:tc>
          <w:tcPr>
            <w:tcW w:w="214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right"/>
              <w:rPr>
                <w:rFonts w:ascii="Arial" w:hAnsi="Arial" w:cs="Arial"/>
                <w:b/>
                <w:bCs/>
                <w:sz w:val="18"/>
                <w:szCs w:val="18"/>
              </w:rPr>
            </w:pPr>
            <w:r w:rsidRPr="0055654C">
              <w:rPr>
                <w:rFonts w:ascii="Arial" w:hAnsi="Arial" w:cs="Arial"/>
                <w:b/>
                <w:bCs/>
                <w:sz w:val="18"/>
                <w:szCs w:val="18"/>
              </w:rPr>
              <w:t>TOTALS</w:t>
            </w:r>
          </w:p>
        </w:tc>
        <w:tc>
          <w:tcPr>
            <w:tcW w:w="1357"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23,578</w:t>
            </w:r>
          </w:p>
        </w:tc>
        <w:tc>
          <w:tcPr>
            <w:tcW w:w="1147"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 </w:t>
            </w:r>
          </w:p>
        </w:tc>
        <w:tc>
          <w:tcPr>
            <w:tcW w:w="1388"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1,179</w:t>
            </w:r>
          </w:p>
        </w:tc>
        <w:tc>
          <w:tcPr>
            <w:tcW w:w="115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26</w:t>
            </w:r>
          </w:p>
        </w:tc>
        <w:tc>
          <w:tcPr>
            <w:tcW w:w="1010"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147,375</w:t>
            </w:r>
          </w:p>
        </w:tc>
        <w:tc>
          <w:tcPr>
            <w:tcW w:w="788"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$16</w:t>
            </w:r>
          </w:p>
        </w:tc>
        <w:tc>
          <w:tcPr>
            <w:tcW w:w="120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DD6D08">
            <w:pPr>
              <w:jc w:val="center"/>
              <w:rPr>
                <w:rFonts w:ascii="Arial" w:hAnsi="Arial" w:cs="Arial"/>
                <w:b/>
                <w:bCs/>
                <w:sz w:val="18"/>
                <w:szCs w:val="18"/>
              </w:rPr>
            </w:pPr>
            <w:r w:rsidRPr="0055654C">
              <w:rPr>
                <w:rFonts w:ascii="Arial" w:hAnsi="Arial" w:cs="Arial"/>
                <w:b/>
                <w:bCs/>
                <w:sz w:val="18"/>
                <w:szCs w:val="18"/>
              </w:rPr>
              <w:t>$2,358,000</w:t>
            </w:r>
          </w:p>
        </w:tc>
      </w:tr>
    </w:tbl>
    <w:p w:rsidR="00743B9E" w:rsidRPr="0055654C" w:rsidRDefault="00743B9E" w:rsidP="00743B9E">
      <w:pPr>
        <w:rPr>
          <w:rFonts w:ascii="Arial" w:hAnsi="Arial" w:cs="Arial"/>
          <w:b/>
          <w:sz w:val="18"/>
        </w:rPr>
      </w:pPr>
    </w:p>
    <w:p w:rsidR="00F17DA7" w:rsidRPr="0055654C" w:rsidRDefault="00743B9E" w:rsidP="00F17DA7">
      <w:pPr>
        <w:rPr>
          <w:sz w:val="20"/>
          <w:szCs w:val="20"/>
        </w:rPr>
      </w:pPr>
      <w:r w:rsidRPr="0055654C">
        <w:rPr>
          <w:b/>
          <w:sz w:val="20"/>
          <w:szCs w:val="20"/>
        </w:rPr>
        <w:t>Items 1 through 19</w:t>
      </w:r>
      <w:r w:rsidRPr="0055654C">
        <w:rPr>
          <w:sz w:val="20"/>
          <w:szCs w:val="20"/>
        </w:rPr>
        <w:t xml:space="preserve"> - Number of respondents is based on the current inventory of projects that are in the applicable projects with efficiency units.  </w:t>
      </w:r>
    </w:p>
    <w:p w:rsidR="00F17DA7" w:rsidRPr="0055654C" w:rsidRDefault="00F17DA7" w:rsidP="00F17DA7">
      <w:pPr>
        <w:keepLines/>
        <w:tabs>
          <w:tab w:val="left" w:pos="480"/>
        </w:tabs>
        <w:spacing w:after="80"/>
        <w:rPr>
          <w:sz w:val="20"/>
          <w:szCs w:val="20"/>
        </w:rPr>
      </w:pPr>
      <w:r w:rsidRPr="0055654C">
        <w:rPr>
          <w:b/>
          <w:sz w:val="20"/>
          <w:szCs w:val="20"/>
        </w:rPr>
        <w:t>Items 1 through 19</w:t>
      </w:r>
      <w:r w:rsidRPr="0055654C">
        <w:rPr>
          <w:sz w:val="20"/>
          <w:szCs w:val="20"/>
        </w:rPr>
        <w:t xml:space="preserve"> - Hourly cost is based on an estimate of the potential owner’s staff to gather, complete, and submit the required documents to HUD for review and approval.  Hourly estimated costs estimate obtained from payscale.com.  </w:t>
      </w:r>
    </w:p>
    <w:p w:rsidR="00F17DA7" w:rsidRPr="0055654C" w:rsidRDefault="00F17DA7" w:rsidP="00743B9E">
      <w:pPr>
        <w:rPr>
          <w:sz w:val="20"/>
          <w:szCs w:val="20"/>
        </w:rPr>
      </w:pPr>
    </w:p>
    <w:p w:rsidR="00743B9E" w:rsidRPr="0055654C" w:rsidRDefault="00743B9E" w:rsidP="00743B9E">
      <w:pPr>
        <w:rPr>
          <w:sz w:val="20"/>
          <w:szCs w:val="20"/>
        </w:rPr>
      </w:pPr>
      <w:r w:rsidRPr="0055654C">
        <w:rPr>
          <w:sz w:val="20"/>
          <w:szCs w:val="20"/>
        </w:rPr>
        <w:t>The number of annual responses is based on an estimate of 5% of potential requests to convert efficiency units into one-bedroom units.</w:t>
      </w:r>
    </w:p>
    <w:p w:rsidR="00DD6D08" w:rsidRPr="0055654C" w:rsidRDefault="00DD6D08" w:rsidP="00DD6D08">
      <w:pPr>
        <w:rPr>
          <w:b/>
          <w:sz w:val="20"/>
          <w:szCs w:val="20"/>
        </w:rPr>
      </w:pPr>
    </w:p>
    <w:p w:rsidR="00DD6D08" w:rsidRPr="0055654C" w:rsidRDefault="00DD6D08" w:rsidP="00DD6D08">
      <w:pPr>
        <w:rPr>
          <w:sz w:val="20"/>
          <w:szCs w:val="20"/>
        </w:rPr>
      </w:pPr>
      <w:r w:rsidRPr="0055654C">
        <w:rPr>
          <w:b/>
          <w:sz w:val="20"/>
          <w:szCs w:val="20"/>
        </w:rPr>
        <w:t xml:space="preserve">*Frequency of Response- </w:t>
      </w:r>
      <w:r w:rsidRPr="0055654C">
        <w:rPr>
          <w:sz w:val="20"/>
          <w:szCs w:val="20"/>
        </w:rPr>
        <w:t>is the number of times the owner will have to complete that information collection requirement for their package to convert efficiency units into one-bedroom units.</w:t>
      </w:r>
    </w:p>
    <w:p w:rsidR="00743B9E" w:rsidRPr="0055654C" w:rsidRDefault="00743B9E" w:rsidP="00743B9E">
      <w:pPr>
        <w:pStyle w:val="PlainText"/>
        <w:rPr>
          <w:rFonts w:ascii="Times New Roman" w:hAnsi="Times New Roman" w:cs="Times New Roman"/>
        </w:rPr>
      </w:pPr>
    </w:p>
    <w:p w:rsidR="00743B9E" w:rsidRPr="0055654C" w:rsidRDefault="00DD6D08" w:rsidP="00743B9E">
      <w:pPr>
        <w:pStyle w:val="PlainText"/>
        <w:rPr>
          <w:rFonts w:ascii="Times New Roman" w:hAnsi="Times New Roman" w:cs="Times New Roman"/>
        </w:rPr>
      </w:pPr>
      <w:r w:rsidRPr="0055654C">
        <w:rPr>
          <w:rFonts w:ascii="Times New Roman" w:hAnsi="Times New Roman" w:cs="Times New Roman"/>
          <w:b/>
        </w:rPr>
        <w:t>**</w:t>
      </w:r>
      <w:r w:rsidR="00F17DA7" w:rsidRPr="0055654C">
        <w:rPr>
          <w:rFonts w:ascii="Times New Roman" w:hAnsi="Times New Roman" w:cs="Times New Roman"/>
          <w:b/>
        </w:rPr>
        <w:t>Owner Notification to Tenants</w:t>
      </w:r>
      <w:r w:rsidR="00743B9E" w:rsidRPr="0055654C">
        <w:rPr>
          <w:rFonts w:ascii="Times New Roman" w:hAnsi="Times New Roman" w:cs="Times New Roman"/>
        </w:rPr>
        <w:t xml:space="preserve"> – </w:t>
      </w:r>
      <w:r w:rsidR="00F17DA7" w:rsidRPr="0055654C">
        <w:rPr>
          <w:rFonts w:ascii="Times New Roman" w:hAnsi="Times New Roman" w:cs="Times New Roman"/>
        </w:rPr>
        <w:t>This e</w:t>
      </w:r>
      <w:r w:rsidR="00743B9E" w:rsidRPr="0055654C">
        <w:rPr>
          <w:rFonts w:ascii="Times New Roman" w:hAnsi="Times New Roman" w:cs="Times New Roman"/>
        </w:rPr>
        <w:t>stimated frequency is based on an average project with 100 units</w:t>
      </w:r>
      <w:r w:rsidR="00F17DA7" w:rsidRPr="0055654C">
        <w:rPr>
          <w:rFonts w:ascii="Times New Roman" w:hAnsi="Times New Roman" w:cs="Times New Roman"/>
        </w:rPr>
        <w:t>.</w:t>
      </w:r>
      <w:r w:rsidR="00743B9E" w:rsidRPr="0055654C">
        <w:rPr>
          <w:rFonts w:ascii="Times New Roman" w:hAnsi="Times New Roman" w:cs="Times New Roman"/>
        </w:rPr>
        <w:t xml:space="preserve"> </w:t>
      </w:r>
      <w:r w:rsidR="00F17DA7" w:rsidRPr="0055654C">
        <w:rPr>
          <w:rFonts w:ascii="Times New Roman" w:hAnsi="Times New Roman" w:cs="Times New Roman"/>
        </w:rPr>
        <w:t>A</w:t>
      </w:r>
      <w:r w:rsidR="00743B9E" w:rsidRPr="0055654C">
        <w:rPr>
          <w:rFonts w:ascii="Times New Roman" w:hAnsi="Times New Roman" w:cs="Times New Roman"/>
        </w:rPr>
        <w:t>lthough providing a notice to each in</w:t>
      </w:r>
      <w:r w:rsidR="00F17DA7" w:rsidRPr="0055654C">
        <w:rPr>
          <w:rFonts w:ascii="Times New Roman" w:hAnsi="Times New Roman" w:cs="Times New Roman"/>
        </w:rPr>
        <w:t>dividual unit is not required, o</w:t>
      </w:r>
      <w:r w:rsidR="00743B9E" w:rsidRPr="0055654C">
        <w:rPr>
          <w:rFonts w:ascii="Times New Roman" w:hAnsi="Times New Roman" w:cs="Times New Roman"/>
        </w:rPr>
        <w:t>wners may post the notice by:</w:t>
      </w:r>
    </w:p>
    <w:p w:rsidR="00743B9E" w:rsidRPr="0055654C" w:rsidRDefault="00743B9E" w:rsidP="00743B9E">
      <w:pPr>
        <w:pStyle w:val="PlainText"/>
        <w:rPr>
          <w:rFonts w:ascii="Times New Roman" w:hAnsi="Times New Roman" w:cs="Times New Roman"/>
        </w:rPr>
      </w:pPr>
      <w:r w:rsidRPr="0055654C">
        <w:rPr>
          <w:rFonts w:ascii="Times New Roman" w:hAnsi="Times New Roman" w:cs="Times New Roman"/>
        </w:rPr>
        <w:t xml:space="preserve"> </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lastRenderedPageBreak/>
        <w:t>(a)  Sending a copy by first class mail (properly stamped and addressed to the tenant with a proper return address);</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(b)  Serving a copy to any adult answering the door at the tenant's leased dwelling unit;</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(c)  Placing the notice under or through the door;</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(d)  Attaching the notice to the door; or,</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(e)  Posting a copy (in cases of high-rise buildings) in at least three conspicuous places within the building and maintaining the posted notices intact and in legible form for 30 days.</w:t>
      </w:r>
    </w:p>
    <w:p w:rsidR="00C672D8" w:rsidRPr="0055654C" w:rsidRDefault="00C672D8" w:rsidP="00743B9E">
      <w:pPr>
        <w:widowControl w:val="0"/>
        <w:overflowPunct w:val="0"/>
        <w:autoSpaceDE w:val="0"/>
        <w:autoSpaceDN w:val="0"/>
        <w:adjustRightInd w:val="0"/>
        <w:textAlignment w:val="baseline"/>
      </w:pPr>
    </w:p>
    <w:p w:rsidR="00C672D8" w:rsidRPr="0055654C" w:rsidRDefault="00C672D8" w:rsidP="007C6069">
      <w:pPr>
        <w:widowControl w:val="0"/>
        <w:numPr>
          <w:ilvl w:val="0"/>
          <w:numId w:val="35"/>
        </w:numPr>
        <w:overflowPunct w:val="0"/>
        <w:autoSpaceDE w:val="0"/>
        <w:autoSpaceDN w:val="0"/>
        <w:adjustRightInd w:val="0"/>
        <w:textAlignment w:val="baseline"/>
      </w:pPr>
      <w:r w:rsidRPr="0055654C">
        <w:t>There are no additional costs to respondents.</w:t>
      </w:r>
    </w:p>
    <w:p w:rsidR="00C672D8" w:rsidRPr="0055654C" w:rsidRDefault="00C672D8" w:rsidP="00882627">
      <w:pPr>
        <w:widowControl w:val="0"/>
        <w:overflowPunct w:val="0"/>
        <w:autoSpaceDE w:val="0"/>
        <w:autoSpaceDN w:val="0"/>
        <w:adjustRightInd w:val="0"/>
        <w:textAlignment w:val="baseline"/>
      </w:pPr>
    </w:p>
    <w:p w:rsidR="009939DF" w:rsidRPr="0055654C" w:rsidRDefault="00C672D8" w:rsidP="007C6069">
      <w:pPr>
        <w:widowControl w:val="0"/>
        <w:numPr>
          <w:ilvl w:val="0"/>
          <w:numId w:val="35"/>
        </w:numPr>
        <w:overflowPunct w:val="0"/>
        <w:autoSpaceDE w:val="0"/>
        <w:autoSpaceDN w:val="0"/>
        <w:adjustRightInd w:val="0"/>
        <w:textAlignment w:val="baseline"/>
      </w:pPr>
      <w:r w:rsidRPr="0055654C">
        <w:t xml:space="preserve">The </w:t>
      </w:r>
      <w:r w:rsidR="009939DF" w:rsidRPr="0055654C">
        <w:t>estimated annual cost to the federal government.</w:t>
      </w:r>
    </w:p>
    <w:p w:rsidR="009939DF" w:rsidRPr="0055654C" w:rsidRDefault="009939DF" w:rsidP="009939DF">
      <w:pPr>
        <w:pStyle w:val="ListParagraph"/>
      </w:pPr>
    </w:p>
    <w:tbl>
      <w:tblPr>
        <w:tblW w:w="10530" w:type="dxa"/>
        <w:tblInd w:w="198" w:type="dxa"/>
        <w:tblLayout w:type="fixed"/>
        <w:tblLook w:val="0067"/>
      </w:tblPr>
      <w:tblGrid>
        <w:gridCol w:w="1620"/>
        <w:gridCol w:w="2070"/>
        <w:gridCol w:w="1620"/>
        <w:gridCol w:w="1800"/>
        <w:gridCol w:w="1710"/>
        <w:gridCol w:w="1710"/>
      </w:tblGrid>
      <w:tr w:rsidR="009939DF" w:rsidRPr="0055654C" w:rsidTr="009939DF">
        <w:tc>
          <w:tcPr>
            <w:tcW w:w="1620" w:type="dxa"/>
            <w:tcBorders>
              <w:top w:val="single" w:sz="12" w:space="0" w:color="808080"/>
              <w:bottom w:val="single" w:sz="6" w:space="0" w:color="808080"/>
            </w:tcBorders>
          </w:tcPr>
          <w:p w:rsidR="009939DF" w:rsidRPr="0055654C" w:rsidRDefault="009939DF" w:rsidP="009939DF">
            <w:pPr>
              <w:tabs>
                <w:tab w:val="left" w:pos="360"/>
              </w:tabs>
              <w:jc w:val="center"/>
              <w:rPr>
                <w:sz w:val="22"/>
              </w:rPr>
            </w:pPr>
            <w:r w:rsidRPr="0055654C">
              <w:rPr>
                <w:sz w:val="22"/>
              </w:rPr>
              <w:t>Number of Respondents</w:t>
            </w:r>
          </w:p>
        </w:tc>
        <w:tc>
          <w:tcPr>
            <w:tcW w:w="2070" w:type="dxa"/>
            <w:tcBorders>
              <w:top w:val="single" w:sz="12" w:space="0" w:color="808080"/>
              <w:left w:val="single" w:sz="12" w:space="0" w:color="auto"/>
              <w:bottom w:val="single" w:sz="6" w:space="0" w:color="808080"/>
            </w:tcBorders>
          </w:tcPr>
          <w:p w:rsidR="009939DF" w:rsidRPr="0055654C" w:rsidRDefault="009939DF" w:rsidP="009939DF">
            <w:pPr>
              <w:tabs>
                <w:tab w:val="left" w:pos="360"/>
              </w:tabs>
              <w:jc w:val="center"/>
              <w:rPr>
                <w:sz w:val="22"/>
              </w:rPr>
            </w:pPr>
            <w:r w:rsidRPr="0055654C">
              <w:rPr>
                <w:sz w:val="22"/>
              </w:rPr>
              <w:t>Number of Responses</w:t>
            </w:r>
          </w:p>
        </w:tc>
        <w:tc>
          <w:tcPr>
            <w:tcW w:w="1620" w:type="dxa"/>
            <w:tcBorders>
              <w:top w:val="single" w:sz="12" w:space="0" w:color="808080"/>
              <w:left w:val="single" w:sz="12" w:space="0" w:color="auto"/>
              <w:bottom w:val="single" w:sz="6" w:space="0" w:color="808080"/>
              <w:right w:val="single" w:sz="12" w:space="0" w:color="auto"/>
            </w:tcBorders>
          </w:tcPr>
          <w:p w:rsidR="009939DF" w:rsidRPr="0055654C" w:rsidRDefault="009939DF" w:rsidP="009939DF">
            <w:pPr>
              <w:tabs>
                <w:tab w:val="left" w:pos="360"/>
              </w:tabs>
              <w:jc w:val="center"/>
              <w:rPr>
                <w:sz w:val="22"/>
              </w:rPr>
            </w:pPr>
            <w:r w:rsidRPr="0055654C">
              <w:rPr>
                <w:sz w:val="22"/>
              </w:rPr>
              <w:t>Staff Hours Per Response</w:t>
            </w:r>
          </w:p>
        </w:tc>
        <w:tc>
          <w:tcPr>
            <w:tcW w:w="1800" w:type="dxa"/>
            <w:tcBorders>
              <w:top w:val="single" w:sz="12" w:space="0" w:color="808080"/>
              <w:left w:val="single" w:sz="12" w:space="0" w:color="auto"/>
              <w:bottom w:val="single" w:sz="6" w:space="0" w:color="808080"/>
            </w:tcBorders>
          </w:tcPr>
          <w:p w:rsidR="009939DF" w:rsidRPr="0055654C" w:rsidRDefault="009939DF" w:rsidP="009939DF">
            <w:pPr>
              <w:tabs>
                <w:tab w:val="left" w:pos="360"/>
              </w:tabs>
              <w:jc w:val="center"/>
              <w:rPr>
                <w:sz w:val="22"/>
              </w:rPr>
            </w:pPr>
            <w:r w:rsidRPr="0055654C">
              <w:rPr>
                <w:sz w:val="22"/>
              </w:rPr>
              <w:t>Total Annual Burden Hours</w:t>
            </w:r>
          </w:p>
        </w:tc>
        <w:tc>
          <w:tcPr>
            <w:tcW w:w="1710" w:type="dxa"/>
            <w:tcBorders>
              <w:top w:val="single" w:sz="12" w:space="0" w:color="808080"/>
              <w:left w:val="single" w:sz="12" w:space="0" w:color="auto"/>
              <w:bottom w:val="single" w:sz="6" w:space="0" w:color="808080"/>
              <w:right w:val="single" w:sz="12" w:space="0" w:color="auto"/>
            </w:tcBorders>
          </w:tcPr>
          <w:p w:rsidR="009939DF" w:rsidRPr="0055654C" w:rsidRDefault="009939DF" w:rsidP="009939DF">
            <w:pPr>
              <w:tabs>
                <w:tab w:val="left" w:pos="360"/>
              </w:tabs>
              <w:jc w:val="center"/>
              <w:rPr>
                <w:sz w:val="22"/>
              </w:rPr>
            </w:pPr>
            <w:r w:rsidRPr="0055654C">
              <w:rPr>
                <w:sz w:val="22"/>
              </w:rPr>
              <w:t>*Cost Per Hour</w:t>
            </w:r>
          </w:p>
        </w:tc>
        <w:tc>
          <w:tcPr>
            <w:tcW w:w="1710" w:type="dxa"/>
            <w:tcBorders>
              <w:top w:val="single" w:sz="12" w:space="0" w:color="808080"/>
              <w:left w:val="single" w:sz="12" w:space="0" w:color="auto"/>
              <w:bottom w:val="single" w:sz="6" w:space="0" w:color="808080"/>
            </w:tcBorders>
          </w:tcPr>
          <w:p w:rsidR="009939DF" w:rsidRPr="0055654C" w:rsidRDefault="009939DF" w:rsidP="009939DF">
            <w:pPr>
              <w:tabs>
                <w:tab w:val="left" w:pos="360"/>
              </w:tabs>
              <w:jc w:val="center"/>
              <w:rPr>
                <w:sz w:val="22"/>
              </w:rPr>
            </w:pPr>
            <w:r w:rsidRPr="0055654C">
              <w:rPr>
                <w:sz w:val="22"/>
              </w:rPr>
              <w:t>Total Annual Cost</w:t>
            </w:r>
          </w:p>
        </w:tc>
      </w:tr>
      <w:tr w:rsidR="009939DF" w:rsidRPr="0055654C" w:rsidTr="009939DF">
        <w:tc>
          <w:tcPr>
            <w:tcW w:w="1620" w:type="dxa"/>
            <w:tcBorders>
              <w:top w:val="single" w:sz="12" w:space="0" w:color="808080"/>
              <w:bottom w:val="single" w:sz="12" w:space="0" w:color="808080"/>
            </w:tcBorders>
          </w:tcPr>
          <w:p w:rsidR="009939DF" w:rsidRPr="0055654C" w:rsidRDefault="009939DF" w:rsidP="009939DF">
            <w:pPr>
              <w:tabs>
                <w:tab w:val="left" w:pos="360"/>
              </w:tabs>
              <w:jc w:val="center"/>
              <w:rPr>
                <w:b/>
                <w:sz w:val="22"/>
              </w:rPr>
            </w:pPr>
            <w:r w:rsidRPr="0055654C">
              <w:rPr>
                <w:b/>
                <w:sz w:val="22"/>
              </w:rPr>
              <w:t>23,578</w:t>
            </w:r>
          </w:p>
        </w:tc>
        <w:tc>
          <w:tcPr>
            <w:tcW w:w="2070" w:type="dxa"/>
            <w:tcBorders>
              <w:top w:val="single" w:sz="12" w:space="0" w:color="808080"/>
              <w:left w:val="single" w:sz="12" w:space="0" w:color="auto"/>
              <w:bottom w:val="single" w:sz="12" w:space="0" w:color="808080"/>
            </w:tcBorders>
          </w:tcPr>
          <w:p w:rsidR="009939DF" w:rsidRPr="0055654C" w:rsidRDefault="009939DF" w:rsidP="009939DF">
            <w:pPr>
              <w:tabs>
                <w:tab w:val="left" w:pos="360"/>
              </w:tabs>
              <w:jc w:val="center"/>
              <w:rPr>
                <w:b/>
                <w:sz w:val="22"/>
              </w:rPr>
            </w:pPr>
            <w:r w:rsidRPr="0055654C">
              <w:rPr>
                <w:b/>
                <w:sz w:val="22"/>
              </w:rPr>
              <w:t>1,179</w:t>
            </w:r>
          </w:p>
        </w:tc>
        <w:tc>
          <w:tcPr>
            <w:tcW w:w="1620" w:type="dxa"/>
            <w:tcBorders>
              <w:top w:val="single" w:sz="12" w:space="0" w:color="808080"/>
              <w:left w:val="single" w:sz="12" w:space="0" w:color="auto"/>
              <w:bottom w:val="single" w:sz="12" w:space="0" w:color="808080"/>
              <w:right w:val="single" w:sz="12" w:space="0" w:color="auto"/>
            </w:tcBorders>
          </w:tcPr>
          <w:p w:rsidR="009939DF" w:rsidRPr="0055654C" w:rsidRDefault="009939DF" w:rsidP="009939DF">
            <w:pPr>
              <w:tabs>
                <w:tab w:val="left" w:pos="360"/>
              </w:tabs>
              <w:jc w:val="center"/>
              <w:rPr>
                <w:b/>
                <w:sz w:val="22"/>
              </w:rPr>
            </w:pPr>
            <w:r w:rsidRPr="0055654C">
              <w:rPr>
                <w:b/>
                <w:sz w:val="22"/>
              </w:rPr>
              <w:t>4</w:t>
            </w:r>
          </w:p>
        </w:tc>
        <w:tc>
          <w:tcPr>
            <w:tcW w:w="1800" w:type="dxa"/>
            <w:tcBorders>
              <w:top w:val="single" w:sz="12" w:space="0" w:color="808080"/>
              <w:left w:val="single" w:sz="12" w:space="0" w:color="auto"/>
              <w:bottom w:val="single" w:sz="12" w:space="0" w:color="808080"/>
            </w:tcBorders>
          </w:tcPr>
          <w:p w:rsidR="009939DF" w:rsidRPr="0055654C" w:rsidRDefault="009939DF" w:rsidP="009939DF">
            <w:pPr>
              <w:tabs>
                <w:tab w:val="left" w:pos="360"/>
              </w:tabs>
              <w:jc w:val="center"/>
              <w:rPr>
                <w:b/>
                <w:sz w:val="22"/>
              </w:rPr>
            </w:pPr>
            <w:r w:rsidRPr="0055654C">
              <w:rPr>
                <w:b/>
                <w:sz w:val="22"/>
              </w:rPr>
              <w:t>4,716</w:t>
            </w:r>
          </w:p>
        </w:tc>
        <w:tc>
          <w:tcPr>
            <w:tcW w:w="1710" w:type="dxa"/>
            <w:tcBorders>
              <w:top w:val="single" w:sz="12" w:space="0" w:color="808080"/>
              <w:left w:val="single" w:sz="12" w:space="0" w:color="auto"/>
              <w:bottom w:val="single" w:sz="12" w:space="0" w:color="808080"/>
              <w:right w:val="single" w:sz="12" w:space="0" w:color="auto"/>
            </w:tcBorders>
          </w:tcPr>
          <w:p w:rsidR="009939DF" w:rsidRPr="0055654C" w:rsidRDefault="009939DF" w:rsidP="009939DF">
            <w:pPr>
              <w:tabs>
                <w:tab w:val="left" w:pos="360"/>
              </w:tabs>
              <w:jc w:val="center"/>
              <w:rPr>
                <w:b/>
                <w:sz w:val="22"/>
              </w:rPr>
            </w:pPr>
            <w:r w:rsidRPr="0055654C">
              <w:rPr>
                <w:b/>
                <w:sz w:val="22"/>
              </w:rPr>
              <w:t>$28.00</w:t>
            </w:r>
          </w:p>
        </w:tc>
        <w:tc>
          <w:tcPr>
            <w:tcW w:w="1710" w:type="dxa"/>
            <w:tcBorders>
              <w:top w:val="single" w:sz="12" w:space="0" w:color="808080"/>
              <w:left w:val="single" w:sz="12" w:space="0" w:color="auto"/>
              <w:bottom w:val="single" w:sz="12" w:space="0" w:color="808080"/>
            </w:tcBorders>
          </w:tcPr>
          <w:p w:rsidR="009939DF" w:rsidRPr="0055654C" w:rsidRDefault="0011238F" w:rsidP="009939DF">
            <w:pPr>
              <w:tabs>
                <w:tab w:val="left" w:pos="360"/>
              </w:tabs>
              <w:jc w:val="center"/>
              <w:rPr>
                <w:b/>
                <w:sz w:val="22"/>
              </w:rPr>
            </w:pPr>
            <w:r w:rsidRPr="0055654C">
              <w:rPr>
                <w:b/>
                <w:sz w:val="22"/>
              </w:rPr>
              <w:t>$136,19</w:t>
            </w:r>
            <w:r w:rsidR="009939DF" w:rsidRPr="0055654C">
              <w:rPr>
                <w:b/>
                <w:sz w:val="22"/>
              </w:rPr>
              <w:t>8</w:t>
            </w:r>
          </w:p>
        </w:tc>
      </w:tr>
    </w:tbl>
    <w:p w:rsidR="009939DF" w:rsidRPr="0055654C" w:rsidRDefault="009939DF" w:rsidP="009939DF">
      <w:pPr>
        <w:tabs>
          <w:tab w:val="left" w:pos="360"/>
        </w:tabs>
        <w:rPr>
          <w:sz w:val="22"/>
        </w:rPr>
      </w:pPr>
      <w:r w:rsidRPr="0055654C">
        <w:rPr>
          <w:sz w:val="22"/>
        </w:rPr>
        <w:t xml:space="preserve">*Estimated cost per hour for HUD staff (GS-12) to review and process the documents for this collection.  Data was obtained from </w:t>
      </w:r>
      <w:hyperlink r:id="rId7" w:history="1">
        <w:r w:rsidRPr="0055654C">
          <w:rPr>
            <w:rStyle w:val="Hyperlink"/>
            <w:color w:val="auto"/>
            <w:sz w:val="22"/>
          </w:rPr>
          <w:t>www.opm.gov</w:t>
        </w:r>
      </w:hyperlink>
      <w:r w:rsidRPr="0055654C">
        <w:rPr>
          <w:sz w:val="22"/>
        </w:rPr>
        <w:t xml:space="preserve"> for the 2009 general scale/hourly rates.</w:t>
      </w:r>
    </w:p>
    <w:p w:rsidR="00C672D8" w:rsidRPr="0055654C" w:rsidRDefault="00C672D8" w:rsidP="009939DF">
      <w:pPr>
        <w:widowControl w:val="0"/>
        <w:overflowPunct w:val="0"/>
        <w:autoSpaceDE w:val="0"/>
        <w:autoSpaceDN w:val="0"/>
        <w:adjustRightInd w:val="0"/>
        <w:textAlignment w:val="baseline"/>
      </w:pPr>
    </w:p>
    <w:p w:rsidR="00C672D8" w:rsidRPr="0055654C" w:rsidRDefault="00C672D8" w:rsidP="000B1F76">
      <w:pPr>
        <w:widowControl w:val="0"/>
        <w:overflowPunct w:val="0"/>
        <w:autoSpaceDE w:val="0"/>
        <w:autoSpaceDN w:val="0"/>
        <w:adjustRightInd w:val="0"/>
        <w:textAlignment w:val="baseline"/>
      </w:pPr>
    </w:p>
    <w:p w:rsidR="00C672D8" w:rsidRPr="0055654C" w:rsidRDefault="00C672D8" w:rsidP="000B1F76">
      <w:pPr>
        <w:widowControl w:val="0"/>
        <w:overflowPunct w:val="0"/>
        <w:autoSpaceDE w:val="0"/>
        <w:autoSpaceDN w:val="0"/>
        <w:adjustRightInd w:val="0"/>
        <w:textAlignment w:val="baseline"/>
      </w:pPr>
      <w:r w:rsidRPr="0055654C">
        <w:t xml:space="preserve">15.  This is a new submission to cover information collection required to meet the </w:t>
      </w:r>
      <w:r w:rsidR="009939DF" w:rsidRPr="0055654C">
        <w:t xml:space="preserve">Department’s </w:t>
      </w:r>
      <w:r w:rsidRPr="0055654C">
        <w:t xml:space="preserve">regulatory </w:t>
      </w:r>
      <w:r w:rsidR="004C3AA3" w:rsidRPr="0055654C">
        <w:t xml:space="preserve">and programmatic </w:t>
      </w:r>
      <w:r w:rsidRPr="0055654C">
        <w:t>requirements</w:t>
      </w:r>
      <w:r w:rsidR="004C3AA3" w:rsidRPr="0055654C">
        <w:t xml:space="preserve"> for owners </w:t>
      </w:r>
      <w:r w:rsidR="00AB3CB3" w:rsidRPr="0055654C">
        <w:t>requesting</w:t>
      </w:r>
      <w:r w:rsidR="004C3AA3" w:rsidRPr="0055654C">
        <w:t xml:space="preserve"> to convert efficien</w:t>
      </w:r>
      <w:r w:rsidR="00D93651" w:rsidRPr="0055654C">
        <w:t>cy units into one bedroom units</w:t>
      </w:r>
      <w:r w:rsidRPr="0055654C">
        <w:t xml:space="preserve">.  </w:t>
      </w:r>
    </w:p>
    <w:p w:rsidR="00C672D8" w:rsidRPr="0055654C" w:rsidRDefault="00C672D8" w:rsidP="000B1F76">
      <w:pPr>
        <w:widowControl w:val="0"/>
        <w:overflowPunct w:val="0"/>
        <w:autoSpaceDE w:val="0"/>
        <w:autoSpaceDN w:val="0"/>
        <w:adjustRightInd w:val="0"/>
        <w:textAlignment w:val="baseline"/>
      </w:pPr>
    </w:p>
    <w:p w:rsidR="00C672D8" w:rsidRPr="0055654C" w:rsidRDefault="00C672D8" w:rsidP="000B1F76">
      <w:pPr>
        <w:widowControl w:val="0"/>
        <w:overflowPunct w:val="0"/>
        <w:autoSpaceDE w:val="0"/>
        <w:autoSpaceDN w:val="0"/>
        <w:adjustRightInd w:val="0"/>
        <w:textAlignment w:val="baseline"/>
      </w:pPr>
      <w:r w:rsidRPr="0055654C">
        <w:t>16.  This information collection does not include results that will be published.</w:t>
      </w:r>
    </w:p>
    <w:p w:rsidR="00C672D8" w:rsidRPr="0055654C" w:rsidRDefault="00C672D8" w:rsidP="000B1F76">
      <w:pPr>
        <w:pStyle w:val="BodyTextIndent2"/>
        <w:tabs>
          <w:tab w:val="left" w:pos="1438"/>
          <w:tab w:val="right" w:pos="3306"/>
        </w:tabs>
        <w:overflowPunct w:val="0"/>
        <w:autoSpaceDE w:val="0"/>
        <w:autoSpaceDN w:val="0"/>
        <w:adjustRightInd w:val="0"/>
        <w:spacing w:after="0" w:line="240" w:lineRule="auto"/>
        <w:ind w:left="0"/>
        <w:textAlignment w:val="baseline"/>
      </w:pPr>
    </w:p>
    <w:p w:rsidR="00C672D8" w:rsidRPr="0055654C" w:rsidRDefault="00C672D8" w:rsidP="000B1F76">
      <w:pPr>
        <w:pStyle w:val="BodyTextIndent2"/>
        <w:tabs>
          <w:tab w:val="left" w:pos="1438"/>
          <w:tab w:val="right" w:pos="3306"/>
        </w:tabs>
        <w:overflowPunct w:val="0"/>
        <w:autoSpaceDE w:val="0"/>
        <w:autoSpaceDN w:val="0"/>
        <w:adjustRightInd w:val="0"/>
        <w:spacing w:after="0" w:line="240" w:lineRule="auto"/>
        <w:ind w:left="0"/>
        <w:textAlignment w:val="baseline"/>
      </w:pPr>
      <w:r w:rsidRPr="0055654C">
        <w:t>17.  We are not seeking approval to avoid displaying the expiration date of the OMB approval.</w:t>
      </w:r>
    </w:p>
    <w:p w:rsidR="00C672D8" w:rsidRPr="0055654C" w:rsidRDefault="00C672D8" w:rsidP="000B1F76">
      <w:pPr>
        <w:pStyle w:val="BodyTextIndent2"/>
        <w:tabs>
          <w:tab w:val="left" w:pos="1442"/>
          <w:tab w:val="right" w:pos="3310"/>
        </w:tabs>
        <w:overflowPunct w:val="0"/>
        <w:autoSpaceDE w:val="0"/>
        <w:autoSpaceDN w:val="0"/>
        <w:adjustRightInd w:val="0"/>
        <w:spacing w:after="0" w:line="240" w:lineRule="auto"/>
        <w:ind w:left="0"/>
        <w:textAlignment w:val="baseline"/>
      </w:pPr>
    </w:p>
    <w:p w:rsidR="00C672D8" w:rsidRPr="0055654C" w:rsidRDefault="00C672D8" w:rsidP="000B1F76">
      <w:pPr>
        <w:pStyle w:val="BodyTextIndent2"/>
        <w:tabs>
          <w:tab w:val="left" w:pos="1442"/>
          <w:tab w:val="right" w:pos="3310"/>
        </w:tabs>
        <w:overflowPunct w:val="0"/>
        <w:autoSpaceDE w:val="0"/>
        <w:autoSpaceDN w:val="0"/>
        <w:adjustRightInd w:val="0"/>
        <w:spacing w:after="0" w:line="240" w:lineRule="auto"/>
        <w:ind w:left="0"/>
        <w:textAlignment w:val="baseline"/>
      </w:pPr>
      <w:r w:rsidRPr="0055654C">
        <w:t>18. There are no exceptions to the certification statement identified in item 19 of the OMB 83-I.</w:t>
      </w:r>
    </w:p>
    <w:p w:rsidR="00C672D8" w:rsidRPr="0055654C" w:rsidRDefault="00C672D8" w:rsidP="00863BB7">
      <w:pPr>
        <w:ind w:left="720"/>
      </w:pPr>
    </w:p>
    <w:p w:rsidR="00C672D8" w:rsidRPr="0055654C" w:rsidRDefault="00C672D8" w:rsidP="00863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55654C">
        <w:rPr>
          <w:b/>
        </w:rPr>
        <w:t>B. Collections of Information Employing Statistical Methods</w:t>
      </w:r>
    </w:p>
    <w:p w:rsidR="00C672D8" w:rsidRPr="0055654C" w:rsidRDefault="00C672D8" w:rsidP="00863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C672D8" w:rsidRPr="0055654C" w:rsidRDefault="00C672D8" w:rsidP="00863BB7">
      <w:pPr>
        <w:tabs>
          <w:tab w:val="left" w:pos="720"/>
        </w:tabs>
      </w:pPr>
      <w:r w:rsidRPr="0055654C">
        <w:t>The collection of information does not employ statistical methods.</w:t>
      </w:r>
    </w:p>
    <w:p w:rsidR="00C672D8" w:rsidRPr="0055654C" w:rsidRDefault="00C672D8" w:rsidP="00863BB7">
      <w:pPr>
        <w:tabs>
          <w:tab w:val="left" w:pos="720"/>
        </w:tabs>
      </w:pPr>
    </w:p>
    <w:sectPr w:rsidR="00C672D8" w:rsidRPr="0055654C" w:rsidSect="006C439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4F0" w:rsidRDefault="007C04F0">
      <w:r>
        <w:separator/>
      </w:r>
    </w:p>
  </w:endnote>
  <w:endnote w:type="continuationSeparator" w:id="0">
    <w:p w:rsidR="007C04F0" w:rsidRDefault="007C0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4F0" w:rsidRDefault="007C04F0">
      <w:r>
        <w:separator/>
      </w:r>
    </w:p>
  </w:footnote>
  <w:footnote w:type="continuationSeparator" w:id="0">
    <w:p w:rsidR="007C04F0" w:rsidRDefault="007C0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17CE"/>
    <w:multiLevelType w:val="multilevel"/>
    <w:tmpl w:val="E5EAFF4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C6A76D4"/>
    <w:multiLevelType w:val="hybridMultilevel"/>
    <w:tmpl w:val="41BC35A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4">
    <w:nsid w:val="12197782"/>
    <w:multiLevelType w:val="hybridMultilevel"/>
    <w:tmpl w:val="F30C9C78"/>
    <w:lvl w:ilvl="0" w:tplc="0409000F">
      <w:start w:val="1"/>
      <w:numFmt w:val="decimal"/>
      <w:lvlText w:val="%1."/>
      <w:lvlJc w:val="left"/>
      <w:pPr>
        <w:tabs>
          <w:tab w:val="num" w:pos="-3600"/>
        </w:tabs>
        <w:ind w:left="-3600" w:hanging="360"/>
      </w:pPr>
      <w:rPr>
        <w:rFonts w:cs="Times New Roman"/>
      </w:r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start w:val="1"/>
      <w:numFmt w:val="lowerRoman"/>
      <w:lvlText w:val="%6."/>
      <w:lvlJc w:val="right"/>
      <w:pPr>
        <w:tabs>
          <w:tab w:val="num" w:pos="0"/>
        </w:tabs>
        <w:ind w:hanging="180"/>
      </w:pPr>
      <w:rPr>
        <w:rFonts w:cs="Times New Roman"/>
      </w:rPr>
    </w:lvl>
    <w:lvl w:ilvl="6" w:tplc="0409000F">
      <w:start w:val="1"/>
      <w:numFmt w:val="decimal"/>
      <w:lvlText w:val="%7."/>
      <w:lvlJc w:val="left"/>
      <w:pPr>
        <w:tabs>
          <w:tab w:val="num" w:pos="720"/>
        </w:tabs>
        <w:ind w:left="720" w:hanging="360"/>
      </w:pPr>
      <w:rPr>
        <w:rFonts w:cs="Times New Roman"/>
      </w:rPr>
    </w:lvl>
    <w:lvl w:ilvl="7" w:tplc="04090019">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5">
    <w:nsid w:val="12306C3E"/>
    <w:multiLevelType w:val="hybridMultilevel"/>
    <w:tmpl w:val="BC00DC66"/>
    <w:lvl w:ilvl="0" w:tplc="0409000F">
      <w:start w:val="8"/>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nsid w:val="15DC52FB"/>
    <w:multiLevelType w:val="hybridMultilevel"/>
    <w:tmpl w:val="40C8C94C"/>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8121BCD"/>
    <w:multiLevelType w:val="hybridMultilevel"/>
    <w:tmpl w:val="83C6E944"/>
    <w:lvl w:ilvl="0" w:tplc="1542FF1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12546C98">
      <w:start w:val="3"/>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4E27B6"/>
    <w:multiLevelType w:val="multilevel"/>
    <w:tmpl w:val="A478081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9">
    <w:nsid w:val="212B18A3"/>
    <w:multiLevelType w:val="hybridMultilevel"/>
    <w:tmpl w:val="9982BA6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24C0071"/>
    <w:multiLevelType w:val="hybridMultilevel"/>
    <w:tmpl w:val="31E6D3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74E1D9D"/>
    <w:multiLevelType w:val="hybridMultilevel"/>
    <w:tmpl w:val="3D76637C"/>
    <w:lvl w:ilvl="0" w:tplc="E5B265BA">
      <w:start w:val="1"/>
      <w:numFmt w:val="lowerLetter"/>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AD27A25"/>
    <w:multiLevelType w:val="hybridMultilevel"/>
    <w:tmpl w:val="3BEC3A64"/>
    <w:lvl w:ilvl="0" w:tplc="192CF31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0F680E"/>
    <w:multiLevelType w:val="hybridMultilevel"/>
    <w:tmpl w:val="B50E82D2"/>
    <w:lvl w:ilvl="0" w:tplc="04090015">
      <w:start w:val="1"/>
      <w:numFmt w:val="upperLetter"/>
      <w:lvlText w:val="%1."/>
      <w:lvlJc w:val="left"/>
      <w:pPr>
        <w:tabs>
          <w:tab w:val="num" w:pos="720"/>
        </w:tabs>
        <w:ind w:left="720" w:hanging="360"/>
      </w:pPr>
      <w:rPr>
        <w:rFonts w:cs="Times New Roman"/>
      </w:rPr>
    </w:lvl>
    <w:lvl w:ilvl="1" w:tplc="25AA608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C881EE7"/>
    <w:multiLevelType w:val="hybridMultilevel"/>
    <w:tmpl w:val="8E7E23E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134F40"/>
    <w:multiLevelType w:val="hybridMultilevel"/>
    <w:tmpl w:val="2DAEF4A2"/>
    <w:lvl w:ilvl="0" w:tplc="20E2D6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70A2F52"/>
    <w:multiLevelType w:val="hybridMultilevel"/>
    <w:tmpl w:val="0F5E0C6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5">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828079C"/>
    <w:multiLevelType w:val="hybridMultilevel"/>
    <w:tmpl w:val="0D12C55A"/>
    <w:lvl w:ilvl="0" w:tplc="7F2E780E">
      <w:start w:val="4"/>
      <w:numFmt w:val="decimal"/>
      <w:lvlText w:val="%1."/>
      <w:lvlJc w:val="left"/>
      <w:pPr>
        <w:tabs>
          <w:tab w:val="num" w:pos="720"/>
        </w:tabs>
        <w:ind w:left="720" w:hanging="360"/>
      </w:pPr>
      <w:rPr>
        <w:rFonts w:cs="Times New Roman" w:hint="default"/>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743597"/>
    <w:multiLevelType w:val="hybridMultilevel"/>
    <w:tmpl w:val="1DA22E14"/>
    <w:lvl w:ilvl="0" w:tplc="4C7CA9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9865A19"/>
    <w:multiLevelType w:val="hybridMultilevel"/>
    <w:tmpl w:val="FA063BA6"/>
    <w:lvl w:ilvl="0" w:tplc="A0E86D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14F0EBC"/>
    <w:multiLevelType w:val="hybridMultilevel"/>
    <w:tmpl w:val="D4D8209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1890BCD"/>
    <w:multiLevelType w:val="hybridMultilevel"/>
    <w:tmpl w:val="B05E75EE"/>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670A4143"/>
    <w:multiLevelType w:val="hybridMultilevel"/>
    <w:tmpl w:val="CDCEF4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D3445F9"/>
    <w:multiLevelType w:val="hybridMultilevel"/>
    <w:tmpl w:val="4E56996C"/>
    <w:lvl w:ilvl="0" w:tplc="A21216E8">
      <w:start w:val="1"/>
      <w:numFmt w:val="decimal"/>
      <w:lvlText w:val="%1."/>
      <w:lvlJc w:val="left"/>
      <w:pPr>
        <w:tabs>
          <w:tab w:val="num" w:pos="900"/>
        </w:tabs>
        <w:ind w:left="900" w:hanging="360"/>
      </w:pPr>
      <w:rPr>
        <w:b/>
      </w:rPr>
    </w:lvl>
    <w:lvl w:ilvl="1" w:tplc="980A2818">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E0B7874"/>
    <w:multiLevelType w:val="hybridMultilevel"/>
    <w:tmpl w:val="A9849D1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F350647"/>
    <w:multiLevelType w:val="hybridMultilevel"/>
    <w:tmpl w:val="3314DE22"/>
    <w:lvl w:ilvl="0" w:tplc="17FC7FD2">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FBD7D1D"/>
    <w:multiLevelType w:val="hybridMultilevel"/>
    <w:tmpl w:val="26E2FB7A"/>
    <w:lvl w:ilvl="0" w:tplc="7C1E2F6E">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0041256"/>
    <w:multiLevelType w:val="hybridMultilevel"/>
    <w:tmpl w:val="4A66BDF0"/>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194017B"/>
    <w:multiLevelType w:val="hybridMultilevel"/>
    <w:tmpl w:val="169CA192"/>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729A5D3A"/>
    <w:multiLevelType w:val="hybridMultilevel"/>
    <w:tmpl w:val="84A2BD38"/>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1">
    <w:nsid w:val="78495DBD"/>
    <w:multiLevelType w:val="hybridMultilevel"/>
    <w:tmpl w:val="C23E3E5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3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abstractNum w:abstractNumId="34">
    <w:nsid w:val="7D057AD1"/>
    <w:multiLevelType w:val="hybridMultilevel"/>
    <w:tmpl w:val="6C9ADF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6C711C"/>
    <w:multiLevelType w:val="hybridMultilevel"/>
    <w:tmpl w:val="2890993A"/>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7D9E7D60"/>
    <w:multiLevelType w:val="hybridMultilevel"/>
    <w:tmpl w:val="CFD6E12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4"/>
  </w:num>
  <w:num w:numId="3">
    <w:abstractNumId w:val="34"/>
  </w:num>
  <w:num w:numId="4">
    <w:abstractNumId w:val="14"/>
  </w:num>
  <w:num w:numId="5">
    <w:abstractNumId w:val="19"/>
  </w:num>
  <w:num w:numId="6">
    <w:abstractNumId w:val="4"/>
  </w:num>
  <w:num w:numId="7">
    <w:abstractNumId w:val="31"/>
  </w:num>
  <w:num w:numId="8">
    <w:abstractNumId w:val="8"/>
  </w:num>
  <w:num w:numId="9">
    <w:abstractNumId w:val="18"/>
  </w:num>
  <w:num w:numId="10">
    <w:abstractNumId w:val="12"/>
  </w:num>
  <w:num w:numId="11">
    <w:abstractNumId w:val="16"/>
  </w:num>
  <w:num w:numId="12">
    <w:abstractNumId w:val="15"/>
  </w:num>
  <w:num w:numId="13">
    <w:abstractNumId w:val="3"/>
  </w:num>
  <w:num w:numId="14">
    <w:abstractNumId w:val="33"/>
  </w:num>
  <w:num w:numId="15">
    <w:abstractNumId w:val="2"/>
  </w:num>
  <w:num w:numId="16">
    <w:abstractNumId w:val="32"/>
  </w:num>
  <w:num w:numId="17">
    <w:abstractNumId w:val="30"/>
  </w:num>
  <w:num w:numId="18">
    <w:abstractNumId w:val="0"/>
  </w:num>
  <w:num w:numId="19">
    <w:abstractNumId w:val="22"/>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9"/>
  </w:num>
  <w:num w:numId="23">
    <w:abstractNumId w:val="36"/>
  </w:num>
  <w:num w:numId="24">
    <w:abstractNumId w:val="10"/>
  </w:num>
  <w:num w:numId="25">
    <w:abstractNumId w:val="35"/>
  </w:num>
  <w:num w:numId="26">
    <w:abstractNumId w:val="27"/>
  </w:num>
  <w:num w:numId="27">
    <w:abstractNumId w:val="21"/>
  </w:num>
  <w:num w:numId="28">
    <w:abstractNumId w:val="20"/>
  </w:num>
  <w:num w:numId="29">
    <w:abstractNumId w:val="13"/>
  </w:num>
  <w:num w:numId="30">
    <w:abstractNumId w:val="6"/>
  </w:num>
  <w:num w:numId="31">
    <w:abstractNumId w:val="28"/>
  </w:num>
  <w:num w:numId="32">
    <w:abstractNumId w:val="29"/>
  </w:num>
  <w:num w:numId="33">
    <w:abstractNumId w:val="17"/>
  </w:num>
  <w:num w:numId="34">
    <w:abstractNumId w:val="7"/>
  </w:num>
  <w:num w:numId="35">
    <w:abstractNumId w:val="26"/>
  </w:num>
  <w:num w:numId="36">
    <w:abstractNumId w:val="23"/>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17C27"/>
    <w:rsid w:val="00020D5D"/>
    <w:rsid w:val="00022FEC"/>
    <w:rsid w:val="00025C55"/>
    <w:rsid w:val="00030390"/>
    <w:rsid w:val="000318EF"/>
    <w:rsid w:val="00031DFF"/>
    <w:rsid w:val="0004698A"/>
    <w:rsid w:val="00064AC3"/>
    <w:rsid w:val="00066800"/>
    <w:rsid w:val="0007118A"/>
    <w:rsid w:val="00074776"/>
    <w:rsid w:val="00077C1C"/>
    <w:rsid w:val="000B1F76"/>
    <w:rsid w:val="000E79B8"/>
    <w:rsid w:val="000F6E3C"/>
    <w:rsid w:val="000F7908"/>
    <w:rsid w:val="00104EEC"/>
    <w:rsid w:val="0011238F"/>
    <w:rsid w:val="0012496E"/>
    <w:rsid w:val="001340AD"/>
    <w:rsid w:val="0014484E"/>
    <w:rsid w:val="00154764"/>
    <w:rsid w:val="0016352F"/>
    <w:rsid w:val="00180288"/>
    <w:rsid w:val="00184AAE"/>
    <w:rsid w:val="001B6697"/>
    <w:rsid w:val="001B6FC9"/>
    <w:rsid w:val="00264C79"/>
    <w:rsid w:val="00296B92"/>
    <w:rsid w:val="002B41B4"/>
    <w:rsid w:val="00307177"/>
    <w:rsid w:val="00310005"/>
    <w:rsid w:val="00376B4D"/>
    <w:rsid w:val="00397D07"/>
    <w:rsid w:val="003A3141"/>
    <w:rsid w:val="003A6594"/>
    <w:rsid w:val="003A7B49"/>
    <w:rsid w:val="003F07B2"/>
    <w:rsid w:val="003F3758"/>
    <w:rsid w:val="00424D86"/>
    <w:rsid w:val="004350B8"/>
    <w:rsid w:val="004606A7"/>
    <w:rsid w:val="00465624"/>
    <w:rsid w:val="004A4C8A"/>
    <w:rsid w:val="004B53F3"/>
    <w:rsid w:val="004C3AA3"/>
    <w:rsid w:val="004E7FFC"/>
    <w:rsid w:val="005318CC"/>
    <w:rsid w:val="00532E29"/>
    <w:rsid w:val="0055654C"/>
    <w:rsid w:val="00597BD2"/>
    <w:rsid w:val="005B38F8"/>
    <w:rsid w:val="005B4712"/>
    <w:rsid w:val="005B53A5"/>
    <w:rsid w:val="005C10EE"/>
    <w:rsid w:val="005D3E7E"/>
    <w:rsid w:val="005F534C"/>
    <w:rsid w:val="00607FB2"/>
    <w:rsid w:val="00613AFD"/>
    <w:rsid w:val="00625E2B"/>
    <w:rsid w:val="0062678B"/>
    <w:rsid w:val="00641952"/>
    <w:rsid w:val="00666285"/>
    <w:rsid w:val="006729CD"/>
    <w:rsid w:val="00673385"/>
    <w:rsid w:val="00676434"/>
    <w:rsid w:val="0067757F"/>
    <w:rsid w:val="006B5E9D"/>
    <w:rsid w:val="006C4397"/>
    <w:rsid w:val="006E7E89"/>
    <w:rsid w:val="006F20AF"/>
    <w:rsid w:val="006F6461"/>
    <w:rsid w:val="00700953"/>
    <w:rsid w:val="00742CFF"/>
    <w:rsid w:val="00743B9E"/>
    <w:rsid w:val="00752796"/>
    <w:rsid w:val="00753BF2"/>
    <w:rsid w:val="007732F5"/>
    <w:rsid w:val="0078298D"/>
    <w:rsid w:val="00784364"/>
    <w:rsid w:val="007A1299"/>
    <w:rsid w:val="007C04F0"/>
    <w:rsid w:val="007C42B6"/>
    <w:rsid w:val="007C6069"/>
    <w:rsid w:val="00812446"/>
    <w:rsid w:val="00817263"/>
    <w:rsid w:val="008201E9"/>
    <w:rsid w:val="008205A4"/>
    <w:rsid w:val="008237A6"/>
    <w:rsid w:val="00832514"/>
    <w:rsid w:val="00863BB7"/>
    <w:rsid w:val="00882627"/>
    <w:rsid w:val="00930A6E"/>
    <w:rsid w:val="00951B96"/>
    <w:rsid w:val="00956305"/>
    <w:rsid w:val="009939DF"/>
    <w:rsid w:val="009A13F0"/>
    <w:rsid w:val="009B597A"/>
    <w:rsid w:val="009C2BC2"/>
    <w:rsid w:val="009D2529"/>
    <w:rsid w:val="009E3255"/>
    <w:rsid w:val="009E4293"/>
    <w:rsid w:val="00A07518"/>
    <w:rsid w:val="00A11647"/>
    <w:rsid w:val="00A2012F"/>
    <w:rsid w:val="00A25C86"/>
    <w:rsid w:val="00A51B2A"/>
    <w:rsid w:val="00AB3CB3"/>
    <w:rsid w:val="00AF1B32"/>
    <w:rsid w:val="00B1332A"/>
    <w:rsid w:val="00B438C7"/>
    <w:rsid w:val="00B44603"/>
    <w:rsid w:val="00B610ED"/>
    <w:rsid w:val="00B65362"/>
    <w:rsid w:val="00B72B4C"/>
    <w:rsid w:val="00B72FF7"/>
    <w:rsid w:val="00B84C18"/>
    <w:rsid w:val="00BB2412"/>
    <w:rsid w:val="00BC4572"/>
    <w:rsid w:val="00BF5587"/>
    <w:rsid w:val="00C24E19"/>
    <w:rsid w:val="00C34498"/>
    <w:rsid w:val="00C60E60"/>
    <w:rsid w:val="00C672D8"/>
    <w:rsid w:val="00CA7832"/>
    <w:rsid w:val="00CB5B21"/>
    <w:rsid w:val="00CD1B2F"/>
    <w:rsid w:val="00CE55B0"/>
    <w:rsid w:val="00D12CB6"/>
    <w:rsid w:val="00D16011"/>
    <w:rsid w:val="00D42F51"/>
    <w:rsid w:val="00D93651"/>
    <w:rsid w:val="00DA3BB4"/>
    <w:rsid w:val="00DB309D"/>
    <w:rsid w:val="00DC2C9E"/>
    <w:rsid w:val="00DD5485"/>
    <w:rsid w:val="00DD6D08"/>
    <w:rsid w:val="00E17C27"/>
    <w:rsid w:val="00E235CD"/>
    <w:rsid w:val="00E36B34"/>
    <w:rsid w:val="00E43203"/>
    <w:rsid w:val="00E432A2"/>
    <w:rsid w:val="00E652C2"/>
    <w:rsid w:val="00EA4B24"/>
    <w:rsid w:val="00ED5827"/>
    <w:rsid w:val="00ED6C71"/>
    <w:rsid w:val="00EF06D0"/>
    <w:rsid w:val="00F13D20"/>
    <w:rsid w:val="00F17DA7"/>
    <w:rsid w:val="00F2601B"/>
    <w:rsid w:val="00F650D9"/>
    <w:rsid w:val="00F852E8"/>
    <w:rsid w:val="00FC08FB"/>
    <w:rsid w:val="00FC1676"/>
    <w:rsid w:val="00FC6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7B2"/>
    <w:rPr>
      <w:sz w:val="24"/>
      <w:szCs w:val="24"/>
    </w:rPr>
  </w:style>
  <w:style w:type="paragraph" w:styleId="Heading1">
    <w:name w:val="heading 1"/>
    <w:basedOn w:val="Normal"/>
    <w:next w:val="Normal"/>
    <w:link w:val="Heading1Char"/>
    <w:qFormat/>
    <w:rsid w:val="00743B9E"/>
    <w:pPr>
      <w:keepNext/>
      <w:overflowPunct w:val="0"/>
      <w:autoSpaceDE w:val="0"/>
      <w:autoSpaceDN w:val="0"/>
      <w:adjustRightInd w:val="0"/>
      <w:ind w:left="120"/>
      <w:textAlignment w:val="baseline"/>
      <w:outlineLvl w:val="0"/>
    </w:pPr>
    <w:rPr>
      <w:rFonts w:ascii="Helvetica" w:hAnsi="Helvetica"/>
      <w:b/>
      <w:sz w:val="18"/>
      <w:szCs w:val="20"/>
    </w:rPr>
  </w:style>
  <w:style w:type="paragraph" w:styleId="Heading2">
    <w:name w:val="heading 2"/>
    <w:basedOn w:val="Normal"/>
    <w:next w:val="Normal"/>
    <w:link w:val="Heading2Char"/>
    <w:qFormat/>
    <w:rsid w:val="00743B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outlineLvl w:val="1"/>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13F0"/>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rsid w:val="00DF39EB"/>
    <w:rPr>
      <w:sz w:val="24"/>
      <w:szCs w:val="24"/>
    </w:rPr>
  </w:style>
  <w:style w:type="paragraph" w:styleId="BodyTextIndent3">
    <w:name w:val="Body Text Indent 3"/>
    <w:basedOn w:val="Normal"/>
    <w:link w:val="BodyTextIndent3Char"/>
    <w:uiPriority w:val="99"/>
    <w:rsid w:val="009A13F0"/>
    <w:pPr>
      <w:overflowPunct w:val="0"/>
      <w:autoSpaceDE w:val="0"/>
      <w:autoSpaceDN w:val="0"/>
      <w:adjustRightInd w:val="0"/>
      <w:ind w:left="720" w:hanging="360"/>
      <w:textAlignment w:val="baseline"/>
    </w:pPr>
    <w:rPr>
      <w:sz w:val="18"/>
      <w:szCs w:val="18"/>
    </w:rPr>
  </w:style>
  <w:style w:type="character" w:customStyle="1" w:styleId="BodyTextIndent3Char">
    <w:name w:val="Body Text Indent 3 Char"/>
    <w:basedOn w:val="DefaultParagraphFont"/>
    <w:link w:val="BodyTextIndent3"/>
    <w:uiPriority w:val="99"/>
    <w:semiHidden/>
    <w:rsid w:val="00DF39EB"/>
    <w:rPr>
      <w:sz w:val="16"/>
      <w:szCs w:val="16"/>
    </w:rPr>
  </w:style>
  <w:style w:type="paragraph" w:styleId="BodyTextIndent2">
    <w:name w:val="Body Text Indent 2"/>
    <w:basedOn w:val="Normal"/>
    <w:link w:val="BodyTextIndent2Char"/>
    <w:uiPriority w:val="99"/>
    <w:rsid w:val="00F650D9"/>
    <w:pPr>
      <w:spacing w:after="120" w:line="480" w:lineRule="auto"/>
      <w:ind w:left="360"/>
    </w:pPr>
  </w:style>
  <w:style w:type="character" w:customStyle="1" w:styleId="BodyTextIndent2Char">
    <w:name w:val="Body Text Indent 2 Char"/>
    <w:basedOn w:val="DefaultParagraphFont"/>
    <w:link w:val="BodyTextIndent2"/>
    <w:uiPriority w:val="99"/>
    <w:semiHidden/>
    <w:rsid w:val="00DF39EB"/>
    <w:rPr>
      <w:sz w:val="24"/>
      <w:szCs w:val="24"/>
    </w:rPr>
  </w:style>
  <w:style w:type="character" w:styleId="FootnoteReference">
    <w:name w:val="footnote reference"/>
    <w:basedOn w:val="DefaultParagraphFont"/>
    <w:rsid w:val="000E79B8"/>
    <w:rPr>
      <w:vertAlign w:val="superscript"/>
    </w:rPr>
  </w:style>
  <w:style w:type="paragraph" w:styleId="ListParagraph">
    <w:name w:val="List Paragraph"/>
    <w:basedOn w:val="Normal"/>
    <w:uiPriority w:val="34"/>
    <w:qFormat/>
    <w:rsid w:val="000E79B8"/>
    <w:pPr>
      <w:ind w:left="720"/>
    </w:pPr>
  </w:style>
  <w:style w:type="character" w:customStyle="1" w:styleId="Heading1Char">
    <w:name w:val="Heading 1 Char"/>
    <w:basedOn w:val="DefaultParagraphFont"/>
    <w:link w:val="Heading1"/>
    <w:rsid w:val="00743B9E"/>
    <w:rPr>
      <w:rFonts w:ascii="Helvetica" w:hAnsi="Helvetica"/>
      <w:b/>
      <w:sz w:val="18"/>
    </w:rPr>
  </w:style>
  <w:style w:type="character" w:customStyle="1" w:styleId="Heading2Char">
    <w:name w:val="Heading 2 Char"/>
    <w:basedOn w:val="DefaultParagraphFont"/>
    <w:link w:val="Heading2"/>
    <w:rsid w:val="00743B9E"/>
    <w:rPr>
      <w:rFonts w:ascii="Helvetica" w:hAnsi="Helvetica"/>
      <w:b/>
      <w:sz w:val="28"/>
    </w:rPr>
  </w:style>
  <w:style w:type="paragraph" w:styleId="PlainText">
    <w:name w:val="Plain Text"/>
    <w:basedOn w:val="Normal"/>
    <w:link w:val="PlainTextChar"/>
    <w:rsid w:val="00743B9E"/>
    <w:rPr>
      <w:rFonts w:ascii="Courier New" w:hAnsi="Courier New" w:cs="Courier New"/>
      <w:sz w:val="20"/>
      <w:szCs w:val="20"/>
    </w:rPr>
  </w:style>
  <w:style w:type="character" w:customStyle="1" w:styleId="PlainTextChar">
    <w:name w:val="Plain Text Char"/>
    <w:basedOn w:val="DefaultParagraphFont"/>
    <w:link w:val="PlainText"/>
    <w:rsid w:val="00743B9E"/>
    <w:rPr>
      <w:rFonts w:ascii="Courier New" w:hAnsi="Courier New" w:cs="Courier New"/>
    </w:rPr>
  </w:style>
  <w:style w:type="character" w:styleId="Hyperlink">
    <w:name w:val="Hyperlink"/>
    <w:basedOn w:val="DefaultParagraphFont"/>
    <w:uiPriority w:val="99"/>
    <w:unhideWhenUsed/>
    <w:rsid w:val="009939DF"/>
    <w:rPr>
      <w:color w:val="0000FF"/>
      <w:u w:val="single"/>
    </w:rPr>
  </w:style>
  <w:style w:type="paragraph" w:styleId="Header">
    <w:name w:val="header"/>
    <w:basedOn w:val="Normal"/>
    <w:link w:val="HeaderChar"/>
    <w:rsid w:val="00C34498"/>
    <w:pPr>
      <w:tabs>
        <w:tab w:val="center" w:pos="4680"/>
        <w:tab w:val="right" w:pos="9360"/>
      </w:tabs>
    </w:pPr>
  </w:style>
  <w:style w:type="character" w:customStyle="1" w:styleId="HeaderChar">
    <w:name w:val="Header Char"/>
    <w:basedOn w:val="DefaultParagraphFont"/>
    <w:link w:val="Header"/>
    <w:rsid w:val="00C34498"/>
    <w:rPr>
      <w:sz w:val="24"/>
      <w:szCs w:val="24"/>
    </w:rPr>
  </w:style>
</w:styles>
</file>

<file path=word/webSettings.xml><?xml version="1.0" encoding="utf-8"?>
<w:webSettings xmlns:r="http://schemas.openxmlformats.org/officeDocument/2006/relationships" xmlns:w="http://schemas.openxmlformats.org/wordprocessingml/2006/main">
  <w:divs>
    <w:div w:id="114914451">
      <w:bodyDiv w:val="1"/>
      <w:marLeft w:val="0"/>
      <w:marRight w:val="0"/>
      <w:marTop w:val="0"/>
      <w:marBottom w:val="0"/>
      <w:divBdr>
        <w:top w:val="none" w:sz="0" w:space="0" w:color="auto"/>
        <w:left w:val="none" w:sz="0" w:space="0" w:color="auto"/>
        <w:bottom w:val="none" w:sz="0" w:space="0" w:color="auto"/>
        <w:right w:val="none" w:sz="0" w:space="0" w:color="auto"/>
      </w:divBdr>
    </w:div>
    <w:div w:id="369887793">
      <w:bodyDiv w:val="1"/>
      <w:marLeft w:val="0"/>
      <w:marRight w:val="0"/>
      <w:marTop w:val="0"/>
      <w:marBottom w:val="0"/>
      <w:divBdr>
        <w:top w:val="none" w:sz="0" w:space="0" w:color="auto"/>
        <w:left w:val="none" w:sz="0" w:space="0" w:color="auto"/>
        <w:bottom w:val="none" w:sz="0" w:space="0" w:color="auto"/>
        <w:right w:val="none" w:sz="0" w:space="0" w:color="auto"/>
      </w:divBdr>
    </w:div>
    <w:div w:id="398865889">
      <w:bodyDiv w:val="1"/>
      <w:marLeft w:val="0"/>
      <w:marRight w:val="0"/>
      <w:marTop w:val="0"/>
      <w:marBottom w:val="0"/>
      <w:divBdr>
        <w:top w:val="none" w:sz="0" w:space="0" w:color="auto"/>
        <w:left w:val="none" w:sz="0" w:space="0" w:color="auto"/>
        <w:bottom w:val="none" w:sz="0" w:space="0" w:color="auto"/>
        <w:right w:val="none" w:sz="0" w:space="0" w:color="auto"/>
      </w:divBdr>
    </w:div>
    <w:div w:id="468010866">
      <w:bodyDiv w:val="1"/>
      <w:marLeft w:val="0"/>
      <w:marRight w:val="0"/>
      <w:marTop w:val="0"/>
      <w:marBottom w:val="0"/>
      <w:divBdr>
        <w:top w:val="none" w:sz="0" w:space="0" w:color="auto"/>
        <w:left w:val="none" w:sz="0" w:space="0" w:color="auto"/>
        <w:bottom w:val="none" w:sz="0" w:space="0" w:color="auto"/>
        <w:right w:val="none" w:sz="0" w:space="0" w:color="auto"/>
      </w:divBdr>
    </w:div>
    <w:div w:id="615605932">
      <w:marLeft w:val="0"/>
      <w:marRight w:val="0"/>
      <w:marTop w:val="0"/>
      <w:marBottom w:val="0"/>
      <w:divBdr>
        <w:top w:val="none" w:sz="0" w:space="0" w:color="auto"/>
        <w:left w:val="none" w:sz="0" w:space="0" w:color="auto"/>
        <w:bottom w:val="none" w:sz="0" w:space="0" w:color="auto"/>
        <w:right w:val="none" w:sz="0" w:space="0" w:color="auto"/>
      </w:divBdr>
    </w:div>
    <w:div w:id="615605933">
      <w:marLeft w:val="0"/>
      <w:marRight w:val="0"/>
      <w:marTop w:val="0"/>
      <w:marBottom w:val="0"/>
      <w:divBdr>
        <w:top w:val="none" w:sz="0" w:space="0" w:color="auto"/>
        <w:left w:val="none" w:sz="0" w:space="0" w:color="auto"/>
        <w:bottom w:val="none" w:sz="0" w:space="0" w:color="auto"/>
        <w:right w:val="none" w:sz="0" w:space="0" w:color="auto"/>
      </w:divBdr>
    </w:div>
    <w:div w:id="615605934">
      <w:marLeft w:val="0"/>
      <w:marRight w:val="0"/>
      <w:marTop w:val="0"/>
      <w:marBottom w:val="0"/>
      <w:divBdr>
        <w:top w:val="none" w:sz="0" w:space="0" w:color="auto"/>
        <w:left w:val="none" w:sz="0" w:space="0" w:color="auto"/>
        <w:bottom w:val="none" w:sz="0" w:space="0" w:color="auto"/>
        <w:right w:val="none" w:sz="0" w:space="0" w:color="auto"/>
      </w:divBdr>
    </w:div>
    <w:div w:id="18404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1576</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10304</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H45351</cp:lastModifiedBy>
  <cp:revision>5</cp:revision>
  <cp:lastPrinted>2010-04-28T21:29:00Z</cp:lastPrinted>
  <dcterms:created xsi:type="dcterms:W3CDTF">2010-06-09T13:18:00Z</dcterms:created>
  <dcterms:modified xsi:type="dcterms:W3CDTF">2010-06-14T12:23:00Z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404679362</vt:i4>
  </property>
  <property fmtid="{D5CDD505-2E9C-101B-9397-08002B2CF9AE}" pid="3" name="_NewReviewCycle">
    <vt:lpwstr/>
  </property>
  <property fmtid="{D5CDD505-2E9C-101B-9397-08002B2CF9AE}" pid="4" name="_EmailSubject">
    <vt:lpwstr>2502-New-45 Emergency Package</vt:lpwstr>
  </property>
  <property fmtid="{D5CDD505-2E9C-101B-9397-08002B2CF9AE}" pid="5" name="_AuthorEmail">
    <vt:lpwstr>Angie.S.Hamilton@hud.gov</vt:lpwstr>
  </property>
  <property fmtid="{D5CDD505-2E9C-101B-9397-08002B2CF9AE}" pid="6" name="_AuthorEmailDisplayName">
    <vt:lpwstr>Hamilton, Angie S</vt:lpwstr>
  </property>
  <property fmtid="{D5CDD505-2E9C-101B-9397-08002B2CF9AE}" pid="7" name="_PreviousAdHocReviewCycleID">
    <vt:i4>1223851611</vt:i4>
  </property>
</Properties>
</file>