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61" w:rsidRDefault="009E41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9E4161" w:rsidRDefault="009E41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p w:rsidR="009E4161" w:rsidRDefault="009E4161">
      <w:pPr>
        <w:jc w:val="center"/>
        <w:rPr>
          <w:b/>
        </w:rPr>
      </w:pPr>
      <w:r>
        <w:rPr>
          <w:b/>
        </w:rPr>
        <w:t>MONTHLY REPORT OF EXCESS INCOME AND</w:t>
      </w:r>
    </w:p>
    <w:p w:rsidR="009E4161" w:rsidRDefault="009E4161">
      <w:pPr>
        <w:jc w:val="center"/>
        <w:rPr>
          <w:b/>
        </w:rPr>
      </w:pPr>
      <w:r>
        <w:rPr>
          <w:b/>
        </w:rPr>
        <w:t>ANNUAL REPORT OF USES OF EXCESS INCOME</w:t>
      </w:r>
    </w:p>
    <w:p w:rsidR="009E4161" w:rsidRDefault="009E4161">
      <w:pPr>
        <w:jc w:val="center"/>
        <w:rPr>
          <w:b/>
        </w:rPr>
      </w:pPr>
      <w:r>
        <w:rPr>
          <w:b/>
        </w:rPr>
        <w:t xml:space="preserve">OMB Control Number </w:t>
      </w:r>
      <w:r>
        <w:rPr>
          <w:b/>
          <w:highlight w:val="lightGray"/>
        </w:rPr>
        <w:t>2502-0086</w:t>
      </w:r>
    </w:p>
    <w:p w:rsidR="009E4161" w:rsidRDefault="009E4161">
      <w:pPr>
        <w:jc w:val="center"/>
        <w:rPr>
          <w:b/>
        </w:rPr>
      </w:pPr>
    </w:p>
    <w:p w:rsidR="009E4161" w:rsidRDefault="009E4161">
      <w:pPr>
        <w:tabs>
          <w:tab w:val="left" w:pos="360"/>
        </w:tabs>
        <w:ind w:left="360" w:hanging="360"/>
        <w:rPr>
          <w:b/>
          <w:u w:val="single"/>
        </w:rPr>
      </w:pPr>
    </w:p>
    <w:p w:rsidR="009E4161" w:rsidRDefault="009E4161">
      <w:pPr>
        <w:pStyle w:val="Heading7"/>
        <w:rPr>
          <w:rFonts w:ascii="Times New Roman" w:hAnsi="Times New Roman"/>
        </w:rPr>
      </w:pPr>
      <w:r>
        <w:rPr>
          <w:rFonts w:ascii="Times New Roman" w:hAnsi="Times New Roman"/>
        </w:rPr>
        <w:t>A. JUSTIFICATION</w:t>
      </w:r>
    </w:p>
    <w:p w:rsidR="009E4161" w:rsidRDefault="009E4161">
      <w:pPr>
        <w:tabs>
          <w:tab w:val="left" w:pos="360"/>
        </w:tabs>
        <w:ind w:left="360" w:hanging="360"/>
      </w:pPr>
    </w:p>
    <w:p w:rsidR="009E4161" w:rsidRDefault="009E4161">
      <w:pPr>
        <w:pStyle w:val="BodyTextIndent"/>
        <w:numPr>
          <w:ilvl w:val="0"/>
          <w:numId w:val="27"/>
        </w:numPr>
        <w:rPr>
          <w:rFonts w:ascii="Times New Roman" w:hAnsi="Times New Roman"/>
        </w:rPr>
      </w:pPr>
      <w:r>
        <w:rPr>
          <w:rFonts w:ascii="Times New Roman" w:hAnsi="Times New Roman"/>
        </w:rPr>
        <w:t xml:space="preserve">The Secretary of the Department of Housing and Urban Development is authorized to make periodic interest reduction payments on behalf of owners of rental housing projects (12 U.S.C. </w:t>
      </w:r>
      <w:r w:rsidR="00206046">
        <w:rPr>
          <w:rFonts w:ascii="Times New Roman" w:hAnsi="Times New Roman"/>
        </w:rPr>
        <w:t>1</w:t>
      </w:r>
      <w:r>
        <w:rPr>
          <w:rFonts w:ascii="Times New Roman" w:hAnsi="Times New Roman"/>
        </w:rPr>
        <w:t>715z-1).  A project owner may retain some or all of excess charges for project use if authorized by the Secretary (12 U.S.C. 1715z</w:t>
      </w:r>
      <w:r>
        <w:rPr>
          <w:rFonts w:ascii="Times New Roman" w:hAnsi="Times New Roman"/>
        </w:rPr>
        <w:noBreakHyphen/>
        <w:t xml:space="preserve">1(g).  The Housing and Community Development Act of 1987 authorizes HUD to collect Employer Identification Numbers (EINs) (42 U.S.C. 3543).  HUD regulations at 24 C.F.R. 236 establish regulations for recordkeeping and reporting of excess income.  </w:t>
      </w:r>
    </w:p>
    <w:p w:rsidR="009E4161" w:rsidRDefault="009E4161">
      <w:pPr>
        <w:pStyle w:val="BodyTextIndent"/>
        <w:tabs>
          <w:tab w:val="clear" w:pos="360"/>
        </w:tabs>
        <w:rPr>
          <w:rFonts w:ascii="Times New Roman" w:hAnsi="Times New Roman"/>
        </w:rPr>
      </w:pPr>
    </w:p>
    <w:p w:rsidR="000D07FE" w:rsidRDefault="009E4161">
      <w:pPr>
        <w:numPr>
          <w:ilvl w:val="0"/>
          <w:numId w:val="27"/>
        </w:numPr>
      </w:pPr>
      <w:r>
        <w:t xml:space="preserve">The owners/management agents of Section 236-assisted projects complete </w:t>
      </w:r>
      <w:r w:rsidR="0060503C">
        <w:t>a</w:t>
      </w:r>
      <w:r>
        <w:t xml:space="preserve"> </w:t>
      </w:r>
      <w:r w:rsidR="00206046">
        <w:t>web-based form</w:t>
      </w:r>
      <w:r w:rsidR="0060503C">
        <w:t xml:space="preserve"> on</w:t>
      </w:r>
      <w:r w:rsidR="00206046">
        <w:t xml:space="preserve"> pay.gov</w:t>
      </w:r>
      <w:r w:rsidR="0060503C">
        <w:t>,</w:t>
      </w:r>
      <w:r>
        <w:t xml:space="preserve"> Monthly Report of Excess Income, to compute any excess rents that are payable to HUD and to report Excess Income that is retained by them with HUD’s prior approval.  Approximately </w:t>
      </w:r>
      <w:r w:rsidR="00206046">
        <w:t>1,606</w:t>
      </w:r>
      <w:r>
        <w:t xml:space="preserve"> owners submit the form and required remittance to HUD no later than the tenth day of each month.  </w:t>
      </w:r>
      <w:r w:rsidR="000D07FE">
        <w:t xml:space="preserve">Approximately </w:t>
      </w:r>
      <w:r w:rsidR="00500C83">
        <w:t xml:space="preserve">900 </w:t>
      </w:r>
      <w:r w:rsidR="000D07FE">
        <w:t xml:space="preserve">of these owners </w:t>
      </w:r>
      <w:r w:rsidR="00500C83">
        <w:t xml:space="preserve">request to retain excess income, and </w:t>
      </w:r>
      <w:r w:rsidR="001D7015">
        <w:t>are required to submit the Annual Report of Uses of Excess Income</w:t>
      </w:r>
      <w:r w:rsidR="00500C83">
        <w:t xml:space="preserve">.  </w:t>
      </w:r>
      <w:r w:rsidR="000D07FE" w:rsidRPr="000D07FE">
        <w:t>It has come to the attention of the respondent that a currently active program known as “decoupling”, which involves the sale and refinancing of Section 236 properties</w:t>
      </w:r>
      <w:r w:rsidR="000D07FE">
        <w:t>,</w:t>
      </w:r>
      <w:r w:rsidR="000D07FE" w:rsidRPr="000D07FE">
        <w:t xml:space="preserve"> continues to require the collection of Monthly Report of Excess Income and Annual Report of Uses of Excess Income</w:t>
      </w:r>
      <w:r w:rsidR="00125F28">
        <w:t xml:space="preserve">. </w:t>
      </w:r>
      <w:r w:rsidR="00125F28" w:rsidRPr="00881AAB">
        <w:t>Consequently, these project owners were added to the count of respondents</w:t>
      </w:r>
      <w:r w:rsidR="000D07FE" w:rsidRPr="00881AAB">
        <w:t xml:space="preserve">.  These properties continue to be considered “236” projects for reporting purposes, </w:t>
      </w:r>
      <w:r w:rsidR="00881AAB" w:rsidRPr="00881AAB">
        <w:t xml:space="preserve">and </w:t>
      </w:r>
      <w:r w:rsidR="000D07FE" w:rsidRPr="00881AAB">
        <w:t>their numbers have been incorporated into this Paperwork Reduction Act Submission</w:t>
      </w:r>
      <w:r w:rsidR="000D07FE" w:rsidRPr="000D07FE">
        <w:t>.</w:t>
      </w:r>
      <w:r w:rsidR="000D07FE">
        <w:t xml:space="preserve">  </w:t>
      </w:r>
    </w:p>
    <w:p w:rsidR="000D07FE" w:rsidRDefault="000D07FE" w:rsidP="000D07FE">
      <w:pPr>
        <w:ind w:left="360"/>
      </w:pPr>
    </w:p>
    <w:p w:rsidR="009E4161" w:rsidRDefault="009E4161" w:rsidP="000D07FE">
      <w:pPr>
        <w:ind w:left="360"/>
      </w:pPr>
      <w:r>
        <w:t xml:space="preserve">The project-based calculations performed on </w:t>
      </w:r>
      <w:r w:rsidR="00206046">
        <w:t>pay.gov</w:t>
      </w:r>
      <w:r>
        <w:t xml:space="preserve"> are derived from the unit-by-unit basis calculations performed by the owner and/or management agent.  The owner/management agent must be able to provide ancillary information to support the calculations on a unit-by-unit basis to HUD, upon request, for possible HUD or GAO audit.  HUD monitors owner submission requirements and checks to assure that required excess rents are remitted to the Department and/or retained by the owner.</w:t>
      </w:r>
    </w:p>
    <w:p w:rsidR="009E4161" w:rsidRDefault="009E4161">
      <w:pPr>
        <w:tabs>
          <w:tab w:val="left" w:pos="360"/>
        </w:tabs>
        <w:ind w:left="360" w:hanging="360"/>
      </w:pPr>
    </w:p>
    <w:p w:rsidR="009E4161" w:rsidRDefault="009E4161">
      <w:pPr>
        <w:tabs>
          <w:tab w:val="left" w:pos="360"/>
        </w:tabs>
        <w:ind w:left="360"/>
      </w:pPr>
      <w:r>
        <w:t xml:space="preserve">Approximately </w:t>
      </w:r>
      <w:r w:rsidR="00EA0933">
        <w:t>1</w:t>
      </w:r>
      <w:r w:rsidR="00206046">
        <w:t>,</w:t>
      </w:r>
      <w:r w:rsidR="00EA0933">
        <w:t>606</w:t>
      </w:r>
      <w:r>
        <w:t xml:space="preserve"> owners </w:t>
      </w:r>
      <w:r w:rsidR="00495893">
        <w:t xml:space="preserve">of Section 236 projects may be </w:t>
      </w:r>
      <w:r>
        <w:t>authorized to retain Excess Income for project use</w:t>
      </w:r>
      <w:r w:rsidR="00495893">
        <w:t>.  These offices</w:t>
      </w:r>
      <w:r>
        <w:t xml:space="preserve"> provide to the local HUD Office, on </w:t>
      </w:r>
      <w:r w:rsidR="00495893">
        <w:t>a monthly</w:t>
      </w:r>
      <w:r>
        <w:t xml:space="preserve"> basis,</w:t>
      </w:r>
      <w:r w:rsidR="00495893">
        <w:t xml:space="preserve"> proof of payment or evidence of amounts retained, through pay.gov.</w:t>
      </w:r>
      <w:r>
        <w:t xml:space="preserve">  Without the </w:t>
      </w:r>
      <w:r w:rsidR="00495893">
        <w:t xml:space="preserve">monthly and </w:t>
      </w:r>
      <w:r>
        <w:t>annual descriptions, the local HUD Offices would not be able to ascertain general compliance by the owner regarding the owner’s intended uses of Excess Income.</w:t>
      </w:r>
    </w:p>
    <w:p w:rsidR="009E4161" w:rsidRDefault="009E4161">
      <w:pPr>
        <w:tabs>
          <w:tab w:val="left" w:pos="360"/>
        </w:tabs>
        <w:ind w:left="360" w:hanging="360"/>
      </w:pPr>
    </w:p>
    <w:p w:rsidR="009E4161" w:rsidRDefault="009E4161">
      <w:pPr>
        <w:tabs>
          <w:tab w:val="left" w:pos="360"/>
        </w:tabs>
        <w:ind w:left="360"/>
      </w:pPr>
      <w:r>
        <w:t xml:space="preserve">Annually, </w:t>
      </w:r>
      <w:r w:rsidR="001D7015">
        <w:t>approximately</w:t>
      </w:r>
      <w:r>
        <w:t xml:space="preserve"> </w:t>
      </w:r>
      <w:r w:rsidR="001D7015">
        <w:t>900</w:t>
      </w:r>
      <w:r>
        <w:t xml:space="preserve"> project owners submit a request to retain excess income for project use</w:t>
      </w:r>
      <w:r w:rsidR="00495893">
        <w:t>, and annually submit</w:t>
      </w:r>
      <w:r w:rsidR="00495893" w:rsidRPr="00495893">
        <w:t xml:space="preserve"> </w:t>
      </w:r>
      <w:r w:rsidR="00495893">
        <w:t>two copies of a brief narrative description of the amount of Excess Income retained during the prior Fiscal Year of the project and the uses made of that retained Excess Income</w:t>
      </w:r>
      <w:r>
        <w:t xml:space="preserve">.    </w:t>
      </w:r>
    </w:p>
    <w:p w:rsidR="009E4161" w:rsidRDefault="009E4161">
      <w:pPr>
        <w:tabs>
          <w:tab w:val="left" w:pos="360"/>
        </w:tabs>
        <w:ind w:left="360" w:hanging="360"/>
      </w:pPr>
    </w:p>
    <w:p w:rsidR="009E4161" w:rsidRDefault="009E4161">
      <w:pPr>
        <w:numPr>
          <w:ilvl w:val="0"/>
          <w:numId w:val="27"/>
        </w:numPr>
      </w:pPr>
      <w:r>
        <w:t xml:space="preserve">Approximately </w:t>
      </w:r>
      <w:r w:rsidR="00206046">
        <w:t>8</w:t>
      </w:r>
      <w:r>
        <w:t xml:space="preserve">0% of management agents now use privately developed software packages that: </w:t>
      </w:r>
    </w:p>
    <w:p w:rsidR="009E4161" w:rsidRDefault="009E4161">
      <w:pPr>
        <w:pStyle w:val="BodyTextIndent2"/>
        <w:ind w:left="1200"/>
        <w:rPr>
          <w:rFonts w:ascii="Times New Roman" w:hAnsi="Times New Roman"/>
        </w:rPr>
      </w:pPr>
      <w:r>
        <w:rPr>
          <w:rFonts w:ascii="Times New Roman" w:hAnsi="Times New Roman"/>
        </w:rPr>
        <w:t>(a)</w:t>
      </w:r>
      <w:r>
        <w:rPr>
          <w:rFonts w:ascii="Times New Roman" w:hAnsi="Times New Roman"/>
        </w:rPr>
        <w:tab/>
        <w:t xml:space="preserve">Automate the project rent roll or the tenant accounts receivable subsidiary ledger, </w:t>
      </w:r>
    </w:p>
    <w:p w:rsidR="009E4161" w:rsidRDefault="009E4161">
      <w:pPr>
        <w:pStyle w:val="BodyTextIndent2"/>
        <w:numPr>
          <w:ilvl w:val="0"/>
          <w:numId w:val="26"/>
        </w:numPr>
        <w:rPr>
          <w:rFonts w:ascii="Times New Roman" w:hAnsi="Times New Roman"/>
        </w:rPr>
      </w:pPr>
      <w:r>
        <w:rPr>
          <w:rFonts w:ascii="Times New Roman" w:hAnsi="Times New Roman"/>
        </w:rPr>
        <w:t xml:space="preserve">Quickly calculate the amounts </w:t>
      </w:r>
      <w:r w:rsidR="00EA0933">
        <w:rPr>
          <w:rFonts w:ascii="Times New Roman" w:hAnsi="Times New Roman"/>
        </w:rPr>
        <w:t>of Excess Income generated.</w:t>
      </w:r>
    </w:p>
    <w:p w:rsidR="009E4161" w:rsidRDefault="009E4161">
      <w:pPr>
        <w:tabs>
          <w:tab w:val="left" w:pos="360"/>
        </w:tabs>
        <w:ind w:left="360" w:hanging="360"/>
      </w:pPr>
    </w:p>
    <w:p w:rsidR="009E4161" w:rsidRDefault="009E4161">
      <w:pPr>
        <w:pStyle w:val="BodyTextIndent"/>
        <w:overflowPunct/>
        <w:autoSpaceDE/>
        <w:autoSpaceDN/>
        <w:adjustRightInd/>
        <w:textAlignment w:val="auto"/>
        <w:rPr>
          <w:rFonts w:ascii="Times New Roman" w:hAnsi="Times New Roman"/>
          <w:szCs w:val="24"/>
        </w:rPr>
      </w:pPr>
      <w:r>
        <w:rPr>
          <w:rFonts w:ascii="Times New Roman" w:hAnsi="Times New Roman"/>
          <w:szCs w:val="24"/>
        </w:rPr>
        <w:tab/>
        <w:t xml:space="preserve">HUD </w:t>
      </w:r>
      <w:r w:rsidR="00EA0933">
        <w:rPr>
          <w:rFonts w:ascii="Times New Roman" w:hAnsi="Times New Roman"/>
          <w:szCs w:val="24"/>
        </w:rPr>
        <w:t>has</w:t>
      </w:r>
      <w:r>
        <w:rPr>
          <w:rFonts w:ascii="Times New Roman" w:hAnsi="Times New Roman"/>
          <w:szCs w:val="24"/>
        </w:rPr>
        <w:t xml:space="preserve"> mov</w:t>
      </w:r>
      <w:r w:rsidR="00EA0933">
        <w:rPr>
          <w:rFonts w:ascii="Times New Roman" w:hAnsi="Times New Roman"/>
          <w:szCs w:val="24"/>
        </w:rPr>
        <w:t>ed</w:t>
      </w:r>
      <w:r>
        <w:rPr>
          <w:rFonts w:ascii="Times New Roman" w:hAnsi="Times New Roman"/>
          <w:szCs w:val="24"/>
        </w:rPr>
        <w:t xml:space="preserve"> Departmental Accounts Receivable Tracking/Collection </w:t>
      </w:r>
      <w:r w:rsidR="00EA0933">
        <w:rPr>
          <w:rFonts w:ascii="Times New Roman" w:hAnsi="Times New Roman"/>
          <w:szCs w:val="24"/>
        </w:rPr>
        <w:t>to pay.gov</w:t>
      </w:r>
      <w:r>
        <w:rPr>
          <w:rFonts w:ascii="Times New Roman" w:hAnsi="Times New Roman"/>
          <w:szCs w:val="24"/>
        </w:rPr>
        <w:t>.  HUD is submit</w:t>
      </w:r>
      <w:r w:rsidR="00EA0933">
        <w:rPr>
          <w:rFonts w:ascii="Times New Roman" w:hAnsi="Times New Roman"/>
          <w:szCs w:val="24"/>
        </w:rPr>
        <w:t>ting</w:t>
      </w:r>
      <w:r>
        <w:rPr>
          <w:rFonts w:ascii="Times New Roman" w:hAnsi="Times New Roman"/>
          <w:szCs w:val="24"/>
        </w:rPr>
        <w:t xml:space="preserve"> the monthly Excess Income electronically</w:t>
      </w:r>
      <w:r w:rsidR="00EA0933">
        <w:rPr>
          <w:rFonts w:ascii="Times New Roman" w:hAnsi="Times New Roman"/>
          <w:szCs w:val="24"/>
        </w:rPr>
        <w:t xml:space="preserve"> through pay.gov</w:t>
      </w:r>
      <w:r>
        <w:rPr>
          <w:rFonts w:ascii="Times New Roman" w:hAnsi="Times New Roman"/>
          <w:szCs w:val="24"/>
        </w:rPr>
        <w:t xml:space="preserve">.  </w:t>
      </w:r>
    </w:p>
    <w:p w:rsidR="009E4161" w:rsidRDefault="009E4161">
      <w:pPr>
        <w:tabs>
          <w:tab w:val="left" w:pos="360"/>
        </w:tabs>
        <w:ind w:left="360" w:hanging="360"/>
      </w:pPr>
      <w:r>
        <w:t xml:space="preserve"> </w:t>
      </w:r>
    </w:p>
    <w:p w:rsidR="009E4161" w:rsidRDefault="009E4161">
      <w:pPr>
        <w:numPr>
          <w:ilvl w:val="0"/>
          <w:numId w:val="27"/>
        </w:numPr>
      </w:pPr>
      <w:r>
        <w:t>The information collection</w:t>
      </w:r>
      <w:r>
        <w:rPr>
          <w:color w:val="0000FF"/>
        </w:rPr>
        <w:t xml:space="preserve"> </w:t>
      </w:r>
      <w:r>
        <w:t>is not duplicated by requirements imposed by other regulatory or State and Local governments.</w:t>
      </w:r>
    </w:p>
    <w:p w:rsidR="009E4161" w:rsidRDefault="009E4161">
      <w:pPr>
        <w:tabs>
          <w:tab w:val="left" w:pos="360"/>
        </w:tabs>
        <w:ind w:left="360" w:hanging="360"/>
      </w:pPr>
    </w:p>
    <w:p w:rsidR="009E4161" w:rsidRDefault="009E4161">
      <w:pPr>
        <w:numPr>
          <w:ilvl w:val="0"/>
          <w:numId w:val="27"/>
        </w:numPr>
      </w:pPr>
      <w:r>
        <w:t xml:space="preserve">This information collection does not involve a significant impact on small businesses or other small entities. </w:t>
      </w:r>
    </w:p>
    <w:p w:rsidR="009E4161" w:rsidRDefault="009E4161">
      <w:pPr>
        <w:tabs>
          <w:tab w:val="left" w:pos="360"/>
        </w:tabs>
        <w:ind w:left="360" w:hanging="360"/>
      </w:pPr>
    </w:p>
    <w:p w:rsidR="009E4161" w:rsidRDefault="009E4161">
      <w:pPr>
        <w:numPr>
          <w:ilvl w:val="0"/>
          <w:numId w:val="27"/>
        </w:numPr>
      </w:pPr>
      <w:r>
        <w:t>Tenant rent collection and occupancy data is the responsibility of the owner/management agent and are not available to HUD from any other sources.  The information must be available from the project books and records kept by the owner or agent.  HUD could not ensure statutory compliance if the</w:t>
      </w:r>
      <w:r>
        <w:rPr>
          <w:color w:val="0000FF"/>
        </w:rPr>
        <w:t xml:space="preserve"> </w:t>
      </w:r>
      <w:r>
        <w:t>information is not collected.</w:t>
      </w:r>
    </w:p>
    <w:p w:rsidR="009E4161" w:rsidRDefault="009E4161">
      <w:pPr>
        <w:tabs>
          <w:tab w:val="left" w:pos="360"/>
        </w:tabs>
        <w:ind w:left="360" w:hanging="360"/>
        <w:rPr>
          <w:b/>
          <w:u w:val="single"/>
        </w:rPr>
      </w:pPr>
    </w:p>
    <w:p w:rsidR="009E4161" w:rsidRDefault="009E4161">
      <w:pPr>
        <w:numPr>
          <w:ilvl w:val="0"/>
          <w:numId w:val="27"/>
        </w:numPr>
      </w:pPr>
      <w:r>
        <w:t>Both HUD regulations and the project regulatory agreement signed by the project owner require monthly submissions of Excess Income reports.  HUD would be unable to assure that all excess rents due the Department were properly remitted if information collection were conducted less frequently.</w:t>
      </w:r>
    </w:p>
    <w:p w:rsidR="009E4161" w:rsidRDefault="009E4161">
      <w:pPr>
        <w:tabs>
          <w:tab w:val="left" w:pos="360"/>
        </w:tabs>
        <w:ind w:left="360" w:hanging="360"/>
      </w:pPr>
    </w:p>
    <w:p w:rsidR="00BF68BA" w:rsidRPr="006C0B66" w:rsidRDefault="00BF68BA" w:rsidP="00BF68BA">
      <w:pPr>
        <w:numPr>
          <w:ilvl w:val="0"/>
          <w:numId w:val="27"/>
        </w:numPr>
        <w:overflowPunct w:val="0"/>
        <w:autoSpaceDE w:val="0"/>
        <w:autoSpaceDN w:val="0"/>
        <w:adjustRightInd w:val="0"/>
        <w:textAlignment w:val="baseline"/>
      </w:pPr>
      <w:r w:rsidRPr="006C0B66">
        <w:t xml:space="preserve">In accordance with 5 CFR 1320.8(d), this information collection soliciting public comments was announced in the </w:t>
      </w:r>
      <w:r w:rsidRPr="006C0B66">
        <w:rPr>
          <w:i/>
          <w:iCs/>
        </w:rPr>
        <w:t>Federal Register</w:t>
      </w:r>
      <w:r w:rsidRPr="006C0B66">
        <w:t xml:space="preserve"> on Wednesday, February 10, 2010 </w:t>
      </w:r>
      <w:r>
        <w:t xml:space="preserve">(Volume 75, Number 27, Page 6685). No </w:t>
      </w:r>
      <w:r w:rsidRPr="006C0B66">
        <w:t>comments were received.</w:t>
      </w:r>
    </w:p>
    <w:p w:rsidR="00BF68BA" w:rsidRDefault="00BF68BA" w:rsidP="00BF68BA">
      <w:pPr>
        <w:ind w:left="360"/>
      </w:pPr>
    </w:p>
    <w:p w:rsidR="009E4161" w:rsidRDefault="007105F9" w:rsidP="00BF68BA">
      <w:pPr>
        <w:ind w:left="360"/>
      </w:pPr>
      <w:r>
        <w:t xml:space="preserve">HUD contacted several Program Centers and management companies for direct feedback on use of the web-based format for reporting excess income.  Patricia Russie of HUD’s Detroit hub responded that owner/agents have provided proof to us that they submitted information via pay.gov, but this information did not get relayed to the CFO’s office.  This appears to be a case of misunderstanding of data confirmation </w:t>
      </w:r>
      <w:r w:rsidR="00EF1ED3">
        <w:t xml:space="preserve">procedures at pay.gov.  The Headquarters office will investigate the case further.  </w:t>
      </w:r>
      <w:r w:rsidR="00C233C8">
        <w:t>Two management companies were contacted, Bob Sampson at Interstate Realty Management and John Autry at Monarch Properties Inc.  Neither expressed conc</w:t>
      </w:r>
      <w:r w:rsidR="00BF68BA">
        <w:t>erns with the current process.</w:t>
      </w:r>
      <w:r w:rsidR="009E4161">
        <w:t xml:space="preserve"> </w:t>
      </w:r>
    </w:p>
    <w:p w:rsidR="009E4161" w:rsidRDefault="009E4161">
      <w:pPr>
        <w:ind w:left="360"/>
      </w:pPr>
    </w:p>
    <w:p w:rsidR="009E4161" w:rsidRDefault="009E4161">
      <w:pPr>
        <w:pStyle w:val="BodyTextIndent"/>
        <w:numPr>
          <w:ilvl w:val="0"/>
          <w:numId w:val="27"/>
        </w:numPr>
        <w:tabs>
          <w:tab w:val="left" w:pos="2070"/>
        </w:tabs>
        <w:overflowPunct/>
        <w:autoSpaceDE/>
        <w:autoSpaceDN/>
        <w:adjustRightInd/>
        <w:textAlignment w:val="auto"/>
        <w:rPr>
          <w:rFonts w:ascii="Times New Roman" w:hAnsi="Times New Roman"/>
          <w:szCs w:val="24"/>
        </w:rPr>
      </w:pPr>
      <w:r>
        <w:rPr>
          <w:rFonts w:ascii="Times New Roman" w:hAnsi="Times New Roman"/>
          <w:szCs w:val="24"/>
        </w:rPr>
        <w:t xml:space="preserve">No payments or gifts of any kind are provided to respondents. </w:t>
      </w:r>
    </w:p>
    <w:p w:rsidR="009E4161" w:rsidRDefault="009E4161">
      <w:pPr>
        <w:tabs>
          <w:tab w:val="left" w:pos="360"/>
          <w:tab w:val="left" w:pos="2070"/>
        </w:tabs>
        <w:ind w:left="360" w:hanging="360"/>
      </w:pPr>
    </w:p>
    <w:p w:rsidR="009E4161" w:rsidRDefault="009E4161">
      <w:pPr>
        <w:numPr>
          <w:ilvl w:val="0"/>
          <w:numId w:val="27"/>
        </w:numPr>
        <w:tabs>
          <w:tab w:val="left" w:pos="2070"/>
        </w:tabs>
      </w:pPr>
      <w:r>
        <w:t xml:space="preserve">Assurance of confidentiality is provided to respondents under the Privacy Act of 1974.  </w:t>
      </w:r>
      <w:r w:rsidR="00C233C8">
        <w:t>Pay.gov is a secure website requiring identification and passwords to access individual data.</w:t>
      </w:r>
    </w:p>
    <w:p w:rsidR="009E4161" w:rsidRDefault="009E4161">
      <w:pPr>
        <w:tabs>
          <w:tab w:val="left" w:pos="360"/>
          <w:tab w:val="left" w:pos="2070"/>
        </w:tabs>
        <w:ind w:left="360" w:hanging="360"/>
      </w:pPr>
    </w:p>
    <w:p w:rsidR="009E4161" w:rsidRDefault="009E4161">
      <w:pPr>
        <w:numPr>
          <w:ilvl w:val="0"/>
          <w:numId w:val="27"/>
        </w:numPr>
        <w:rPr>
          <w:b/>
          <w:u w:val="single"/>
        </w:rPr>
      </w:pPr>
      <w:r>
        <w:t xml:space="preserve">Although no questions of a sensitive nature were asked, the EIN is collected.  The collection of EINs is essential to the effective monitoring of project owners/management agents excess income remittances and potential offsets, and </w:t>
      </w:r>
      <w:r w:rsidR="00EA0933">
        <w:t xml:space="preserve">form </w:t>
      </w:r>
      <w:r>
        <w:t>recovery and enforcement actions.</w:t>
      </w:r>
    </w:p>
    <w:p w:rsidR="009E4161" w:rsidRDefault="009E4161">
      <w:pPr>
        <w:rPr>
          <w:b/>
          <w:u w:val="single"/>
        </w:rPr>
      </w:pPr>
    </w:p>
    <w:p w:rsidR="009E4161" w:rsidRDefault="009E4161">
      <w:pPr>
        <w:pStyle w:val="BodyTextIndent3"/>
        <w:numPr>
          <w:ilvl w:val="0"/>
          <w:numId w:val="27"/>
        </w:numPr>
        <w:overflowPunct/>
        <w:autoSpaceDE/>
        <w:autoSpaceDN/>
        <w:adjustRightInd/>
        <w:textAlignment w:val="auto"/>
        <w:rPr>
          <w:rFonts w:ascii="Times New Roman" w:hAnsi="Times New Roman"/>
          <w:bCs/>
          <w:szCs w:val="24"/>
        </w:rPr>
      </w:pPr>
      <w:r>
        <w:rPr>
          <w:rFonts w:ascii="Times New Roman" w:hAnsi="Times New Roman"/>
          <w:bCs/>
          <w:szCs w:val="24"/>
        </w:rPr>
        <w:t>Estimates of the hour burden of the collection of information.</w:t>
      </w:r>
    </w:p>
    <w:p w:rsidR="009E4161" w:rsidRDefault="009E4161">
      <w:pPr>
        <w:ind w:right="-840"/>
        <w:rPr>
          <w:bCs/>
        </w:rPr>
      </w:pPr>
    </w:p>
    <w:tbl>
      <w:tblPr>
        <w:tblW w:w="9693" w:type="dxa"/>
        <w:tblInd w:w="93" w:type="dxa"/>
        <w:tblLook w:val="04A0"/>
      </w:tblPr>
      <w:tblGrid>
        <w:gridCol w:w="1313"/>
        <w:gridCol w:w="1409"/>
        <w:gridCol w:w="1280"/>
        <w:gridCol w:w="1180"/>
        <w:gridCol w:w="1111"/>
        <w:gridCol w:w="1012"/>
        <w:gridCol w:w="1080"/>
        <w:gridCol w:w="1308"/>
      </w:tblGrid>
      <w:tr w:rsidR="00CF31C5" w:rsidRPr="00CF31C5" w:rsidTr="00F97D3F">
        <w:trPr>
          <w:trHeight w:val="300"/>
        </w:trPr>
        <w:tc>
          <w:tcPr>
            <w:tcW w:w="1313"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8380" w:type="dxa"/>
            <w:gridSpan w:val="7"/>
            <w:tcBorders>
              <w:top w:val="nil"/>
              <w:left w:val="nil"/>
              <w:bottom w:val="nil"/>
              <w:right w:val="nil"/>
            </w:tcBorders>
            <w:shd w:val="clear" w:color="auto" w:fill="auto"/>
            <w:noWrap/>
            <w:vAlign w:val="bottom"/>
            <w:hideMark/>
          </w:tcPr>
          <w:p w:rsidR="00CF31C5" w:rsidRPr="00CF31C5" w:rsidRDefault="00CF31C5" w:rsidP="00F97D3F">
            <w:pPr>
              <w:jc w:val="center"/>
              <w:rPr>
                <w:rFonts w:ascii="Calibri" w:hAnsi="Calibri"/>
                <w:b/>
                <w:bCs/>
                <w:color w:val="000000"/>
                <w:sz w:val="22"/>
                <w:szCs w:val="22"/>
              </w:rPr>
            </w:pPr>
            <w:r w:rsidRPr="00CF31C5">
              <w:rPr>
                <w:rFonts w:ascii="Calibri" w:hAnsi="Calibri"/>
                <w:b/>
                <w:bCs/>
                <w:color w:val="000000"/>
                <w:sz w:val="22"/>
                <w:szCs w:val="22"/>
              </w:rPr>
              <w:t xml:space="preserve">Estimates of the Hour </w:t>
            </w:r>
            <w:r w:rsidR="00F97D3F">
              <w:rPr>
                <w:rFonts w:ascii="Calibri" w:hAnsi="Calibri"/>
                <w:b/>
                <w:bCs/>
                <w:color w:val="000000"/>
                <w:sz w:val="22"/>
                <w:szCs w:val="22"/>
              </w:rPr>
              <w:t>B</w:t>
            </w:r>
            <w:r w:rsidRPr="00CF31C5">
              <w:rPr>
                <w:rFonts w:ascii="Calibri" w:hAnsi="Calibri"/>
                <w:b/>
                <w:bCs/>
                <w:color w:val="000000"/>
                <w:sz w:val="22"/>
                <w:szCs w:val="22"/>
              </w:rPr>
              <w:t>urden of the Collection of Information</w:t>
            </w:r>
          </w:p>
        </w:tc>
      </w:tr>
      <w:tr w:rsidR="00CF31C5" w:rsidRPr="00CF31C5" w:rsidTr="00F97D3F">
        <w:trPr>
          <w:trHeight w:val="139"/>
        </w:trPr>
        <w:tc>
          <w:tcPr>
            <w:tcW w:w="1313"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1409"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1111"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1012"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c>
          <w:tcPr>
            <w:tcW w:w="1308" w:type="dxa"/>
            <w:tcBorders>
              <w:top w:val="nil"/>
              <w:left w:val="nil"/>
              <w:bottom w:val="nil"/>
              <w:right w:val="nil"/>
            </w:tcBorders>
            <w:shd w:val="clear" w:color="auto" w:fill="auto"/>
            <w:noWrap/>
            <w:vAlign w:val="bottom"/>
            <w:hideMark/>
          </w:tcPr>
          <w:p w:rsidR="00CF31C5" w:rsidRPr="00CF31C5" w:rsidRDefault="00CF31C5" w:rsidP="00CF31C5">
            <w:pPr>
              <w:rPr>
                <w:rFonts w:ascii="Calibri" w:hAnsi="Calibri"/>
                <w:color w:val="000000"/>
                <w:sz w:val="22"/>
                <w:szCs w:val="22"/>
              </w:rPr>
            </w:pPr>
          </w:p>
        </w:tc>
      </w:tr>
      <w:tr w:rsidR="00CF31C5" w:rsidRPr="00CF31C5" w:rsidTr="00F97D3F">
        <w:trPr>
          <w:trHeight w:val="900"/>
        </w:trPr>
        <w:tc>
          <w:tcPr>
            <w:tcW w:w="1313" w:type="dxa"/>
            <w:tcBorders>
              <w:top w:val="single" w:sz="4" w:space="0" w:color="auto"/>
              <w:left w:val="single" w:sz="4" w:space="0" w:color="auto"/>
              <w:bottom w:val="single" w:sz="4" w:space="0" w:color="auto"/>
              <w:right w:val="single" w:sz="4" w:space="0" w:color="auto"/>
            </w:tcBorders>
            <w:shd w:val="clear" w:color="auto" w:fill="auto"/>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Information </w:t>
            </w:r>
            <w:r w:rsidRPr="00CF31C5">
              <w:rPr>
                <w:rFonts w:ascii="Calibri" w:hAnsi="Calibri"/>
                <w:b/>
                <w:bCs/>
                <w:color w:val="000000"/>
                <w:sz w:val="22"/>
                <w:szCs w:val="22"/>
              </w:rPr>
              <w:br/>
              <w:t>Collection</w:t>
            </w:r>
          </w:p>
        </w:tc>
        <w:tc>
          <w:tcPr>
            <w:tcW w:w="1409" w:type="dxa"/>
            <w:tcBorders>
              <w:top w:val="single" w:sz="4" w:space="0" w:color="auto"/>
              <w:left w:val="nil"/>
              <w:bottom w:val="single" w:sz="4" w:space="0" w:color="auto"/>
              <w:right w:val="single" w:sz="4" w:space="0" w:color="auto"/>
            </w:tcBorders>
            <w:shd w:val="clear" w:color="auto" w:fill="auto"/>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Number of </w:t>
            </w:r>
            <w:r w:rsidRPr="00CF31C5">
              <w:rPr>
                <w:rFonts w:ascii="Calibri" w:hAnsi="Calibri"/>
                <w:b/>
                <w:bCs/>
                <w:color w:val="000000"/>
                <w:sz w:val="22"/>
                <w:szCs w:val="22"/>
              </w:rPr>
              <w:br/>
              <w:t>Respondents</w:t>
            </w:r>
          </w:p>
        </w:tc>
        <w:tc>
          <w:tcPr>
            <w:tcW w:w="1280" w:type="dxa"/>
            <w:tcBorders>
              <w:top w:val="single" w:sz="4" w:space="0" w:color="auto"/>
              <w:left w:val="nil"/>
              <w:bottom w:val="single" w:sz="4" w:space="0" w:color="auto"/>
              <w:right w:val="single" w:sz="4" w:space="0" w:color="auto"/>
            </w:tcBorders>
            <w:shd w:val="clear" w:color="auto" w:fill="auto"/>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Frequency </w:t>
            </w:r>
            <w:r w:rsidRPr="00CF31C5">
              <w:rPr>
                <w:rFonts w:ascii="Calibri" w:hAnsi="Calibri"/>
                <w:b/>
                <w:bCs/>
                <w:color w:val="000000"/>
                <w:sz w:val="22"/>
                <w:szCs w:val="22"/>
              </w:rPr>
              <w:br/>
              <w:t>of Response</w:t>
            </w:r>
          </w:p>
        </w:tc>
        <w:tc>
          <w:tcPr>
            <w:tcW w:w="1180" w:type="dxa"/>
            <w:tcBorders>
              <w:top w:val="single" w:sz="4" w:space="0" w:color="auto"/>
              <w:left w:val="nil"/>
              <w:bottom w:val="single" w:sz="4" w:space="0" w:color="auto"/>
              <w:right w:val="single" w:sz="4" w:space="0" w:color="auto"/>
            </w:tcBorders>
            <w:shd w:val="clear" w:color="auto" w:fill="auto"/>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Total </w:t>
            </w:r>
            <w:r w:rsidRPr="00CF31C5">
              <w:rPr>
                <w:rFonts w:ascii="Calibri" w:hAnsi="Calibri"/>
                <w:b/>
                <w:bCs/>
                <w:color w:val="000000"/>
                <w:sz w:val="22"/>
                <w:szCs w:val="22"/>
              </w:rPr>
              <w:br/>
              <w:t xml:space="preserve">Annual </w:t>
            </w:r>
            <w:r w:rsidRPr="00CF31C5">
              <w:rPr>
                <w:rFonts w:ascii="Calibri" w:hAnsi="Calibri"/>
                <w:b/>
                <w:bCs/>
                <w:color w:val="000000"/>
                <w:sz w:val="22"/>
                <w:szCs w:val="22"/>
              </w:rPr>
              <w:br/>
              <w:t>Responses</w:t>
            </w:r>
          </w:p>
        </w:tc>
        <w:tc>
          <w:tcPr>
            <w:tcW w:w="1111" w:type="dxa"/>
            <w:tcBorders>
              <w:top w:val="single" w:sz="4" w:space="0" w:color="auto"/>
              <w:left w:val="nil"/>
              <w:bottom w:val="single" w:sz="4" w:space="0" w:color="auto"/>
              <w:right w:val="single" w:sz="4" w:space="0" w:color="auto"/>
            </w:tcBorders>
            <w:shd w:val="clear" w:color="auto" w:fill="auto"/>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Burden </w:t>
            </w:r>
            <w:r w:rsidRPr="00CF31C5">
              <w:rPr>
                <w:rFonts w:ascii="Calibri" w:hAnsi="Calibri"/>
                <w:b/>
                <w:bCs/>
                <w:color w:val="000000"/>
                <w:sz w:val="22"/>
                <w:szCs w:val="22"/>
              </w:rPr>
              <w:br/>
              <w:t xml:space="preserve">Hours per </w:t>
            </w:r>
            <w:r w:rsidRPr="00CF31C5">
              <w:rPr>
                <w:rFonts w:ascii="Calibri" w:hAnsi="Calibri"/>
                <w:b/>
                <w:bCs/>
                <w:color w:val="000000"/>
                <w:sz w:val="22"/>
                <w:szCs w:val="22"/>
              </w:rPr>
              <w:br/>
              <w:t>Response</w:t>
            </w:r>
          </w:p>
        </w:tc>
        <w:tc>
          <w:tcPr>
            <w:tcW w:w="1012" w:type="dxa"/>
            <w:tcBorders>
              <w:top w:val="single" w:sz="4" w:space="0" w:color="auto"/>
              <w:left w:val="nil"/>
              <w:bottom w:val="single" w:sz="4" w:space="0" w:color="auto"/>
              <w:right w:val="single" w:sz="4" w:space="0" w:color="auto"/>
            </w:tcBorders>
            <w:shd w:val="clear" w:color="auto" w:fill="auto"/>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Annual </w:t>
            </w:r>
            <w:r w:rsidRPr="00CF31C5">
              <w:rPr>
                <w:rFonts w:ascii="Calibri" w:hAnsi="Calibri"/>
                <w:b/>
                <w:bCs/>
                <w:color w:val="000000"/>
                <w:sz w:val="22"/>
                <w:szCs w:val="22"/>
              </w:rPr>
              <w:br/>
              <w:t xml:space="preserve">Burden </w:t>
            </w:r>
            <w:r w:rsidRPr="00CF31C5">
              <w:rPr>
                <w:rFonts w:ascii="Calibri" w:hAnsi="Calibri"/>
                <w:b/>
                <w:bCs/>
                <w:color w:val="000000"/>
                <w:sz w:val="22"/>
                <w:szCs w:val="22"/>
              </w:rPr>
              <w:br/>
              <w:t>Hours</w:t>
            </w:r>
          </w:p>
        </w:tc>
        <w:tc>
          <w:tcPr>
            <w:tcW w:w="1080" w:type="dxa"/>
            <w:tcBorders>
              <w:top w:val="single" w:sz="4" w:space="0" w:color="auto"/>
              <w:left w:val="nil"/>
              <w:bottom w:val="single" w:sz="4" w:space="0" w:color="auto"/>
              <w:right w:val="single" w:sz="4" w:space="0" w:color="auto"/>
            </w:tcBorders>
            <w:shd w:val="clear" w:color="auto" w:fill="auto"/>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Hourly </w:t>
            </w:r>
            <w:r w:rsidRPr="00CF31C5">
              <w:rPr>
                <w:rFonts w:ascii="Calibri" w:hAnsi="Calibri"/>
                <w:b/>
                <w:bCs/>
                <w:color w:val="000000"/>
                <w:sz w:val="22"/>
                <w:szCs w:val="22"/>
              </w:rPr>
              <w:br/>
              <w:t>Cost</w:t>
            </w:r>
          </w:p>
        </w:tc>
        <w:tc>
          <w:tcPr>
            <w:tcW w:w="1308" w:type="dxa"/>
            <w:tcBorders>
              <w:top w:val="single" w:sz="4" w:space="0" w:color="auto"/>
              <w:left w:val="nil"/>
              <w:bottom w:val="single" w:sz="4" w:space="0" w:color="auto"/>
              <w:right w:val="single" w:sz="4" w:space="0" w:color="auto"/>
            </w:tcBorders>
            <w:shd w:val="clear" w:color="auto" w:fill="auto"/>
            <w:hideMark/>
          </w:tcPr>
          <w:p w:rsidR="00CF31C5" w:rsidRPr="00CF31C5" w:rsidRDefault="00CF31C5" w:rsidP="00CF31C5">
            <w:pPr>
              <w:jc w:val="center"/>
              <w:rPr>
                <w:rFonts w:ascii="Calibri" w:hAnsi="Calibri"/>
                <w:b/>
                <w:bCs/>
                <w:color w:val="000000"/>
                <w:sz w:val="22"/>
                <w:szCs w:val="22"/>
              </w:rPr>
            </w:pPr>
            <w:r w:rsidRPr="00CF31C5">
              <w:rPr>
                <w:rFonts w:ascii="Calibri" w:hAnsi="Calibri"/>
                <w:b/>
                <w:bCs/>
                <w:color w:val="000000"/>
                <w:sz w:val="22"/>
                <w:szCs w:val="22"/>
              </w:rPr>
              <w:t xml:space="preserve">Total Annual </w:t>
            </w:r>
            <w:r w:rsidRPr="00CF31C5">
              <w:rPr>
                <w:rFonts w:ascii="Calibri" w:hAnsi="Calibri"/>
                <w:b/>
                <w:bCs/>
                <w:color w:val="000000"/>
                <w:sz w:val="22"/>
                <w:szCs w:val="22"/>
              </w:rPr>
              <w:br/>
              <w:t>Cost</w:t>
            </w:r>
          </w:p>
        </w:tc>
      </w:tr>
      <w:tr w:rsidR="00CF31C5" w:rsidRPr="00CF31C5" w:rsidTr="00F97D3F">
        <w:trPr>
          <w:trHeight w:val="42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Pr>
                <w:rFonts w:ascii="Calibri" w:hAnsi="Calibri"/>
                <w:color w:val="000000"/>
                <w:sz w:val="22"/>
                <w:szCs w:val="22"/>
              </w:rPr>
              <w:t>Annual Report</w:t>
            </w:r>
          </w:p>
        </w:tc>
        <w:tc>
          <w:tcPr>
            <w:tcW w:w="1409"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sidRPr="00CF31C5">
              <w:rPr>
                <w:rFonts w:ascii="Calibri" w:hAnsi="Calibri"/>
                <w:color w:val="000000"/>
                <w:sz w:val="22"/>
                <w:szCs w:val="22"/>
              </w:rPr>
              <w:t xml:space="preserve">900 </w:t>
            </w:r>
          </w:p>
        </w:tc>
        <w:tc>
          <w:tcPr>
            <w:tcW w:w="1280"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sidRPr="00CF31C5">
              <w:rPr>
                <w:rFonts w:ascii="Calibri" w:hAnsi="Calibri"/>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sidRPr="00CF31C5">
              <w:rPr>
                <w:rFonts w:ascii="Calibri" w:hAnsi="Calibri"/>
                <w:color w:val="000000"/>
                <w:sz w:val="22"/>
                <w:szCs w:val="22"/>
              </w:rPr>
              <w:t xml:space="preserve">900 </w:t>
            </w:r>
          </w:p>
        </w:tc>
        <w:tc>
          <w:tcPr>
            <w:tcW w:w="1111"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sidRPr="00CF31C5">
              <w:rPr>
                <w:rFonts w:ascii="Calibri" w:hAnsi="Calibri"/>
                <w:color w:val="000000"/>
                <w:sz w:val="22"/>
                <w:szCs w:val="22"/>
              </w:rPr>
              <w:t>0.75</w:t>
            </w:r>
          </w:p>
        </w:tc>
        <w:tc>
          <w:tcPr>
            <w:tcW w:w="1012"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sidRPr="00CF31C5">
              <w:rPr>
                <w:rFonts w:ascii="Calibri" w:hAnsi="Calibri"/>
                <w:color w:val="000000"/>
                <w:sz w:val="22"/>
                <w:szCs w:val="22"/>
              </w:rPr>
              <w:t xml:space="preserve">675 </w:t>
            </w:r>
          </w:p>
        </w:tc>
        <w:tc>
          <w:tcPr>
            <w:tcW w:w="1080"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sidRPr="00CF31C5">
              <w:rPr>
                <w:rFonts w:ascii="Calibri" w:hAnsi="Calibri"/>
                <w:color w:val="000000"/>
                <w:sz w:val="22"/>
                <w:szCs w:val="22"/>
              </w:rPr>
              <w:t xml:space="preserve"> $ 22.00 </w:t>
            </w:r>
          </w:p>
        </w:tc>
        <w:tc>
          <w:tcPr>
            <w:tcW w:w="1308"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sidRPr="00CF31C5">
              <w:rPr>
                <w:rFonts w:ascii="Calibri" w:hAnsi="Calibri"/>
                <w:color w:val="000000"/>
                <w:sz w:val="22"/>
                <w:szCs w:val="22"/>
              </w:rPr>
              <w:t xml:space="preserve"> $ 14,850 </w:t>
            </w:r>
          </w:p>
        </w:tc>
      </w:tr>
      <w:tr w:rsidR="00CF31C5" w:rsidRPr="00CF31C5" w:rsidTr="00F97D3F">
        <w:trPr>
          <w:trHeight w:val="42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Pr>
                <w:rFonts w:ascii="Calibri" w:hAnsi="Calibri"/>
                <w:color w:val="000000"/>
                <w:sz w:val="22"/>
                <w:szCs w:val="22"/>
              </w:rPr>
              <w:t>Monthly Report</w:t>
            </w:r>
          </w:p>
        </w:tc>
        <w:tc>
          <w:tcPr>
            <w:tcW w:w="1409"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sidRPr="00CF31C5">
              <w:rPr>
                <w:rFonts w:ascii="Calibri" w:hAnsi="Calibri"/>
                <w:color w:val="000000"/>
                <w:sz w:val="22"/>
                <w:szCs w:val="22"/>
              </w:rPr>
              <w:t xml:space="preserve">1,606 </w:t>
            </w:r>
          </w:p>
        </w:tc>
        <w:tc>
          <w:tcPr>
            <w:tcW w:w="1280"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sidRPr="00CF31C5">
              <w:rPr>
                <w:rFonts w:ascii="Calibri" w:hAnsi="Calibri"/>
                <w:color w:val="000000"/>
                <w:sz w:val="22"/>
                <w:szCs w:val="22"/>
              </w:rPr>
              <w:t>12</w:t>
            </w:r>
          </w:p>
        </w:tc>
        <w:tc>
          <w:tcPr>
            <w:tcW w:w="1180"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sidRPr="00CF31C5">
              <w:rPr>
                <w:rFonts w:ascii="Calibri" w:hAnsi="Calibri"/>
                <w:color w:val="000000"/>
                <w:sz w:val="22"/>
                <w:szCs w:val="22"/>
              </w:rPr>
              <w:t xml:space="preserve">19,272 </w:t>
            </w:r>
          </w:p>
        </w:tc>
        <w:tc>
          <w:tcPr>
            <w:tcW w:w="1111"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sidRPr="00CF31C5">
              <w:rPr>
                <w:rFonts w:ascii="Calibri" w:hAnsi="Calibri"/>
                <w:color w:val="000000"/>
                <w:sz w:val="22"/>
                <w:szCs w:val="22"/>
              </w:rPr>
              <w:t>0.25</w:t>
            </w:r>
          </w:p>
        </w:tc>
        <w:tc>
          <w:tcPr>
            <w:tcW w:w="1012"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sidRPr="00CF31C5">
              <w:rPr>
                <w:rFonts w:ascii="Calibri" w:hAnsi="Calibri"/>
                <w:color w:val="000000"/>
                <w:sz w:val="22"/>
                <w:szCs w:val="22"/>
              </w:rPr>
              <w:t xml:space="preserve">4,818 </w:t>
            </w:r>
          </w:p>
        </w:tc>
        <w:tc>
          <w:tcPr>
            <w:tcW w:w="1080"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sidRPr="00CF31C5">
              <w:rPr>
                <w:rFonts w:ascii="Calibri" w:hAnsi="Calibri"/>
                <w:color w:val="000000"/>
                <w:sz w:val="22"/>
                <w:szCs w:val="22"/>
              </w:rPr>
              <w:t xml:space="preserve"> $ 22.00 </w:t>
            </w:r>
          </w:p>
        </w:tc>
        <w:tc>
          <w:tcPr>
            <w:tcW w:w="1308" w:type="dxa"/>
            <w:tcBorders>
              <w:top w:val="nil"/>
              <w:left w:val="nil"/>
              <w:bottom w:val="single" w:sz="4" w:space="0" w:color="auto"/>
              <w:right w:val="single" w:sz="4" w:space="0" w:color="auto"/>
            </w:tcBorders>
            <w:shd w:val="clear" w:color="auto" w:fill="auto"/>
            <w:noWrap/>
            <w:vAlign w:val="center"/>
            <w:hideMark/>
          </w:tcPr>
          <w:p w:rsidR="00CF31C5" w:rsidRPr="00CF31C5" w:rsidRDefault="00CF31C5" w:rsidP="00CF31C5">
            <w:pPr>
              <w:jc w:val="center"/>
              <w:rPr>
                <w:rFonts w:ascii="Calibri" w:hAnsi="Calibri"/>
                <w:color w:val="000000"/>
                <w:sz w:val="22"/>
                <w:szCs w:val="22"/>
              </w:rPr>
            </w:pPr>
            <w:r w:rsidRPr="00CF31C5">
              <w:rPr>
                <w:rFonts w:ascii="Calibri" w:hAnsi="Calibri"/>
                <w:color w:val="000000"/>
                <w:sz w:val="22"/>
                <w:szCs w:val="22"/>
              </w:rPr>
              <w:t xml:space="preserve"> $ 105,996 </w:t>
            </w:r>
          </w:p>
        </w:tc>
      </w:tr>
      <w:tr w:rsidR="00F97D3F" w:rsidRPr="00CF31C5" w:rsidTr="00F97D3F">
        <w:trPr>
          <w:trHeight w:val="420"/>
        </w:trPr>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7D3F" w:rsidRPr="00F97D3F" w:rsidRDefault="00F97D3F" w:rsidP="00CF31C5">
            <w:pPr>
              <w:jc w:val="center"/>
              <w:rPr>
                <w:rFonts w:ascii="Calibri" w:hAnsi="Calibri"/>
                <w:b/>
                <w:color w:val="000000"/>
                <w:sz w:val="22"/>
                <w:szCs w:val="22"/>
              </w:rPr>
            </w:pPr>
            <w:r>
              <w:rPr>
                <w:rFonts w:ascii="Calibri" w:hAnsi="Calibri"/>
                <w:b/>
                <w:color w:val="000000"/>
                <w:sz w:val="22"/>
                <w:szCs w:val="22"/>
              </w:rPr>
              <w:t>TOTAL</w:t>
            </w:r>
          </w:p>
        </w:tc>
        <w:tc>
          <w:tcPr>
            <w:tcW w:w="1409" w:type="dxa"/>
            <w:tcBorders>
              <w:top w:val="single" w:sz="4" w:space="0" w:color="auto"/>
              <w:left w:val="nil"/>
              <w:bottom w:val="single" w:sz="4" w:space="0" w:color="auto"/>
              <w:right w:val="single" w:sz="4" w:space="0" w:color="auto"/>
            </w:tcBorders>
            <w:shd w:val="clear" w:color="auto" w:fill="auto"/>
            <w:noWrap/>
            <w:vAlign w:val="center"/>
          </w:tcPr>
          <w:p w:rsidR="00F97D3F" w:rsidRPr="00CF31C5" w:rsidRDefault="00F97D3F" w:rsidP="00CF31C5">
            <w:pPr>
              <w:jc w:val="center"/>
              <w:rPr>
                <w:rFonts w:ascii="Calibri" w:hAnsi="Calibri"/>
                <w:color w:val="000000"/>
                <w:sz w:val="22"/>
                <w:szCs w:val="22"/>
              </w:rPr>
            </w:pPr>
            <w:r>
              <w:rPr>
                <w:rFonts w:ascii="Calibri" w:hAnsi="Calibri"/>
                <w:color w:val="000000"/>
                <w:sz w:val="22"/>
                <w:szCs w:val="22"/>
              </w:rPr>
              <w:t>2,506</w:t>
            </w: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F97D3F" w:rsidRPr="00CF31C5" w:rsidRDefault="00F97D3F" w:rsidP="00CF31C5">
            <w:pPr>
              <w:jc w:val="center"/>
              <w:rPr>
                <w:rFonts w:ascii="Calibri" w:hAnsi="Calibri"/>
                <w:color w:val="000000"/>
                <w:sz w:val="22"/>
                <w:szCs w:val="22"/>
              </w:rPr>
            </w:pP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F97D3F" w:rsidRPr="00CF31C5" w:rsidRDefault="00F97D3F" w:rsidP="002B378B">
            <w:pPr>
              <w:jc w:val="center"/>
              <w:rPr>
                <w:rFonts w:ascii="Calibri" w:hAnsi="Calibri"/>
                <w:color w:val="000000"/>
                <w:sz w:val="22"/>
                <w:szCs w:val="22"/>
              </w:rPr>
            </w:pPr>
            <w:r>
              <w:rPr>
                <w:rFonts w:ascii="Calibri" w:hAnsi="Calibri"/>
                <w:color w:val="000000"/>
                <w:sz w:val="22"/>
                <w:szCs w:val="22"/>
              </w:rPr>
              <w:t>2</w:t>
            </w:r>
            <w:r w:rsidR="002B378B">
              <w:rPr>
                <w:rFonts w:ascii="Calibri" w:hAnsi="Calibri"/>
                <w:color w:val="000000"/>
                <w:sz w:val="22"/>
                <w:szCs w:val="22"/>
              </w:rPr>
              <w:t>0</w:t>
            </w:r>
            <w:r>
              <w:rPr>
                <w:rFonts w:ascii="Calibri" w:hAnsi="Calibri"/>
                <w:color w:val="000000"/>
                <w:sz w:val="22"/>
                <w:szCs w:val="22"/>
              </w:rPr>
              <w:t>,</w:t>
            </w:r>
            <w:r w:rsidR="002B378B">
              <w:rPr>
                <w:rFonts w:ascii="Calibri" w:hAnsi="Calibri"/>
                <w:color w:val="000000"/>
                <w:sz w:val="22"/>
                <w:szCs w:val="22"/>
              </w:rPr>
              <w:t>1</w:t>
            </w:r>
            <w:r>
              <w:rPr>
                <w:rFonts w:ascii="Calibri" w:hAnsi="Calibri"/>
                <w:color w:val="000000"/>
                <w:sz w:val="22"/>
                <w:szCs w:val="22"/>
              </w:rPr>
              <w:t>72</w:t>
            </w: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F97D3F" w:rsidRPr="00CF31C5" w:rsidRDefault="00F97D3F" w:rsidP="00CF31C5">
            <w:pPr>
              <w:jc w:val="center"/>
              <w:rPr>
                <w:rFonts w:ascii="Calibri" w:hAnsi="Calibri"/>
                <w:color w:val="000000"/>
                <w:sz w:val="22"/>
                <w:szCs w:val="22"/>
              </w:rPr>
            </w:pPr>
          </w:p>
        </w:tc>
        <w:tc>
          <w:tcPr>
            <w:tcW w:w="1012" w:type="dxa"/>
            <w:tcBorders>
              <w:top w:val="single" w:sz="4" w:space="0" w:color="auto"/>
              <w:left w:val="nil"/>
              <w:bottom w:val="single" w:sz="4" w:space="0" w:color="auto"/>
              <w:right w:val="single" w:sz="4" w:space="0" w:color="auto"/>
            </w:tcBorders>
            <w:shd w:val="clear" w:color="auto" w:fill="auto"/>
            <w:noWrap/>
            <w:vAlign w:val="center"/>
          </w:tcPr>
          <w:p w:rsidR="00F97D3F" w:rsidRPr="00CF31C5" w:rsidRDefault="00F97D3F" w:rsidP="00CF31C5">
            <w:pPr>
              <w:jc w:val="center"/>
              <w:rPr>
                <w:rFonts w:ascii="Calibri" w:hAnsi="Calibri"/>
                <w:color w:val="000000"/>
                <w:sz w:val="22"/>
                <w:szCs w:val="22"/>
              </w:rPr>
            </w:pPr>
            <w:r>
              <w:rPr>
                <w:rFonts w:ascii="Calibri" w:hAnsi="Calibri"/>
                <w:color w:val="000000"/>
                <w:sz w:val="22"/>
                <w:szCs w:val="22"/>
              </w:rPr>
              <w:t>5,493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F97D3F" w:rsidRPr="00CF31C5" w:rsidRDefault="00F97D3F" w:rsidP="00CF31C5">
            <w:pPr>
              <w:jc w:val="center"/>
              <w:rPr>
                <w:rFonts w:ascii="Calibri" w:hAnsi="Calibri"/>
                <w:color w:val="000000"/>
                <w:sz w:val="22"/>
                <w:szCs w:val="22"/>
              </w:rPr>
            </w:pPr>
          </w:p>
        </w:tc>
        <w:tc>
          <w:tcPr>
            <w:tcW w:w="1308" w:type="dxa"/>
            <w:tcBorders>
              <w:top w:val="single" w:sz="4" w:space="0" w:color="auto"/>
              <w:left w:val="nil"/>
              <w:bottom w:val="single" w:sz="4" w:space="0" w:color="auto"/>
              <w:right w:val="single" w:sz="4" w:space="0" w:color="auto"/>
            </w:tcBorders>
            <w:shd w:val="clear" w:color="auto" w:fill="auto"/>
            <w:noWrap/>
            <w:vAlign w:val="center"/>
          </w:tcPr>
          <w:p w:rsidR="00F97D3F" w:rsidRPr="00CF31C5" w:rsidRDefault="00F97D3F" w:rsidP="00CF31C5">
            <w:pPr>
              <w:jc w:val="center"/>
              <w:rPr>
                <w:rFonts w:ascii="Calibri" w:hAnsi="Calibri"/>
                <w:color w:val="000000"/>
                <w:sz w:val="22"/>
                <w:szCs w:val="22"/>
              </w:rPr>
            </w:pPr>
            <w:r>
              <w:rPr>
                <w:rFonts w:ascii="Calibri" w:hAnsi="Calibri"/>
                <w:color w:val="000000"/>
                <w:sz w:val="22"/>
                <w:szCs w:val="22"/>
              </w:rPr>
              <w:t>$</w:t>
            </w:r>
            <w:r w:rsidR="002B378B">
              <w:rPr>
                <w:rFonts w:ascii="Calibri" w:hAnsi="Calibri"/>
                <w:color w:val="000000"/>
                <w:sz w:val="22"/>
                <w:szCs w:val="22"/>
              </w:rPr>
              <w:t xml:space="preserve"> </w:t>
            </w:r>
            <w:r>
              <w:rPr>
                <w:rFonts w:ascii="Calibri" w:hAnsi="Calibri"/>
                <w:color w:val="000000"/>
                <w:sz w:val="22"/>
                <w:szCs w:val="22"/>
              </w:rPr>
              <w:t>120,846</w:t>
            </w:r>
          </w:p>
        </w:tc>
      </w:tr>
    </w:tbl>
    <w:p w:rsidR="009E4161" w:rsidRDefault="009E4161" w:rsidP="00CA77C2">
      <w:pPr>
        <w:ind w:left="900" w:right="-840"/>
        <w:rPr>
          <w:bCs/>
          <w:sz w:val="20"/>
        </w:rPr>
      </w:pPr>
    </w:p>
    <w:p w:rsidR="00CF31C5" w:rsidRDefault="00CF31C5" w:rsidP="00CA77C2">
      <w:pPr>
        <w:ind w:left="900" w:right="-840"/>
        <w:rPr>
          <w:bCs/>
          <w:sz w:val="20"/>
        </w:rPr>
      </w:pPr>
    </w:p>
    <w:p w:rsidR="00111995" w:rsidRDefault="00111995" w:rsidP="009E4161">
      <w:pPr>
        <w:tabs>
          <w:tab w:val="left" w:pos="480"/>
        </w:tabs>
        <w:ind w:left="360"/>
      </w:pPr>
      <w:r w:rsidRPr="009E4161">
        <w:t xml:space="preserve">Hourly costs are based on an estimate of the owner or owner’s staff (Property Manager) to review the instructions and complete the form.  The hourly cost has been adjusted to $22.00 per hour based on information gathered from payscale.com.  Payscale.com is an online salary and benefit information resource </w:t>
      </w:r>
      <w:r w:rsidRPr="009E4161">
        <w:lastRenderedPageBreak/>
        <w:t>which provides compensation data for various occupations.  The hourly costs provide a good estimate for costs to the respondent as to this data, which was obtained in November 2009.</w:t>
      </w:r>
    </w:p>
    <w:p w:rsidR="00BF68BA" w:rsidRDefault="00BF68BA" w:rsidP="009E4161">
      <w:pPr>
        <w:tabs>
          <w:tab w:val="left" w:pos="480"/>
        </w:tabs>
        <w:ind w:left="360"/>
      </w:pPr>
    </w:p>
    <w:p w:rsidR="009E4161" w:rsidRDefault="009E4161">
      <w:pPr>
        <w:numPr>
          <w:ilvl w:val="0"/>
          <w:numId w:val="27"/>
        </w:numPr>
        <w:tabs>
          <w:tab w:val="left" w:pos="480"/>
        </w:tabs>
      </w:pPr>
      <w:r>
        <w:t>There are no other costs other than those in item 12.</w:t>
      </w:r>
    </w:p>
    <w:p w:rsidR="009E4161" w:rsidRDefault="009E4161">
      <w:pPr>
        <w:tabs>
          <w:tab w:val="left" w:pos="480"/>
        </w:tabs>
      </w:pPr>
    </w:p>
    <w:p w:rsidR="009E4161" w:rsidRDefault="009E4161">
      <w:pPr>
        <w:numPr>
          <w:ilvl w:val="0"/>
          <w:numId w:val="27"/>
        </w:numPr>
        <w:tabs>
          <w:tab w:val="left" w:pos="480"/>
        </w:tabs>
        <w:rPr>
          <w:bCs/>
        </w:rPr>
      </w:pPr>
      <w:r>
        <w:rPr>
          <w:bCs/>
        </w:rPr>
        <w:t>Annualized cost to the Federal Government.</w:t>
      </w:r>
    </w:p>
    <w:p w:rsidR="00B80DD5" w:rsidRDefault="00B80DD5" w:rsidP="00B80DD5">
      <w:pPr>
        <w:tabs>
          <w:tab w:val="left" w:pos="480"/>
        </w:tabs>
        <w:ind w:left="360"/>
        <w:rPr>
          <w:bCs/>
        </w:rPr>
      </w:pPr>
    </w:p>
    <w:tbl>
      <w:tblPr>
        <w:tblW w:w="6750" w:type="dxa"/>
        <w:tblInd w:w="1098" w:type="dxa"/>
        <w:tblLook w:val="04A0"/>
      </w:tblPr>
      <w:tblGrid>
        <w:gridCol w:w="1300"/>
        <w:gridCol w:w="1490"/>
        <w:gridCol w:w="1440"/>
        <w:gridCol w:w="1080"/>
        <w:gridCol w:w="1440"/>
      </w:tblGrid>
      <w:tr w:rsidR="00C674A6" w:rsidRPr="00C674A6" w:rsidTr="00C674A6">
        <w:trPr>
          <w:trHeight w:val="300"/>
        </w:trPr>
        <w:tc>
          <w:tcPr>
            <w:tcW w:w="6750" w:type="dxa"/>
            <w:gridSpan w:val="5"/>
            <w:tcBorders>
              <w:top w:val="nil"/>
              <w:left w:val="nil"/>
              <w:bottom w:val="nil"/>
              <w:right w:val="nil"/>
            </w:tcBorders>
            <w:shd w:val="clear" w:color="auto" w:fill="auto"/>
            <w:noWrap/>
            <w:vAlign w:val="bottom"/>
            <w:hideMark/>
          </w:tcPr>
          <w:p w:rsidR="00C674A6" w:rsidRPr="00C674A6" w:rsidRDefault="00C674A6" w:rsidP="00C674A6">
            <w:pPr>
              <w:jc w:val="center"/>
              <w:rPr>
                <w:rFonts w:ascii="Calibri" w:hAnsi="Calibri"/>
                <w:b/>
                <w:bCs/>
                <w:color w:val="000000"/>
                <w:sz w:val="22"/>
                <w:szCs w:val="22"/>
              </w:rPr>
            </w:pPr>
            <w:r w:rsidRPr="00C674A6">
              <w:rPr>
                <w:rFonts w:ascii="Calibri" w:hAnsi="Calibri"/>
                <w:b/>
                <w:bCs/>
                <w:color w:val="000000"/>
                <w:sz w:val="22"/>
                <w:szCs w:val="22"/>
              </w:rPr>
              <w:t>Estimates of Annualized Cost to the Federal Government</w:t>
            </w:r>
          </w:p>
        </w:tc>
      </w:tr>
      <w:tr w:rsidR="00C674A6" w:rsidRPr="00C674A6" w:rsidTr="00C674A6">
        <w:trPr>
          <w:trHeight w:val="139"/>
        </w:trPr>
        <w:tc>
          <w:tcPr>
            <w:tcW w:w="1300" w:type="dxa"/>
            <w:tcBorders>
              <w:top w:val="nil"/>
              <w:left w:val="nil"/>
              <w:bottom w:val="nil"/>
              <w:right w:val="nil"/>
            </w:tcBorders>
            <w:shd w:val="clear" w:color="auto" w:fill="auto"/>
            <w:noWrap/>
            <w:vAlign w:val="bottom"/>
            <w:hideMark/>
          </w:tcPr>
          <w:p w:rsidR="00C674A6" w:rsidRPr="00C674A6" w:rsidRDefault="00C674A6" w:rsidP="00C674A6">
            <w:pPr>
              <w:rPr>
                <w:rFonts w:ascii="Calibri" w:hAnsi="Calibri"/>
                <w:color w:val="000000"/>
                <w:sz w:val="22"/>
                <w:szCs w:val="22"/>
              </w:rPr>
            </w:pPr>
          </w:p>
        </w:tc>
        <w:tc>
          <w:tcPr>
            <w:tcW w:w="1490" w:type="dxa"/>
            <w:tcBorders>
              <w:top w:val="nil"/>
              <w:left w:val="nil"/>
              <w:bottom w:val="nil"/>
              <w:right w:val="nil"/>
            </w:tcBorders>
            <w:shd w:val="clear" w:color="auto" w:fill="auto"/>
            <w:noWrap/>
            <w:vAlign w:val="bottom"/>
            <w:hideMark/>
          </w:tcPr>
          <w:p w:rsidR="00C674A6" w:rsidRPr="00C674A6" w:rsidRDefault="00C674A6" w:rsidP="00C674A6">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C674A6" w:rsidRPr="00C674A6" w:rsidRDefault="00C674A6" w:rsidP="00C674A6">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C674A6" w:rsidRPr="00C674A6" w:rsidRDefault="00C674A6" w:rsidP="00C674A6">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C674A6" w:rsidRPr="00C674A6" w:rsidRDefault="00C674A6" w:rsidP="00C674A6">
            <w:pPr>
              <w:rPr>
                <w:rFonts w:ascii="Calibri" w:hAnsi="Calibri"/>
                <w:color w:val="000000"/>
                <w:sz w:val="22"/>
                <w:szCs w:val="22"/>
              </w:rPr>
            </w:pPr>
          </w:p>
        </w:tc>
      </w:tr>
      <w:tr w:rsidR="00C674A6" w:rsidRPr="00C674A6" w:rsidTr="00C674A6">
        <w:trPr>
          <w:trHeight w:val="900"/>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rsidR="00C674A6" w:rsidRPr="00C674A6" w:rsidRDefault="00C674A6" w:rsidP="00C674A6">
            <w:pPr>
              <w:jc w:val="center"/>
              <w:rPr>
                <w:rFonts w:ascii="Calibri" w:hAnsi="Calibri"/>
                <w:b/>
                <w:bCs/>
                <w:color w:val="000000"/>
                <w:sz w:val="22"/>
                <w:szCs w:val="22"/>
              </w:rPr>
            </w:pPr>
            <w:r w:rsidRPr="00C674A6">
              <w:rPr>
                <w:rFonts w:ascii="Calibri" w:hAnsi="Calibri"/>
                <w:b/>
                <w:bCs/>
                <w:color w:val="000000"/>
                <w:sz w:val="22"/>
                <w:szCs w:val="22"/>
              </w:rPr>
              <w:t>Total Annual</w:t>
            </w:r>
            <w:r w:rsidRPr="00C674A6">
              <w:rPr>
                <w:rFonts w:ascii="Calibri" w:hAnsi="Calibri"/>
                <w:b/>
                <w:bCs/>
                <w:color w:val="000000"/>
                <w:sz w:val="22"/>
                <w:szCs w:val="22"/>
              </w:rPr>
              <w:br/>
              <w:t>Responses</w:t>
            </w:r>
          </w:p>
        </w:tc>
        <w:tc>
          <w:tcPr>
            <w:tcW w:w="1490" w:type="dxa"/>
            <w:tcBorders>
              <w:top w:val="single" w:sz="4" w:space="0" w:color="auto"/>
              <w:left w:val="nil"/>
              <w:bottom w:val="single" w:sz="4" w:space="0" w:color="auto"/>
              <w:right w:val="single" w:sz="4" w:space="0" w:color="auto"/>
            </w:tcBorders>
            <w:shd w:val="clear" w:color="auto" w:fill="auto"/>
            <w:hideMark/>
          </w:tcPr>
          <w:p w:rsidR="00C674A6" w:rsidRPr="00C674A6" w:rsidRDefault="00C674A6" w:rsidP="00C674A6">
            <w:pPr>
              <w:jc w:val="center"/>
              <w:rPr>
                <w:rFonts w:ascii="Calibri" w:hAnsi="Calibri"/>
                <w:b/>
                <w:bCs/>
                <w:color w:val="000000"/>
                <w:sz w:val="22"/>
                <w:szCs w:val="22"/>
              </w:rPr>
            </w:pPr>
            <w:r w:rsidRPr="00C674A6">
              <w:rPr>
                <w:rFonts w:ascii="Calibri" w:hAnsi="Calibri"/>
                <w:b/>
                <w:bCs/>
                <w:color w:val="000000"/>
                <w:sz w:val="22"/>
                <w:szCs w:val="22"/>
              </w:rPr>
              <w:t>Burden Hours</w:t>
            </w:r>
            <w:r w:rsidRPr="00C674A6">
              <w:rPr>
                <w:rFonts w:ascii="Calibri" w:hAnsi="Calibri"/>
                <w:b/>
                <w:bCs/>
                <w:color w:val="000000"/>
                <w:sz w:val="22"/>
                <w:szCs w:val="22"/>
              </w:rPr>
              <w:br/>
              <w:t>per Response</w:t>
            </w:r>
          </w:p>
        </w:tc>
        <w:tc>
          <w:tcPr>
            <w:tcW w:w="1440" w:type="dxa"/>
            <w:tcBorders>
              <w:top w:val="single" w:sz="4" w:space="0" w:color="auto"/>
              <w:left w:val="nil"/>
              <w:bottom w:val="single" w:sz="4" w:space="0" w:color="auto"/>
              <w:right w:val="single" w:sz="4" w:space="0" w:color="auto"/>
            </w:tcBorders>
            <w:shd w:val="clear" w:color="auto" w:fill="auto"/>
            <w:hideMark/>
          </w:tcPr>
          <w:p w:rsidR="00C674A6" w:rsidRPr="00C674A6" w:rsidRDefault="00C674A6" w:rsidP="00C674A6">
            <w:pPr>
              <w:jc w:val="center"/>
              <w:rPr>
                <w:rFonts w:ascii="Calibri" w:hAnsi="Calibri"/>
                <w:b/>
                <w:bCs/>
                <w:color w:val="000000"/>
                <w:sz w:val="22"/>
                <w:szCs w:val="22"/>
              </w:rPr>
            </w:pPr>
            <w:r w:rsidRPr="00C674A6">
              <w:rPr>
                <w:rFonts w:ascii="Calibri" w:hAnsi="Calibri"/>
                <w:b/>
                <w:bCs/>
                <w:color w:val="000000"/>
                <w:sz w:val="22"/>
                <w:szCs w:val="22"/>
              </w:rPr>
              <w:t>Total Annual</w:t>
            </w:r>
            <w:r w:rsidRPr="00C674A6">
              <w:rPr>
                <w:rFonts w:ascii="Calibri" w:hAnsi="Calibri"/>
                <w:b/>
                <w:bCs/>
                <w:color w:val="000000"/>
                <w:sz w:val="22"/>
                <w:szCs w:val="22"/>
              </w:rPr>
              <w:br/>
              <w:t>Burden Hours</w:t>
            </w:r>
          </w:p>
        </w:tc>
        <w:tc>
          <w:tcPr>
            <w:tcW w:w="1080" w:type="dxa"/>
            <w:tcBorders>
              <w:top w:val="single" w:sz="4" w:space="0" w:color="auto"/>
              <w:left w:val="nil"/>
              <w:bottom w:val="single" w:sz="4" w:space="0" w:color="auto"/>
              <w:right w:val="single" w:sz="4" w:space="0" w:color="auto"/>
            </w:tcBorders>
            <w:shd w:val="clear" w:color="auto" w:fill="auto"/>
            <w:hideMark/>
          </w:tcPr>
          <w:p w:rsidR="00C674A6" w:rsidRPr="00C674A6" w:rsidRDefault="00C674A6" w:rsidP="00C674A6">
            <w:pPr>
              <w:jc w:val="center"/>
              <w:rPr>
                <w:rFonts w:ascii="Calibri" w:hAnsi="Calibri"/>
                <w:b/>
                <w:bCs/>
                <w:color w:val="000000"/>
                <w:sz w:val="22"/>
                <w:szCs w:val="22"/>
              </w:rPr>
            </w:pPr>
            <w:r w:rsidRPr="00C674A6">
              <w:rPr>
                <w:rFonts w:ascii="Calibri" w:hAnsi="Calibri"/>
                <w:b/>
                <w:bCs/>
                <w:color w:val="000000"/>
                <w:sz w:val="22"/>
                <w:szCs w:val="22"/>
              </w:rPr>
              <w:t xml:space="preserve">Hourly </w:t>
            </w:r>
            <w:r w:rsidRPr="00C674A6">
              <w:rPr>
                <w:rFonts w:ascii="Calibri" w:hAnsi="Calibri"/>
                <w:b/>
                <w:bCs/>
                <w:color w:val="000000"/>
                <w:sz w:val="22"/>
                <w:szCs w:val="22"/>
              </w:rPr>
              <w:br/>
              <w:t>Cost</w:t>
            </w:r>
          </w:p>
        </w:tc>
        <w:tc>
          <w:tcPr>
            <w:tcW w:w="1440" w:type="dxa"/>
            <w:tcBorders>
              <w:top w:val="single" w:sz="4" w:space="0" w:color="auto"/>
              <w:left w:val="nil"/>
              <w:bottom w:val="single" w:sz="4" w:space="0" w:color="auto"/>
              <w:right w:val="single" w:sz="4" w:space="0" w:color="auto"/>
            </w:tcBorders>
            <w:shd w:val="clear" w:color="auto" w:fill="auto"/>
            <w:hideMark/>
          </w:tcPr>
          <w:p w:rsidR="00C674A6" w:rsidRPr="00C674A6" w:rsidRDefault="00C674A6" w:rsidP="00C674A6">
            <w:pPr>
              <w:jc w:val="center"/>
              <w:rPr>
                <w:rFonts w:ascii="Calibri" w:hAnsi="Calibri"/>
                <w:b/>
                <w:bCs/>
                <w:color w:val="000000"/>
                <w:sz w:val="22"/>
                <w:szCs w:val="22"/>
              </w:rPr>
            </w:pPr>
            <w:r w:rsidRPr="00C674A6">
              <w:rPr>
                <w:rFonts w:ascii="Calibri" w:hAnsi="Calibri"/>
                <w:b/>
                <w:bCs/>
                <w:color w:val="000000"/>
                <w:sz w:val="22"/>
                <w:szCs w:val="22"/>
              </w:rPr>
              <w:t>Total Annual</w:t>
            </w:r>
            <w:r w:rsidRPr="00C674A6">
              <w:rPr>
                <w:rFonts w:ascii="Calibri" w:hAnsi="Calibri"/>
                <w:b/>
                <w:bCs/>
                <w:color w:val="000000"/>
                <w:sz w:val="22"/>
                <w:szCs w:val="22"/>
              </w:rPr>
              <w:br/>
              <w:t>Cost</w:t>
            </w:r>
          </w:p>
        </w:tc>
      </w:tr>
      <w:tr w:rsidR="00984F31" w:rsidRPr="00C674A6" w:rsidTr="00C674A6">
        <w:trPr>
          <w:trHeight w:val="4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984F31" w:rsidRPr="00C674A6" w:rsidRDefault="00984F31" w:rsidP="00C674A6">
            <w:pPr>
              <w:jc w:val="center"/>
              <w:rPr>
                <w:rFonts w:ascii="Calibri" w:hAnsi="Calibri"/>
                <w:color w:val="000000"/>
                <w:sz w:val="22"/>
                <w:szCs w:val="22"/>
              </w:rPr>
            </w:pPr>
            <w:r>
              <w:rPr>
                <w:rFonts w:ascii="Calibri" w:hAnsi="Calibri"/>
                <w:color w:val="000000"/>
                <w:sz w:val="22"/>
                <w:szCs w:val="22"/>
              </w:rPr>
              <w:t>900</w:t>
            </w:r>
          </w:p>
        </w:tc>
        <w:tc>
          <w:tcPr>
            <w:tcW w:w="1490" w:type="dxa"/>
            <w:tcBorders>
              <w:top w:val="nil"/>
              <w:left w:val="nil"/>
              <w:bottom w:val="single" w:sz="4" w:space="0" w:color="auto"/>
              <w:right w:val="single" w:sz="4" w:space="0" w:color="auto"/>
            </w:tcBorders>
            <w:shd w:val="clear" w:color="auto" w:fill="auto"/>
            <w:noWrap/>
            <w:vAlign w:val="center"/>
            <w:hideMark/>
          </w:tcPr>
          <w:p w:rsidR="00984F31" w:rsidRPr="00C674A6" w:rsidRDefault="00984F31" w:rsidP="00C674A6">
            <w:pPr>
              <w:jc w:val="center"/>
              <w:rPr>
                <w:rFonts w:ascii="Calibri" w:hAnsi="Calibri"/>
                <w:color w:val="000000"/>
                <w:sz w:val="22"/>
                <w:szCs w:val="22"/>
              </w:rPr>
            </w:pPr>
            <w:r>
              <w:rPr>
                <w:rFonts w:ascii="Calibri" w:hAnsi="Calibri"/>
                <w:color w:val="000000"/>
                <w:sz w:val="22"/>
                <w:szCs w:val="22"/>
              </w:rPr>
              <w:t>0.25</w:t>
            </w:r>
          </w:p>
        </w:tc>
        <w:tc>
          <w:tcPr>
            <w:tcW w:w="1440" w:type="dxa"/>
            <w:tcBorders>
              <w:top w:val="nil"/>
              <w:left w:val="nil"/>
              <w:bottom w:val="single" w:sz="4" w:space="0" w:color="auto"/>
              <w:right w:val="single" w:sz="4" w:space="0" w:color="auto"/>
            </w:tcBorders>
            <w:shd w:val="clear" w:color="auto" w:fill="auto"/>
            <w:noWrap/>
            <w:vAlign w:val="center"/>
            <w:hideMark/>
          </w:tcPr>
          <w:p w:rsidR="00984F31" w:rsidRPr="00C674A6" w:rsidRDefault="00984F31" w:rsidP="00C674A6">
            <w:pPr>
              <w:jc w:val="center"/>
              <w:rPr>
                <w:rFonts w:ascii="Calibri" w:hAnsi="Calibri"/>
                <w:color w:val="000000"/>
                <w:sz w:val="22"/>
                <w:szCs w:val="22"/>
              </w:rPr>
            </w:pPr>
            <w:r>
              <w:rPr>
                <w:rFonts w:ascii="Calibri" w:hAnsi="Calibri"/>
                <w:color w:val="000000"/>
                <w:sz w:val="22"/>
                <w:szCs w:val="22"/>
              </w:rPr>
              <w:t>225</w:t>
            </w:r>
          </w:p>
        </w:tc>
        <w:tc>
          <w:tcPr>
            <w:tcW w:w="1080" w:type="dxa"/>
            <w:tcBorders>
              <w:top w:val="nil"/>
              <w:left w:val="nil"/>
              <w:bottom w:val="single" w:sz="4" w:space="0" w:color="auto"/>
              <w:right w:val="single" w:sz="4" w:space="0" w:color="auto"/>
            </w:tcBorders>
            <w:shd w:val="clear" w:color="auto" w:fill="auto"/>
            <w:noWrap/>
            <w:vAlign w:val="center"/>
            <w:hideMark/>
          </w:tcPr>
          <w:p w:rsidR="00984F31" w:rsidRPr="00C674A6" w:rsidRDefault="00984F31" w:rsidP="00C674A6">
            <w:pPr>
              <w:jc w:val="center"/>
              <w:rPr>
                <w:rFonts w:ascii="Calibri" w:hAnsi="Calibri"/>
                <w:color w:val="000000"/>
                <w:sz w:val="22"/>
                <w:szCs w:val="22"/>
              </w:rPr>
            </w:pPr>
            <w:r>
              <w:rPr>
                <w:rFonts w:ascii="Calibri" w:hAnsi="Calibri"/>
                <w:color w:val="000000"/>
                <w:sz w:val="22"/>
                <w:szCs w:val="22"/>
              </w:rPr>
              <w:t>$    29.00</w:t>
            </w:r>
          </w:p>
        </w:tc>
        <w:tc>
          <w:tcPr>
            <w:tcW w:w="1440" w:type="dxa"/>
            <w:tcBorders>
              <w:top w:val="nil"/>
              <w:left w:val="nil"/>
              <w:bottom w:val="single" w:sz="4" w:space="0" w:color="auto"/>
              <w:right w:val="single" w:sz="4" w:space="0" w:color="auto"/>
            </w:tcBorders>
            <w:shd w:val="clear" w:color="auto" w:fill="auto"/>
            <w:noWrap/>
            <w:vAlign w:val="center"/>
            <w:hideMark/>
          </w:tcPr>
          <w:p w:rsidR="00984F31" w:rsidRPr="00C674A6" w:rsidRDefault="00984F31" w:rsidP="00C674A6">
            <w:pPr>
              <w:jc w:val="center"/>
              <w:rPr>
                <w:rFonts w:ascii="Calibri" w:hAnsi="Calibri"/>
                <w:color w:val="000000"/>
                <w:sz w:val="22"/>
                <w:szCs w:val="22"/>
              </w:rPr>
            </w:pPr>
            <w:r>
              <w:rPr>
                <w:rFonts w:ascii="Calibri" w:hAnsi="Calibri"/>
                <w:color w:val="000000"/>
                <w:sz w:val="22"/>
                <w:szCs w:val="22"/>
              </w:rPr>
              <w:t>$           6,525</w:t>
            </w:r>
          </w:p>
        </w:tc>
      </w:tr>
      <w:tr w:rsidR="00C674A6" w:rsidRPr="00C674A6" w:rsidTr="00C674A6">
        <w:trPr>
          <w:trHeight w:val="4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C674A6" w:rsidRPr="00C674A6" w:rsidRDefault="00C674A6" w:rsidP="00C674A6">
            <w:pPr>
              <w:jc w:val="center"/>
              <w:rPr>
                <w:rFonts w:ascii="Calibri" w:hAnsi="Calibri"/>
                <w:color w:val="000000"/>
                <w:sz w:val="22"/>
                <w:szCs w:val="22"/>
              </w:rPr>
            </w:pPr>
            <w:r w:rsidRPr="00C674A6">
              <w:rPr>
                <w:rFonts w:ascii="Calibri" w:hAnsi="Calibri"/>
                <w:color w:val="000000"/>
                <w:sz w:val="22"/>
                <w:szCs w:val="22"/>
              </w:rPr>
              <w:t xml:space="preserve">     1,606 </w:t>
            </w:r>
          </w:p>
        </w:tc>
        <w:tc>
          <w:tcPr>
            <w:tcW w:w="1490" w:type="dxa"/>
            <w:tcBorders>
              <w:top w:val="nil"/>
              <w:left w:val="nil"/>
              <w:bottom w:val="single" w:sz="4" w:space="0" w:color="auto"/>
              <w:right w:val="single" w:sz="4" w:space="0" w:color="auto"/>
            </w:tcBorders>
            <w:shd w:val="clear" w:color="auto" w:fill="auto"/>
            <w:noWrap/>
            <w:vAlign w:val="center"/>
            <w:hideMark/>
          </w:tcPr>
          <w:p w:rsidR="00C674A6" w:rsidRPr="00C674A6" w:rsidRDefault="00C674A6" w:rsidP="00C674A6">
            <w:pPr>
              <w:jc w:val="center"/>
              <w:rPr>
                <w:rFonts w:ascii="Calibri" w:hAnsi="Calibri"/>
                <w:color w:val="000000"/>
                <w:sz w:val="22"/>
                <w:szCs w:val="22"/>
              </w:rPr>
            </w:pPr>
            <w:r w:rsidRPr="00C674A6">
              <w:rPr>
                <w:rFonts w:ascii="Calibri" w:hAnsi="Calibri"/>
                <w:color w:val="000000"/>
                <w:sz w:val="22"/>
                <w:szCs w:val="22"/>
              </w:rPr>
              <w:t>0.33</w:t>
            </w:r>
          </w:p>
        </w:tc>
        <w:tc>
          <w:tcPr>
            <w:tcW w:w="1440" w:type="dxa"/>
            <w:tcBorders>
              <w:top w:val="nil"/>
              <w:left w:val="nil"/>
              <w:bottom w:val="single" w:sz="4" w:space="0" w:color="auto"/>
              <w:right w:val="single" w:sz="4" w:space="0" w:color="auto"/>
            </w:tcBorders>
            <w:shd w:val="clear" w:color="auto" w:fill="auto"/>
            <w:noWrap/>
            <w:vAlign w:val="center"/>
            <w:hideMark/>
          </w:tcPr>
          <w:p w:rsidR="00C674A6" w:rsidRPr="00C674A6" w:rsidRDefault="00C674A6" w:rsidP="00C674A6">
            <w:pPr>
              <w:jc w:val="center"/>
              <w:rPr>
                <w:rFonts w:ascii="Calibri" w:hAnsi="Calibri"/>
                <w:color w:val="000000"/>
                <w:sz w:val="22"/>
                <w:szCs w:val="22"/>
              </w:rPr>
            </w:pPr>
            <w:r w:rsidRPr="00C674A6">
              <w:rPr>
                <w:rFonts w:ascii="Calibri" w:hAnsi="Calibri"/>
                <w:color w:val="000000"/>
                <w:sz w:val="22"/>
                <w:szCs w:val="22"/>
              </w:rPr>
              <w:t xml:space="preserve">530 </w:t>
            </w:r>
          </w:p>
        </w:tc>
        <w:tc>
          <w:tcPr>
            <w:tcW w:w="1080" w:type="dxa"/>
            <w:tcBorders>
              <w:top w:val="nil"/>
              <w:left w:val="nil"/>
              <w:bottom w:val="single" w:sz="4" w:space="0" w:color="auto"/>
              <w:right w:val="single" w:sz="4" w:space="0" w:color="auto"/>
            </w:tcBorders>
            <w:shd w:val="clear" w:color="auto" w:fill="auto"/>
            <w:noWrap/>
            <w:vAlign w:val="center"/>
            <w:hideMark/>
          </w:tcPr>
          <w:p w:rsidR="00C674A6" w:rsidRPr="00C674A6" w:rsidRDefault="00C674A6" w:rsidP="00C674A6">
            <w:pPr>
              <w:jc w:val="center"/>
              <w:rPr>
                <w:rFonts w:ascii="Calibri" w:hAnsi="Calibri"/>
                <w:color w:val="000000"/>
                <w:sz w:val="22"/>
                <w:szCs w:val="22"/>
              </w:rPr>
            </w:pPr>
            <w:r w:rsidRPr="00C674A6">
              <w:rPr>
                <w:rFonts w:ascii="Calibri" w:hAnsi="Calibri"/>
                <w:color w:val="000000"/>
                <w:sz w:val="22"/>
                <w:szCs w:val="22"/>
              </w:rPr>
              <w:t xml:space="preserve"> $    29.00 </w:t>
            </w:r>
          </w:p>
        </w:tc>
        <w:tc>
          <w:tcPr>
            <w:tcW w:w="1440" w:type="dxa"/>
            <w:tcBorders>
              <w:top w:val="nil"/>
              <w:left w:val="nil"/>
              <w:bottom w:val="single" w:sz="4" w:space="0" w:color="auto"/>
              <w:right w:val="single" w:sz="4" w:space="0" w:color="auto"/>
            </w:tcBorders>
            <w:shd w:val="clear" w:color="auto" w:fill="auto"/>
            <w:noWrap/>
            <w:vAlign w:val="center"/>
            <w:hideMark/>
          </w:tcPr>
          <w:p w:rsidR="00C674A6" w:rsidRPr="00C674A6" w:rsidRDefault="00C674A6" w:rsidP="00C674A6">
            <w:pPr>
              <w:jc w:val="center"/>
              <w:rPr>
                <w:rFonts w:ascii="Calibri" w:hAnsi="Calibri"/>
                <w:color w:val="000000"/>
                <w:sz w:val="22"/>
                <w:szCs w:val="22"/>
              </w:rPr>
            </w:pPr>
            <w:r w:rsidRPr="00C674A6">
              <w:rPr>
                <w:rFonts w:ascii="Calibri" w:hAnsi="Calibri"/>
                <w:color w:val="000000"/>
                <w:sz w:val="22"/>
                <w:szCs w:val="22"/>
              </w:rPr>
              <w:t xml:space="preserve"> $         15,369 </w:t>
            </w:r>
          </w:p>
        </w:tc>
      </w:tr>
    </w:tbl>
    <w:p w:rsidR="00CA77C2" w:rsidRDefault="00CA77C2" w:rsidP="009E4161">
      <w:pPr>
        <w:pStyle w:val="BodyTextIndent3"/>
        <w:ind w:left="360" w:firstLine="0"/>
        <w:rPr>
          <w:rFonts w:ascii="Times New Roman" w:hAnsi="Times New Roman"/>
        </w:rPr>
      </w:pPr>
    </w:p>
    <w:p w:rsidR="009E4161" w:rsidRPr="009E4161" w:rsidRDefault="009E4161" w:rsidP="009E4161">
      <w:pPr>
        <w:pStyle w:val="BodyTextIndent3"/>
        <w:ind w:left="360" w:firstLine="0"/>
        <w:rPr>
          <w:rFonts w:ascii="Times New Roman" w:hAnsi="Times New Roman"/>
        </w:rPr>
      </w:pPr>
      <w:r w:rsidRPr="009E4161">
        <w:rPr>
          <w:rFonts w:ascii="Times New Roman" w:hAnsi="Times New Roman"/>
        </w:rPr>
        <w:t>*Estimated cost per hour for HUD staff (GS-12) to review and process the documents for this collection</w:t>
      </w:r>
    </w:p>
    <w:p w:rsidR="009E4161" w:rsidRDefault="009E4161">
      <w:pPr>
        <w:rPr>
          <w:bCs/>
          <w:u w:val="single"/>
        </w:rPr>
      </w:pPr>
    </w:p>
    <w:p w:rsidR="008A5183" w:rsidRPr="008A5183" w:rsidRDefault="009E4161" w:rsidP="008A5183">
      <w:pPr>
        <w:pStyle w:val="BodyTextIndent3"/>
        <w:numPr>
          <w:ilvl w:val="0"/>
          <w:numId w:val="27"/>
        </w:numPr>
        <w:tabs>
          <w:tab w:val="clear" w:pos="360"/>
          <w:tab w:val="num" w:pos="0"/>
        </w:tabs>
        <w:ind w:left="0" w:firstLine="0"/>
        <w:rPr>
          <w:rFonts w:ascii="Times New Roman" w:hAnsi="Times New Roman"/>
        </w:rPr>
      </w:pPr>
      <w:r w:rsidRPr="008A5183">
        <w:rPr>
          <w:rFonts w:ascii="Times New Roman" w:hAnsi="Times New Roman"/>
        </w:rPr>
        <w:t>Th</w:t>
      </w:r>
      <w:r w:rsidR="00FB2287" w:rsidRPr="008A5183">
        <w:rPr>
          <w:rFonts w:ascii="Times New Roman" w:hAnsi="Times New Roman"/>
        </w:rPr>
        <w:t>is is a request for a revision</w:t>
      </w:r>
      <w:r w:rsidRPr="008A5183">
        <w:rPr>
          <w:rFonts w:ascii="Times New Roman" w:hAnsi="Times New Roman"/>
        </w:rPr>
        <w:t xml:space="preserve"> of a currently approved collection.</w:t>
      </w:r>
      <w:r w:rsidR="008A5183" w:rsidRPr="008A5183">
        <w:rPr>
          <w:rFonts w:ascii="Times New Roman" w:hAnsi="Times New Roman"/>
        </w:rPr>
        <w:t xml:space="preserve"> It has come to the attention of the respondent that a currently active program known as “decoupling”, which involves the sale and refinancing of Section 236 properties, continues to require the collection of Monthly Report of Excess Income and Annual Report of Uses of Excess Income, and these project owners were added to the count of respondents.  </w:t>
      </w:r>
    </w:p>
    <w:p w:rsidR="008A5183" w:rsidRPr="008A5183" w:rsidRDefault="008A5183" w:rsidP="008A5183">
      <w:pPr>
        <w:pStyle w:val="BodyTextIndent3"/>
        <w:ind w:left="0" w:firstLine="0"/>
      </w:pPr>
    </w:p>
    <w:p w:rsidR="00BF68BA" w:rsidRPr="008A5183" w:rsidRDefault="008A5183" w:rsidP="008A5183">
      <w:pPr>
        <w:pStyle w:val="BodyTextIndent3"/>
        <w:tabs>
          <w:tab w:val="num" w:pos="0"/>
        </w:tabs>
        <w:ind w:left="0" w:firstLine="0"/>
        <w:rPr>
          <w:rFonts w:ascii="Times New Roman" w:hAnsi="Times New Roman"/>
        </w:rPr>
      </w:pPr>
      <w:r>
        <w:rPr>
          <w:rFonts w:ascii="Times New Roman" w:hAnsi="Times New Roman"/>
        </w:rPr>
        <w:t>Also, t</w:t>
      </w:r>
      <w:r w:rsidR="00BF68BA" w:rsidRPr="008A5183">
        <w:rPr>
          <w:rFonts w:ascii="Times New Roman" w:hAnsi="Times New Roman"/>
        </w:rPr>
        <w:t xml:space="preserve">he reduction in burden is a result of going from paper collection to an automated system for information collection.  This greatly reduced the reporting burden for respondents.  </w:t>
      </w:r>
    </w:p>
    <w:p w:rsidR="009E4161" w:rsidRPr="009E4161" w:rsidRDefault="009E4161" w:rsidP="009E4161">
      <w:pPr>
        <w:pStyle w:val="BodyTextIndent3"/>
        <w:ind w:left="360" w:firstLine="0"/>
        <w:rPr>
          <w:rFonts w:ascii="Times New Roman" w:hAnsi="Times New Roman"/>
        </w:rPr>
      </w:pPr>
    </w:p>
    <w:p w:rsidR="009E4161" w:rsidRDefault="000D07FE">
      <w:pPr>
        <w:numPr>
          <w:ilvl w:val="0"/>
          <w:numId w:val="27"/>
        </w:numPr>
      </w:pPr>
      <w:r>
        <w:t xml:space="preserve"> </w:t>
      </w:r>
      <w:r w:rsidR="009E4161">
        <w:t>The results of this information collection will not be published.</w:t>
      </w:r>
    </w:p>
    <w:p w:rsidR="009E4161" w:rsidRDefault="009E4161">
      <w:pPr>
        <w:tabs>
          <w:tab w:val="left" w:pos="480"/>
        </w:tabs>
        <w:ind w:left="480" w:hanging="480"/>
      </w:pPr>
    </w:p>
    <w:p w:rsidR="009E4161" w:rsidRDefault="000D07FE">
      <w:pPr>
        <w:numPr>
          <w:ilvl w:val="0"/>
          <w:numId w:val="27"/>
        </w:numPr>
        <w:tabs>
          <w:tab w:val="left" w:pos="480"/>
        </w:tabs>
      </w:pPr>
      <w:r>
        <w:t xml:space="preserve"> </w:t>
      </w:r>
      <w:r w:rsidR="009E4161">
        <w:t xml:space="preserve">The </w:t>
      </w:r>
      <w:r w:rsidR="00CA77C2">
        <w:t xml:space="preserve">form HUD-93104 has been retired.  </w:t>
      </w:r>
    </w:p>
    <w:p w:rsidR="009E4161" w:rsidRDefault="009E4161">
      <w:pPr>
        <w:tabs>
          <w:tab w:val="left" w:pos="480"/>
        </w:tabs>
        <w:ind w:left="480" w:hanging="480"/>
      </w:pPr>
    </w:p>
    <w:p w:rsidR="009E4161" w:rsidRDefault="009E4161">
      <w:pPr>
        <w:pStyle w:val="BodyTextIndent3"/>
        <w:numPr>
          <w:ilvl w:val="0"/>
          <w:numId w:val="27"/>
        </w:numPr>
        <w:rPr>
          <w:rFonts w:ascii="Times New Roman" w:hAnsi="Times New Roman"/>
        </w:rPr>
      </w:pPr>
      <w:r>
        <w:rPr>
          <w:rFonts w:ascii="Times New Roman" w:hAnsi="Times New Roman"/>
        </w:rPr>
        <w:t>There are no exceptions to the certification statement in item 19 of the OMB 83-I.</w:t>
      </w:r>
    </w:p>
    <w:p w:rsidR="009E4161" w:rsidRDefault="009E4161">
      <w:pPr>
        <w:tabs>
          <w:tab w:val="left" w:pos="480"/>
        </w:tabs>
      </w:pPr>
    </w:p>
    <w:p w:rsidR="009E4161" w:rsidRDefault="009E4161">
      <w:pPr>
        <w:tabs>
          <w:tab w:val="left" w:pos="480"/>
        </w:tabs>
      </w:pPr>
      <w:r>
        <w:rPr>
          <w:b/>
        </w:rPr>
        <w:t>B.</w:t>
      </w:r>
      <w:r>
        <w:rPr>
          <w:b/>
        </w:rPr>
        <w:tab/>
      </w:r>
      <w:r>
        <w:rPr>
          <w:b/>
          <w:u w:val="single"/>
        </w:rPr>
        <w:t>Collection of Information Employing Statistical Methods.</w:t>
      </w:r>
    </w:p>
    <w:p w:rsidR="009E4161" w:rsidRDefault="009E4161">
      <w:pPr>
        <w:tabs>
          <w:tab w:val="left" w:pos="480"/>
        </w:tabs>
        <w:ind w:left="480" w:hanging="480"/>
      </w:pPr>
    </w:p>
    <w:p w:rsidR="009E4161" w:rsidRDefault="009E4161">
      <w:pPr>
        <w:tabs>
          <w:tab w:val="left" w:pos="480"/>
        </w:tabs>
        <w:ind w:left="480" w:hanging="480"/>
      </w:pPr>
      <w:r>
        <w:tab/>
        <w:t>There are no plans to employ statistical methods for this collection of information.</w:t>
      </w:r>
    </w:p>
    <w:sectPr w:rsidR="009E4161" w:rsidSect="0050706D">
      <w:footerReference w:type="even" r:id="rId7"/>
      <w:footerReference w:type="default" r:id="rId8"/>
      <w:pgSz w:w="12240" w:h="15840" w:code="1"/>
      <w:pgMar w:top="475" w:right="720" w:bottom="475" w:left="605" w:header="475" w:footer="475" w:gutter="0"/>
      <w:cols w:space="480" w:equalWidth="0">
        <w:col w:w="10795"/>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C64" w:rsidRDefault="00815C64">
      <w:r>
        <w:separator/>
      </w:r>
    </w:p>
  </w:endnote>
  <w:endnote w:type="continuationSeparator" w:id="0">
    <w:p w:rsidR="00815C64" w:rsidRDefault="0081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7FE" w:rsidRDefault="00386137">
    <w:pPr>
      <w:pStyle w:val="Footer"/>
      <w:framePr w:wrap="around" w:vAnchor="text" w:hAnchor="margin" w:xAlign="center" w:y="1"/>
      <w:rPr>
        <w:rStyle w:val="PageNumber"/>
      </w:rPr>
    </w:pPr>
    <w:r>
      <w:rPr>
        <w:rStyle w:val="PageNumber"/>
      </w:rPr>
      <w:fldChar w:fldCharType="begin"/>
    </w:r>
    <w:r w:rsidR="000D07FE">
      <w:rPr>
        <w:rStyle w:val="PageNumber"/>
      </w:rPr>
      <w:instrText xml:space="preserve">PAGE  </w:instrText>
    </w:r>
    <w:r>
      <w:rPr>
        <w:rStyle w:val="PageNumber"/>
      </w:rPr>
      <w:fldChar w:fldCharType="separate"/>
    </w:r>
    <w:r w:rsidR="000D07FE">
      <w:rPr>
        <w:rStyle w:val="PageNumber"/>
        <w:noProof/>
      </w:rPr>
      <w:t>5</w:t>
    </w:r>
    <w:r>
      <w:rPr>
        <w:rStyle w:val="PageNumber"/>
      </w:rPr>
      <w:fldChar w:fldCharType="end"/>
    </w:r>
  </w:p>
  <w:p w:rsidR="000D07FE" w:rsidRDefault="000D07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7FE" w:rsidRDefault="00386137">
    <w:pPr>
      <w:pStyle w:val="Footer"/>
      <w:framePr w:wrap="around" w:vAnchor="text" w:hAnchor="margin" w:xAlign="center" w:y="1"/>
      <w:rPr>
        <w:rStyle w:val="PageNumber"/>
      </w:rPr>
    </w:pPr>
    <w:r>
      <w:rPr>
        <w:rStyle w:val="PageNumber"/>
      </w:rPr>
      <w:fldChar w:fldCharType="begin"/>
    </w:r>
    <w:r w:rsidR="000D07FE">
      <w:rPr>
        <w:rStyle w:val="PageNumber"/>
      </w:rPr>
      <w:instrText xml:space="preserve">PAGE  </w:instrText>
    </w:r>
    <w:r>
      <w:rPr>
        <w:rStyle w:val="PageNumber"/>
      </w:rPr>
      <w:fldChar w:fldCharType="separate"/>
    </w:r>
    <w:r w:rsidR="00C83A42">
      <w:rPr>
        <w:rStyle w:val="PageNumber"/>
        <w:noProof/>
      </w:rPr>
      <w:t>3</w:t>
    </w:r>
    <w:r>
      <w:rPr>
        <w:rStyle w:val="PageNumber"/>
      </w:rPr>
      <w:fldChar w:fldCharType="end"/>
    </w:r>
  </w:p>
  <w:p w:rsidR="000D07FE" w:rsidRDefault="000D07FE">
    <w:pPr>
      <w:pStyle w:val="Footer"/>
      <w:tabs>
        <w:tab w:val="clear" w:pos="4320"/>
        <w:tab w:val="clear" w:pos="8640"/>
        <w:tab w:val="right" w:pos="10920"/>
      </w:tabs>
      <w:spacing w:line="120" w:lineRule="exact"/>
      <w:ind w:left="-120" w:right="-120"/>
      <w:rPr>
        <w:rFonts w:ascii="Helvetica" w:hAnsi="Helvetica"/>
        <w:b/>
        <w:sz w:val="18"/>
      </w:rPr>
    </w:pPr>
  </w:p>
  <w:p w:rsidR="000D07FE" w:rsidRDefault="000D07FE">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C64" w:rsidRDefault="00815C64">
      <w:r>
        <w:separator/>
      </w:r>
    </w:p>
  </w:footnote>
  <w:footnote w:type="continuationSeparator" w:id="0">
    <w:p w:rsidR="00815C64" w:rsidRDefault="00815C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BE41ADC"/>
    <w:lvl w:ilvl="0">
      <w:numFmt w:val="decimal"/>
      <w:lvlText w:val="*"/>
      <w:lvlJc w:val="left"/>
    </w:lvl>
  </w:abstractNum>
  <w:abstractNum w:abstractNumId="1">
    <w:nsid w:val="034C3129"/>
    <w:multiLevelType w:val="singleLevel"/>
    <w:tmpl w:val="60F280F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
    <w:nsid w:val="08752FFF"/>
    <w:multiLevelType w:val="singleLevel"/>
    <w:tmpl w:val="30C416B2"/>
    <w:lvl w:ilvl="0">
      <w:start w:val="14"/>
      <w:numFmt w:val="decimal"/>
      <w:lvlText w:val="%1. "/>
      <w:legacy w:legacy="1" w:legacySpace="0" w:legacyIndent="360"/>
      <w:lvlJc w:val="left"/>
      <w:pPr>
        <w:ind w:left="360" w:hanging="360"/>
      </w:pPr>
      <w:rPr>
        <w:rFonts w:ascii="Courier New" w:hAnsi="Courier New" w:hint="default"/>
        <w:b/>
        <w:i w:val="0"/>
        <w:sz w:val="24"/>
      </w:rPr>
    </w:lvl>
  </w:abstractNum>
  <w:abstractNum w:abstractNumId="3">
    <w:nsid w:val="09721C06"/>
    <w:multiLevelType w:val="hybridMultilevel"/>
    <w:tmpl w:val="A740AEDE"/>
    <w:lvl w:ilvl="0" w:tplc="F1FAB9F2">
      <w:start w:val="1"/>
      <w:numFmt w:val="decimal"/>
      <w:lvlText w:val="%1."/>
      <w:lvlJc w:val="left"/>
      <w:pPr>
        <w:tabs>
          <w:tab w:val="num" w:pos="840"/>
        </w:tabs>
        <w:ind w:left="840" w:hanging="360"/>
      </w:pPr>
      <w:rPr>
        <w:rFonts w:ascii="Times New Roman" w:hAnsi="Times New Roman" w:hint="default"/>
        <w:b w:val="0"/>
        <w:i w:val="0"/>
        <w:sz w:val="24"/>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nsid w:val="0E186505"/>
    <w:multiLevelType w:val="singleLevel"/>
    <w:tmpl w:val="91D2875A"/>
    <w:lvl w:ilvl="0">
      <w:start w:val="15"/>
      <w:numFmt w:val="decimal"/>
      <w:lvlText w:val="%1. "/>
      <w:legacy w:legacy="1" w:legacySpace="0" w:legacyIndent="360"/>
      <w:lvlJc w:val="left"/>
      <w:pPr>
        <w:ind w:left="360" w:hanging="360"/>
      </w:pPr>
      <w:rPr>
        <w:rFonts w:ascii="Courier New" w:hAnsi="Courier New" w:hint="default"/>
        <w:b/>
        <w:i w:val="0"/>
        <w:sz w:val="24"/>
      </w:rPr>
    </w:lvl>
  </w:abstractNum>
  <w:abstractNum w:abstractNumId="5">
    <w:nsid w:val="0EA7577E"/>
    <w:multiLevelType w:val="hybridMultilevel"/>
    <w:tmpl w:val="8CC84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CB4A92"/>
    <w:multiLevelType w:val="singleLevel"/>
    <w:tmpl w:val="FB9AE32C"/>
    <w:lvl w:ilvl="0">
      <w:start w:val="18"/>
      <w:numFmt w:val="decimal"/>
      <w:lvlText w:val="%1. "/>
      <w:legacy w:legacy="1" w:legacySpace="0" w:legacyIndent="360"/>
      <w:lvlJc w:val="left"/>
      <w:pPr>
        <w:ind w:left="360" w:hanging="360"/>
      </w:pPr>
      <w:rPr>
        <w:rFonts w:ascii="Courier New" w:hAnsi="Courier New" w:hint="default"/>
        <w:b/>
        <w:i w:val="0"/>
        <w:sz w:val="24"/>
      </w:rPr>
    </w:lvl>
  </w:abstractNum>
  <w:abstractNum w:abstractNumId="7">
    <w:nsid w:val="128B2463"/>
    <w:multiLevelType w:val="singleLevel"/>
    <w:tmpl w:val="5C36EB76"/>
    <w:lvl w:ilvl="0">
      <w:start w:val="6"/>
      <w:numFmt w:val="decimal"/>
      <w:lvlText w:val="%1. "/>
      <w:legacy w:legacy="1" w:legacySpace="0" w:legacyIndent="360"/>
      <w:lvlJc w:val="left"/>
      <w:pPr>
        <w:ind w:left="360" w:hanging="360"/>
      </w:pPr>
      <w:rPr>
        <w:rFonts w:ascii="Courier New" w:hAnsi="Courier New" w:hint="default"/>
        <w:b/>
        <w:i w:val="0"/>
        <w:sz w:val="24"/>
      </w:rPr>
    </w:lvl>
  </w:abstractNum>
  <w:abstractNum w:abstractNumId="8">
    <w:nsid w:val="137366FA"/>
    <w:multiLevelType w:val="singleLevel"/>
    <w:tmpl w:val="B84CBFAA"/>
    <w:lvl w:ilvl="0">
      <w:start w:val="16"/>
      <w:numFmt w:val="decimal"/>
      <w:lvlText w:val="%1. "/>
      <w:legacy w:legacy="1" w:legacySpace="0" w:legacyIndent="360"/>
      <w:lvlJc w:val="left"/>
      <w:pPr>
        <w:ind w:left="360" w:hanging="360"/>
      </w:pPr>
      <w:rPr>
        <w:rFonts w:ascii="Courier New" w:hAnsi="Courier New" w:hint="default"/>
        <w:b/>
        <w:i w:val="0"/>
        <w:sz w:val="24"/>
      </w:rPr>
    </w:lvl>
  </w:abstractNum>
  <w:abstractNum w:abstractNumId="9">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1A5A13F7"/>
    <w:multiLevelType w:val="hybridMultilevel"/>
    <w:tmpl w:val="4CB0541A"/>
    <w:lvl w:ilvl="0" w:tplc="F1FAB9F2">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0B04E9"/>
    <w:multiLevelType w:val="singleLevel"/>
    <w:tmpl w:val="2326F3C0"/>
    <w:lvl w:ilvl="0">
      <w:start w:val="3"/>
      <w:numFmt w:val="decimal"/>
      <w:lvlText w:val="%1. "/>
      <w:legacy w:legacy="1" w:legacySpace="0" w:legacyIndent="360"/>
      <w:lvlJc w:val="left"/>
      <w:pPr>
        <w:ind w:left="360" w:hanging="360"/>
      </w:pPr>
      <w:rPr>
        <w:rFonts w:ascii="Courier New" w:hAnsi="Courier New" w:hint="default"/>
        <w:b/>
        <w:i w:val="0"/>
        <w:sz w:val="24"/>
      </w:rPr>
    </w:lvl>
  </w:abstractNum>
  <w:abstractNum w:abstractNumId="12">
    <w:nsid w:val="3A5B7BD8"/>
    <w:multiLevelType w:val="singleLevel"/>
    <w:tmpl w:val="D7C66D4A"/>
    <w:lvl w:ilvl="0">
      <w:start w:val="5"/>
      <w:numFmt w:val="decimal"/>
      <w:lvlText w:val="%1. "/>
      <w:legacy w:legacy="1" w:legacySpace="0" w:legacyIndent="360"/>
      <w:lvlJc w:val="left"/>
      <w:pPr>
        <w:ind w:left="360" w:hanging="360"/>
      </w:pPr>
      <w:rPr>
        <w:rFonts w:ascii="Courier New" w:hAnsi="Courier New" w:hint="default"/>
        <w:b/>
        <w:i w:val="0"/>
        <w:sz w:val="24"/>
      </w:rPr>
    </w:lvl>
  </w:abstractNum>
  <w:abstractNum w:abstractNumId="13">
    <w:nsid w:val="3F264B45"/>
    <w:multiLevelType w:val="singleLevel"/>
    <w:tmpl w:val="918E653C"/>
    <w:lvl w:ilvl="0">
      <w:start w:val="17"/>
      <w:numFmt w:val="decimal"/>
      <w:lvlText w:val="%1. "/>
      <w:legacy w:legacy="1" w:legacySpace="0" w:legacyIndent="360"/>
      <w:lvlJc w:val="left"/>
      <w:pPr>
        <w:ind w:left="360" w:hanging="360"/>
      </w:pPr>
      <w:rPr>
        <w:rFonts w:ascii="Courier New" w:hAnsi="Courier New" w:hint="default"/>
        <w:b/>
        <w:i w:val="0"/>
        <w:sz w:val="24"/>
      </w:rPr>
    </w:lvl>
  </w:abstractNum>
  <w:abstractNum w:abstractNumId="14">
    <w:nsid w:val="3FFD03F5"/>
    <w:multiLevelType w:val="hybridMultilevel"/>
    <w:tmpl w:val="DAB2A1A0"/>
    <w:lvl w:ilvl="0" w:tplc="F1FAB9F2">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nsid w:val="465C74D3"/>
    <w:multiLevelType w:val="singleLevel"/>
    <w:tmpl w:val="28D03FE2"/>
    <w:lvl w:ilvl="0">
      <w:start w:val="10"/>
      <w:numFmt w:val="decimal"/>
      <w:lvlText w:val="%1. "/>
      <w:legacy w:legacy="1" w:legacySpace="0" w:legacyIndent="360"/>
      <w:lvlJc w:val="left"/>
      <w:pPr>
        <w:ind w:left="360" w:hanging="360"/>
      </w:pPr>
      <w:rPr>
        <w:rFonts w:ascii="Courier New" w:hAnsi="Courier New" w:hint="default"/>
        <w:b/>
        <w:i w:val="0"/>
        <w:sz w:val="24"/>
      </w:rPr>
    </w:lvl>
  </w:abstractNum>
  <w:abstractNum w:abstractNumId="17">
    <w:nsid w:val="47C47F7A"/>
    <w:multiLevelType w:val="singleLevel"/>
    <w:tmpl w:val="A4F6DF58"/>
    <w:lvl w:ilvl="0">
      <w:start w:val="2"/>
      <w:numFmt w:val="upperLetter"/>
      <w:lvlText w:val="%1. "/>
      <w:legacy w:legacy="1" w:legacySpace="0" w:legacyIndent="360"/>
      <w:lvlJc w:val="left"/>
      <w:pPr>
        <w:ind w:left="360" w:hanging="360"/>
      </w:pPr>
      <w:rPr>
        <w:rFonts w:ascii="Courier New" w:hAnsi="Courier New" w:hint="default"/>
        <w:b/>
        <w:i w:val="0"/>
        <w:sz w:val="24"/>
      </w:rPr>
    </w:lvl>
  </w:abstractNum>
  <w:abstractNum w:abstractNumId="18">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9">
    <w:nsid w:val="57E23FC1"/>
    <w:multiLevelType w:val="hybridMultilevel"/>
    <w:tmpl w:val="23524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687093"/>
    <w:multiLevelType w:val="hybridMultilevel"/>
    <w:tmpl w:val="1B805A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4A722F5"/>
    <w:multiLevelType w:val="singleLevel"/>
    <w:tmpl w:val="AAD066D6"/>
    <w:lvl w:ilvl="0">
      <w:start w:val="9"/>
      <w:numFmt w:val="decimal"/>
      <w:lvlText w:val="%1. "/>
      <w:legacy w:legacy="1" w:legacySpace="0" w:legacyIndent="360"/>
      <w:lvlJc w:val="left"/>
      <w:pPr>
        <w:ind w:left="360" w:hanging="360"/>
      </w:pPr>
      <w:rPr>
        <w:rFonts w:ascii="Courier New" w:hAnsi="Courier New" w:hint="default"/>
        <w:b/>
        <w:i w:val="0"/>
        <w:sz w:val="24"/>
      </w:rPr>
    </w:lvl>
  </w:abstractNum>
  <w:abstractNum w:abstractNumId="22">
    <w:nsid w:val="651343EA"/>
    <w:multiLevelType w:val="singleLevel"/>
    <w:tmpl w:val="52E0D64E"/>
    <w:lvl w:ilvl="0">
      <w:start w:val="7"/>
      <w:numFmt w:val="decimal"/>
      <w:lvlText w:val="%1. "/>
      <w:legacy w:legacy="1" w:legacySpace="0" w:legacyIndent="360"/>
      <w:lvlJc w:val="left"/>
      <w:pPr>
        <w:ind w:left="360" w:hanging="360"/>
      </w:pPr>
      <w:rPr>
        <w:rFonts w:ascii="Courier New" w:hAnsi="Courier New" w:hint="default"/>
        <w:b/>
        <w:i w:val="0"/>
        <w:sz w:val="24"/>
      </w:rPr>
    </w:lvl>
  </w:abstractNum>
  <w:abstractNum w:abstractNumId="23">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4">
    <w:nsid w:val="6C055CC7"/>
    <w:multiLevelType w:val="singleLevel"/>
    <w:tmpl w:val="F4C01210"/>
    <w:lvl w:ilvl="0">
      <w:start w:val="4"/>
      <w:numFmt w:val="decimal"/>
      <w:lvlText w:val="%1. "/>
      <w:legacy w:legacy="1" w:legacySpace="0" w:legacyIndent="360"/>
      <w:lvlJc w:val="left"/>
      <w:pPr>
        <w:ind w:left="360" w:hanging="360"/>
      </w:pPr>
      <w:rPr>
        <w:rFonts w:ascii="Courier New" w:hAnsi="Courier New" w:hint="default"/>
        <w:b/>
        <w:i w:val="0"/>
        <w:sz w:val="24"/>
      </w:rPr>
    </w:lvl>
  </w:abstractNum>
  <w:abstractNum w:abstractNumId="25">
    <w:nsid w:val="6C2F02EA"/>
    <w:multiLevelType w:val="hybridMultilevel"/>
    <w:tmpl w:val="D4ECFB86"/>
    <w:lvl w:ilvl="0" w:tplc="B69E4162">
      <w:start w:val="2"/>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82733FC"/>
    <w:multiLevelType w:val="hybridMultilevel"/>
    <w:tmpl w:val="09182F5A"/>
    <w:lvl w:ilvl="0" w:tplc="F1FAB9F2">
      <w:start w:val="1"/>
      <w:numFmt w:val="decimal"/>
      <w:lvlText w:val="%1."/>
      <w:lvlJc w:val="left"/>
      <w:pPr>
        <w:tabs>
          <w:tab w:val="num" w:pos="840"/>
        </w:tabs>
        <w:ind w:left="840" w:hanging="360"/>
      </w:pPr>
      <w:rPr>
        <w:rFonts w:ascii="Times New Roman" w:hAnsi="Times New Roman" w:hint="default"/>
        <w:b w:val="0"/>
        <w:i w:val="0"/>
        <w:sz w:val="24"/>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nsid w:val="79EF2632"/>
    <w:multiLevelType w:val="singleLevel"/>
    <w:tmpl w:val="1568B9DE"/>
    <w:lvl w:ilvl="0">
      <w:start w:val="8"/>
      <w:numFmt w:val="decimal"/>
      <w:lvlText w:val="%1. "/>
      <w:legacy w:legacy="1" w:legacySpace="0" w:legacyIndent="360"/>
      <w:lvlJc w:val="left"/>
      <w:pPr>
        <w:ind w:left="360" w:hanging="360"/>
      </w:pPr>
      <w:rPr>
        <w:rFonts w:ascii="Courier New" w:hAnsi="Courier New" w:hint="default"/>
        <w:b/>
        <w:i w:val="0"/>
        <w:sz w:val="24"/>
      </w:rPr>
    </w:lvl>
  </w:abstractNum>
  <w:abstractNum w:abstractNumId="28">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8"/>
  </w:num>
  <w:num w:numId="2">
    <w:abstractNumId w:val="28"/>
  </w:num>
  <w:num w:numId="3">
    <w:abstractNumId w:val="9"/>
  </w:num>
  <w:num w:numId="4">
    <w:abstractNumId w:val="23"/>
  </w:num>
  <w:num w:numId="5">
    <w:abstractNumId w:val="15"/>
  </w:num>
  <w:num w:numId="6">
    <w:abstractNumId w:val="1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1"/>
  </w:num>
  <w:num w:numId="10">
    <w:abstractNumId w:val="24"/>
  </w:num>
  <w:num w:numId="11">
    <w:abstractNumId w:val="12"/>
  </w:num>
  <w:num w:numId="12">
    <w:abstractNumId w:val="7"/>
  </w:num>
  <w:num w:numId="13">
    <w:abstractNumId w:val="22"/>
  </w:num>
  <w:num w:numId="14">
    <w:abstractNumId w:val="27"/>
  </w:num>
  <w:num w:numId="15">
    <w:abstractNumId w:val="21"/>
  </w:num>
  <w:num w:numId="16">
    <w:abstractNumId w:val="16"/>
  </w:num>
  <w:num w:numId="17">
    <w:abstractNumId w:val="2"/>
  </w:num>
  <w:num w:numId="18">
    <w:abstractNumId w:val="4"/>
  </w:num>
  <w:num w:numId="19">
    <w:abstractNumId w:val="8"/>
  </w:num>
  <w:num w:numId="20">
    <w:abstractNumId w:val="13"/>
  </w:num>
  <w:num w:numId="21">
    <w:abstractNumId w:val="6"/>
  </w:num>
  <w:num w:numId="22">
    <w:abstractNumId w:val="17"/>
  </w:num>
  <w:num w:numId="23">
    <w:abstractNumId w:val="20"/>
  </w:num>
  <w:num w:numId="24">
    <w:abstractNumId w:val="5"/>
  </w:num>
  <w:num w:numId="25">
    <w:abstractNumId w:val="19"/>
  </w:num>
  <w:num w:numId="26">
    <w:abstractNumId w:val="25"/>
  </w:num>
  <w:num w:numId="27">
    <w:abstractNumId w:val="10"/>
  </w:num>
  <w:num w:numId="28">
    <w:abstractNumId w:val="14"/>
  </w:num>
  <w:num w:numId="29">
    <w:abstractNumId w:val="3"/>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7"/>
  <w:displayVerticalDrawingGridEvery w:val="2"/>
  <w:noPunctuationKerning/>
  <w:characterSpacingControl w:val="doNotCompress"/>
  <w:hdrShapeDefaults>
    <o:shapedefaults v:ext="edit" spidmax="9218"/>
  </w:hdrShapeDefaults>
  <w:footnotePr>
    <w:footnote w:id="-1"/>
    <w:footnote w:id="0"/>
  </w:footnotePr>
  <w:endnotePr>
    <w:endnote w:id="-1"/>
    <w:endnote w:id="0"/>
  </w:endnotePr>
  <w:compat/>
  <w:rsids>
    <w:rsidRoot w:val="00111995"/>
    <w:rsid w:val="00035F7F"/>
    <w:rsid w:val="00094AB3"/>
    <w:rsid w:val="000956C3"/>
    <w:rsid w:val="000D07FE"/>
    <w:rsid w:val="000D14E8"/>
    <w:rsid w:val="00111995"/>
    <w:rsid w:val="00125F28"/>
    <w:rsid w:val="00151FCC"/>
    <w:rsid w:val="00187126"/>
    <w:rsid w:val="001D7015"/>
    <w:rsid w:val="00206046"/>
    <w:rsid w:val="00212B08"/>
    <w:rsid w:val="002266C9"/>
    <w:rsid w:val="00293CEE"/>
    <w:rsid w:val="002B378B"/>
    <w:rsid w:val="00380F4A"/>
    <w:rsid w:val="00386137"/>
    <w:rsid w:val="003A723F"/>
    <w:rsid w:val="003E2289"/>
    <w:rsid w:val="00445508"/>
    <w:rsid w:val="00495893"/>
    <w:rsid w:val="00497F2F"/>
    <w:rsid w:val="004A2B8A"/>
    <w:rsid w:val="00500C83"/>
    <w:rsid w:val="0050706D"/>
    <w:rsid w:val="00532B7A"/>
    <w:rsid w:val="0060503C"/>
    <w:rsid w:val="00696484"/>
    <w:rsid w:val="007105F9"/>
    <w:rsid w:val="00761B8C"/>
    <w:rsid w:val="00815C64"/>
    <w:rsid w:val="00881AAB"/>
    <w:rsid w:val="008A5183"/>
    <w:rsid w:val="00914D14"/>
    <w:rsid w:val="00984F31"/>
    <w:rsid w:val="009958EE"/>
    <w:rsid w:val="009E4161"/>
    <w:rsid w:val="00B4672A"/>
    <w:rsid w:val="00B52C7C"/>
    <w:rsid w:val="00B80DD5"/>
    <w:rsid w:val="00BF68BA"/>
    <w:rsid w:val="00C233C8"/>
    <w:rsid w:val="00C674A6"/>
    <w:rsid w:val="00C72CD6"/>
    <w:rsid w:val="00C83A42"/>
    <w:rsid w:val="00CA77C2"/>
    <w:rsid w:val="00CC5A92"/>
    <w:rsid w:val="00CD7581"/>
    <w:rsid w:val="00CF31C5"/>
    <w:rsid w:val="00EA0933"/>
    <w:rsid w:val="00EF1ED3"/>
    <w:rsid w:val="00F97D3F"/>
    <w:rsid w:val="00FB22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06D"/>
    <w:rPr>
      <w:sz w:val="24"/>
      <w:szCs w:val="24"/>
    </w:rPr>
  </w:style>
  <w:style w:type="paragraph" w:styleId="Heading1">
    <w:name w:val="heading 1"/>
    <w:basedOn w:val="Normal"/>
    <w:next w:val="Normal"/>
    <w:qFormat/>
    <w:rsid w:val="0050706D"/>
    <w:pPr>
      <w:keepNext/>
      <w:overflowPunct w:val="0"/>
      <w:autoSpaceDE w:val="0"/>
      <w:autoSpaceDN w:val="0"/>
      <w:adjustRightInd w:val="0"/>
      <w:textAlignment w:val="baseline"/>
      <w:outlineLvl w:val="0"/>
    </w:pPr>
    <w:rPr>
      <w:bCs/>
      <w:szCs w:val="20"/>
    </w:rPr>
  </w:style>
  <w:style w:type="paragraph" w:styleId="Heading2">
    <w:name w:val="heading 2"/>
    <w:basedOn w:val="Normal"/>
    <w:next w:val="Normal"/>
    <w:qFormat/>
    <w:rsid w:val="0050706D"/>
    <w:pPr>
      <w:keepNext/>
      <w:overflowPunct w:val="0"/>
      <w:autoSpaceDE w:val="0"/>
      <w:autoSpaceDN w:val="0"/>
      <w:adjustRightInd w:val="0"/>
      <w:textAlignment w:val="baseline"/>
      <w:outlineLvl w:val="1"/>
    </w:pPr>
    <w:rPr>
      <w:b/>
      <w:szCs w:val="20"/>
    </w:rPr>
  </w:style>
  <w:style w:type="paragraph" w:styleId="Heading4">
    <w:name w:val="heading 4"/>
    <w:basedOn w:val="Normal"/>
    <w:next w:val="Normal"/>
    <w:qFormat/>
    <w:rsid w:val="0050706D"/>
    <w:pPr>
      <w:keepNext/>
      <w:tabs>
        <w:tab w:val="left" w:pos="360"/>
      </w:tabs>
      <w:overflowPunct w:val="0"/>
      <w:autoSpaceDE w:val="0"/>
      <w:autoSpaceDN w:val="0"/>
      <w:adjustRightInd w:val="0"/>
      <w:ind w:left="360"/>
      <w:textAlignment w:val="baseline"/>
      <w:outlineLvl w:val="3"/>
    </w:pPr>
    <w:rPr>
      <w:szCs w:val="20"/>
    </w:rPr>
  </w:style>
  <w:style w:type="paragraph" w:styleId="Heading5">
    <w:name w:val="heading 5"/>
    <w:basedOn w:val="Normal"/>
    <w:next w:val="Normal"/>
    <w:qFormat/>
    <w:rsid w:val="0050706D"/>
    <w:pPr>
      <w:keepNext/>
      <w:tabs>
        <w:tab w:val="left" w:pos="360"/>
      </w:tabs>
      <w:overflowPunct w:val="0"/>
      <w:autoSpaceDE w:val="0"/>
      <w:autoSpaceDN w:val="0"/>
      <w:adjustRightInd w:val="0"/>
      <w:ind w:left="360"/>
      <w:textAlignment w:val="baseline"/>
      <w:outlineLvl w:val="4"/>
    </w:pPr>
    <w:rPr>
      <w:b/>
      <w:bCs/>
      <w:szCs w:val="20"/>
      <w:u w:val="single"/>
    </w:rPr>
  </w:style>
  <w:style w:type="paragraph" w:styleId="Heading7">
    <w:name w:val="heading 7"/>
    <w:basedOn w:val="Normal"/>
    <w:next w:val="Normal"/>
    <w:qFormat/>
    <w:rsid w:val="0050706D"/>
    <w:pPr>
      <w:keepNext/>
      <w:tabs>
        <w:tab w:val="left" w:pos="360"/>
      </w:tabs>
      <w:overflowPunct w:val="0"/>
      <w:autoSpaceDE w:val="0"/>
      <w:autoSpaceDN w:val="0"/>
      <w:adjustRightInd w:val="0"/>
      <w:ind w:left="360" w:hanging="360"/>
      <w:textAlignment w:val="baseline"/>
      <w:outlineLvl w:val="6"/>
    </w:pPr>
    <w:rPr>
      <w:rFonts w:ascii="Courier New" w:hAnsi="Courier Ne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0706D"/>
    <w:pPr>
      <w:overflowPunct w:val="0"/>
      <w:autoSpaceDE w:val="0"/>
      <w:autoSpaceDN w:val="0"/>
      <w:adjustRightInd w:val="0"/>
      <w:jc w:val="center"/>
      <w:textAlignment w:val="baseline"/>
    </w:pPr>
    <w:rPr>
      <w:rFonts w:ascii="Helvetica" w:hAnsi="Helvetica"/>
      <w:b/>
      <w:sz w:val="28"/>
      <w:szCs w:val="20"/>
    </w:rPr>
  </w:style>
  <w:style w:type="paragraph" w:styleId="BodyTextIndent">
    <w:name w:val="Body Text Indent"/>
    <w:basedOn w:val="Normal"/>
    <w:semiHidden/>
    <w:rsid w:val="0050706D"/>
    <w:pPr>
      <w:tabs>
        <w:tab w:val="left" w:pos="360"/>
      </w:tabs>
      <w:overflowPunct w:val="0"/>
      <w:autoSpaceDE w:val="0"/>
      <w:autoSpaceDN w:val="0"/>
      <w:adjustRightInd w:val="0"/>
      <w:ind w:left="360" w:hanging="360"/>
      <w:textAlignment w:val="baseline"/>
    </w:pPr>
    <w:rPr>
      <w:rFonts w:ascii="Courier New" w:hAnsi="Courier New"/>
      <w:szCs w:val="20"/>
    </w:rPr>
  </w:style>
  <w:style w:type="paragraph" w:styleId="BodyTextIndent2">
    <w:name w:val="Body Text Indent 2"/>
    <w:basedOn w:val="Normal"/>
    <w:semiHidden/>
    <w:rsid w:val="0050706D"/>
    <w:pPr>
      <w:tabs>
        <w:tab w:val="left" w:pos="840"/>
      </w:tabs>
      <w:overflowPunct w:val="0"/>
      <w:autoSpaceDE w:val="0"/>
      <w:autoSpaceDN w:val="0"/>
      <w:adjustRightInd w:val="0"/>
      <w:ind w:left="840" w:hanging="480"/>
      <w:textAlignment w:val="baseline"/>
    </w:pPr>
    <w:rPr>
      <w:rFonts w:ascii="Courier New" w:hAnsi="Courier New"/>
      <w:szCs w:val="20"/>
    </w:rPr>
  </w:style>
  <w:style w:type="paragraph" w:styleId="BodyTextIndent3">
    <w:name w:val="Body Text Indent 3"/>
    <w:basedOn w:val="Normal"/>
    <w:semiHidden/>
    <w:rsid w:val="0050706D"/>
    <w:pPr>
      <w:tabs>
        <w:tab w:val="left" w:pos="480"/>
      </w:tabs>
      <w:overflowPunct w:val="0"/>
      <w:autoSpaceDE w:val="0"/>
      <w:autoSpaceDN w:val="0"/>
      <w:adjustRightInd w:val="0"/>
      <w:ind w:left="480" w:hanging="480"/>
      <w:textAlignment w:val="baseline"/>
    </w:pPr>
    <w:rPr>
      <w:rFonts w:ascii="Courier New" w:hAnsi="Courier New"/>
      <w:szCs w:val="20"/>
    </w:rPr>
  </w:style>
  <w:style w:type="character" w:styleId="PageNumber">
    <w:name w:val="page number"/>
    <w:basedOn w:val="DefaultParagraphFont"/>
    <w:semiHidden/>
    <w:rsid w:val="0050706D"/>
  </w:style>
  <w:style w:type="paragraph" w:styleId="Footer">
    <w:name w:val="footer"/>
    <w:basedOn w:val="Normal"/>
    <w:semiHidden/>
    <w:rsid w:val="0050706D"/>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semiHidden/>
    <w:rsid w:val="0050706D"/>
    <w:pPr>
      <w:autoSpaceDE w:val="0"/>
      <w:autoSpaceDN w:val="0"/>
      <w:adjustRightInd w:val="0"/>
      <w:spacing w:line="240" w:lineRule="atLeast"/>
    </w:pPr>
    <w:rPr>
      <w:color w:val="000000"/>
      <w:szCs w:val="20"/>
    </w:rPr>
  </w:style>
  <w:style w:type="paragraph" w:styleId="BodyText2">
    <w:name w:val="Body Text 2"/>
    <w:basedOn w:val="Normal"/>
    <w:semiHidden/>
    <w:rsid w:val="0050706D"/>
    <w:pPr>
      <w:autoSpaceDE w:val="0"/>
      <w:autoSpaceDN w:val="0"/>
      <w:adjustRightInd w:val="0"/>
      <w:spacing w:line="240" w:lineRule="atLeast"/>
    </w:pPr>
    <w:rPr>
      <w:rFonts w:ascii="Arial" w:hAnsi="Arial" w:cs="Arial"/>
      <w:color w:val="000000"/>
      <w:sz w:val="18"/>
      <w:szCs w:val="20"/>
    </w:rPr>
  </w:style>
  <w:style w:type="paragraph" w:styleId="BlockText">
    <w:name w:val="Block Text"/>
    <w:basedOn w:val="Normal"/>
    <w:semiHidden/>
    <w:rsid w:val="0050706D"/>
    <w:pPr>
      <w:tabs>
        <w:tab w:val="left" w:pos="240"/>
      </w:tabs>
      <w:spacing w:after="60"/>
      <w:ind w:left="120" w:right="-120"/>
    </w:pPr>
    <w:rPr>
      <w:rFonts w:ascii="Arial" w:hAnsi="Arial" w:cs="Arial"/>
      <w:sz w:val="18"/>
    </w:rPr>
  </w:style>
  <w:style w:type="paragraph" w:styleId="Header">
    <w:name w:val="header"/>
    <w:basedOn w:val="Normal"/>
    <w:link w:val="HeaderChar"/>
    <w:uiPriority w:val="99"/>
    <w:semiHidden/>
    <w:unhideWhenUsed/>
    <w:rsid w:val="00BF68BA"/>
    <w:pPr>
      <w:tabs>
        <w:tab w:val="center" w:pos="4680"/>
        <w:tab w:val="right" w:pos="9360"/>
      </w:tabs>
    </w:pPr>
  </w:style>
  <w:style w:type="character" w:customStyle="1" w:styleId="HeaderChar">
    <w:name w:val="Header Char"/>
    <w:basedOn w:val="DefaultParagraphFont"/>
    <w:link w:val="Header"/>
    <w:uiPriority w:val="99"/>
    <w:semiHidden/>
    <w:rsid w:val="00BF68BA"/>
    <w:rPr>
      <w:sz w:val="24"/>
      <w:szCs w:val="24"/>
    </w:rPr>
  </w:style>
</w:styles>
</file>

<file path=word/webSettings.xml><?xml version="1.0" encoding="utf-8"?>
<w:webSettings xmlns:r="http://schemas.openxmlformats.org/officeDocument/2006/relationships" xmlns:w="http://schemas.openxmlformats.org/wordprocessingml/2006/main">
  <w:divs>
    <w:div w:id="437334018">
      <w:bodyDiv w:val="1"/>
      <w:marLeft w:val="0"/>
      <w:marRight w:val="0"/>
      <w:marTop w:val="0"/>
      <w:marBottom w:val="0"/>
      <w:divBdr>
        <w:top w:val="none" w:sz="0" w:space="0" w:color="auto"/>
        <w:left w:val="none" w:sz="0" w:space="0" w:color="auto"/>
        <w:bottom w:val="none" w:sz="0" w:space="0" w:color="auto"/>
        <w:right w:val="none" w:sz="0" w:space="0" w:color="auto"/>
      </w:divBdr>
    </w:div>
    <w:div w:id="721565929">
      <w:bodyDiv w:val="1"/>
      <w:marLeft w:val="0"/>
      <w:marRight w:val="0"/>
      <w:marTop w:val="0"/>
      <w:marBottom w:val="0"/>
      <w:divBdr>
        <w:top w:val="none" w:sz="0" w:space="0" w:color="auto"/>
        <w:left w:val="none" w:sz="0" w:space="0" w:color="auto"/>
        <w:bottom w:val="none" w:sz="0" w:space="0" w:color="auto"/>
        <w:right w:val="none" w:sz="0" w:space="0" w:color="auto"/>
      </w:divBdr>
    </w:div>
    <w:div w:id="881749975">
      <w:bodyDiv w:val="1"/>
      <w:marLeft w:val="0"/>
      <w:marRight w:val="0"/>
      <w:marTop w:val="0"/>
      <w:marBottom w:val="0"/>
      <w:divBdr>
        <w:top w:val="none" w:sz="0" w:space="0" w:color="auto"/>
        <w:left w:val="none" w:sz="0" w:space="0" w:color="auto"/>
        <w:bottom w:val="none" w:sz="0" w:space="0" w:color="auto"/>
        <w:right w:val="none" w:sz="0" w:space="0" w:color="auto"/>
      </w:divBdr>
    </w:div>
    <w:div w:id="988630834">
      <w:bodyDiv w:val="1"/>
      <w:marLeft w:val="0"/>
      <w:marRight w:val="0"/>
      <w:marTop w:val="0"/>
      <w:marBottom w:val="0"/>
      <w:divBdr>
        <w:top w:val="none" w:sz="0" w:space="0" w:color="auto"/>
        <w:left w:val="none" w:sz="0" w:space="0" w:color="auto"/>
        <w:bottom w:val="none" w:sz="0" w:space="0" w:color="auto"/>
        <w:right w:val="none" w:sz="0" w:space="0" w:color="auto"/>
      </w:divBdr>
    </w:div>
    <w:div w:id="1555972167">
      <w:bodyDiv w:val="1"/>
      <w:marLeft w:val="0"/>
      <w:marRight w:val="0"/>
      <w:marTop w:val="0"/>
      <w:marBottom w:val="0"/>
      <w:divBdr>
        <w:top w:val="none" w:sz="0" w:space="0" w:color="auto"/>
        <w:left w:val="none" w:sz="0" w:space="0" w:color="auto"/>
        <w:bottom w:val="none" w:sz="0" w:space="0" w:color="auto"/>
        <w:right w:val="none" w:sz="0" w:space="0" w:color="auto"/>
      </w:divBdr>
    </w:div>
    <w:div w:id="1870294221">
      <w:bodyDiv w:val="1"/>
      <w:marLeft w:val="0"/>
      <w:marRight w:val="0"/>
      <w:marTop w:val="0"/>
      <w:marBottom w:val="0"/>
      <w:divBdr>
        <w:top w:val="none" w:sz="0" w:space="0" w:color="auto"/>
        <w:left w:val="none" w:sz="0" w:space="0" w:color="auto"/>
        <w:bottom w:val="none" w:sz="0" w:space="0" w:color="auto"/>
        <w:right w:val="none" w:sz="0" w:space="0" w:color="auto"/>
      </w:divBdr>
    </w:div>
    <w:div w:id="20866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Housing and Urban Development</Company>
  <LinksUpToDate>false</LinksUpToDate>
  <CharactersWithSpaces>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dc:description/>
  <cp:lastModifiedBy>H45351</cp:lastModifiedBy>
  <cp:revision>2</cp:revision>
  <cp:lastPrinted>2010-01-05T15:00:00Z</cp:lastPrinted>
  <dcterms:created xsi:type="dcterms:W3CDTF">2010-08-17T18:44:00Z</dcterms:created>
  <dcterms:modified xsi:type="dcterms:W3CDTF">2010-08-17T18:44:00Z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955663198</vt:i4>
  </property>
  <property fmtid="{D5CDD505-2E9C-101B-9397-08002B2CF9AE}" pid="3" name="_NewReviewCycle">
    <vt:lpwstr/>
  </property>
  <property fmtid="{D5CDD505-2E9C-101B-9397-08002B2CF9AE}" pid="4" name="_EmailSubject">
    <vt:lpwstr>Monthly Report of Excess Income and Annual Report of Uses of Excess Income ; ICR Reference No: 201005-2502-001</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407666684</vt:i4>
  </property>
  <property fmtid="{D5CDD505-2E9C-101B-9397-08002B2CF9AE}" pid="8" name="_ReviewingToolsShownOnce">
    <vt:lpwstr/>
  </property>
</Properties>
</file>