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B15" w:rsidRDefault="00F55B15">
      <w:pPr>
        <w:pStyle w:val="Title"/>
      </w:pPr>
      <w:r>
        <w:t>SUPPORTING STATEMENT</w:t>
      </w:r>
    </w:p>
    <w:p w:rsidR="00F55B15" w:rsidRDefault="00F55B15">
      <w:pPr>
        <w:pStyle w:val="Heading1"/>
      </w:pPr>
      <w:r>
        <w:t>Justification</w:t>
      </w:r>
    </w:p>
    <w:p w:rsidR="00F55B15" w:rsidRPr="00FB4EAD" w:rsidRDefault="00F55B15">
      <w:pPr>
        <w:ind w:left="900" w:hanging="540"/>
        <w:rPr>
          <w:rFonts w:ascii="Courier New" w:hAnsi="Courier New"/>
          <w:b/>
        </w:rPr>
      </w:pPr>
    </w:p>
    <w:p w:rsidR="00FB4EAD" w:rsidRPr="00FB4EAD" w:rsidRDefault="00F55B15" w:rsidP="00FB4EAD">
      <w:pPr>
        <w:pStyle w:val="HTMLPreformatted"/>
        <w:tabs>
          <w:tab w:val="left" w:pos="1440"/>
        </w:tabs>
        <w:ind w:left="1440"/>
        <w:rPr>
          <w:rFonts w:ascii="Times New Roman" w:hAnsi="Times New Roman" w:cs="Times New Roman"/>
          <w:sz w:val="24"/>
          <w:szCs w:val="24"/>
          <w:u w:val="single"/>
        </w:rPr>
      </w:pPr>
      <w:r w:rsidRPr="00FB4EAD">
        <w:rPr>
          <w:rFonts w:ascii="Times New Roman" w:hAnsi="Times New Roman" w:cs="Times New Roman"/>
          <w:sz w:val="24"/>
          <w:szCs w:val="24"/>
        </w:rPr>
        <w:t xml:space="preserve">English Language Acquisition: </w:t>
      </w:r>
      <w:r w:rsidR="00952F21" w:rsidRPr="00FB4EAD">
        <w:rPr>
          <w:rFonts w:ascii="Times New Roman" w:hAnsi="Times New Roman" w:cs="Times New Roman"/>
          <w:sz w:val="24"/>
          <w:szCs w:val="24"/>
        </w:rPr>
        <w:t xml:space="preserve">The </w:t>
      </w:r>
      <w:r w:rsidRPr="00FB4EAD">
        <w:rPr>
          <w:rFonts w:ascii="Times New Roman" w:hAnsi="Times New Roman" w:cs="Times New Roman"/>
          <w:sz w:val="24"/>
          <w:szCs w:val="24"/>
        </w:rPr>
        <w:t xml:space="preserve">Native American and Alaska Native Children in School </w:t>
      </w:r>
      <w:r w:rsidR="00952F21" w:rsidRPr="00FB4EAD">
        <w:rPr>
          <w:rFonts w:ascii="Times New Roman" w:hAnsi="Times New Roman" w:cs="Times New Roman"/>
          <w:sz w:val="24"/>
          <w:szCs w:val="24"/>
        </w:rPr>
        <w:t>p</w:t>
      </w:r>
      <w:r w:rsidRPr="00FB4EAD">
        <w:rPr>
          <w:rFonts w:ascii="Times New Roman" w:hAnsi="Times New Roman" w:cs="Times New Roman"/>
          <w:sz w:val="24"/>
          <w:szCs w:val="24"/>
        </w:rPr>
        <w:t xml:space="preserve">rogram </w:t>
      </w:r>
      <w:r w:rsidR="008B1FE6" w:rsidRPr="00FB4EAD">
        <w:rPr>
          <w:rFonts w:ascii="Times New Roman" w:hAnsi="Times New Roman" w:cs="Times New Roman"/>
          <w:sz w:val="24"/>
          <w:szCs w:val="24"/>
        </w:rPr>
        <w:t>are</w:t>
      </w:r>
      <w:r w:rsidRPr="00FB4EAD">
        <w:rPr>
          <w:rFonts w:ascii="Times New Roman" w:hAnsi="Times New Roman" w:cs="Times New Roman"/>
          <w:sz w:val="24"/>
          <w:szCs w:val="24"/>
        </w:rPr>
        <w:t xml:space="preserve"> authorized under Subpart 1, of Title III of the </w:t>
      </w:r>
      <w:r w:rsidR="00952F21" w:rsidRPr="00FB4EAD">
        <w:rPr>
          <w:rFonts w:ascii="Times New Roman" w:hAnsi="Times New Roman" w:cs="Times New Roman"/>
          <w:sz w:val="24"/>
          <w:szCs w:val="24"/>
        </w:rPr>
        <w:t>Elementary and Secondary Education</w:t>
      </w:r>
      <w:r w:rsidRPr="00FB4EAD">
        <w:rPr>
          <w:rFonts w:ascii="Times New Roman" w:hAnsi="Times New Roman" w:cs="Times New Roman"/>
          <w:sz w:val="24"/>
          <w:szCs w:val="24"/>
        </w:rPr>
        <w:t xml:space="preserve"> Act</w:t>
      </w:r>
      <w:r w:rsidR="00B66D89" w:rsidRPr="00FB4EAD">
        <w:rPr>
          <w:rFonts w:ascii="Times New Roman" w:hAnsi="Times New Roman" w:cs="Times New Roman"/>
          <w:sz w:val="24"/>
          <w:szCs w:val="24"/>
        </w:rPr>
        <w:t>, as</w:t>
      </w:r>
      <w:r w:rsidRPr="00FB4EAD">
        <w:rPr>
          <w:rFonts w:ascii="Times New Roman" w:hAnsi="Times New Roman" w:cs="Times New Roman"/>
          <w:sz w:val="24"/>
          <w:szCs w:val="24"/>
        </w:rPr>
        <w:t xml:space="preserve"> amended by the No Child Left </w:t>
      </w:r>
      <w:proofErr w:type="gramStart"/>
      <w:r w:rsidRPr="00FB4EAD">
        <w:rPr>
          <w:rFonts w:ascii="Times New Roman" w:hAnsi="Times New Roman" w:cs="Times New Roman"/>
          <w:sz w:val="24"/>
          <w:szCs w:val="24"/>
        </w:rPr>
        <w:t>Behind</w:t>
      </w:r>
      <w:proofErr w:type="gramEnd"/>
      <w:r w:rsidRPr="00FB4EAD">
        <w:rPr>
          <w:rFonts w:ascii="Times New Roman" w:hAnsi="Times New Roman" w:cs="Times New Roman"/>
          <w:sz w:val="24"/>
          <w:szCs w:val="24"/>
        </w:rPr>
        <w:t xml:space="preserve"> Act of 2001, hereinafter called the Act (Section 3112 of</w:t>
      </w:r>
      <w:r w:rsidRPr="00FB4EAD">
        <w:rPr>
          <w:rFonts w:ascii="Times New Roman" w:hAnsi="Times New Roman" w:cs="Times New Roman"/>
          <w:b/>
          <w:sz w:val="24"/>
          <w:szCs w:val="24"/>
        </w:rPr>
        <w:t xml:space="preserve"> </w:t>
      </w:r>
      <w:r w:rsidRPr="00FB4EAD">
        <w:rPr>
          <w:rFonts w:ascii="Times New Roman" w:hAnsi="Times New Roman" w:cs="Times New Roman"/>
          <w:sz w:val="24"/>
          <w:szCs w:val="24"/>
        </w:rPr>
        <w:t xml:space="preserve">Public Law 107-110).  The purpose of the Native American and Alaska Native Children in School </w:t>
      </w:r>
      <w:r w:rsidR="00952F21" w:rsidRPr="00FB4EAD">
        <w:rPr>
          <w:rFonts w:ascii="Times New Roman" w:hAnsi="Times New Roman" w:cs="Times New Roman"/>
          <w:sz w:val="24"/>
          <w:szCs w:val="24"/>
        </w:rPr>
        <w:t>p</w:t>
      </w:r>
      <w:r w:rsidRPr="00FB4EAD">
        <w:rPr>
          <w:rFonts w:ascii="Times New Roman" w:hAnsi="Times New Roman" w:cs="Times New Roman"/>
          <w:sz w:val="24"/>
          <w:szCs w:val="24"/>
        </w:rPr>
        <w:t xml:space="preserve">rogram is to provide grants to eligible entities that support language instruction educational projects for limited English proficient (LEP) children from Native American, Alaska Native, </w:t>
      </w:r>
      <w:r w:rsidR="00C701E5" w:rsidRPr="00FB4EAD">
        <w:rPr>
          <w:rFonts w:ascii="Times New Roman" w:hAnsi="Times New Roman" w:cs="Times New Roman"/>
          <w:sz w:val="24"/>
          <w:szCs w:val="24"/>
        </w:rPr>
        <w:t>N</w:t>
      </w:r>
      <w:r w:rsidRPr="00FB4EAD">
        <w:rPr>
          <w:rFonts w:ascii="Times New Roman" w:hAnsi="Times New Roman" w:cs="Times New Roman"/>
          <w:sz w:val="24"/>
          <w:szCs w:val="24"/>
        </w:rPr>
        <w:t>ative Hawaiian, and Pacific Islander background</w:t>
      </w:r>
      <w:r w:rsidR="008B1FE6" w:rsidRPr="00FB4EAD">
        <w:rPr>
          <w:rFonts w:ascii="Times New Roman" w:hAnsi="Times New Roman" w:cs="Times New Roman"/>
          <w:sz w:val="24"/>
          <w:szCs w:val="24"/>
        </w:rPr>
        <w:t xml:space="preserve">. </w:t>
      </w:r>
      <w:r w:rsidR="00FB4EAD" w:rsidRPr="00FB4EAD">
        <w:rPr>
          <w:rFonts w:ascii="Times New Roman" w:hAnsi="Times New Roman" w:cs="Times New Roman"/>
          <w:color w:val="000000"/>
          <w:sz w:val="24"/>
          <w:szCs w:val="24"/>
          <w:u w:val="single"/>
        </w:rPr>
        <w:t>P</w:t>
      </w:r>
      <w:r w:rsidR="00FB4EAD" w:rsidRPr="00FB4EAD">
        <w:rPr>
          <w:rFonts w:ascii="Times New Roman" w:hAnsi="Times New Roman" w:cs="Times New Roman"/>
          <w:sz w:val="24"/>
          <w:szCs w:val="24"/>
          <w:u w:val="single"/>
        </w:rPr>
        <w:t>rogram Authority</w:t>
      </w:r>
      <w:r w:rsidR="00FB4EAD" w:rsidRPr="00FB4EAD">
        <w:rPr>
          <w:rFonts w:ascii="Times New Roman" w:hAnsi="Times New Roman" w:cs="Times New Roman"/>
          <w:sz w:val="24"/>
          <w:szCs w:val="24"/>
        </w:rPr>
        <w:t>:  20 U.S.C. 6821(c</w:t>
      </w:r>
      <w:r w:rsidR="0005536A" w:rsidRPr="00FB4EAD">
        <w:rPr>
          <w:rFonts w:ascii="Times New Roman" w:hAnsi="Times New Roman" w:cs="Times New Roman"/>
          <w:sz w:val="24"/>
          <w:szCs w:val="24"/>
        </w:rPr>
        <w:t>) (</w:t>
      </w:r>
      <w:r w:rsidR="00FB4EAD" w:rsidRPr="00FB4EAD">
        <w:rPr>
          <w:rFonts w:ascii="Times New Roman" w:hAnsi="Times New Roman" w:cs="Times New Roman"/>
          <w:sz w:val="24"/>
          <w:szCs w:val="24"/>
        </w:rPr>
        <w:t>1</w:t>
      </w:r>
      <w:r w:rsidR="0005536A" w:rsidRPr="00FB4EAD">
        <w:rPr>
          <w:rFonts w:ascii="Times New Roman" w:hAnsi="Times New Roman" w:cs="Times New Roman"/>
          <w:sz w:val="24"/>
          <w:szCs w:val="24"/>
        </w:rPr>
        <w:t>) (</w:t>
      </w:r>
      <w:r w:rsidR="00FB4EAD" w:rsidRPr="00FB4EAD">
        <w:rPr>
          <w:rFonts w:ascii="Times New Roman" w:hAnsi="Times New Roman" w:cs="Times New Roman"/>
          <w:sz w:val="24"/>
          <w:szCs w:val="24"/>
        </w:rPr>
        <w:t>A) and 6822.</w:t>
      </w:r>
      <w:r w:rsidR="00FB4EAD" w:rsidRPr="00FB4EAD" w:rsidDel="00FB4EAD">
        <w:rPr>
          <w:rFonts w:ascii="Times New Roman" w:hAnsi="Times New Roman" w:cs="Times New Roman"/>
          <w:sz w:val="24"/>
          <w:szCs w:val="24"/>
        </w:rPr>
        <w:t xml:space="preserve"> </w:t>
      </w:r>
      <w:r w:rsidRPr="00FB4EAD">
        <w:rPr>
          <w:rFonts w:ascii="Times New Roman" w:hAnsi="Times New Roman" w:cs="Times New Roman"/>
          <w:sz w:val="24"/>
          <w:szCs w:val="24"/>
        </w:rPr>
        <w:t xml:space="preserve"> </w:t>
      </w:r>
    </w:p>
    <w:p w:rsidR="00FB4EAD" w:rsidRPr="00FB4EAD" w:rsidRDefault="00FB4EAD" w:rsidP="00FB4EAD">
      <w:pPr>
        <w:pStyle w:val="HTMLPreformatted"/>
        <w:tabs>
          <w:tab w:val="left" w:pos="1440"/>
        </w:tabs>
        <w:ind w:left="1440"/>
        <w:rPr>
          <w:rFonts w:ascii="Times New Roman" w:hAnsi="Times New Roman" w:cs="Times New Roman"/>
          <w:sz w:val="24"/>
          <w:szCs w:val="24"/>
        </w:rPr>
      </w:pPr>
      <w:r w:rsidRPr="00FB4EAD">
        <w:rPr>
          <w:rFonts w:ascii="Times New Roman" w:hAnsi="Times New Roman" w:cs="Times New Roman"/>
          <w:sz w:val="24"/>
          <w:szCs w:val="24"/>
          <w:u w:val="single"/>
        </w:rPr>
        <w:t>Eligible Applicants</w:t>
      </w:r>
      <w:r w:rsidRPr="00FB4EAD">
        <w:rPr>
          <w:rFonts w:ascii="Times New Roman" w:hAnsi="Times New Roman" w:cs="Times New Roman"/>
          <w:sz w:val="24"/>
          <w:szCs w:val="24"/>
        </w:rPr>
        <w:t>:  The following entities,    when they operate elementary, secondary, and postsecondary schools primarily for Native American children (including Alaska Native children), are eligible applicants under this program:  Indian tribes; tribally sanctioned educational authorities; Native Hawaiian or Native American Pacific Islander native language educational organizations; elementary schools or secondary schools that are operated or funded by the Bureau of Indian Education (BIE), or a consortium of such schools; elementary schools or secondary schools operated under a contract with or grant from the BIE in consortium with another such school or a tribal or community organization; and elementary schools or secondary schools operated by the BIE and an IHE, in consortium with elementary schools or secondary schools operated under a contract with or a grant from the BIE or a tribal or community organization.</w:t>
      </w:r>
    </w:p>
    <w:p w:rsidR="00F55B15" w:rsidRDefault="00F55B15" w:rsidP="00FB4EAD">
      <w:pPr>
        <w:pStyle w:val="BodyTextIndent"/>
        <w:numPr>
          <w:ilvl w:val="1"/>
          <w:numId w:val="1"/>
        </w:numPr>
        <w:ind w:hanging="540"/>
      </w:pPr>
    </w:p>
    <w:p w:rsidR="00F55B15" w:rsidRDefault="00F55B15">
      <w:pPr>
        <w:ind w:left="1440"/>
      </w:pPr>
      <w:r>
        <w:t>Section 3112 of the Public Law 107-110 requires submission of an application to the Department for a grant under this program.  In order to implement this requirement, the Department requests OMB approval of the attached “Application for Grants under the Native American and Alaska</w:t>
      </w:r>
      <w:r w:rsidRPr="00FB4EAD">
        <w:rPr>
          <w:b/>
        </w:rPr>
        <w:t xml:space="preserve"> </w:t>
      </w:r>
      <w:r>
        <w:t>Native Children in School Program”.</w:t>
      </w:r>
    </w:p>
    <w:p w:rsidR="00F55B15" w:rsidRDefault="00F55B15">
      <w:pPr>
        <w:ind w:left="1440"/>
      </w:pPr>
    </w:p>
    <w:p w:rsidR="00AB5595" w:rsidRDefault="00AB5595" w:rsidP="00AB5595">
      <w:pPr>
        <w:ind w:left="1440"/>
      </w:pPr>
      <w:r>
        <w:t>This discretionary grant application falls under the Streamlined Clearance Process for Discretionary Grant Information Collection Requests, 1894-0001 and</w:t>
      </w:r>
    </w:p>
    <w:p w:rsidR="00F55B15" w:rsidRDefault="00F55B15">
      <w:pPr>
        <w:ind w:left="1440"/>
      </w:pPr>
      <w:proofErr w:type="gramStart"/>
      <w:r>
        <w:t>contains</w:t>
      </w:r>
      <w:proofErr w:type="gramEnd"/>
      <w:r>
        <w:t xml:space="preserve"> all of the information, forms, and instructions needed to apply for a grant under the Native American and Alaska Native Children in School </w:t>
      </w:r>
      <w:r w:rsidR="00952F21">
        <w:t>p</w:t>
      </w:r>
      <w:r>
        <w:t>rogram, including selection criteria based on statutory provisions and the criteria currently authorized in section 75.210 of EDGAR.</w:t>
      </w:r>
    </w:p>
    <w:p w:rsidR="00F55B15" w:rsidRDefault="00F55B15">
      <w:pPr>
        <w:ind w:left="1440"/>
      </w:pPr>
    </w:p>
    <w:p w:rsidR="00F55B15" w:rsidRDefault="00F55B15">
      <w:pPr>
        <w:ind w:left="1440"/>
      </w:pPr>
    </w:p>
    <w:p w:rsidR="00F55B15" w:rsidRDefault="00F55B15">
      <w:pPr>
        <w:pStyle w:val="BodyTextIndent2"/>
        <w:numPr>
          <w:ilvl w:val="1"/>
          <w:numId w:val="1"/>
        </w:numPr>
        <w:ind w:hanging="540"/>
      </w:pPr>
      <w:r>
        <w:t xml:space="preserve">The requested information is to be provided by eligible entities on a one-time basis in applications for new </w:t>
      </w:r>
      <w:r w:rsidR="00B66D89">
        <w:t>five</w:t>
      </w:r>
      <w:r>
        <w:t>-year grants.  Applications for new grants are expected to be made available annually by the Department.  The Department needs and uses the information provided by applicants to make grants.</w:t>
      </w:r>
    </w:p>
    <w:p w:rsidR="00F55B15" w:rsidRDefault="00F55B15">
      <w:pPr>
        <w:pStyle w:val="BodyTextIndent2"/>
      </w:pPr>
    </w:p>
    <w:p w:rsidR="00F55B15" w:rsidRDefault="00F55B15">
      <w:pPr>
        <w:pStyle w:val="BodyTextIndent2"/>
        <w:numPr>
          <w:ilvl w:val="1"/>
          <w:numId w:val="1"/>
        </w:numPr>
        <w:ind w:hanging="540"/>
      </w:pPr>
      <w:r>
        <w:t>The application will be available, in text or portable document format (</w:t>
      </w:r>
      <w:proofErr w:type="spellStart"/>
      <w:r>
        <w:t>pdf</w:t>
      </w:r>
      <w:proofErr w:type="spellEnd"/>
      <w:r>
        <w:t xml:space="preserve">), on the World Wide Web at the Department’s site.  It will be available in the online version of the </w:t>
      </w:r>
      <w:r>
        <w:rPr>
          <w:u w:val="single"/>
        </w:rPr>
        <w:t>Federal</w:t>
      </w:r>
      <w:r>
        <w:t xml:space="preserve"> </w:t>
      </w:r>
      <w:r>
        <w:rPr>
          <w:u w:val="single"/>
        </w:rPr>
        <w:t>Register</w:t>
      </w:r>
      <w:r>
        <w:t xml:space="preserve">.  Electronic access to this document will relieve </w:t>
      </w:r>
      <w:r>
        <w:lastRenderedPageBreak/>
        <w:t>potential applicants of the need to request an application from the Department and wait for the arrival of a hard copy in the mail.</w:t>
      </w:r>
    </w:p>
    <w:p w:rsidR="00F55B15" w:rsidRDefault="00F55B15">
      <w:pPr>
        <w:pStyle w:val="BodyTextIndent2"/>
        <w:ind w:left="0"/>
      </w:pPr>
    </w:p>
    <w:p w:rsidR="00F55B15" w:rsidRDefault="00F55B15">
      <w:pPr>
        <w:pStyle w:val="BodyTextIndent2"/>
        <w:numPr>
          <w:ilvl w:val="1"/>
          <w:numId w:val="1"/>
        </w:numPr>
        <w:ind w:hanging="540"/>
      </w:pPr>
      <w:r>
        <w:t>The application requirements are related to requests for assistance under a specific grant program.  These requirements do not appear in any other information collection request and therefore are not duplicative.</w:t>
      </w:r>
    </w:p>
    <w:p w:rsidR="008E10D2" w:rsidRDefault="008E10D2">
      <w:pPr>
        <w:pStyle w:val="BodyTextIndent2"/>
        <w:ind w:left="0"/>
      </w:pPr>
    </w:p>
    <w:p w:rsidR="00F55B15" w:rsidRDefault="00F55B15">
      <w:pPr>
        <w:pStyle w:val="BodyTextIndent2"/>
        <w:numPr>
          <w:ilvl w:val="1"/>
          <w:numId w:val="1"/>
        </w:numPr>
        <w:ind w:hanging="540"/>
      </w:pPr>
      <w:r>
        <w:t>The proposed application will not have a significant impact on a substantial number of small entities.</w:t>
      </w:r>
    </w:p>
    <w:p w:rsidR="00F55B15" w:rsidRDefault="00F55B15">
      <w:pPr>
        <w:pStyle w:val="BodyTextIndent2"/>
        <w:ind w:left="0"/>
      </w:pPr>
    </w:p>
    <w:p w:rsidR="00F55B15" w:rsidRDefault="00F55B15">
      <w:pPr>
        <w:pStyle w:val="BodyTextIndent2"/>
        <w:numPr>
          <w:ilvl w:val="1"/>
          <w:numId w:val="1"/>
        </w:numPr>
        <w:ind w:hanging="540"/>
      </w:pPr>
      <w:r>
        <w:t>Section 3112 of the Public Law 107-110 requires submission of an application to the Department for a grant under this program</w:t>
      </w:r>
      <w:r>
        <w:rPr>
          <w:b/>
        </w:rPr>
        <w:t>.</w:t>
      </w:r>
      <w:r>
        <w:t xml:space="preserve">  Failure to collect the information annually in applications for new grants would both seriously hinder the implementation of the Act and result in inappropriate expenditure of Federal funds on projects that do not meet the purpose or requirements of the Act.</w:t>
      </w:r>
    </w:p>
    <w:p w:rsidR="00F55B15" w:rsidRDefault="00F55B15">
      <w:pPr>
        <w:pStyle w:val="BodyTextIndent2"/>
        <w:ind w:left="0"/>
      </w:pPr>
    </w:p>
    <w:p w:rsidR="00F55B15" w:rsidRDefault="00F55B15">
      <w:pPr>
        <w:pStyle w:val="BodyTextIndent2"/>
        <w:numPr>
          <w:ilvl w:val="1"/>
          <w:numId w:val="1"/>
        </w:numPr>
        <w:ind w:hanging="540"/>
      </w:pPr>
      <w:r>
        <w:t xml:space="preserve">There are no special circumstances that would require the information </w:t>
      </w:r>
      <w:r w:rsidR="00B66D89">
        <w:t>collection to</w:t>
      </w:r>
      <w:r>
        <w:t xml:space="preserve"> be conducted in a manner inconsistent with the general information collection guidelines in 5 CFR 1320.6.</w:t>
      </w:r>
    </w:p>
    <w:p w:rsidR="00F55B15" w:rsidRDefault="00F55B15">
      <w:pPr>
        <w:pStyle w:val="BodyTextIndent2"/>
        <w:ind w:left="0"/>
      </w:pPr>
    </w:p>
    <w:p w:rsidR="00F55B15" w:rsidRDefault="00F55B15">
      <w:pPr>
        <w:pStyle w:val="BodyTextIndent2"/>
        <w:numPr>
          <w:ilvl w:val="1"/>
          <w:numId w:val="1"/>
        </w:numPr>
        <w:ind w:hanging="540"/>
      </w:pPr>
      <w:r>
        <w:t xml:space="preserve">Consultation with representatives of eligible entities that are likely to be affected by the information collection occurs through ongoing telephone contact and at annual national and regional conferences sponsored by the Department’s Office </w:t>
      </w:r>
      <w:r w:rsidR="00B66D89">
        <w:t xml:space="preserve">of </w:t>
      </w:r>
      <w:r>
        <w:t xml:space="preserve">English Language Acquisition, Language Enhancement, and Academic Achievement.  These consultations have been effective in resolving any major problems related to these matters.  </w:t>
      </w:r>
      <w:r w:rsidR="00816D58">
        <w:t xml:space="preserve">A 30-Day Federal Register Notice published 5/13/2010. </w:t>
      </w:r>
    </w:p>
    <w:p w:rsidR="00F55B15" w:rsidRDefault="00F55B15">
      <w:pPr>
        <w:pStyle w:val="BodyTextIndent2"/>
        <w:ind w:left="0"/>
      </w:pPr>
    </w:p>
    <w:p w:rsidR="00F55B15" w:rsidRDefault="00FB4EAD">
      <w:pPr>
        <w:pStyle w:val="BodyTextIndent2"/>
        <w:numPr>
          <w:ilvl w:val="1"/>
          <w:numId w:val="1"/>
        </w:numPr>
        <w:ind w:hanging="540"/>
      </w:pPr>
      <w:r>
        <w:t xml:space="preserve"> </w:t>
      </w:r>
      <w:r w:rsidR="00F55B15">
        <w:t>No payment or gift will be provided to responders.</w:t>
      </w:r>
    </w:p>
    <w:p w:rsidR="00F55B15" w:rsidRDefault="00F55B15">
      <w:pPr>
        <w:pStyle w:val="BodyTextIndent2"/>
        <w:ind w:left="0"/>
      </w:pPr>
    </w:p>
    <w:p w:rsidR="00F55B15" w:rsidRDefault="00F55B15">
      <w:pPr>
        <w:pStyle w:val="BodyTextIndent2"/>
        <w:numPr>
          <w:ilvl w:val="1"/>
          <w:numId w:val="1"/>
        </w:numPr>
        <w:ind w:hanging="540"/>
      </w:pPr>
      <w:r>
        <w:t>No assurance of confidentiality will be provided to respondents.</w:t>
      </w:r>
    </w:p>
    <w:p w:rsidR="00F55B15" w:rsidRDefault="00F55B15">
      <w:pPr>
        <w:pStyle w:val="BodyTextIndent2"/>
        <w:ind w:left="0"/>
      </w:pPr>
    </w:p>
    <w:p w:rsidR="00F55B15" w:rsidRDefault="00F55B15">
      <w:pPr>
        <w:pStyle w:val="BodyTextIndent2"/>
        <w:numPr>
          <w:ilvl w:val="1"/>
          <w:numId w:val="1"/>
        </w:numPr>
        <w:ind w:hanging="540"/>
      </w:pPr>
      <w:r>
        <w:t>The requested information will not include matters of a sensitive nature that are commonly considered private.</w:t>
      </w:r>
    </w:p>
    <w:p w:rsidR="00F55B15" w:rsidRDefault="00F55B15">
      <w:pPr>
        <w:pStyle w:val="BodyTextIndent2"/>
        <w:ind w:left="0"/>
      </w:pPr>
    </w:p>
    <w:p w:rsidR="00F55B15" w:rsidRDefault="00F55B15">
      <w:pPr>
        <w:pStyle w:val="BodyTextIndent2"/>
        <w:numPr>
          <w:ilvl w:val="1"/>
          <w:numId w:val="1"/>
        </w:numPr>
        <w:ind w:hanging="540"/>
        <w:rPr>
          <w:u w:val="single"/>
        </w:rPr>
      </w:pPr>
      <w:r>
        <w:rPr>
          <w:u w:val="single"/>
        </w:rPr>
        <w:t xml:space="preserve">Hour Burden for Respondents </w:t>
      </w:r>
    </w:p>
    <w:p w:rsidR="00F55B15" w:rsidRDefault="00F55B15">
      <w:pPr>
        <w:pStyle w:val="BodyTextIndent2"/>
        <w:ind w:left="0"/>
        <w:rPr>
          <w:u w:val="single"/>
        </w:rPr>
      </w:pPr>
    </w:p>
    <w:p w:rsidR="00F55B15" w:rsidRDefault="00F55B15">
      <w:pPr>
        <w:pStyle w:val="BodyTextIndent2"/>
        <w:ind w:left="1440"/>
      </w:pPr>
      <w:r>
        <w:t xml:space="preserve">Approximately </w:t>
      </w:r>
      <w:r w:rsidR="00A516A8">
        <w:t>50</w:t>
      </w:r>
      <w:r>
        <w:t xml:space="preserve"> respondents are expected to submit annually an application for a new grant.  The hour burden for each respondent is estimated to be </w:t>
      </w:r>
      <w:r w:rsidR="00A516A8">
        <w:t>40 minutes</w:t>
      </w:r>
      <w:r>
        <w:t xml:space="preserve">. The total annual hour burden for all respondents combined is estimated to be </w:t>
      </w:r>
      <w:r w:rsidR="00A516A8">
        <w:t>2</w:t>
      </w:r>
      <w:r>
        <w:t>,</w:t>
      </w:r>
      <w:r w:rsidR="00A516A8">
        <w:t>000</w:t>
      </w:r>
      <w:r>
        <w:t xml:space="preserve"> hours.  </w:t>
      </w:r>
    </w:p>
    <w:p w:rsidR="00F55B15" w:rsidRDefault="00F55B15">
      <w:pPr>
        <w:pStyle w:val="BodyTextIndent2"/>
        <w:ind w:left="1440"/>
      </w:pPr>
    </w:p>
    <w:p w:rsidR="00F55B15" w:rsidRDefault="00F55B15">
      <w:pPr>
        <w:pStyle w:val="BodyTextIndent2"/>
        <w:ind w:left="1440"/>
      </w:pPr>
      <w:r>
        <w:rPr>
          <w:u w:val="single"/>
        </w:rPr>
        <w:t xml:space="preserve">Cost to Respondents </w:t>
      </w:r>
    </w:p>
    <w:p w:rsidR="00F55B15" w:rsidRDefault="00F55B15">
      <w:pPr>
        <w:pStyle w:val="BodyTextIndent2"/>
        <w:ind w:left="1440"/>
      </w:pPr>
    </w:p>
    <w:p w:rsidR="00F55B15" w:rsidRDefault="00F55B15">
      <w:pPr>
        <w:pStyle w:val="BodyTextIndent2"/>
        <w:ind w:left="1440"/>
      </w:pPr>
      <w:r>
        <w:t>The annual cost of the hour burden for each respondent is estimated to be $</w:t>
      </w:r>
      <w:r w:rsidR="00A516A8">
        <w:t>1</w:t>
      </w:r>
      <w:r>
        <w:t>,</w:t>
      </w:r>
      <w:r w:rsidR="00A516A8">
        <w:t>740</w:t>
      </w:r>
      <w:r>
        <w:t>.  This estimate is based on the following costs:</w:t>
      </w:r>
    </w:p>
    <w:p w:rsidR="00F55B15" w:rsidRDefault="00F55B15">
      <w:pPr>
        <w:pStyle w:val="BodyTextIndent2"/>
        <w:ind w:left="1440"/>
      </w:pPr>
    </w:p>
    <w:p w:rsidR="00F55B15" w:rsidRDefault="00F55B15">
      <w:pPr>
        <w:pStyle w:val="BodyTextIndent2"/>
        <w:ind w:left="1440"/>
      </w:pPr>
      <w:r>
        <w:t>$</w:t>
      </w:r>
      <w:r w:rsidR="00A516A8">
        <w:t>500</w:t>
      </w:r>
      <w:r>
        <w:tab/>
      </w:r>
      <w:r w:rsidR="00A516A8">
        <w:t xml:space="preserve">            50</w:t>
      </w:r>
      <w:r>
        <w:t xml:space="preserve"> professional hours @ $30/hour</w:t>
      </w:r>
    </w:p>
    <w:p w:rsidR="00F55B15" w:rsidRDefault="00F55B15">
      <w:pPr>
        <w:pStyle w:val="BodyTextIndent2"/>
        <w:ind w:left="1440"/>
      </w:pPr>
      <w:r>
        <w:t>$240</w:t>
      </w:r>
      <w:r>
        <w:tab/>
      </w:r>
      <w:r>
        <w:tab/>
        <w:t>20 clerical hours @12/hour</w:t>
      </w:r>
    </w:p>
    <w:p w:rsidR="00F55B15" w:rsidRDefault="00F55B15">
      <w:pPr>
        <w:pStyle w:val="BodyTextIndent2"/>
        <w:ind w:left="1440"/>
      </w:pPr>
    </w:p>
    <w:p w:rsidR="00F55B15" w:rsidRDefault="00F55B15">
      <w:pPr>
        <w:pStyle w:val="BodyTextIndent2"/>
        <w:numPr>
          <w:ilvl w:val="1"/>
          <w:numId w:val="1"/>
        </w:numPr>
        <w:ind w:hanging="540"/>
      </w:pPr>
      <w:r>
        <w:t>The information collection will not involve any capital and start-up costs or costs related to operation, maintenance, or purchase of services.</w:t>
      </w:r>
    </w:p>
    <w:p w:rsidR="00F55B15" w:rsidRDefault="00F55B15">
      <w:pPr>
        <w:pStyle w:val="BodyTextIndent2"/>
        <w:ind w:left="900"/>
      </w:pPr>
    </w:p>
    <w:p w:rsidR="00F55B15" w:rsidRDefault="00F55B15">
      <w:pPr>
        <w:pStyle w:val="BodyTextIndent2"/>
        <w:numPr>
          <w:ilvl w:val="1"/>
          <w:numId w:val="1"/>
        </w:numPr>
        <w:ind w:hanging="540"/>
      </w:pPr>
      <w:r>
        <w:t>Estimated annual cost to the Federal government to process the information collection is $</w:t>
      </w:r>
      <w:r w:rsidR="0005536A">
        <w:t>29, 9328</w:t>
      </w:r>
      <w:r>
        <w:t>.  This estimate is based on the following costs:</w:t>
      </w:r>
    </w:p>
    <w:p w:rsidR="00F55B15" w:rsidRDefault="00F55B15">
      <w:pPr>
        <w:pStyle w:val="BodyTextIndent2"/>
        <w:ind w:left="0"/>
      </w:pPr>
    </w:p>
    <w:p w:rsidR="00F55B15" w:rsidRDefault="00F55B15">
      <w:pPr>
        <w:pStyle w:val="BodyTextIndent2"/>
        <w:ind w:left="1440"/>
      </w:pPr>
      <w:r>
        <w:t>$10,530</w:t>
      </w:r>
      <w:r>
        <w:tab/>
      </w:r>
      <w:proofErr w:type="gramStart"/>
      <w:r>
        <w:t>Publishing</w:t>
      </w:r>
      <w:proofErr w:type="gramEnd"/>
      <w:r>
        <w:t xml:space="preserve"> of application in the </w:t>
      </w:r>
      <w:r>
        <w:rPr>
          <w:u w:val="single"/>
        </w:rPr>
        <w:t>Federal</w:t>
      </w:r>
      <w:r>
        <w:t xml:space="preserve"> </w:t>
      </w:r>
      <w:r>
        <w:rPr>
          <w:u w:val="single"/>
        </w:rPr>
        <w:t>Register</w:t>
      </w:r>
    </w:p>
    <w:p w:rsidR="00F55B15" w:rsidRDefault="00F55B15">
      <w:pPr>
        <w:pStyle w:val="BodyTextIndent2"/>
        <w:ind w:left="1440"/>
      </w:pPr>
      <w:r>
        <w:tab/>
      </w:r>
      <w:r>
        <w:tab/>
        <w:t>26 pages @ $405/page</w:t>
      </w:r>
    </w:p>
    <w:p w:rsidR="00F55B15" w:rsidRDefault="00F55B15">
      <w:pPr>
        <w:pStyle w:val="BodyTextIndent2"/>
        <w:ind w:left="1440"/>
      </w:pPr>
    </w:p>
    <w:p w:rsidR="00F55B15" w:rsidRDefault="00F55B15">
      <w:pPr>
        <w:pStyle w:val="BodyTextIndent2"/>
        <w:ind w:left="1440"/>
      </w:pPr>
      <w:r>
        <w:t>$120</w:t>
      </w:r>
      <w:r>
        <w:tab/>
      </w:r>
      <w:r>
        <w:tab/>
      </w:r>
      <w:proofErr w:type="gramStart"/>
      <w:r>
        <w:t>Initial</w:t>
      </w:r>
      <w:proofErr w:type="gramEnd"/>
      <w:r>
        <w:t xml:space="preserve"> processing of applications at Application Control Center</w:t>
      </w:r>
    </w:p>
    <w:p w:rsidR="00F55B15" w:rsidRDefault="00F55B15">
      <w:pPr>
        <w:pStyle w:val="BodyTextIndent2"/>
        <w:ind w:left="1440"/>
      </w:pPr>
      <w:r>
        <w:tab/>
      </w:r>
      <w:r>
        <w:tab/>
        <w:t>10 clerical hours @ $12/hour</w:t>
      </w:r>
    </w:p>
    <w:p w:rsidR="00F55B15" w:rsidRDefault="00F55B15">
      <w:pPr>
        <w:pStyle w:val="BodyTextIndent2"/>
        <w:ind w:left="1440"/>
      </w:pPr>
    </w:p>
    <w:p w:rsidR="00F55B15" w:rsidRDefault="00F55B15">
      <w:pPr>
        <w:pStyle w:val="BodyTextIndent2"/>
        <w:ind w:left="1440"/>
      </w:pPr>
      <w:r>
        <w:t>$600</w:t>
      </w:r>
      <w:r>
        <w:tab/>
      </w:r>
      <w:r>
        <w:tab/>
      </w:r>
      <w:proofErr w:type="gramStart"/>
      <w:r>
        <w:t>Screening</w:t>
      </w:r>
      <w:proofErr w:type="gramEnd"/>
      <w:r>
        <w:t xml:space="preserve"> of applications for eligibility</w:t>
      </w:r>
    </w:p>
    <w:p w:rsidR="00F55B15" w:rsidRDefault="00F55B15">
      <w:pPr>
        <w:pStyle w:val="BodyTextIndent2"/>
        <w:ind w:left="1440"/>
      </w:pPr>
      <w:r>
        <w:tab/>
      </w:r>
      <w:r>
        <w:tab/>
        <w:t>20 professional hours @ $30/hour</w:t>
      </w:r>
    </w:p>
    <w:p w:rsidR="00F55B15" w:rsidRDefault="00F55B15">
      <w:pPr>
        <w:pStyle w:val="BodyTextIndent2"/>
        <w:ind w:left="1440"/>
      </w:pPr>
    </w:p>
    <w:p w:rsidR="00F55B15" w:rsidRDefault="00F55B15">
      <w:pPr>
        <w:pStyle w:val="BodyTextIndent2"/>
        <w:ind w:left="1440"/>
      </w:pPr>
      <w:r>
        <w:t>$1,740</w:t>
      </w:r>
      <w:r>
        <w:tab/>
      </w:r>
      <w:r>
        <w:tab/>
        <w:t>Preparation for field reader review</w:t>
      </w:r>
    </w:p>
    <w:p w:rsidR="00F55B15" w:rsidRDefault="00F55B15">
      <w:pPr>
        <w:pStyle w:val="BodyTextIndent2"/>
        <w:ind w:left="1440"/>
      </w:pPr>
      <w:r>
        <w:tab/>
      </w:r>
      <w:r>
        <w:tab/>
        <w:t>50 professional hours @ $30/hour and</w:t>
      </w:r>
    </w:p>
    <w:p w:rsidR="00F55B15" w:rsidRDefault="00F55B15">
      <w:pPr>
        <w:pStyle w:val="BodyTextIndent2"/>
        <w:ind w:left="1440"/>
      </w:pPr>
      <w:r>
        <w:tab/>
      </w:r>
      <w:r>
        <w:tab/>
        <w:t>20 clerical hours @ $12/hour</w:t>
      </w:r>
    </w:p>
    <w:p w:rsidR="00F55B15" w:rsidRDefault="00F55B15">
      <w:pPr>
        <w:pStyle w:val="BodyTextIndent2"/>
        <w:ind w:left="1440"/>
      </w:pPr>
    </w:p>
    <w:p w:rsidR="00F55B15" w:rsidRDefault="00F55B15">
      <w:pPr>
        <w:pStyle w:val="BodyTextIndent2"/>
        <w:ind w:left="1440"/>
      </w:pPr>
      <w:r>
        <w:t>$15,900</w:t>
      </w:r>
      <w:r>
        <w:tab/>
        <w:t>Field reader review of applications</w:t>
      </w:r>
    </w:p>
    <w:p w:rsidR="00F55B15" w:rsidRDefault="00F55B15">
      <w:pPr>
        <w:pStyle w:val="BodyTextIndent2"/>
        <w:ind w:left="1440"/>
      </w:pPr>
      <w:r>
        <w:tab/>
      </w:r>
      <w:r>
        <w:tab/>
        <w:t xml:space="preserve">Honorarium costs for 20 readers @ $135.00 day x 5 days and </w:t>
      </w:r>
    </w:p>
    <w:p w:rsidR="00F55B15" w:rsidRDefault="00F55B15">
      <w:pPr>
        <w:pStyle w:val="BodyTextIndent2"/>
        <w:ind w:left="1440"/>
      </w:pPr>
      <w:r>
        <w:tab/>
      </w:r>
      <w:r>
        <w:tab/>
        <w:t xml:space="preserve">120 professional hours @ $30/hour (training and monitoring of </w:t>
      </w:r>
    </w:p>
    <w:p w:rsidR="00F55B15" w:rsidRDefault="00F55B15">
      <w:pPr>
        <w:pStyle w:val="BodyTextIndent2"/>
        <w:ind w:left="1440"/>
      </w:pPr>
      <w:r>
        <w:tab/>
      </w:r>
      <w:r>
        <w:tab/>
      </w:r>
      <w:proofErr w:type="gramStart"/>
      <w:r>
        <w:t>readers</w:t>
      </w:r>
      <w:proofErr w:type="gramEnd"/>
      <w:r>
        <w:t xml:space="preserve"> by staff)</w:t>
      </w:r>
    </w:p>
    <w:p w:rsidR="00F55B15" w:rsidRDefault="00F55B15">
      <w:pPr>
        <w:pStyle w:val="BodyTextIndent2"/>
        <w:ind w:left="1440"/>
      </w:pPr>
    </w:p>
    <w:p w:rsidR="00F55B15" w:rsidRDefault="00F55B15">
      <w:pPr>
        <w:pStyle w:val="BodyTextIndent2"/>
        <w:ind w:left="1440"/>
      </w:pPr>
      <w:r>
        <w:t>$198</w:t>
      </w:r>
      <w:r>
        <w:tab/>
      </w:r>
      <w:r>
        <w:tab/>
        <w:t>Establishment of rank order of application scores</w:t>
      </w:r>
    </w:p>
    <w:p w:rsidR="00F55B15" w:rsidRDefault="00F55B15">
      <w:pPr>
        <w:pStyle w:val="BodyTextIndent2"/>
        <w:ind w:left="1440"/>
      </w:pPr>
      <w:r>
        <w:tab/>
      </w:r>
      <w:r>
        <w:tab/>
        <w:t>5 professional hours @ $30/hour</w:t>
      </w:r>
    </w:p>
    <w:p w:rsidR="00F55B15" w:rsidRDefault="00F55B15">
      <w:pPr>
        <w:pStyle w:val="BodyTextIndent2"/>
        <w:ind w:left="1440"/>
      </w:pPr>
      <w:r>
        <w:tab/>
      </w:r>
      <w:r>
        <w:tab/>
        <w:t xml:space="preserve">4 clerical hours </w:t>
      </w:r>
      <w:r w:rsidR="00B66D89">
        <w:t>@ $</w:t>
      </w:r>
      <w:r>
        <w:t>12/hour</w:t>
      </w:r>
    </w:p>
    <w:p w:rsidR="00F55B15" w:rsidRDefault="00F55B15">
      <w:pPr>
        <w:pStyle w:val="BodyTextIndent2"/>
        <w:ind w:left="1440"/>
      </w:pPr>
    </w:p>
    <w:p w:rsidR="00F55B15" w:rsidRDefault="00F55B15">
      <w:pPr>
        <w:pStyle w:val="BodyTextIndent2"/>
        <w:ind w:left="1440"/>
      </w:pPr>
    </w:p>
    <w:p w:rsidR="00F55B15" w:rsidRDefault="00F55B15">
      <w:pPr>
        <w:pStyle w:val="BodyTextIndent2"/>
        <w:ind w:left="1440"/>
      </w:pPr>
      <w:r>
        <w:t>$240</w:t>
      </w:r>
      <w:r>
        <w:tab/>
      </w:r>
      <w:r>
        <w:tab/>
        <w:t>Preparation of grant award documents</w:t>
      </w:r>
    </w:p>
    <w:p w:rsidR="00F55B15" w:rsidRDefault="00F55B15" w:rsidP="002307E9">
      <w:pPr>
        <w:pStyle w:val="BodyTextIndent2"/>
        <w:numPr>
          <w:ilvl w:val="0"/>
          <w:numId w:val="3"/>
        </w:numPr>
      </w:pPr>
      <w:r>
        <w:t>professional hours @ $30/hour</w:t>
      </w:r>
      <w:r>
        <w:tab/>
      </w:r>
      <w:r>
        <w:tab/>
      </w:r>
    </w:p>
    <w:p w:rsidR="00F55B15" w:rsidRDefault="00F55B15">
      <w:pPr>
        <w:pStyle w:val="BodyTextIndent2"/>
      </w:pPr>
    </w:p>
    <w:p w:rsidR="002307E9" w:rsidRDefault="00F55B15" w:rsidP="002307E9">
      <w:pPr>
        <w:pStyle w:val="BodyTextIndent2"/>
        <w:numPr>
          <w:ilvl w:val="1"/>
          <w:numId w:val="1"/>
        </w:numPr>
        <w:tabs>
          <w:tab w:val="left" w:pos="360"/>
        </w:tabs>
      </w:pPr>
      <w:r w:rsidRPr="002307E9">
        <w:t>Th</w:t>
      </w:r>
      <w:r w:rsidR="00CB7836" w:rsidRPr="002307E9">
        <w:t>is</w:t>
      </w:r>
      <w:r w:rsidRPr="002307E9">
        <w:t xml:space="preserve"> information collection is a </w:t>
      </w:r>
      <w:r w:rsidR="00AB5595" w:rsidRPr="002307E9">
        <w:t xml:space="preserve">reinstatement with change of a previously approved collection. </w:t>
      </w:r>
      <w:r w:rsidR="002307E9" w:rsidRPr="002307E9">
        <w:t xml:space="preserve">Revisions to the Group Application Certification, Eligibility Certification, and Student Data forms have been streamlined reducing annual burden from 8,200 to 2,000. </w:t>
      </w:r>
      <w:r w:rsidR="002307E9">
        <w:t>Annual burden has been</w:t>
      </w:r>
      <w:r w:rsidR="00AB5595" w:rsidRPr="002307E9">
        <w:t xml:space="preserve"> decreas</w:t>
      </w:r>
      <w:r w:rsidR="00CB7836" w:rsidRPr="002307E9">
        <w:t>ed by 6,200 annual hours. The original hour burden for each respondent was estimated to be 82 hours</w:t>
      </w:r>
      <w:r w:rsidR="00952F21">
        <w:t>.</w:t>
      </w:r>
      <w:r w:rsidR="00CB7836" w:rsidRPr="002307E9">
        <w:t xml:space="preserve"> </w:t>
      </w:r>
      <w:r w:rsidR="00952F21">
        <w:t>W</w:t>
      </w:r>
      <w:r w:rsidR="00CB7836" w:rsidRPr="002307E9">
        <w:t xml:space="preserve">ith the revisions to the data instruments, the burden for each respondent is now estimated to be 40 minutes. </w:t>
      </w:r>
      <w:r w:rsidR="002307E9">
        <w:t xml:space="preserve"> </w:t>
      </w:r>
      <w:r w:rsidR="002307E9" w:rsidRPr="002307E9">
        <w:t>After reviewing the number of respondents during the last grant</w:t>
      </w:r>
      <w:r w:rsidR="00952F21">
        <w:t>,</w:t>
      </w:r>
      <w:r w:rsidR="002307E9" w:rsidRPr="002307E9">
        <w:t xml:space="preserve"> competition the Department has reduced </w:t>
      </w:r>
      <w:r w:rsidR="002307E9">
        <w:t xml:space="preserve">the number of </w:t>
      </w:r>
      <w:r w:rsidR="002307E9" w:rsidRPr="002307E9">
        <w:t>respondents from 100 to 50</w:t>
      </w:r>
      <w:r w:rsidR="002307E9">
        <w:t xml:space="preserve">. </w:t>
      </w:r>
    </w:p>
    <w:p w:rsidR="002307E9" w:rsidRDefault="002307E9" w:rsidP="002307E9">
      <w:pPr>
        <w:pStyle w:val="BodyTextIndent2"/>
        <w:tabs>
          <w:tab w:val="left" w:pos="360"/>
        </w:tabs>
        <w:ind w:left="1440"/>
      </w:pPr>
    </w:p>
    <w:p w:rsidR="002307E9" w:rsidRDefault="00F55B15" w:rsidP="002307E9">
      <w:pPr>
        <w:pStyle w:val="BodyTextIndent2"/>
        <w:numPr>
          <w:ilvl w:val="1"/>
          <w:numId w:val="1"/>
        </w:numPr>
        <w:tabs>
          <w:tab w:val="left" w:pos="360"/>
        </w:tabs>
      </w:pPr>
      <w:r>
        <w:t>Not applicable.  The results of the information collection will not be published.</w:t>
      </w:r>
    </w:p>
    <w:p w:rsidR="002307E9" w:rsidRDefault="002307E9" w:rsidP="002307E9">
      <w:pPr>
        <w:pStyle w:val="ListParagraph"/>
      </w:pPr>
    </w:p>
    <w:p w:rsidR="002307E9" w:rsidRDefault="00F55B15" w:rsidP="002307E9">
      <w:pPr>
        <w:pStyle w:val="BodyTextIndent2"/>
        <w:numPr>
          <w:ilvl w:val="1"/>
          <w:numId w:val="1"/>
        </w:numPr>
        <w:tabs>
          <w:tab w:val="left" w:pos="360"/>
        </w:tabs>
      </w:pPr>
      <w:r>
        <w:t>Not applicable.  The expiration date for OMB approval of the informati</w:t>
      </w:r>
      <w:r w:rsidR="002307E9">
        <w:t xml:space="preserve">on collection will be displayed. </w:t>
      </w:r>
    </w:p>
    <w:p w:rsidR="002307E9" w:rsidRDefault="002307E9" w:rsidP="002307E9">
      <w:pPr>
        <w:pStyle w:val="ListParagraph"/>
      </w:pPr>
    </w:p>
    <w:p w:rsidR="00F55B15" w:rsidRDefault="00F55B15" w:rsidP="002307E9">
      <w:pPr>
        <w:pStyle w:val="BodyTextIndent2"/>
        <w:numPr>
          <w:ilvl w:val="1"/>
          <w:numId w:val="1"/>
        </w:numPr>
        <w:tabs>
          <w:tab w:val="left" w:pos="360"/>
        </w:tabs>
      </w:pPr>
      <w:r>
        <w:t>Not applicable. There are no exceptions to the certification statement identified in Item 20 of OMB Form 83-I.</w:t>
      </w:r>
    </w:p>
    <w:p w:rsidR="00F55B15" w:rsidRDefault="00F55B15">
      <w:pPr>
        <w:pStyle w:val="BodyTextIndent2"/>
        <w:ind w:left="0"/>
        <w:rPr>
          <w:b/>
        </w:rPr>
      </w:pPr>
    </w:p>
    <w:p w:rsidR="00F55B15" w:rsidRDefault="00F55B15">
      <w:pPr>
        <w:pStyle w:val="BodyTextIndent2"/>
        <w:ind w:left="0"/>
        <w:rPr>
          <w:b/>
        </w:rPr>
      </w:pPr>
    </w:p>
    <w:p w:rsidR="00F55B15" w:rsidRDefault="00F55B15">
      <w:pPr>
        <w:pStyle w:val="BodyTextIndent2"/>
        <w:ind w:left="0"/>
        <w:rPr>
          <w:b/>
        </w:rPr>
      </w:pPr>
    </w:p>
    <w:p w:rsidR="00F55B15" w:rsidRDefault="00F55B15">
      <w:pPr>
        <w:pStyle w:val="BodyTextIndent2"/>
        <w:numPr>
          <w:ilvl w:val="0"/>
          <w:numId w:val="1"/>
        </w:numPr>
        <w:tabs>
          <w:tab w:val="clear" w:pos="1080"/>
          <w:tab w:val="num" w:pos="900"/>
        </w:tabs>
        <w:ind w:left="900" w:hanging="540"/>
        <w:rPr>
          <w:b/>
        </w:rPr>
      </w:pPr>
      <w:r>
        <w:rPr>
          <w:b/>
        </w:rPr>
        <w:t>Collection of Information Employing Statistical Methods</w:t>
      </w:r>
    </w:p>
    <w:p w:rsidR="00F55B15" w:rsidRDefault="00F55B15">
      <w:pPr>
        <w:pStyle w:val="BodyTextIndent2"/>
        <w:tabs>
          <w:tab w:val="left" w:pos="900"/>
        </w:tabs>
        <w:ind w:left="360"/>
        <w:rPr>
          <w:b/>
        </w:rPr>
      </w:pPr>
      <w:r>
        <w:rPr>
          <w:b/>
        </w:rPr>
        <w:tab/>
      </w:r>
    </w:p>
    <w:p w:rsidR="00F55B15" w:rsidRDefault="00F55B15">
      <w:pPr>
        <w:pStyle w:val="BodyTextIndent2"/>
        <w:tabs>
          <w:tab w:val="left" w:pos="900"/>
        </w:tabs>
        <w:ind w:left="900" w:hanging="540"/>
      </w:pPr>
      <w:r>
        <w:rPr>
          <w:b/>
        </w:rPr>
        <w:tab/>
      </w:r>
      <w:r>
        <w:t>Not applicable.  The use of statistical methods would not reduce burden or improve accuracy of results.</w:t>
      </w:r>
    </w:p>
    <w:sectPr w:rsidR="00F55B15" w:rsidSect="00595844">
      <w:footerReference w:type="even" r:id="rId7"/>
      <w:footerReference w:type="default" r:id="rId8"/>
      <w:pgSz w:w="12240" w:h="15840"/>
      <w:pgMar w:top="1296" w:right="1440" w:bottom="129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CB5" w:rsidRDefault="007D2CB5">
      <w:r>
        <w:separator/>
      </w:r>
    </w:p>
  </w:endnote>
  <w:endnote w:type="continuationSeparator" w:id="0">
    <w:p w:rsidR="007D2CB5" w:rsidRDefault="007D2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836" w:rsidRDefault="00F171FD">
    <w:pPr>
      <w:pStyle w:val="Footer"/>
      <w:framePr w:wrap="around" w:vAnchor="text" w:hAnchor="margin" w:xAlign="center" w:y="1"/>
      <w:rPr>
        <w:rStyle w:val="PageNumber"/>
      </w:rPr>
    </w:pPr>
    <w:r>
      <w:rPr>
        <w:rStyle w:val="PageNumber"/>
      </w:rPr>
      <w:fldChar w:fldCharType="begin"/>
    </w:r>
    <w:r w:rsidR="00CB7836">
      <w:rPr>
        <w:rStyle w:val="PageNumber"/>
      </w:rPr>
      <w:instrText xml:space="preserve">PAGE  </w:instrText>
    </w:r>
    <w:r>
      <w:rPr>
        <w:rStyle w:val="PageNumber"/>
      </w:rPr>
      <w:fldChar w:fldCharType="end"/>
    </w:r>
  </w:p>
  <w:p w:rsidR="00CB7836" w:rsidRDefault="00CB78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836" w:rsidRDefault="00F171FD">
    <w:pPr>
      <w:pStyle w:val="Footer"/>
      <w:framePr w:wrap="around" w:vAnchor="text" w:hAnchor="margin" w:xAlign="center" w:y="1"/>
      <w:rPr>
        <w:rStyle w:val="PageNumber"/>
      </w:rPr>
    </w:pPr>
    <w:r>
      <w:rPr>
        <w:rStyle w:val="PageNumber"/>
      </w:rPr>
      <w:fldChar w:fldCharType="begin"/>
    </w:r>
    <w:r w:rsidR="00CB7836">
      <w:rPr>
        <w:rStyle w:val="PageNumber"/>
      </w:rPr>
      <w:instrText xml:space="preserve">PAGE  </w:instrText>
    </w:r>
    <w:r>
      <w:rPr>
        <w:rStyle w:val="PageNumber"/>
      </w:rPr>
      <w:fldChar w:fldCharType="separate"/>
    </w:r>
    <w:r w:rsidR="00816D58">
      <w:rPr>
        <w:rStyle w:val="PageNumber"/>
        <w:noProof/>
      </w:rPr>
      <w:t>4</w:t>
    </w:r>
    <w:r>
      <w:rPr>
        <w:rStyle w:val="PageNumber"/>
      </w:rPr>
      <w:fldChar w:fldCharType="end"/>
    </w:r>
  </w:p>
  <w:p w:rsidR="00CB7836" w:rsidRDefault="00CB78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CB5" w:rsidRDefault="007D2CB5">
      <w:r>
        <w:separator/>
      </w:r>
    </w:p>
  </w:footnote>
  <w:footnote w:type="continuationSeparator" w:id="0">
    <w:p w:rsidR="007D2CB5" w:rsidRDefault="007D2C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7AC9"/>
    <w:multiLevelType w:val="hybridMultilevel"/>
    <w:tmpl w:val="572EE0F6"/>
    <w:lvl w:ilvl="0" w:tplc="0409000F">
      <w:start w:val="15"/>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ACF2450"/>
    <w:multiLevelType w:val="hybridMultilevel"/>
    <w:tmpl w:val="F76203DA"/>
    <w:lvl w:ilvl="0" w:tplc="703412A4">
      <w:start w:val="1"/>
      <w:numFmt w:val="upperLetter"/>
      <w:pStyle w:val="Heading1"/>
      <w:lvlText w:val="%1."/>
      <w:lvlJc w:val="left"/>
      <w:pPr>
        <w:tabs>
          <w:tab w:val="num" w:pos="1080"/>
        </w:tabs>
        <w:ind w:left="1080" w:hanging="720"/>
      </w:pPr>
      <w:rPr>
        <w:rFonts w:hint="default"/>
      </w:rPr>
    </w:lvl>
    <w:lvl w:ilvl="1" w:tplc="9DEA9180">
      <w:start w:val="1"/>
      <w:numFmt w:val="decimal"/>
      <w:lvlText w:val="%2."/>
      <w:lvlJc w:val="left"/>
      <w:pPr>
        <w:tabs>
          <w:tab w:val="num" w:pos="1440"/>
        </w:tabs>
        <w:ind w:left="1440" w:hanging="360"/>
      </w:pPr>
      <w:rPr>
        <w:rFonts w:hint="default"/>
      </w:rPr>
    </w:lvl>
    <w:lvl w:ilvl="2" w:tplc="5D1C8DFA" w:tentative="1">
      <w:start w:val="1"/>
      <w:numFmt w:val="lowerRoman"/>
      <w:lvlText w:val="%3."/>
      <w:lvlJc w:val="right"/>
      <w:pPr>
        <w:tabs>
          <w:tab w:val="num" w:pos="2160"/>
        </w:tabs>
        <w:ind w:left="2160" w:hanging="180"/>
      </w:pPr>
    </w:lvl>
    <w:lvl w:ilvl="3" w:tplc="21F86E94" w:tentative="1">
      <w:start w:val="1"/>
      <w:numFmt w:val="decimal"/>
      <w:lvlText w:val="%4."/>
      <w:lvlJc w:val="left"/>
      <w:pPr>
        <w:tabs>
          <w:tab w:val="num" w:pos="2880"/>
        </w:tabs>
        <w:ind w:left="2880" w:hanging="360"/>
      </w:pPr>
    </w:lvl>
    <w:lvl w:ilvl="4" w:tplc="A46AF71E" w:tentative="1">
      <w:start w:val="1"/>
      <w:numFmt w:val="lowerLetter"/>
      <w:lvlText w:val="%5."/>
      <w:lvlJc w:val="left"/>
      <w:pPr>
        <w:tabs>
          <w:tab w:val="num" w:pos="3600"/>
        </w:tabs>
        <w:ind w:left="3600" w:hanging="360"/>
      </w:pPr>
    </w:lvl>
    <w:lvl w:ilvl="5" w:tplc="BBE6F9B6" w:tentative="1">
      <w:start w:val="1"/>
      <w:numFmt w:val="lowerRoman"/>
      <w:lvlText w:val="%6."/>
      <w:lvlJc w:val="right"/>
      <w:pPr>
        <w:tabs>
          <w:tab w:val="num" w:pos="4320"/>
        </w:tabs>
        <w:ind w:left="4320" w:hanging="180"/>
      </w:pPr>
    </w:lvl>
    <w:lvl w:ilvl="6" w:tplc="7592E918" w:tentative="1">
      <w:start w:val="1"/>
      <w:numFmt w:val="decimal"/>
      <w:lvlText w:val="%7."/>
      <w:lvlJc w:val="left"/>
      <w:pPr>
        <w:tabs>
          <w:tab w:val="num" w:pos="5040"/>
        </w:tabs>
        <w:ind w:left="5040" w:hanging="360"/>
      </w:pPr>
    </w:lvl>
    <w:lvl w:ilvl="7" w:tplc="C6AC5C8C" w:tentative="1">
      <w:start w:val="1"/>
      <w:numFmt w:val="lowerLetter"/>
      <w:lvlText w:val="%8."/>
      <w:lvlJc w:val="left"/>
      <w:pPr>
        <w:tabs>
          <w:tab w:val="num" w:pos="5760"/>
        </w:tabs>
        <w:ind w:left="5760" w:hanging="360"/>
      </w:pPr>
    </w:lvl>
    <w:lvl w:ilvl="8" w:tplc="E93EAFF2" w:tentative="1">
      <w:start w:val="1"/>
      <w:numFmt w:val="lowerRoman"/>
      <w:lvlText w:val="%9."/>
      <w:lvlJc w:val="right"/>
      <w:pPr>
        <w:tabs>
          <w:tab w:val="num" w:pos="6480"/>
        </w:tabs>
        <w:ind w:left="6480" w:hanging="180"/>
      </w:pPr>
    </w:lvl>
  </w:abstractNum>
  <w:abstractNum w:abstractNumId="2">
    <w:nsid w:val="2E3C6129"/>
    <w:multiLevelType w:val="hybridMultilevel"/>
    <w:tmpl w:val="3B849838"/>
    <w:lvl w:ilvl="0" w:tplc="3A8C8D96">
      <w:start w:val="8"/>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activeWritingStyle w:appName="MSWord" w:lang="en-US" w:vendorID="64" w:dllVersion="131077" w:nlCheck="1" w:checkStyle="0"/>
  <w:activeWritingStyle w:appName="MSWord" w:lang="en-US" w:vendorID="64" w:dllVersion="131078" w:nlCheck="1" w:checkStyle="1"/>
  <w:proofState w:spelling="clean" w:grammar="clean"/>
  <w:trackRevisions/>
  <w:defaultTabStop w:val="720"/>
  <w:noPunctuationKerning/>
  <w:characterSpacingControl w:val="doNotCompress"/>
  <w:footnotePr>
    <w:footnote w:id="-1"/>
    <w:footnote w:id="0"/>
  </w:footnotePr>
  <w:endnotePr>
    <w:endnote w:id="-1"/>
    <w:endnote w:id="0"/>
  </w:endnotePr>
  <w:compat/>
  <w:rsids>
    <w:rsidRoot w:val="00A3618B"/>
    <w:rsid w:val="0005536A"/>
    <w:rsid w:val="000E1E8F"/>
    <w:rsid w:val="000E3B1A"/>
    <w:rsid w:val="002307E9"/>
    <w:rsid w:val="00294BB5"/>
    <w:rsid w:val="00410364"/>
    <w:rsid w:val="00455461"/>
    <w:rsid w:val="00595844"/>
    <w:rsid w:val="006C1C37"/>
    <w:rsid w:val="007D2CB5"/>
    <w:rsid w:val="007F00FD"/>
    <w:rsid w:val="00816D58"/>
    <w:rsid w:val="008B1FE6"/>
    <w:rsid w:val="008E10D2"/>
    <w:rsid w:val="00952F21"/>
    <w:rsid w:val="00955EDE"/>
    <w:rsid w:val="00A248A8"/>
    <w:rsid w:val="00A3618B"/>
    <w:rsid w:val="00A40300"/>
    <w:rsid w:val="00A516A8"/>
    <w:rsid w:val="00A54C54"/>
    <w:rsid w:val="00A9516C"/>
    <w:rsid w:val="00AB5595"/>
    <w:rsid w:val="00B66D89"/>
    <w:rsid w:val="00C701E5"/>
    <w:rsid w:val="00CB7836"/>
    <w:rsid w:val="00D01664"/>
    <w:rsid w:val="00E84BB0"/>
    <w:rsid w:val="00F171FD"/>
    <w:rsid w:val="00F35B75"/>
    <w:rsid w:val="00F55B15"/>
    <w:rsid w:val="00FB4EAD"/>
    <w:rsid w:val="00FC5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844"/>
    <w:rPr>
      <w:sz w:val="24"/>
      <w:szCs w:val="24"/>
    </w:rPr>
  </w:style>
  <w:style w:type="paragraph" w:styleId="Heading1">
    <w:name w:val="heading 1"/>
    <w:basedOn w:val="Normal"/>
    <w:next w:val="Normal"/>
    <w:qFormat/>
    <w:rsid w:val="00595844"/>
    <w:pPr>
      <w:keepNext/>
      <w:numPr>
        <w:numId w:val="1"/>
      </w:numPr>
      <w:tabs>
        <w:tab w:val="clear" w:pos="1080"/>
        <w:tab w:val="num" w:pos="90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95844"/>
    <w:pPr>
      <w:ind w:left="1260" w:hanging="360"/>
    </w:pPr>
  </w:style>
  <w:style w:type="paragraph" w:styleId="Footer">
    <w:name w:val="footer"/>
    <w:basedOn w:val="Normal"/>
    <w:semiHidden/>
    <w:rsid w:val="00595844"/>
    <w:pPr>
      <w:tabs>
        <w:tab w:val="center" w:pos="4320"/>
        <w:tab w:val="right" w:pos="8640"/>
      </w:tabs>
    </w:pPr>
  </w:style>
  <w:style w:type="character" w:styleId="PageNumber">
    <w:name w:val="page number"/>
    <w:basedOn w:val="DefaultParagraphFont"/>
    <w:semiHidden/>
    <w:rsid w:val="00595844"/>
  </w:style>
  <w:style w:type="paragraph" w:styleId="BodyTextIndent2">
    <w:name w:val="Body Text Indent 2"/>
    <w:basedOn w:val="Normal"/>
    <w:link w:val="BodyTextIndent2Char"/>
    <w:uiPriority w:val="99"/>
    <w:semiHidden/>
    <w:rsid w:val="00595844"/>
    <w:pPr>
      <w:ind w:left="720"/>
    </w:pPr>
  </w:style>
  <w:style w:type="paragraph" w:styleId="Title">
    <w:name w:val="Title"/>
    <w:basedOn w:val="Normal"/>
    <w:qFormat/>
    <w:rsid w:val="00595844"/>
    <w:pPr>
      <w:jc w:val="center"/>
    </w:pPr>
    <w:rPr>
      <w:b/>
      <w:bCs/>
    </w:rPr>
  </w:style>
  <w:style w:type="character" w:customStyle="1" w:styleId="BodyTextIndent2Char">
    <w:name w:val="Body Text Indent 2 Char"/>
    <w:basedOn w:val="DefaultParagraphFont"/>
    <w:link w:val="BodyTextIndent2"/>
    <w:uiPriority w:val="99"/>
    <w:semiHidden/>
    <w:rsid w:val="00CB7836"/>
    <w:rPr>
      <w:sz w:val="24"/>
      <w:szCs w:val="24"/>
    </w:rPr>
  </w:style>
  <w:style w:type="paragraph" w:styleId="ListParagraph">
    <w:name w:val="List Paragraph"/>
    <w:basedOn w:val="Normal"/>
    <w:uiPriority w:val="34"/>
    <w:qFormat/>
    <w:rsid w:val="002307E9"/>
    <w:pPr>
      <w:ind w:left="720"/>
      <w:contextualSpacing/>
    </w:pPr>
  </w:style>
  <w:style w:type="paragraph" w:styleId="BalloonText">
    <w:name w:val="Balloon Text"/>
    <w:basedOn w:val="Normal"/>
    <w:link w:val="BalloonTextChar"/>
    <w:uiPriority w:val="99"/>
    <w:semiHidden/>
    <w:unhideWhenUsed/>
    <w:rsid w:val="00952F21"/>
    <w:rPr>
      <w:rFonts w:ascii="Tahoma" w:hAnsi="Tahoma" w:cs="Tahoma"/>
      <w:sz w:val="16"/>
      <w:szCs w:val="16"/>
    </w:rPr>
  </w:style>
  <w:style w:type="character" w:customStyle="1" w:styleId="BalloonTextChar">
    <w:name w:val="Balloon Text Char"/>
    <w:basedOn w:val="DefaultParagraphFont"/>
    <w:link w:val="BalloonText"/>
    <w:uiPriority w:val="99"/>
    <w:semiHidden/>
    <w:rsid w:val="00952F21"/>
    <w:rPr>
      <w:rFonts w:ascii="Tahoma" w:hAnsi="Tahoma" w:cs="Tahoma"/>
      <w:sz w:val="16"/>
      <w:szCs w:val="16"/>
    </w:rPr>
  </w:style>
  <w:style w:type="character" w:styleId="CommentReference">
    <w:name w:val="annotation reference"/>
    <w:basedOn w:val="DefaultParagraphFont"/>
    <w:uiPriority w:val="99"/>
    <w:semiHidden/>
    <w:unhideWhenUsed/>
    <w:rsid w:val="00952F21"/>
    <w:rPr>
      <w:sz w:val="16"/>
      <w:szCs w:val="16"/>
    </w:rPr>
  </w:style>
  <w:style w:type="paragraph" w:styleId="CommentText">
    <w:name w:val="annotation text"/>
    <w:basedOn w:val="Normal"/>
    <w:link w:val="CommentTextChar"/>
    <w:uiPriority w:val="99"/>
    <w:semiHidden/>
    <w:unhideWhenUsed/>
    <w:rsid w:val="00952F21"/>
    <w:rPr>
      <w:sz w:val="20"/>
      <w:szCs w:val="20"/>
    </w:rPr>
  </w:style>
  <w:style w:type="character" w:customStyle="1" w:styleId="CommentTextChar">
    <w:name w:val="Comment Text Char"/>
    <w:basedOn w:val="DefaultParagraphFont"/>
    <w:link w:val="CommentText"/>
    <w:uiPriority w:val="99"/>
    <w:semiHidden/>
    <w:rsid w:val="00952F21"/>
  </w:style>
  <w:style w:type="paragraph" w:styleId="CommentSubject">
    <w:name w:val="annotation subject"/>
    <w:basedOn w:val="CommentText"/>
    <w:next w:val="CommentText"/>
    <w:link w:val="CommentSubjectChar"/>
    <w:uiPriority w:val="99"/>
    <w:semiHidden/>
    <w:unhideWhenUsed/>
    <w:rsid w:val="00952F21"/>
    <w:rPr>
      <w:b/>
      <w:bCs/>
    </w:rPr>
  </w:style>
  <w:style w:type="character" w:customStyle="1" w:styleId="CommentSubjectChar">
    <w:name w:val="Comment Subject Char"/>
    <w:basedOn w:val="CommentTextChar"/>
    <w:link w:val="CommentSubject"/>
    <w:uiPriority w:val="99"/>
    <w:semiHidden/>
    <w:rsid w:val="00952F21"/>
    <w:rPr>
      <w:b/>
      <w:bCs/>
    </w:rPr>
  </w:style>
  <w:style w:type="paragraph" w:styleId="HTMLPreformatted">
    <w:name w:val="HTML Preformatted"/>
    <w:basedOn w:val="Normal"/>
    <w:link w:val="HTMLPreformattedChar"/>
    <w:rsid w:val="00FB4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FB4EAD"/>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3329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1115</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Education</Company>
  <LinksUpToDate>false</LinksUpToDate>
  <CharactersWithSpaces>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ETYMATHIEU</dc:creator>
  <cp:lastModifiedBy>Authorised User</cp:lastModifiedBy>
  <cp:revision>3</cp:revision>
  <cp:lastPrinted>2010-05-04T17:12:00Z</cp:lastPrinted>
  <dcterms:created xsi:type="dcterms:W3CDTF">2010-05-10T15:24:00Z</dcterms:created>
  <dcterms:modified xsi:type="dcterms:W3CDTF">2010-05-26T17:24:00Z</dcterms:modified>
</cp:coreProperties>
</file>