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4E" w:rsidRPr="000E64B4" w:rsidRDefault="0022634E" w:rsidP="00600A46">
      <w:pPr>
        <w:jc w:val="center"/>
        <w:rPr>
          <w:rFonts w:ascii="Arial" w:hAnsi="Arial" w:cs="Arial"/>
          <w:b/>
          <w:caps/>
        </w:rPr>
      </w:pPr>
      <w:r w:rsidRPr="000E64B4">
        <w:rPr>
          <w:rFonts w:ascii="Arial" w:hAnsi="Arial" w:cs="Arial"/>
          <w:b/>
          <w:caps/>
        </w:rPr>
        <w:t>Request for Clearance of Data Collection Instruments for the</w:t>
      </w:r>
    </w:p>
    <w:p w:rsidR="0022634E" w:rsidRPr="000E64B4" w:rsidRDefault="0022634E" w:rsidP="00CF1892">
      <w:pPr>
        <w:tabs>
          <w:tab w:val="left" w:pos="4680"/>
        </w:tabs>
        <w:jc w:val="center"/>
        <w:rPr>
          <w:rFonts w:ascii="Arial" w:hAnsi="Arial" w:cs="Arial"/>
          <w:b/>
          <w:caps/>
        </w:rPr>
      </w:pPr>
      <w:r w:rsidRPr="000E64B4">
        <w:rPr>
          <w:rFonts w:ascii="Arial" w:hAnsi="Arial" w:cs="Arial"/>
          <w:b/>
          <w:caps/>
        </w:rPr>
        <w:t>TEACHER INCENTIVE FUND EVALUATION</w:t>
      </w:r>
    </w:p>
    <w:p w:rsidR="0022634E" w:rsidRDefault="0022634E">
      <w:pPr>
        <w:pStyle w:val="TOC1"/>
        <w:tabs>
          <w:tab w:val="right" w:leader="dot" w:pos="10070"/>
        </w:tabs>
        <w:rPr>
          <w:caps/>
        </w:rPr>
      </w:pPr>
    </w:p>
    <w:p w:rsidR="0022634E" w:rsidRPr="00E12DF8" w:rsidRDefault="0022634E" w:rsidP="00E12DF8">
      <w:pPr>
        <w:jc w:val="center"/>
        <w:rPr>
          <w:rFonts w:ascii="Arial" w:hAnsi="Arial" w:cs="Arial"/>
          <w:b/>
        </w:rPr>
      </w:pPr>
      <w:r w:rsidRPr="00E12DF8">
        <w:rPr>
          <w:rFonts w:ascii="Arial" w:hAnsi="Arial" w:cs="Arial"/>
          <w:b/>
        </w:rPr>
        <w:t>SUPPORTING STATEMENT FOR PAPERWORK REDUCTION ACT SUBMISSION</w:t>
      </w:r>
    </w:p>
    <w:p w:rsidR="0022634E" w:rsidRDefault="0022634E">
      <w:pPr>
        <w:pStyle w:val="TOC1"/>
        <w:tabs>
          <w:tab w:val="right" w:leader="dot" w:pos="10070"/>
        </w:tabs>
        <w:rPr>
          <w:rFonts w:ascii="Calibri" w:hAnsi="Calibri"/>
          <w:noProof/>
          <w:sz w:val="22"/>
          <w:szCs w:val="22"/>
        </w:rPr>
      </w:pPr>
      <w:r>
        <w:rPr>
          <w:caps/>
        </w:rPr>
        <w:fldChar w:fldCharType="begin"/>
      </w:r>
      <w:r>
        <w:rPr>
          <w:caps/>
        </w:rPr>
        <w:instrText xml:space="preserve"> TOC \o "1-3" \h \z \u </w:instrText>
      </w:r>
      <w:r>
        <w:rPr>
          <w:caps/>
        </w:rPr>
        <w:fldChar w:fldCharType="separate"/>
      </w:r>
    </w:p>
    <w:p w:rsidR="0022634E" w:rsidRDefault="0022634E" w:rsidP="00E12DF8">
      <w:pPr>
        <w:pStyle w:val="TOC2"/>
        <w:rPr>
          <w:rFonts w:ascii="Calibri" w:hAnsi="Calibri"/>
          <w:noProof/>
          <w:sz w:val="22"/>
          <w:szCs w:val="22"/>
        </w:rPr>
      </w:pPr>
      <w:hyperlink w:anchor="_Toc255792953" w:history="1">
        <w:r>
          <w:rPr>
            <w:rStyle w:val="Hyperlink"/>
            <w:noProof/>
          </w:rPr>
          <w:t>B.</w:t>
        </w:r>
        <w:r>
          <w:rPr>
            <w:rStyle w:val="Hyperlink"/>
            <w:noProof/>
          </w:rPr>
          <w:tab/>
        </w:r>
        <w:r w:rsidRPr="003B5CDE">
          <w:rPr>
            <w:rStyle w:val="Hyperlink"/>
            <w:noProof/>
          </w:rPr>
          <w:t>Collections of Information Employing Statistical Methods</w:t>
        </w:r>
        <w:r>
          <w:rPr>
            <w:noProof/>
            <w:webHidden/>
          </w:rPr>
          <w:tab/>
        </w:r>
        <w:r>
          <w:rPr>
            <w:noProof/>
            <w:webHidden/>
          </w:rPr>
          <w:fldChar w:fldCharType="begin"/>
        </w:r>
        <w:r>
          <w:rPr>
            <w:noProof/>
            <w:webHidden/>
          </w:rPr>
          <w:instrText xml:space="preserve"> PAGEREF _Toc255792953 \h </w:instrText>
        </w:r>
        <w:r>
          <w:rPr>
            <w:noProof/>
          </w:rPr>
        </w:r>
        <w:r>
          <w:rPr>
            <w:noProof/>
            <w:webHidden/>
          </w:rPr>
          <w:fldChar w:fldCharType="separate"/>
        </w:r>
        <w:r>
          <w:rPr>
            <w:noProof/>
            <w:webHidden/>
          </w:rPr>
          <w:t>2</w:t>
        </w:r>
        <w:r>
          <w:rPr>
            <w:noProof/>
            <w:webHidden/>
          </w:rPr>
          <w:fldChar w:fldCharType="end"/>
        </w:r>
      </w:hyperlink>
    </w:p>
    <w:p w:rsidR="0022634E" w:rsidRDefault="0022634E" w:rsidP="00E12DF8">
      <w:pPr>
        <w:pStyle w:val="TOC3"/>
        <w:rPr>
          <w:rFonts w:ascii="Calibri" w:hAnsi="Calibri"/>
          <w:noProof/>
          <w:sz w:val="22"/>
          <w:szCs w:val="22"/>
        </w:rPr>
      </w:pPr>
      <w:hyperlink w:anchor="_Toc255792954" w:history="1">
        <w:r w:rsidRPr="003B5CDE">
          <w:rPr>
            <w:rStyle w:val="Hyperlink"/>
            <w:bCs/>
            <w:noProof/>
          </w:rPr>
          <w:t>1. Respondent Universe and Sample Selection</w:t>
        </w:r>
        <w:r>
          <w:rPr>
            <w:noProof/>
            <w:webHidden/>
          </w:rPr>
          <w:tab/>
        </w:r>
        <w:r>
          <w:rPr>
            <w:noProof/>
            <w:webHidden/>
          </w:rPr>
          <w:fldChar w:fldCharType="begin"/>
        </w:r>
        <w:r>
          <w:rPr>
            <w:noProof/>
            <w:webHidden/>
          </w:rPr>
          <w:instrText xml:space="preserve"> PAGEREF _Toc255792954 \h </w:instrText>
        </w:r>
        <w:r>
          <w:rPr>
            <w:noProof/>
          </w:rPr>
        </w:r>
        <w:r>
          <w:rPr>
            <w:noProof/>
            <w:webHidden/>
          </w:rPr>
          <w:fldChar w:fldCharType="separate"/>
        </w:r>
        <w:r>
          <w:rPr>
            <w:noProof/>
            <w:webHidden/>
          </w:rPr>
          <w:t>2</w:t>
        </w:r>
        <w:r>
          <w:rPr>
            <w:noProof/>
            <w:webHidden/>
          </w:rPr>
          <w:fldChar w:fldCharType="end"/>
        </w:r>
      </w:hyperlink>
    </w:p>
    <w:p w:rsidR="0022634E" w:rsidRDefault="0022634E" w:rsidP="00E12DF8">
      <w:pPr>
        <w:pStyle w:val="TOC3"/>
        <w:rPr>
          <w:rFonts w:ascii="Calibri" w:hAnsi="Calibri"/>
          <w:noProof/>
          <w:sz w:val="22"/>
          <w:szCs w:val="22"/>
        </w:rPr>
      </w:pPr>
      <w:hyperlink w:anchor="_Toc255792968" w:history="1">
        <w:r w:rsidRPr="003B5CDE">
          <w:rPr>
            <w:rStyle w:val="Hyperlink"/>
            <w:bCs/>
            <w:noProof/>
          </w:rPr>
          <w:t>2. Data Collection</w:t>
        </w:r>
        <w:r>
          <w:rPr>
            <w:noProof/>
            <w:webHidden/>
          </w:rPr>
          <w:tab/>
        </w:r>
        <w:r>
          <w:rPr>
            <w:noProof/>
            <w:webHidden/>
          </w:rPr>
          <w:fldChar w:fldCharType="begin"/>
        </w:r>
        <w:r>
          <w:rPr>
            <w:noProof/>
            <w:webHidden/>
          </w:rPr>
          <w:instrText xml:space="preserve"> PAGEREF _Toc255792968 \h </w:instrText>
        </w:r>
        <w:r>
          <w:rPr>
            <w:noProof/>
          </w:rPr>
        </w:r>
        <w:r>
          <w:rPr>
            <w:noProof/>
            <w:webHidden/>
          </w:rPr>
          <w:fldChar w:fldCharType="separate"/>
        </w:r>
        <w:r>
          <w:rPr>
            <w:noProof/>
            <w:webHidden/>
          </w:rPr>
          <w:t>3</w:t>
        </w:r>
        <w:r>
          <w:rPr>
            <w:noProof/>
            <w:webHidden/>
          </w:rPr>
          <w:fldChar w:fldCharType="end"/>
        </w:r>
      </w:hyperlink>
    </w:p>
    <w:p w:rsidR="0022634E" w:rsidRDefault="0022634E" w:rsidP="00E12DF8">
      <w:pPr>
        <w:pStyle w:val="TOC3"/>
        <w:rPr>
          <w:rFonts w:ascii="Calibri" w:hAnsi="Calibri"/>
          <w:noProof/>
          <w:sz w:val="22"/>
          <w:szCs w:val="22"/>
        </w:rPr>
      </w:pPr>
      <w:hyperlink w:anchor="_Toc255792969" w:history="1">
        <w:r w:rsidRPr="003B5CDE">
          <w:rPr>
            <w:rStyle w:val="Hyperlink"/>
            <w:bCs/>
            <w:noProof/>
          </w:rPr>
          <w:t>3. Methods to Maximize Response Rates</w:t>
        </w:r>
        <w:r>
          <w:rPr>
            <w:noProof/>
            <w:webHidden/>
          </w:rPr>
          <w:tab/>
        </w:r>
        <w:r>
          <w:rPr>
            <w:noProof/>
            <w:webHidden/>
          </w:rPr>
          <w:fldChar w:fldCharType="begin"/>
        </w:r>
        <w:r>
          <w:rPr>
            <w:noProof/>
            <w:webHidden/>
          </w:rPr>
          <w:instrText xml:space="preserve"> PAGEREF _Toc255792969 \h </w:instrText>
        </w:r>
        <w:r>
          <w:rPr>
            <w:noProof/>
          </w:rPr>
        </w:r>
        <w:r>
          <w:rPr>
            <w:noProof/>
            <w:webHidden/>
          </w:rPr>
          <w:fldChar w:fldCharType="separate"/>
        </w:r>
        <w:r>
          <w:rPr>
            <w:noProof/>
            <w:webHidden/>
          </w:rPr>
          <w:t>3</w:t>
        </w:r>
        <w:r>
          <w:rPr>
            <w:noProof/>
            <w:webHidden/>
          </w:rPr>
          <w:fldChar w:fldCharType="end"/>
        </w:r>
      </w:hyperlink>
    </w:p>
    <w:p w:rsidR="0022634E" w:rsidRDefault="0022634E" w:rsidP="00E12DF8">
      <w:pPr>
        <w:pStyle w:val="TOC3"/>
        <w:rPr>
          <w:rFonts w:ascii="Calibri" w:hAnsi="Calibri"/>
          <w:noProof/>
          <w:sz w:val="22"/>
          <w:szCs w:val="22"/>
        </w:rPr>
      </w:pPr>
      <w:hyperlink w:anchor="_Toc255792970" w:history="1">
        <w:r w:rsidRPr="003B5CDE">
          <w:rPr>
            <w:rStyle w:val="Hyperlink"/>
            <w:bCs/>
            <w:noProof/>
          </w:rPr>
          <w:t>4. Protocol Development and Review</w:t>
        </w:r>
        <w:r>
          <w:rPr>
            <w:noProof/>
            <w:webHidden/>
          </w:rPr>
          <w:tab/>
        </w:r>
        <w:r>
          <w:rPr>
            <w:noProof/>
            <w:webHidden/>
          </w:rPr>
          <w:fldChar w:fldCharType="begin"/>
        </w:r>
        <w:r>
          <w:rPr>
            <w:noProof/>
            <w:webHidden/>
          </w:rPr>
          <w:instrText xml:space="preserve"> PAGEREF _Toc255792970 \h </w:instrText>
        </w:r>
        <w:r>
          <w:rPr>
            <w:noProof/>
          </w:rPr>
        </w:r>
        <w:r>
          <w:rPr>
            <w:noProof/>
            <w:webHidden/>
          </w:rPr>
          <w:fldChar w:fldCharType="separate"/>
        </w:r>
        <w:r>
          <w:rPr>
            <w:noProof/>
            <w:webHidden/>
          </w:rPr>
          <w:t>3</w:t>
        </w:r>
        <w:r>
          <w:rPr>
            <w:noProof/>
            <w:webHidden/>
          </w:rPr>
          <w:fldChar w:fldCharType="end"/>
        </w:r>
      </w:hyperlink>
    </w:p>
    <w:p w:rsidR="0022634E" w:rsidRDefault="0022634E" w:rsidP="00E12DF8">
      <w:pPr>
        <w:pStyle w:val="TOC3"/>
        <w:rPr>
          <w:rFonts w:ascii="Calibri" w:hAnsi="Calibri"/>
          <w:noProof/>
          <w:sz w:val="22"/>
          <w:szCs w:val="22"/>
        </w:rPr>
      </w:pPr>
      <w:hyperlink w:anchor="_Toc255792971" w:history="1">
        <w:r w:rsidRPr="003B5CDE">
          <w:rPr>
            <w:rStyle w:val="Hyperlink"/>
            <w:bCs/>
            <w:noProof/>
          </w:rPr>
          <w:t>5. Contact Information</w:t>
        </w:r>
        <w:r>
          <w:rPr>
            <w:noProof/>
            <w:webHidden/>
          </w:rPr>
          <w:tab/>
        </w:r>
        <w:r>
          <w:rPr>
            <w:noProof/>
            <w:webHidden/>
          </w:rPr>
          <w:fldChar w:fldCharType="begin"/>
        </w:r>
        <w:r>
          <w:rPr>
            <w:noProof/>
            <w:webHidden/>
          </w:rPr>
          <w:instrText xml:space="preserve"> PAGEREF _Toc255792971 \h </w:instrText>
        </w:r>
        <w:r>
          <w:rPr>
            <w:noProof/>
          </w:rPr>
        </w:r>
        <w:r>
          <w:rPr>
            <w:noProof/>
            <w:webHidden/>
          </w:rPr>
          <w:fldChar w:fldCharType="separate"/>
        </w:r>
        <w:r>
          <w:rPr>
            <w:noProof/>
            <w:webHidden/>
          </w:rPr>
          <w:t>3</w:t>
        </w:r>
        <w:r>
          <w:rPr>
            <w:noProof/>
            <w:webHidden/>
          </w:rPr>
          <w:fldChar w:fldCharType="end"/>
        </w:r>
      </w:hyperlink>
    </w:p>
    <w:p w:rsidR="0022634E" w:rsidRDefault="0022634E" w:rsidP="000E64B4">
      <w:pPr>
        <w:rPr>
          <w:caps/>
        </w:rPr>
      </w:pPr>
      <w:r>
        <w:rPr>
          <w:caps/>
        </w:rPr>
        <w:fldChar w:fldCharType="end"/>
      </w:r>
    </w:p>
    <w:p w:rsidR="0022634E" w:rsidRDefault="0022634E" w:rsidP="000E64B4">
      <w:pPr>
        <w:rPr>
          <w:caps/>
        </w:rPr>
      </w:pPr>
    </w:p>
    <w:p w:rsidR="0022634E" w:rsidRDefault="0022634E" w:rsidP="000E64B4">
      <w:pPr>
        <w:rPr>
          <w:caps/>
        </w:rPr>
        <w:sectPr w:rsidR="0022634E" w:rsidSect="00CE433F">
          <w:footerReference w:type="default" r:id="rId7"/>
          <w:footerReference w:type="first" r:id="rId8"/>
          <w:pgSz w:w="12240" w:h="15840" w:code="1"/>
          <w:pgMar w:top="1440" w:right="1440" w:bottom="1440" w:left="1440" w:header="720" w:footer="720" w:gutter="0"/>
          <w:pgNumType w:start="1"/>
          <w:cols w:space="720"/>
          <w:titlePg/>
          <w:docGrid w:linePitch="360"/>
        </w:sectPr>
      </w:pPr>
    </w:p>
    <w:p w:rsidR="0022634E" w:rsidRPr="000E64B4" w:rsidRDefault="0022634E" w:rsidP="000E64B4">
      <w:pPr>
        <w:jc w:val="center"/>
        <w:rPr>
          <w:rFonts w:ascii="Arial" w:hAnsi="Arial" w:cs="Arial"/>
          <w:b/>
          <w:caps/>
        </w:rPr>
      </w:pPr>
      <w:r w:rsidRPr="000E64B4">
        <w:rPr>
          <w:rFonts w:ascii="Arial" w:hAnsi="Arial" w:cs="Arial"/>
          <w:b/>
          <w:caps/>
        </w:rPr>
        <w:t>Request for Clearance of Data Collection Instruments for the</w:t>
      </w:r>
    </w:p>
    <w:p w:rsidR="0022634E" w:rsidRPr="000E64B4" w:rsidRDefault="0022634E" w:rsidP="000E64B4">
      <w:pPr>
        <w:jc w:val="center"/>
        <w:rPr>
          <w:rFonts w:ascii="Arial" w:hAnsi="Arial" w:cs="Arial"/>
          <w:b/>
          <w:caps/>
        </w:rPr>
      </w:pPr>
      <w:r w:rsidRPr="000E64B4">
        <w:rPr>
          <w:rFonts w:ascii="Arial" w:hAnsi="Arial" w:cs="Arial"/>
          <w:b/>
          <w:caps/>
        </w:rPr>
        <w:t>TEACHER INCENTIVE FUND EVALUATION</w:t>
      </w:r>
    </w:p>
    <w:p w:rsidR="0022634E" w:rsidRPr="00E12DF8" w:rsidRDefault="0022634E" w:rsidP="00E12DF8">
      <w:bookmarkStart w:id="0" w:name="_Toc231978486"/>
      <w:bookmarkStart w:id="1" w:name="_Toc255792952"/>
    </w:p>
    <w:p w:rsidR="0022634E" w:rsidRPr="00E12DF8" w:rsidRDefault="0022634E" w:rsidP="00E12DF8">
      <w:pPr>
        <w:jc w:val="center"/>
        <w:rPr>
          <w:rFonts w:ascii="Arial" w:hAnsi="Arial" w:cs="Arial"/>
          <w:b/>
        </w:rPr>
      </w:pPr>
      <w:r w:rsidRPr="00E12DF8">
        <w:rPr>
          <w:rFonts w:ascii="Arial" w:hAnsi="Arial" w:cs="Arial"/>
          <w:b/>
        </w:rPr>
        <w:t>II. SUPPORTING Statement For Paperwork Reduction Act Submission</w:t>
      </w:r>
      <w:bookmarkEnd w:id="0"/>
      <w:bookmarkEnd w:id="1"/>
    </w:p>
    <w:p w:rsidR="0022634E" w:rsidRDefault="0022634E" w:rsidP="000E64B4">
      <w:pPr>
        <w:pStyle w:val="Heading2"/>
        <w:spacing w:after="120"/>
        <w:rPr>
          <w:sz w:val="24"/>
        </w:rPr>
      </w:pPr>
      <w:bookmarkStart w:id="2" w:name="_Toc255792953"/>
      <w:r>
        <w:rPr>
          <w:sz w:val="24"/>
        </w:rPr>
        <w:t>B. Collections of Information Employing Statistical Methods</w:t>
      </w:r>
      <w:bookmarkEnd w:id="2"/>
    </w:p>
    <w:p w:rsidR="0022634E" w:rsidRPr="00252B49" w:rsidRDefault="0022634E" w:rsidP="00DB7BE0">
      <w:pPr>
        <w:pStyle w:val="Heading3"/>
        <w:spacing w:before="120" w:after="120"/>
        <w:ind w:left="623" w:hanging="623"/>
        <w:jc w:val="left"/>
        <w:rPr>
          <w:bCs/>
          <w:sz w:val="24"/>
          <w:szCs w:val="24"/>
        </w:rPr>
      </w:pPr>
      <w:bookmarkStart w:id="3" w:name="_Toc255244669"/>
      <w:bookmarkStart w:id="4" w:name="_Toc255792954"/>
      <w:r w:rsidRPr="00252B49">
        <w:rPr>
          <w:bCs/>
          <w:sz w:val="24"/>
          <w:szCs w:val="24"/>
        </w:rPr>
        <w:t>1. Respondent Universe and Sample Selection</w:t>
      </w:r>
      <w:bookmarkEnd w:id="3"/>
      <w:bookmarkEnd w:id="4"/>
      <w:r w:rsidRPr="00252B49">
        <w:rPr>
          <w:bCs/>
          <w:sz w:val="24"/>
          <w:szCs w:val="24"/>
        </w:rPr>
        <w:t xml:space="preserve"> </w:t>
      </w:r>
    </w:p>
    <w:p w:rsidR="0022634E" w:rsidRDefault="0022634E" w:rsidP="000C7C7F">
      <w:pPr>
        <w:spacing w:after="180"/>
        <w:ind w:firstLine="360"/>
      </w:pPr>
      <w:r w:rsidRPr="0002398E">
        <w:t xml:space="preserve">This revision request is for representative surveys of principals and teachers in all TIF grantee sites in </w:t>
      </w:r>
      <w:r>
        <w:t>w</w:t>
      </w:r>
      <w:r w:rsidRPr="0002398E">
        <w:t xml:space="preserve">inter 2011 and </w:t>
      </w:r>
      <w:r>
        <w:t xml:space="preserve">includes a discussion of the previously approved </w:t>
      </w:r>
      <w:r w:rsidRPr="0002398E">
        <w:t>site visits in fall 2010 and fall 2011. The proposed design for the principal and teacher surveys was developed with the primary goal of providing representative samples of principals and</w:t>
      </w:r>
      <w:r>
        <w:t xml:space="preserve"> </w:t>
      </w:r>
      <w:r w:rsidRPr="0002398E">
        <w:t>teachers from all sites to capture the full diversity of grantee efforts and measure both national and grantee-level estimates (when possible) with precision.</w:t>
      </w:r>
      <w:r w:rsidRPr="0002398E">
        <w:rPr>
          <w:rStyle w:val="FootnoteReference"/>
        </w:rPr>
        <w:footnoteReference w:id="1"/>
      </w:r>
      <w:r w:rsidRPr="0002398E">
        <w:t xml:space="preserve"> </w:t>
      </w:r>
    </w:p>
    <w:p w:rsidR="0022634E" w:rsidRPr="00252B49" w:rsidRDefault="0022634E" w:rsidP="000C7C7F">
      <w:pPr>
        <w:spacing w:after="180"/>
        <w:ind w:firstLine="360"/>
      </w:pPr>
      <w:r w:rsidRPr="0002398E">
        <w:t>Respondents for the</w:t>
      </w:r>
      <w:r>
        <w:t xml:space="preserve"> site visits will represent</w:t>
      </w:r>
      <w:r w:rsidRPr="00252B49">
        <w:t xml:space="preserve"> the range of participants and stakeholders in each grantee (key informants). These key informants will include TIF project staff members (e.g., project directors, evaluators), educators (e.g., teachers, principals), administrative staff (e.g., district superintendent, State administrator) and other stakeholders (e.g. representatives of partner organizations, representatives of parent organizations, teacher association officials). </w:t>
      </w:r>
      <w:r>
        <w:t xml:space="preserve">The study team </w:t>
      </w:r>
      <w:r w:rsidRPr="00252B49">
        <w:t xml:space="preserve">will work with the TIF project director in each grantee to identify key informants. </w:t>
      </w:r>
    </w:p>
    <w:p w:rsidR="0022634E" w:rsidRPr="00B908EF" w:rsidRDefault="0022634E" w:rsidP="00936E24">
      <w:pPr>
        <w:pStyle w:val="NormalWeb"/>
        <w:spacing w:before="0" w:beforeAutospacing="0" w:after="200" w:afterAutospacing="0"/>
        <w:rPr>
          <w:b/>
        </w:rPr>
      </w:pPr>
      <w:r w:rsidRPr="00B908EF">
        <w:rPr>
          <w:b/>
        </w:rPr>
        <w:t>Teacher Principal Survey</w:t>
      </w:r>
    </w:p>
    <w:p w:rsidR="0022634E" w:rsidRPr="0002398E" w:rsidRDefault="0022634E" w:rsidP="000C7C7F">
      <w:pPr>
        <w:spacing w:after="180"/>
        <w:ind w:firstLine="360"/>
        <w:rPr>
          <w:szCs w:val="24"/>
        </w:rPr>
      </w:pPr>
      <w:r w:rsidRPr="000C7C7F">
        <w:t>Below</w:t>
      </w:r>
      <w:r w:rsidRPr="0002398E">
        <w:rPr>
          <w:szCs w:val="24"/>
        </w:rPr>
        <w:t xml:space="preserve"> we discuss the sampling design for the principal and teacher surveys, highlighting differences in design. Five principles guide the proposed sample design: </w:t>
      </w:r>
    </w:p>
    <w:p w:rsidR="0022634E" w:rsidRPr="0002398E" w:rsidRDefault="0022634E" w:rsidP="00B67EC3">
      <w:pPr>
        <w:pStyle w:val="NormalWeb"/>
        <w:spacing w:before="0" w:beforeAutospacing="0" w:after="200" w:afterAutospacing="0"/>
        <w:ind w:left="720" w:hanging="360"/>
      </w:pPr>
      <w:r w:rsidRPr="0002398E">
        <w:t>1. The sample will represent the full diversity of the efforts undertaken by the 33 grantees.</w:t>
      </w:r>
    </w:p>
    <w:p w:rsidR="0022634E" w:rsidRPr="0002398E" w:rsidRDefault="0022634E" w:rsidP="00B67EC3">
      <w:pPr>
        <w:pStyle w:val="NormalWeb"/>
        <w:spacing w:before="0" w:beforeAutospacing="0" w:after="200" w:afterAutospacing="0"/>
        <w:ind w:left="720" w:hanging="360"/>
      </w:pPr>
      <w:r w:rsidRPr="0002398E">
        <w:t xml:space="preserve">2. The sample will allow a national estimate to be measured with precision. </w:t>
      </w:r>
    </w:p>
    <w:p w:rsidR="0022634E" w:rsidRPr="0002398E" w:rsidRDefault="0022634E" w:rsidP="00B67EC3">
      <w:pPr>
        <w:pStyle w:val="NormalWeb"/>
        <w:spacing w:before="0" w:beforeAutospacing="0" w:after="200" w:afterAutospacing="0"/>
        <w:ind w:left="720" w:hanging="360"/>
      </w:pPr>
      <w:r w:rsidRPr="0002398E">
        <w:t>3. The sample will allow grantee-level estimates to be measured with precision where the grantee’s size permits.</w:t>
      </w:r>
    </w:p>
    <w:p w:rsidR="0022634E" w:rsidRPr="0002398E" w:rsidRDefault="0022634E" w:rsidP="00B67EC3">
      <w:pPr>
        <w:pStyle w:val="NormalWeb"/>
        <w:spacing w:before="0" w:beforeAutospacing="0" w:after="200" w:afterAutospacing="0"/>
        <w:ind w:left="720" w:hanging="360"/>
      </w:pPr>
      <w:r w:rsidRPr="0002398E">
        <w:t>4. The sample will yield data from all 33 grantees.</w:t>
      </w:r>
    </w:p>
    <w:p w:rsidR="0022634E" w:rsidRPr="0002398E" w:rsidRDefault="0022634E" w:rsidP="00B67EC3">
      <w:pPr>
        <w:pStyle w:val="NormalWeb"/>
        <w:spacing w:before="0" w:beforeAutospacing="0" w:after="200" w:afterAutospacing="0"/>
        <w:ind w:left="720" w:hanging="360"/>
      </w:pPr>
      <w:r w:rsidRPr="0002398E">
        <w:t xml:space="preserve">5. The sample shall control data collection costs. </w:t>
      </w:r>
    </w:p>
    <w:p w:rsidR="0022634E" w:rsidRPr="0002398E" w:rsidRDefault="0022634E" w:rsidP="000C7C7F">
      <w:pPr>
        <w:spacing w:after="180"/>
        <w:ind w:firstLine="360"/>
      </w:pPr>
      <w:r w:rsidRPr="0002398E">
        <w:t>One of the motivations for adding a survey to that evaluation is that it is the only means of collecting comparable data on the workings of the program from all 33 sites. The information currently available suggests the approaches taken across the 33 grantees vary su</w:t>
      </w:r>
      <w:smartTag w:uri="urn:schemas-microsoft-com:office:smarttags" w:element="PersonName">
        <w:r w:rsidRPr="0002398E">
          <w:t>bs</w:t>
        </w:r>
      </w:smartTag>
      <w:r w:rsidRPr="0002398E">
        <w:t>tantially, which causes us to believe grantee-level estimates will significantly enhance our understanding of TIF’s effects.</w:t>
      </w:r>
      <w:r>
        <w:t xml:space="preserve"> The feasibility report results will be provided to OMB and the proposal for the outcomes study will be discussed with OMB prior to any submission. </w:t>
      </w:r>
    </w:p>
    <w:p w:rsidR="0022634E" w:rsidRDefault="0022634E">
      <w:r>
        <w:br w:type="page"/>
      </w:r>
    </w:p>
    <w:p w:rsidR="0022634E" w:rsidRPr="0002398E" w:rsidRDefault="0022634E" w:rsidP="000C7C7F">
      <w:pPr>
        <w:spacing w:after="180"/>
        <w:ind w:firstLine="360"/>
      </w:pPr>
      <w:r w:rsidRPr="0002398E">
        <w:t>As part of the telephone data collection activities described in the previously approved collection</w:t>
      </w:r>
      <w:r>
        <w:t xml:space="preserve"> (completed)</w:t>
      </w:r>
      <w:r w:rsidRPr="0002398E">
        <w:t>, researchers gather</w:t>
      </w:r>
      <w:r>
        <w:t>ed</w:t>
      </w:r>
      <w:r w:rsidRPr="0002398E">
        <w:t xml:space="preserve"> up-to-date information on grantee size and use those figures in the survey sampling design. The numbers presented here do not distinguish between participating eligible teachers or principals and nonparticipating eligible teachers or principals (i.e., eligible teachers who opted out of the TIF project). For many grantees this is not an issue because participation in at least some aspect of TIF is required for all teachers and principals.</w:t>
      </w:r>
    </w:p>
    <w:p w:rsidR="0022634E" w:rsidRPr="00B908EF" w:rsidRDefault="0022634E" w:rsidP="00B908EF">
      <w:pPr>
        <w:pStyle w:val="NormalWeb"/>
        <w:spacing w:before="0" w:beforeAutospacing="0" w:after="200" w:afterAutospacing="0"/>
        <w:ind w:left="360"/>
        <w:rPr>
          <w:b/>
        </w:rPr>
      </w:pPr>
      <w:r w:rsidRPr="00B908EF">
        <w:rPr>
          <w:b/>
        </w:rPr>
        <w:t>Principal Survey</w:t>
      </w:r>
    </w:p>
    <w:p w:rsidR="0022634E" w:rsidRPr="0002398E" w:rsidRDefault="0022634E" w:rsidP="000C7C7F">
      <w:pPr>
        <w:spacing w:after="180"/>
        <w:ind w:firstLine="360"/>
      </w:pPr>
      <w:r w:rsidRPr="0002398E">
        <w:t xml:space="preserve">We will aim to obtain random sample of participating principals from all grantees. Because most grantees have a relatively small number of schools (and, therefore, principals), it is not possible to obtain grantee-level estimates of principals’ responses with any degree of precision for most grantees. The sampling is designed instead to provide enough power to conduct comparisons of principals’ responses between two subgroups of grantees (e.g., prior grantee experience with educator performance pay vs. new to performance pay) with relative precision. Additionally, to insure that the resulting estimates are representative of the TIF project as a whole and can facilitate comparisons across a range of potential subgroups, the sample will include at least 15 schools for all grantees (or all schools in the grantee, if that is fewer than 15 schools); and will not sample more than 60 schools from any grantee. </w:t>
      </w:r>
    </w:p>
    <w:p w:rsidR="0022634E" w:rsidRPr="001E126D" w:rsidRDefault="0022634E" w:rsidP="000C7C7F">
      <w:pPr>
        <w:spacing w:after="180"/>
        <w:ind w:firstLine="360"/>
      </w:pPr>
      <w:r w:rsidRPr="0002398E">
        <w:t xml:space="preserve">Based on those parameters, Exhibit B1 presents the distribution of principal surveys across the 33 grantees following the procedure described above. Each row refers to a specific grantee. The first column presents the number of schools per grantee which corresponds to the number of principals (assuming one principal per school). Column 2 presents the grantee’s schools/principals as a proportion of the national TIF school/principal population. Column </w:t>
      </w:r>
      <w:r>
        <w:t xml:space="preserve">3 </w:t>
      </w:r>
      <w:r w:rsidRPr="0002398E">
        <w:t>lists the number of principal surveys fielded following the imposition of a minimum sample size of 15 and a maximum sample size of 60. Assuming an 80 percent response rate, column 4 lists the number of completed principal surveys by grantee. The final column shows the implied standard error for a mean of 0.5 and moderate school-level clustering of teacher responses (rho=0.2).</w:t>
      </w:r>
      <w:r>
        <w:t xml:space="preserve"> </w:t>
      </w:r>
      <w:r w:rsidRPr="0002398E">
        <w:t>Our calculations estimate a standard error of 0.024 for a survey of 52</w:t>
      </w:r>
      <w:r>
        <w:t>6</w:t>
      </w:r>
      <w:r w:rsidRPr="0002398E">
        <w:t xml:space="preserve"> principals (or a sample of approximately 65</w:t>
      </w:r>
      <w:r>
        <w:t>7</w:t>
      </w:r>
      <w:r w:rsidRPr="0002398E">
        <w:t xml:space="preserve"> principals assuming a response rate of 80%).</w:t>
      </w:r>
    </w:p>
    <w:p w:rsidR="0022634E" w:rsidRDefault="0022634E">
      <w:pPr>
        <w:rPr>
          <w:rFonts w:ascii="Arial" w:hAnsi="Arial"/>
          <w:b/>
          <w:sz w:val="20"/>
        </w:rPr>
      </w:pPr>
      <w:bookmarkStart w:id="5" w:name="_Toc255244670"/>
      <w:bookmarkStart w:id="6" w:name="_Toc255792955"/>
      <w:r>
        <w:br w:type="page"/>
      </w:r>
    </w:p>
    <w:p w:rsidR="0022634E" w:rsidRPr="00442D6A" w:rsidRDefault="0022634E" w:rsidP="00442D6A">
      <w:pPr>
        <w:pStyle w:val="Heading3"/>
      </w:pPr>
      <w:r w:rsidRPr="00442D6A">
        <w:t>Exhibit B1. Sample Reflecting 5</w:t>
      </w:r>
      <w:r>
        <w:t>00</w:t>
      </w:r>
      <w:r w:rsidRPr="00442D6A">
        <w:t xml:space="preserve"> Completed Principal Surveys</w:t>
      </w:r>
      <w:bookmarkEnd w:id="5"/>
      <w:bookmarkEnd w:id="6"/>
    </w:p>
    <w:p w:rsidR="0022634E" w:rsidRPr="00442D6A" w:rsidRDefault="0022634E" w:rsidP="00442D6A">
      <w:pPr>
        <w:pStyle w:val="Heading3"/>
      </w:pPr>
      <w:bookmarkStart w:id="7" w:name="_Toc255244671"/>
      <w:bookmarkStart w:id="8" w:name="_Toc255792956"/>
      <w:r w:rsidRPr="00442D6A">
        <w:t>Implied Standard Errors by Site and Nationally for a Mean of 0.5, Moderate School-level Clustering of Rho=0.2</w:t>
      </w:r>
      <w:bookmarkEnd w:id="7"/>
      <w:bookmarkEnd w:id="8"/>
      <w: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72"/>
        <w:gridCol w:w="1915"/>
        <w:gridCol w:w="1743"/>
        <w:gridCol w:w="1137"/>
        <w:gridCol w:w="1620"/>
        <w:gridCol w:w="1620"/>
      </w:tblGrid>
      <w:tr w:rsidR="0022634E" w:rsidRPr="006A1973" w:rsidTr="00CE433F">
        <w:tc>
          <w:tcPr>
            <w:tcW w:w="1472" w:type="dxa"/>
            <w:vMerge w:val="restart"/>
            <w:shd w:val="pct15" w:color="auto" w:fill="auto"/>
            <w:vAlign w:val="center"/>
          </w:tcPr>
          <w:p w:rsidR="0022634E" w:rsidRPr="003F3933" w:rsidRDefault="0022634E" w:rsidP="00D0714F">
            <w:pPr>
              <w:rPr>
                <w:b/>
                <w:sz w:val="20"/>
              </w:rPr>
            </w:pPr>
            <w:r w:rsidRPr="003F3933">
              <w:rPr>
                <w:b/>
                <w:sz w:val="20"/>
              </w:rPr>
              <w:t>Grantee</w:t>
            </w:r>
          </w:p>
        </w:tc>
        <w:tc>
          <w:tcPr>
            <w:tcW w:w="1915" w:type="dxa"/>
            <w:shd w:val="pct15" w:color="auto" w:fill="auto"/>
            <w:noWrap/>
            <w:vAlign w:val="center"/>
          </w:tcPr>
          <w:p w:rsidR="0022634E" w:rsidRPr="003F3933" w:rsidRDefault="0022634E" w:rsidP="00D0714F">
            <w:pPr>
              <w:jc w:val="center"/>
              <w:rPr>
                <w:b/>
                <w:sz w:val="20"/>
              </w:rPr>
            </w:pPr>
            <w:r w:rsidRPr="003F3933">
              <w:rPr>
                <w:b/>
                <w:sz w:val="20"/>
              </w:rPr>
              <w:t>(1)</w:t>
            </w:r>
          </w:p>
        </w:tc>
        <w:tc>
          <w:tcPr>
            <w:tcW w:w="1743" w:type="dxa"/>
            <w:shd w:val="pct15" w:color="auto" w:fill="auto"/>
            <w:noWrap/>
            <w:vAlign w:val="center"/>
          </w:tcPr>
          <w:p w:rsidR="0022634E" w:rsidRPr="003F3933" w:rsidRDefault="0022634E" w:rsidP="00D0714F">
            <w:pPr>
              <w:jc w:val="center"/>
              <w:rPr>
                <w:b/>
                <w:sz w:val="20"/>
              </w:rPr>
            </w:pPr>
            <w:r w:rsidRPr="003F3933">
              <w:rPr>
                <w:b/>
                <w:sz w:val="20"/>
              </w:rPr>
              <w:t>(2)</w:t>
            </w:r>
          </w:p>
        </w:tc>
        <w:tc>
          <w:tcPr>
            <w:tcW w:w="1137" w:type="dxa"/>
            <w:shd w:val="pct15" w:color="auto" w:fill="auto"/>
          </w:tcPr>
          <w:p w:rsidR="0022634E" w:rsidRPr="003F3933" w:rsidRDefault="0022634E" w:rsidP="003F3933">
            <w:pPr>
              <w:jc w:val="center"/>
              <w:rPr>
                <w:b/>
                <w:sz w:val="20"/>
              </w:rPr>
            </w:pPr>
            <w:r>
              <w:rPr>
                <w:b/>
                <w:sz w:val="20"/>
              </w:rPr>
              <w:t>(3)</w:t>
            </w:r>
          </w:p>
        </w:tc>
        <w:tc>
          <w:tcPr>
            <w:tcW w:w="1620" w:type="dxa"/>
            <w:shd w:val="pct15" w:color="auto" w:fill="auto"/>
            <w:vAlign w:val="center"/>
          </w:tcPr>
          <w:p w:rsidR="0022634E" w:rsidRPr="003F3933" w:rsidRDefault="0022634E" w:rsidP="003F3933">
            <w:pPr>
              <w:jc w:val="center"/>
              <w:rPr>
                <w:b/>
                <w:sz w:val="20"/>
              </w:rPr>
            </w:pPr>
            <w:r w:rsidRPr="003F3933">
              <w:rPr>
                <w:b/>
                <w:sz w:val="20"/>
              </w:rPr>
              <w:t>(</w:t>
            </w:r>
            <w:r>
              <w:rPr>
                <w:b/>
                <w:sz w:val="20"/>
              </w:rPr>
              <w:t>4</w:t>
            </w:r>
            <w:r w:rsidRPr="003F3933">
              <w:rPr>
                <w:b/>
                <w:sz w:val="20"/>
              </w:rPr>
              <w:t>)</w:t>
            </w:r>
          </w:p>
        </w:tc>
        <w:tc>
          <w:tcPr>
            <w:tcW w:w="1620" w:type="dxa"/>
            <w:shd w:val="pct15" w:color="auto" w:fill="auto"/>
            <w:vAlign w:val="center"/>
          </w:tcPr>
          <w:p w:rsidR="0022634E" w:rsidRPr="003F3933" w:rsidRDefault="0022634E" w:rsidP="003F3933">
            <w:pPr>
              <w:jc w:val="center"/>
              <w:rPr>
                <w:b/>
                <w:bCs/>
                <w:sz w:val="20"/>
              </w:rPr>
            </w:pPr>
            <w:r w:rsidRPr="003F3933">
              <w:rPr>
                <w:b/>
                <w:bCs/>
                <w:sz w:val="20"/>
              </w:rPr>
              <w:t>(</w:t>
            </w:r>
            <w:r>
              <w:rPr>
                <w:b/>
                <w:bCs/>
                <w:sz w:val="20"/>
              </w:rPr>
              <w:t>5</w:t>
            </w:r>
            <w:r w:rsidRPr="003F3933">
              <w:rPr>
                <w:b/>
                <w:bCs/>
                <w:sz w:val="20"/>
              </w:rPr>
              <w:t>)</w:t>
            </w:r>
          </w:p>
        </w:tc>
      </w:tr>
      <w:tr w:rsidR="0022634E" w:rsidRPr="0082683A" w:rsidTr="00CE433F">
        <w:tc>
          <w:tcPr>
            <w:tcW w:w="1472" w:type="dxa"/>
            <w:vMerge/>
            <w:shd w:val="pct15" w:color="auto" w:fill="auto"/>
            <w:vAlign w:val="center"/>
          </w:tcPr>
          <w:p w:rsidR="0022634E" w:rsidRPr="003F3933" w:rsidRDefault="0022634E" w:rsidP="00D0714F">
            <w:pPr>
              <w:rPr>
                <w:b/>
                <w:sz w:val="20"/>
              </w:rPr>
            </w:pPr>
          </w:p>
        </w:tc>
        <w:tc>
          <w:tcPr>
            <w:tcW w:w="1915" w:type="dxa"/>
            <w:shd w:val="pct15" w:color="auto" w:fill="auto"/>
            <w:noWrap/>
            <w:vAlign w:val="center"/>
          </w:tcPr>
          <w:p w:rsidR="0022634E" w:rsidRPr="003F3933" w:rsidRDefault="0022634E" w:rsidP="00D0714F">
            <w:pPr>
              <w:jc w:val="center"/>
              <w:rPr>
                <w:b/>
                <w:sz w:val="20"/>
              </w:rPr>
            </w:pPr>
            <w:r w:rsidRPr="003F3933">
              <w:rPr>
                <w:b/>
                <w:sz w:val="20"/>
              </w:rPr>
              <w:t>Number of schools/principals</w:t>
            </w:r>
          </w:p>
        </w:tc>
        <w:tc>
          <w:tcPr>
            <w:tcW w:w="1743" w:type="dxa"/>
            <w:shd w:val="pct15" w:color="auto" w:fill="auto"/>
            <w:noWrap/>
            <w:vAlign w:val="center"/>
          </w:tcPr>
          <w:p w:rsidR="0022634E" w:rsidRPr="003F3933" w:rsidRDefault="0022634E" w:rsidP="00D0714F">
            <w:pPr>
              <w:jc w:val="center"/>
              <w:rPr>
                <w:b/>
                <w:sz w:val="20"/>
              </w:rPr>
            </w:pPr>
            <w:r w:rsidRPr="003F3933">
              <w:rPr>
                <w:b/>
                <w:sz w:val="20"/>
              </w:rPr>
              <w:t>Percent of all grantee principals represented</w:t>
            </w:r>
          </w:p>
        </w:tc>
        <w:tc>
          <w:tcPr>
            <w:tcW w:w="1137" w:type="dxa"/>
            <w:shd w:val="pct15" w:color="auto" w:fill="auto"/>
          </w:tcPr>
          <w:p w:rsidR="0022634E" w:rsidRPr="003F3933" w:rsidRDefault="0022634E" w:rsidP="004B3DFF">
            <w:pPr>
              <w:jc w:val="center"/>
              <w:rPr>
                <w:b/>
                <w:sz w:val="20"/>
              </w:rPr>
            </w:pPr>
            <w:r>
              <w:rPr>
                <w:b/>
                <w:sz w:val="20"/>
              </w:rPr>
              <w:t>Number of fielded principal surveys</w:t>
            </w:r>
          </w:p>
        </w:tc>
        <w:tc>
          <w:tcPr>
            <w:tcW w:w="1620" w:type="dxa"/>
            <w:shd w:val="pct15" w:color="auto" w:fill="auto"/>
            <w:vAlign w:val="center"/>
          </w:tcPr>
          <w:p w:rsidR="0022634E" w:rsidRPr="003F3933" w:rsidRDefault="0022634E" w:rsidP="004B3DFF">
            <w:pPr>
              <w:jc w:val="center"/>
              <w:rPr>
                <w:b/>
                <w:sz w:val="20"/>
              </w:rPr>
            </w:pPr>
            <w:r w:rsidRPr="003F3933">
              <w:rPr>
                <w:b/>
                <w:sz w:val="20"/>
              </w:rPr>
              <w:t xml:space="preserve">Number of completed surveys </w:t>
            </w:r>
            <w:r>
              <w:rPr>
                <w:b/>
                <w:sz w:val="20"/>
              </w:rPr>
              <w:t>(80% response rate)</w:t>
            </w:r>
          </w:p>
        </w:tc>
        <w:tc>
          <w:tcPr>
            <w:tcW w:w="1620" w:type="dxa"/>
            <w:shd w:val="pct15" w:color="auto" w:fill="auto"/>
            <w:vAlign w:val="center"/>
          </w:tcPr>
          <w:p w:rsidR="0022634E" w:rsidRPr="003F3933" w:rsidRDefault="0022634E" w:rsidP="00D0714F">
            <w:pPr>
              <w:jc w:val="center"/>
              <w:rPr>
                <w:b/>
                <w:bCs/>
                <w:sz w:val="20"/>
              </w:rPr>
            </w:pPr>
            <w:r w:rsidRPr="003F3933">
              <w:rPr>
                <w:b/>
                <w:bCs/>
                <w:sz w:val="20"/>
              </w:rPr>
              <w:t>Implied standard error for mean of 0.5 (rho=0.2)</w:t>
            </w:r>
          </w:p>
        </w:tc>
      </w:tr>
      <w:tr w:rsidR="0022634E" w:rsidRPr="0082683A" w:rsidTr="00CE433F">
        <w:tc>
          <w:tcPr>
            <w:tcW w:w="1472" w:type="dxa"/>
            <w:vAlign w:val="bottom"/>
          </w:tcPr>
          <w:p w:rsidR="0022634E" w:rsidRPr="002B610E" w:rsidRDefault="0022634E">
            <w:pPr>
              <w:rPr>
                <w:sz w:val="20"/>
              </w:rPr>
            </w:pPr>
            <w:r w:rsidRPr="002B610E">
              <w:rPr>
                <w:sz w:val="20"/>
              </w:rPr>
              <w:t>Grantee 1</w:t>
            </w:r>
          </w:p>
        </w:tc>
        <w:tc>
          <w:tcPr>
            <w:tcW w:w="1915" w:type="dxa"/>
            <w:noWrap/>
            <w:vAlign w:val="bottom"/>
          </w:tcPr>
          <w:p w:rsidR="0022634E" w:rsidRPr="002B610E" w:rsidRDefault="0022634E">
            <w:pPr>
              <w:jc w:val="center"/>
              <w:rPr>
                <w:sz w:val="20"/>
              </w:rPr>
            </w:pPr>
            <w:r w:rsidRPr="002B610E">
              <w:rPr>
                <w:sz w:val="20"/>
              </w:rPr>
              <w:t>26</w:t>
            </w:r>
          </w:p>
        </w:tc>
        <w:tc>
          <w:tcPr>
            <w:tcW w:w="1743" w:type="dxa"/>
            <w:noWrap/>
            <w:vAlign w:val="bottom"/>
          </w:tcPr>
          <w:p w:rsidR="0022634E" w:rsidRPr="002B610E" w:rsidRDefault="0022634E">
            <w:pPr>
              <w:jc w:val="center"/>
              <w:rPr>
                <w:sz w:val="20"/>
              </w:rPr>
            </w:pPr>
            <w:r w:rsidRPr="002B610E">
              <w:rPr>
                <w:sz w:val="20"/>
              </w:rPr>
              <w:t>2.3%</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2683A" w:rsidTr="00CE433F">
        <w:tc>
          <w:tcPr>
            <w:tcW w:w="1472" w:type="dxa"/>
            <w:vAlign w:val="bottom"/>
          </w:tcPr>
          <w:p w:rsidR="0022634E" w:rsidRPr="002B610E" w:rsidRDefault="0022634E">
            <w:pPr>
              <w:rPr>
                <w:sz w:val="20"/>
              </w:rPr>
            </w:pPr>
            <w:r w:rsidRPr="002B610E">
              <w:rPr>
                <w:sz w:val="20"/>
              </w:rPr>
              <w:t>Grantee 2</w:t>
            </w:r>
          </w:p>
        </w:tc>
        <w:tc>
          <w:tcPr>
            <w:tcW w:w="1915" w:type="dxa"/>
            <w:noWrap/>
            <w:vAlign w:val="bottom"/>
          </w:tcPr>
          <w:p w:rsidR="0022634E" w:rsidRPr="002B610E" w:rsidRDefault="0022634E">
            <w:pPr>
              <w:jc w:val="center"/>
              <w:rPr>
                <w:sz w:val="20"/>
              </w:rPr>
            </w:pPr>
            <w:r w:rsidRPr="002B610E">
              <w:rPr>
                <w:sz w:val="20"/>
              </w:rPr>
              <w:t>11</w:t>
            </w:r>
          </w:p>
        </w:tc>
        <w:tc>
          <w:tcPr>
            <w:tcW w:w="1743" w:type="dxa"/>
            <w:noWrap/>
            <w:vAlign w:val="bottom"/>
          </w:tcPr>
          <w:p w:rsidR="0022634E" w:rsidRPr="002B610E" w:rsidRDefault="0022634E">
            <w:pPr>
              <w:jc w:val="center"/>
              <w:rPr>
                <w:sz w:val="20"/>
              </w:rPr>
            </w:pPr>
            <w:r w:rsidRPr="002B610E">
              <w:rPr>
                <w:sz w:val="20"/>
              </w:rPr>
              <w:t>1.0%</w:t>
            </w:r>
          </w:p>
        </w:tc>
        <w:tc>
          <w:tcPr>
            <w:tcW w:w="1137" w:type="dxa"/>
            <w:vAlign w:val="bottom"/>
          </w:tcPr>
          <w:p w:rsidR="0022634E" w:rsidRPr="002B610E" w:rsidRDefault="0022634E">
            <w:pPr>
              <w:jc w:val="center"/>
              <w:rPr>
                <w:sz w:val="20"/>
              </w:rPr>
            </w:pPr>
            <w:r w:rsidRPr="002B610E">
              <w:rPr>
                <w:sz w:val="20"/>
              </w:rPr>
              <w:t>11</w:t>
            </w:r>
          </w:p>
        </w:tc>
        <w:tc>
          <w:tcPr>
            <w:tcW w:w="1620" w:type="dxa"/>
            <w:vAlign w:val="bottom"/>
          </w:tcPr>
          <w:p w:rsidR="0022634E" w:rsidRPr="002B610E" w:rsidRDefault="0022634E">
            <w:pPr>
              <w:jc w:val="center"/>
              <w:rPr>
                <w:sz w:val="20"/>
              </w:rPr>
            </w:pPr>
            <w:r w:rsidRPr="002B610E">
              <w:rPr>
                <w:sz w:val="20"/>
              </w:rPr>
              <w:t>9</w:t>
            </w:r>
          </w:p>
        </w:tc>
        <w:tc>
          <w:tcPr>
            <w:tcW w:w="1620" w:type="dxa"/>
            <w:vAlign w:val="bottom"/>
          </w:tcPr>
          <w:p w:rsidR="0022634E" w:rsidRPr="002B610E" w:rsidRDefault="0022634E">
            <w:pPr>
              <w:jc w:val="center"/>
              <w:rPr>
                <w:b/>
                <w:bCs/>
                <w:sz w:val="20"/>
              </w:rPr>
            </w:pPr>
            <w:r w:rsidRPr="002B610E">
              <w:rPr>
                <w:b/>
                <w:bCs/>
                <w:sz w:val="20"/>
              </w:rPr>
              <w:t>0.151</w:t>
            </w:r>
          </w:p>
        </w:tc>
      </w:tr>
      <w:tr w:rsidR="0022634E" w:rsidRPr="0082683A" w:rsidTr="00CE433F">
        <w:tc>
          <w:tcPr>
            <w:tcW w:w="1472" w:type="dxa"/>
            <w:vAlign w:val="bottom"/>
          </w:tcPr>
          <w:p w:rsidR="0022634E" w:rsidRPr="002B610E" w:rsidRDefault="0022634E">
            <w:pPr>
              <w:rPr>
                <w:sz w:val="20"/>
              </w:rPr>
            </w:pPr>
            <w:r w:rsidRPr="002B610E">
              <w:rPr>
                <w:sz w:val="20"/>
              </w:rPr>
              <w:t>Grantee 3</w:t>
            </w:r>
          </w:p>
        </w:tc>
        <w:tc>
          <w:tcPr>
            <w:tcW w:w="1915" w:type="dxa"/>
            <w:noWrap/>
            <w:vAlign w:val="bottom"/>
          </w:tcPr>
          <w:p w:rsidR="0022634E" w:rsidRPr="002B610E" w:rsidRDefault="0022634E">
            <w:pPr>
              <w:jc w:val="center"/>
              <w:rPr>
                <w:sz w:val="20"/>
              </w:rPr>
            </w:pPr>
            <w:r w:rsidRPr="002B610E">
              <w:rPr>
                <w:sz w:val="20"/>
              </w:rPr>
              <w:t>18</w:t>
            </w:r>
          </w:p>
        </w:tc>
        <w:tc>
          <w:tcPr>
            <w:tcW w:w="1743" w:type="dxa"/>
            <w:noWrap/>
            <w:vAlign w:val="bottom"/>
          </w:tcPr>
          <w:p w:rsidR="0022634E" w:rsidRPr="002B610E" w:rsidRDefault="0022634E">
            <w:pPr>
              <w:jc w:val="center"/>
              <w:rPr>
                <w:sz w:val="20"/>
              </w:rPr>
            </w:pPr>
            <w:r w:rsidRPr="002B610E">
              <w:rPr>
                <w:sz w:val="20"/>
              </w:rPr>
              <w:t>1.6%</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2683A" w:rsidTr="00CE433F">
        <w:tc>
          <w:tcPr>
            <w:tcW w:w="1472" w:type="dxa"/>
            <w:vAlign w:val="bottom"/>
          </w:tcPr>
          <w:p w:rsidR="0022634E" w:rsidRPr="002B610E" w:rsidRDefault="0022634E">
            <w:pPr>
              <w:rPr>
                <w:sz w:val="20"/>
              </w:rPr>
            </w:pPr>
            <w:r w:rsidRPr="002B610E">
              <w:rPr>
                <w:sz w:val="20"/>
              </w:rPr>
              <w:t>Grantee 4</w:t>
            </w:r>
          </w:p>
        </w:tc>
        <w:tc>
          <w:tcPr>
            <w:tcW w:w="1915" w:type="dxa"/>
            <w:noWrap/>
            <w:vAlign w:val="bottom"/>
          </w:tcPr>
          <w:p w:rsidR="0022634E" w:rsidRPr="002B610E" w:rsidRDefault="0022634E">
            <w:pPr>
              <w:jc w:val="center"/>
              <w:rPr>
                <w:sz w:val="20"/>
              </w:rPr>
            </w:pPr>
            <w:r w:rsidRPr="002B610E">
              <w:rPr>
                <w:sz w:val="20"/>
              </w:rPr>
              <w:t>132</w:t>
            </w:r>
          </w:p>
        </w:tc>
        <w:tc>
          <w:tcPr>
            <w:tcW w:w="1743" w:type="dxa"/>
            <w:noWrap/>
            <w:vAlign w:val="bottom"/>
          </w:tcPr>
          <w:p w:rsidR="0022634E" w:rsidRPr="002B610E" w:rsidRDefault="0022634E">
            <w:pPr>
              <w:jc w:val="center"/>
              <w:rPr>
                <w:sz w:val="20"/>
              </w:rPr>
            </w:pPr>
            <w:r w:rsidRPr="002B610E">
              <w:rPr>
                <w:sz w:val="20"/>
              </w:rPr>
              <w:t>11.6%</w:t>
            </w:r>
          </w:p>
        </w:tc>
        <w:tc>
          <w:tcPr>
            <w:tcW w:w="1137" w:type="dxa"/>
            <w:vAlign w:val="bottom"/>
          </w:tcPr>
          <w:p w:rsidR="0022634E" w:rsidRPr="002B610E" w:rsidRDefault="0022634E">
            <w:pPr>
              <w:jc w:val="center"/>
              <w:rPr>
                <w:sz w:val="20"/>
              </w:rPr>
            </w:pPr>
            <w:r w:rsidRPr="002B610E">
              <w:rPr>
                <w:sz w:val="20"/>
              </w:rPr>
              <w:t>72</w:t>
            </w:r>
          </w:p>
        </w:tc>
        <w:tc>
          <w:tcPr>
            <w:tcW w:w="1620" w:type="dxa"/>
            <w:vAlign w:val="bottom"/>
          </w:tcPr>
          <w:p w:rsidR="0022634E" w:rsidRPr="002B610E" w:rsidRDefault="0022634E">
            <w:pPr>
              <w:jc w:val="center"/>
              <w:rPr>
                <w:sz w:val="20"/>
              </w:rPr>
            </w:pPr>
            <w:r w:rsidRPr="002B610E">
              <w:rPr>
                <w:sz w:val="20"/>
              </w:rPr>
              <w:t>58</w:t>
            </w:r>
          </w:p>
        </w:tc>
        <w:tc>
          <w:tcPr>
            <w:tcW w:w="1620" w:type="dxa"/>
            <w:vAlign w:val="bottom"/>
          </w:tcPr>
          <w:p w:rsidR="0022634E" w:rsidRPr="002B610E" w:rsidRDefault="0022634E">
            <w:pPr>
              <w:jc w:val="center"/>
              <w:rPr>
                <w:b/>
                <w:bCs/>
                <w:sz w:val="20"/>
              </w:rPr>
            </w:pPr>
            <w:r w:rsidRPr="002B610E">
              <w:rPr>
                <w:b/>
                <w:bCs/>
                <w:sz w:val="20"/>
              </w:rPr>
              <w:t>0.065</w:t>
            </w:r>
          </w:p>
        </w:tc>
      </w:tr>
      <w:tr w:rsidR="0022634E" w:rsidRPr="0082683A" w:rsidTr="00CE433F">
        <w:tc>
          <w:tcPr>
            <w:tcW w:w="1472" w:type="dxa"/>
            <w:vAlign w:val="bottom"/>
          </w:tcPr>
          <w:p w:rsidR="0022634E" w:rsidRPr="002B610E" w:rsidRDefault="0022634E">
            <w:pPr>
              <w:rPr>
                <w:sz w:val="20"/>
              </w:rPr>
            </w:pPr>
            <w:r w:rsidRPr="002B610E">
              <w:rPr>
                <w:sz w:val="20"/>
              </w:rPr>
              <w:t>Grantee 5</w:t>
            </w:r>
          </w:p>
        </w:tc>
        <w:tc>
          <w:tcPr>
            <w:tcW w:w="1915" w:type="dxa"/>
            <w:noWrap/>
            <w:vAlign w:val="bottom"/>
          </w:tcPr>
          <w:p w:rsidR="0022634E" w:rsidRPr="002B610E" w:rsidRDefault="0022634E">
            <w:pPr>
              <w:jc w:val="center"/>
              <w:rPr>
                <w:sz w:val="20"/>
              </w:rPr>
            </w:pPr>
            <w:r w:rsidRPr="002B610E">
              <w:rPr>
                <w:sz w:val="20"/>
              </w:rPr>
              <w:t>13</w:t>
            </w:r>
          </w:p>
        </w:tc>
        <w:tc>
          <w:tcPr>
            <w:tcW w:w="1743" w:type="dxa"/>
            <w:noWrap/>
            <w:vAlign w:val="bottom"/>
          </w:tcPr>
          <w:p w:rsidR="0022634E" w:rsidRPr="002B610E" w:rsidRDefault="0022634E">
            <w:pPr>
              <w:jc w:val="center"/>
              <w:rPr>
                <w:sz w:val="20"/>
              </w:rPr>
            </w:pPr>
            <w:r w:rsidRPr="002B610E">
              <w:rPr>
                <w:sz w:val="20"/>
              </w:rPr>
              <w:t>1.1%</w:t>
            </w:r>
          </w:p>
        </w:tc>
        <w:tc>
          <w:tcPr>
            <w:tcW w:w="1137" w:type="dxa"/>
            <w:vAlign w:val="bottom"/>
          </w:tcPr>
          <w:p w:rsidR="0022634E" w:rsidRPr="002B610E" w:rsidRDefault="0022634E">
            <w:pPr>
              <w:jc w:val="center"/>
              <w:rPr>
                <w:sz w:val="20"/>
              </w:rPr>
            </w:pPr>
            <w:r w:rsidRPr="002B610E">
              <w:rPr>
                <w:sz w:val="20"/>
              </w:rPr>
              <w:t>13</w:t>
            </w:r>
          </w:p>
        </w:tc>
        <w:tc>
          <w:tcPr>
            <w:tcW w:w="1620" w:type="dxa"/>
            <w:vAlign w:val="bottom"/>
          </w:tcPr>
          <w:p w:rsidR="0022634E" w:rsidRPr="002B610E" w:rsidRDefault="0022634E">
            <w:pPr>
              <w:jc w:val="center"/>
              <w:rPr>
                <w:sz w:val="20"/>
              </w:rPr>
            </w:pPr>
            <w:r w:rsidRPr="002B610E">
              <w:rPr>
                <w:sz w:val="20"/>
              </w:rPr>
              <w:t>10</w:t>
            </w:r>
          </w:p>
        </w:tc>
        <w:tc>
          <w:tcPr>
            <w:tcW w:w="1620" w:type="dxa"/>
            <w:vAlign w:val="bottom"/>
          </w:tcPr>
          <w:p w:rsidR="0022634E" w:rsidRPr="002B610E" w:rsidRDefault="0022634E">
            <w:pPr>
              <w:jc w:val="center"/>
              <w:rPr>
                <w:b/>
                <w:bCs/>
                <w:sz w:val="20"/>
              </w:rPr>
            </w:pPr>
            <w:r w:rsidRPr="002B610E">
              <w:rPr>
                <w:b/>
                <w:bCs/>
                <w:sz w:val="20"/>
              </w:rPr>
              <w:t>0.139</w:t>
            </w:r>
          </w:p>
        </w:tc>
      </w:tr>
      <w:tr w:rsidR="0022634E" w:rsidRPr="0082683A" w:rsidTr="00CE433F">
        <w:tc>
          <w:tcPr>
            <w:tcW w:w="1472" w:type="dxa"/>
            <w:vAlign w:val="bottom"/>
          </w:tcPr>
          <w:p w:rsidR="0022634E" w:rsidRPr="002B610E" w:rsidRDefault="0022634E">
            <w:pPr>
              <w:rPr>
                <w:sz w:val="20"/>
              </w:rPr>
            </w:pPr>
            <w:r w:rsidRPr="002B610E">
              <w:rPr>
                <w:sz w:val="20"/>
              </w:rPr>
              <w:t>Grantee 6</w:t>
            </w:r>
          </w:p>
        </w:tc>
        <w:tc>
          <w:tcPr>
            <w:tcW w:w="1915" w:type="dxa"/>
            <w:noWrap/>
            <w:vAlign w:val="bottom"/>
          </w:tcPr>
          <w:p w:rsidR="0022634E" w:rsidRPr="002B610E" w:rsidRDefault="0022634E">
            <w:pPr>
              <w:jc w:val="center"/>
              <w:rPr>
                <w:sz w:val="20"/>
              </w:rPr>
            </w:pPr>
            <w:r w:rsidRPr="002B610E">
              <w:rPr>
                <w:sz w:val="20"/>
              </w:rPr>
              <w:t>21</w:t>
            </w:r>
          </w:p>
        </w:tc>
        <w:tc>
          <w:tcPr>
            <w:tcW w:w="1743" w:type="dxa"/>
            <w:noWrap/>
            <w:vAlign w:val="bottom"/>
          </w:tcPr>
          <w:p w:rsidR="0022634E" w:rsidRPr="002B610E" w:rsidRDefault="0022634E">
            <w:pPr>
              <w:jc w:val="center"/>
              <w:rPr>
                <w:sz w:val="20"/>
              </w:rPr>
            </w:pPr>
            <w:r w:rsidRPr="002B610E">
              <w:rPr>
                <w:sz w:val="20"/>
              </w:rPr>
              <w:t>1.8%</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2683A" w:rsidTr="00CE433F">
        <w:tc>
          <w:tcPr>
            <w:tcW w:w="1472" w:type="dxa"/>
            <w:vAlign w:val="bottom"/>
          </w:tcPr>
          <w:p w:rsidR="0022634E" w:rsidRPr="002B610E" w:rsidRDefault="0022634E">
            <w:pPr>
              <w:rPr>
                <w:sz w:val="20"/>
              </w:rPr>
            </w:pPr>
            <w:r w:rsidRPr="002B610E">
              <w:rPr>
                <w:sz w:val="20"/>
              </w:rPr>
              <w:t>Grantee 7</w:t>
            </w:r>
          </w:p>
        </w:tc>
        <w:tc>
          <w:tcPr>
            <w:tcW w:w="1915" w:type="dxa"/>
            <w:noWrap/>
            <w:vAlign w:val="bottom"/>
          </w:tcPr>
          <w:p w:rsidR="0022634E" w:rsidRPr="002B610E" w:rsidRDefault="0022634E">
            <w:pPr>
              <w:jc w:val="center"/>
              <w:rPr>
                <w:sz w:val="20"/>
              </w:rPr>
            </w:pPr>
            <w:r w:rsidRPr="002B610E">
              <w:rPr>
                <w:sz w:val="20"/>
              </w:rPr>
              <w:t>4</w:t>
            </w:r>
          </w:p>
        </w:tc>
        <w:tc>
          <w:tcPr>
            <w:tcW w:w="1743" w:type="dxa"/>
            <w:noWrap/>
            <w:vAlign w:val="bottom"/>
          </w:tcPr>
          <w:p w:rsidR="0022634E" w:rsidRPr="002B610E" w:rsidRDefault="0022634E">
            <w:pPr>
              <w:jc w:val="center"/>
              <w:rPr>
                <w:sz w:val="20"/>
              </w:rPr>
            </w:pPr>
            <w:r w:rsidRPr="002B610E">
              <w:rPr>
                <w:sz w:val="20"/>
              </w:rPr>
              <w:t>0.4%</w:t>
            </w:r>
          </w:p>
        </w:tc>
        <w:tc>
          <w:tcPr>
            <w:tcW w:w="1137" w:type="dxa"/>
            <w:vAlign w:val="bottom"/>
          </w:tcPr>
          <w:p w:rsidR="0022634E" w:rsidRPr="002B610E" w:rsidRDefault="0022634E">
            <w:pPr>
              <w:jc w:val="center"/>
              <w:rPr>
                <w:sz w:val="20"/>
              </w:rPr>
            </w:pPr>
            <w:r w:rsidRPr="002B610E">
              <w:rPr>
                <w:sz w:val="20"/>
              </w:rPr>
              <w:t>4</w:t>
            </w:r>
          </w:p>
        </w:tc>
        <w:tc>
          <w:tcPr>
            <w:tcW w:w="1620" w:type="dxa"/>
            <w:vAlign w:val="bottom"/>
          </w:tcPr>
          <w:p w:rsidR="0022634E" w:rsidRPr="002B610E" w:rsidRDefault="0022634E">
            <w:pPr>
              <w:jc w:val="center"/>
              <w:rPr>
                <w:sz w:val="20"/>
              </w:rPr>
            </w:pPr>
            <w:r w:rsidRPr="002B610E">
              <w:rPr>
                <w:sz w:val="20"/>
              </w:rPr>
              <w:t>3</w:t>
            </w:r>
          </w:p>
        </w:tc>
        <w:tc>
          <w:tcPr>
            <w:tcW w:w="1620" w:type="dxa"/>
            <w:vAlign w:val="bottom"/>
          </w:tcPr>
          <w:p w:rsidR="0022634E" w:rsidRPr="002B610E" w:rsidRDefault="0022634E">
            <w:pPr>
              <w:jc w:val="center"/>
              <w:rPr>
                <w:b/>
                <w:bCs/>
                <w:sz w:val="20"/>
              </w:rPr>
            </w:pPr>
            <w:r w:rsidRPr="002B610E">
              <w:rPr>
                <w:b/>
                <w:bCs/>
                <w:sz w:val="20"/>
              </w:rPr>
              <w:t>0.250</w:t>
            </w:r>
          </w:p>
        </w:tc>
      </w:tr>
      <w:tr w:rsidR="0022634E" w:rsidRPr="0082683A" w:rsidTr="00CE433F">
        <w:tc>
          <w:tcPr>
            <w:tcW w:w="1472" w:type="dxa"/>
            <w:vAlign w:val="bottom"/>
          </w:tcPr>
          <w:p w:rsidR="0022634E" w:rsidRPr="002B610E" w:rsidRDefault="0022634E">
            <w:pPr>
              <w:rPr>
                <w:sz w:val="20"/>
              </w:rPr>
            </w:pPr>
            <w:r w:rsidRPr="002B610E">
              <w:rPr>
                <w:sz w:val="20"/>
              </w:rPr>
              <w:t>Grantee 8</w:t>
            </w:r>
          </w:p>
        </w:tc>
        <w:tc>
          <w:tcPr>
            <w:tcW w:w="1915" w:type="dxa"/>
            <w:noWrap/>
            <w:vAlign w:val="bottom"/>
          </w:tcPr>
          <w:p w:rsidR="0022634E" w:rsidRPr="002B610E" w:rsidRDefault="0022634E">
            <w:pPr>
              <w:jc w:val="center"/>
              <w:rPr>
                <w:sz w:val="20"/>
              </w:rPr>
            </w:pPr>
            <w:r w:rsidRPr="002B610E">
              <w:rPr>
                <w:sz w:val="20"/>
              </w:rPr>
              <w:t>25</w:t>
            </w:r>
          </w:p>
        </w:tc>
        <w:tc>
          <w:tcPr>
            <w:tcW w:w="1743" w:type="dxa"/>
            <w:noWrap/>
            <w:vAlign w:val="bottom"/>
          </w:tcPr>
          <w:p w:rsidR="0022634E" w:rsidRPr="002B610E" w:rsidRDefault="0022634E">
            <w:pPr>
              <w:jc w:val="center"/>
              <w:rPr>
                <w:sz w:val="20"/>
              </w:rPr>
            </w:pPr>
            <w:r w:rsidRPr="002B610E">
              <w:rPr>
                <w:sz w:val="20"/>
              </w:rPr>
              <w:t>2.2%</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2683A" w:rsidTr="00CE433F">
        <w:tc>
          <w:tcPr>
            <w:tcW w:w="1472" w:type="dxa"/>
            <w:vAlign w:val="bottom"/>
          </w:tcPr>
          <w:p w:rsidR="0022634E" w:rsidRPr="002B610E" w:rsidRDefault="0022634E">
            <w:pPr>
              <w:rPr>
                <w:sz w:val="20"/>
              </w:rPr>
            </w:pPr>
            <w:r w:rsidRPr="002B610E">
              <w:rPr>
                <w:sz w:val="20"/>
              </w:rPr>
              <w:t>Grantee 9</w:t>
            </w:r>
          </w:p>
        </w:tc>
        <w:tc>
          <w:tcPr>
            <w:tcW w:w="1915" w:type="dxa"/>
            <w:noWrap/>
            <w:vAlign w:val="bottom"/>
          </w:tcPr>
          <w:p w:rsidR="0022634E" w:rsidRPr="002B610E" w:rsidRDefault="0022634E">
            <w:pPr>
              <w:jc w:val="center"/>
              <w:rPr>
                <w:sz w:val="20"/>
              </w:rPr>
            </w:pPr>
            <w:r w:rsidRPr="002B610E">
              <w:rPr>
                <w:sz w:val="20"/>
              </w:rPr>
              <w:t>116</w:t>
            </w:r>
          </w:p>
        </w:tc>
        <w:tc>
          <w:tcPr>
            <w:tcW w:w="1743" w:type="dxa"/>
            <w:noWrap/>
            <w:vAlign w:val="bottom"/>
          </w:tcPr>
          <w:p w:rsidR="0022634E" w:rsidRPr="002B610E" w:rsidRDefault="0022634E">
            <w:pPr>
              <w:jc w:val="center"/>
              <w:rPr>
                <w:sz w:val="20"/>
              </w:rPr>
            </w:pPr>
            <w:r w:rsidRPr="002B610E">
              <w:rPr>
                <w:sz w:val="20"/>
              </w:rPr>
              <w:t>10.2%</w:t>
            </w:r>
          </w:p>
        </w:tc>
        <w:tc>
          <w:tcPr>
            <w:tcW w:w="1137" w:type="dxa"/>
            <w:vAlign w:val="bottom"/>
          </w:tcPr>
          <w:p w:rsidR="0022634E" w:rsidRPr="002B610E" w:rsidRDefault="0022634E">
            <w:pPr>
              <w:jc w:val="center"/>
              <w:rPr>
                <w:sz w:val="20"/>
              </w:rPr>
            </w:pPr>
            <w:r w:rsidRPr="002B610E">
              <w:rPr>
                <w:sz w:val="20"/>
              </w:rPr>
              <w:t>67</w:t>
            </w:r>
          </w:p>
        </w:tc>
        <w:tc>
          <w:tcPr>
            <w:tcW w:w="1620" w:type="dxa"/>
            <w:vAlign w:val="bottom"/>
          </w:tcPr>
          <w:p w:rsidR="0022634E" w:rsidRPr="002B610E" w:rsidRDefault="0022634E">
            <w:pPr>
              <w:jc w:val="center"/>
              <w:rPr>
                <w:sz w:val="20"/>
              </w:rPr>
            </w:pPr>
            <w:r w:rsidRPr="002B610E">
              <w:rPr>
                <w:sz w:val="20"/>
              </w:rPr>
              <w:t>54</w:t>
            </w:r>
          </w:p>
        </w:tc>
        <w:tc>
          <w:tcPr>
            <w:tcW w:w="1620" w:type="dxa"/>
            <w:vAlign w:val="bottom"/>
          </w:tcPr>
          <w:p w:rsidR="0022634E" w:rsidRPr="002B610E" w:rsidRDefault="0022634E">
            <w:pPr>
              <w:jc w:val="center"/>
              <w:rPr>
                <w:b/>
                <w:bCs/>
                <w:sz w:val="20"/>
              </w:rPr>
            </w:pPr>
            <w:r w:rsidRPr="002B610E">
              <w:rPr>
                <w:b/>
                <w:bCs/>
                <w:sz w:val="20"/>
              </w:rPr>
              <w:t>0.067</w:t>
            </w:r>
          </w:p>
        </w:tc>
      </w:tr>
      <w:tr w:rsidR="0022634E" w:rsidRPr="0082683A" w:rsidTr="00CE433F">
        <w:tc>
          <w:tcPr>
            <w:tcW w:w="1472" w:type="dxa"/>
            <w:vAlign w:val="bottom"/>
          </w:tcPr>
          <w:p w:rsidR="0022634E" w:rsidRPr="002B610E" w:rsidRDefault="0022634E">
            <w:pPr>
              <w:rPr>
                <w:sz w:val="20"/>
              </w:rPr>
            </w:pPr>
            <w:r w:rsidRPr="002B610E">
              <w:rPr>
                <w:sz w:val="20"/>
              </w:rPr>
              <w:t>Grantee 10</w:t>
            </w:r>
          </w:p>
        </w:tc>
        <w:tc>
          <w:tcPr>
            <w:tcW w:w="1915" w:type="dxa"/>
            <w:noWrap/>
            <w:vAlign w:val="bottom"/>
          </w:tcPr>
          <w:p w:rsidR="0022634E" w:rsidRPr="002B610E" w:rsidRDefault="0022634E">
            <w:pPr>
              <w:jc w:val="center"/>
              <w:rPr>
                <w:sz w:val="20"/>
              </w:rPr>
            </w:pPr>
            <w:r w:rsidRPr="002B610E">
              <w:rPr>
                <w:sz w:val="20"/>
              </w:rPr>
              <w:t>36</w:t>
            </w:r>
          </w:p>
        </w:tc>
        <w:tc>
          <w:tcPr>
            <w:tcW w:w="1743" w:type="dxa"/>
            <w:noWrap/>
            <w:vAlign w:val="bottom"/>
          </w:tcPr>
          <w:p w:rsidR="0022634E" w:rsidRPr="002B610E" w:rsidRDefault="0022634E">
            <w:pPr>
              <w:jc w:val="center"/>
              <w:rPr>
                <w:sz w:val="20"/>
              </w:rPr>
            </w:pPr>
            <w:r w:rsidRPr="002B610E">
              <w:rPr>
                <w:sz w:val="20"/>
              </w:rPr>
              <w:t>3.2%</w:t>
            </w:r>
          </w:p>
        </w:tc>
        <w:tc>
          <w:tcPr>
            <w:tcW w:w="1137" w:type="dxa"/>
            <w:vAlign w:val="bottom"/>
          </w:tcPr>
          <w:p w:rsidR="0022634E" w:rsidRPr="002B610E" w:rsidRDefault="0022634E">
            <w:pPr>
              <w:jc w:val="center"/>
              <w:rPr>
                <w:sz w:val="20"/>
              </w:rPr>
            </w:pPr>
            <w:r w:rsidRPr="002B610E">
              <w:rPr>
                <w:sz w:val="20"/>
              </w:rPr>
              <w:t>21</w:t>
            </w:r>
          </w:p>
        </w:tc>
        <w:tc>
          <w:tcPr>
            <w:tcW w:w="1620" w:type="dxa"/>
            <w:vAlign w:val="bottom"/>
          </w:tcPr>
          <w:p w:rsidR="0022634E" w:rsidRPr="002B610E" w:rsidRDefault="0022634E">
            <w:pPr>
              <w:jc w:val="center"/>
              <w:rPr>
                <w:sz w:val="20"/>
              </w:rPr>
            </w:pPr>
            <w:r w:rsidRPr="002B610E">
              <w:rPr>
                <w:sz w:val="20"/>
              </w:rPr>
              <w:t>17</w:t>
            </w:r>
          </w:p>
        </w:tc>
        <w:tc>
          <w:tcPr>
            <w:tcW w:w="1620" w:type="dxa"/>
            <w:vAlign w:val="bottom"/>
          </w:tcPr>
          <w:p w:rsidR="0022634E" w:rsidRPr="002B610E" w:rsidRDefault="0022634E">
            <w:pPr>
              <w:jc w:val="center"/>
              <w:rPr>
                <w:b/>
                <w:bCs/>
                <w:sz w:val="20"/>
              </w:rPr>
            </w:pPr>
            <w:r w:rsidRPr="002B610E">
              <w:rPr>
                <w:b/>
                <w:bCs/>
                <w:sz w:val="20"/>
              </w:rPr>
              <w:t>0.120</w:t>
            </w:r>
          </w:p>
        </w:tc>
      </w:tr>
      <w:tr w:rsidR="0022634E" w:rsidRPr="0082683A" w:rsidTr="00CE433F">
        <w:tc>
          <w:tcPr>
            <w:tcW w:w="1472" w:type="dxa"/>
            <w:vAlign w:val="bottom"/>
          </w:tcPr>
          <w:p w:rsidR="0022634E" w:rsidRPr="002B610E" w:rsidRDefault="0022634E">
            <w:pPr>
              <w:rPr>
                <w:sz w:val="20"/>
              </w:rPr>
            </w:pPr>
            <w:r w:rsidRPr="002B610E">
              <w:rPr>
                <w:sz w:val="20"/>
              </w:rPr>
              <w:t>Grantee 11</w:t>
            </w:r>
          </w:p>
        </w:tc>
        <w:tc>
          <w:tcPr>
            <w:tcW w:w="1915" w:type="dxa"/>
            <w:noWrap/>
            <w:vAlign w:val="bottom"/>
          </w:tcPr>
          <w:p w:rsidR="0022634E" w:rsidRPr="002B610E" w:rsidRDefault="0022634E">
            <w:pPr>
              <w:jc w:val="center"/>
              <w:rPr>
                <w:sz w:val="20"/>
              </w:rPr>
            </w:pPr>
            <w:r w:rsidRPr="002B610E">
              <w:rPr>
                <w:sz w:val="20"/>
              </w:rPr>
              <w:t>10</w:t>
            </w:r>
          </w:p>
        </w:tc>
        <w:tc>
          <w:tcPr>
            <w:tcW w:w="1743" w:type="dxa"/>
            <w:noWrap/>
            <w:vAlign w:val="bottom"/>
          </w:tcPr>
          <w:p w:rsidR="0022634E" w:rsidRPr="002B610E" w:rsidRDefault="0022634E">
            <w:pPr>
              <w:jc w:val="center"/>
              <w:rPr>
                <w:sz w:val="20"/>
              </w:rPr>
            </w:pPr>
            <w:r w:rsidRPr="002B610E">
              <w:rPr>
                <w:sz w:val="20"/>
              </w:rPr>
              <w:t>0.9%</w:t>
            </w:r>
          </w:p>
        </w:tc>
        <w:tc>
          <w:tcPr>
            <w:tcW w:w="1137" w:type="dxa"/>
            <w:vAlign w:val="bottom"/>
          </w:tcPr>
          <w:p w:rsidR="0022634E" w:rsidRPr="002B610E" w:rsidRDefault="0022634E">
            <w:pPr>
              <w:jc w:val="center"/>
              <w:rPr>
                <w:sz w:val="20"/>
              </w:rPr>
            </w:pPr>
            <w:r w:rsidRPr="002B610E">
              <w:rPr>
                <w:sz w:val="20"/>
              </w:rPr>
              <w:t>10</w:t>
            </w:r>
          </w:p>
        </w:tc>
        <w:tc>
          <w:tcPr>
            <w:tcW w:w="1620" w:type="dxa"/>
            <w:vAlign w:val="bottom"/>
          </w:tcPr>
          <w:p w:rsidR="0022634E" w:rsidRPr="002B610E" w:rsidRDefault="0022634E">
            <w:pPr>
              <w:jc w:val="center"/>
              <w:rPr>
                <w:sz w:val="20"/>
              </w:rPr>
            </w:pPr>
            <w:r w:rsidRPr="002B610E">
              <w:rPr>
                <w:sz w:val="20"/>
              </w:rPr>
              <w:t>8</w:t>
            </w:r>
          </w:p>
        </w:tc>
        <w:tc>
          <w:tcPr>
            <w:tcW w:w="1620" w:type="dxa"/>
            <w:vAlign w:val="bottom"/>
          </w:tcPr>
          <w:p w:rsidR="0022634E" w:rsidRPr="002B610E" w:rsidRDefault="0022634E">
            <w:pPr>
              <w:jc w:val="center"/>
              <w:rPr>
                <w:b/>
                <w:bCs/>
                <w:sz w:val="20"/>
              </w:rPr>
            </w:pPr>
            <w:r w:rsidRPr="002B610E">
              <w:rPr>
                <w:b/>
                <w:bCs/>
                <w:sz w:val="20"/>
              </w:rPr>
              <w:t>0.158</w:t>
            </w:r>
          </w:p>
        </w:tc>
      </w:tr>
      <w:tr w:rsidR="0022634E" w:rsidRPr="0082683A" w:rsidTr="00CE433F">
        <w:tc>
          <w:tcPr>
            <w:tcW w:w="1472" w:type="dxa"/>
            <w:vAlign w:val="bottom"/>
          </w:tcPr>
          <w:p w:rsidR="0022634E" w:rsidRPr="002B610E" w:rsidRDefault="0022634E">
            <w:pPr>
              <w:rPr>
                <w:sz w:val="20"/>
              </w:rPr>
            </w:pPr>
            <w:r w:rsidRPr="002B610E">
              <w:rPr>
                <w:sz w:val="20"/>
              </w:rPr>
              <w:t>Grantee 12</w:t>
            </w:r>
          </w:p>
        </w:tc>
        <w:tc>
          <w:tcPr>
            <w:tcW w:w="1915" w:type="dxa"/>
            <w:noWrap/>
            <w:vAlign w:val="bottom"/>
          </w:tcPr>
          <w:p w:rsidR="0022634E" w:rsidRPr="002B610E" w:rsidRDefault="0022634E">
            <w:pPr>
              <w:jc w:val="center"/>
              <w:rPr>
                <w:sz w:val="20"/>
              </w:rPr>
            </w:pPr>
            <w:r w:rsidRPr="002B610E">
              <w:rPr>
                <w:sz w:val="20"/>
              </w:rPr>
              <w:t>40</w:t>
            </w:r>
          </w:p>
        </w:tc>
        <w:tc>
          <w:tcPr>
            <w:tcW w:w="1743" w:type="dxa"/>
            <w:noWrap/>
            <w:vAlign w:val="bottom"/>
          </w:tcPr>
          <w:p w:rsidR="0022634E" w:rsidRPr="002B610E" w:rsidRDefault="0022634E">
            <w:pPr>
              <w:jc w:val="center"/>
              <w:rPr>
                <w:sz w:val="20"/>
              </w:rPr>
            </w:pPr>
            <w:r w:rsidRPr="002B610E">
              <w:rPr>
                <w:sz w:val="20"/>
              </w:rPr>
              <w:t>3.5%</w:t>
            </w:r>
          </w:p>
        </w:tc>
        <w:tc>
          <w:tcPr>
            <w:tcW w:w="1137" w:type="dxa"/>
            <w:vAlign w:val="bottom"/>
          </w:tcPr>
          <w:p w:rsidR="0022634E" w:rsidRPr="002B610E" w:rsidRDefault="0022634E">
            <w:pPr>
              <w:jc w:val="center"/>
              <w:rPr>
                <w:sz w:val="20"/>
              </w:rPr>
            </w:pPr>
            <w:r w:rsidRPr="002B610E">
              <w:rPr>
                <w:sz w:val="20"/>
              </w:rPr>
              <w:t>23</w:t>
            </w:r>
          </w:p>
        </w:tc>
        <w:tc>
          <w:tcPr>
            <w:tcW w:w="1620"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b/>
                <w:bCs/>
                <w:sz w:val="20"/>
              </w:rPr>
            </w:pPr>
            <w:r w:rsidRPr="002B610E">
              <w:rPr>
                <w:b/>
                <w:bCs/>
                <w:sz w:val="20"/>
              </w:rPr>
              <w:t>0.114</w:t>
            </w:r>
          </w:p>
        </w:tc>
      </w:tr>
      <w:tr w:rsidR="0022634E" w:rsidRPr="0082683A" w:rsidTr="00CE433F">
        <w:tc>
          <w:tcPr>
            <w:tcW w:w="1472" w:type="dxa"/>
            <w:vAlign w:val="bottom"/>
          </w:tcPr>
          <w:p w:rsidR="0022634E" w:rsidRPr="002B610E" w:rsidRDefault="0022634E">
            <w:pPr>
              <w:rPr>
                <w:sz w:val="20"/>
              </w:rPr>
            </w:pPr>
            <w:r w:rsidRPr="002B610E">
              <w:rPr>
                <w:sz w:val="20"/>
              </w:rPr>
              <w:t>Grantee 13</w:t>
            </w:r>
          </w:p>
        </w:tc>
        <w:tc>
          <w:tcPr>
            <w:tcW w:w="1915" w:type="dxa"/>
            <w:noWrap/>
            <w:vAlign w:val="bottom"/>
          </w:tcPr>
          <w:p w:rsidR="0022634E" w:rsidRPr="002B610E" w:rsidRDefault="0022634E">
            <w:pPr>
              <w:jc w:val="center"/>
              <w:rPr>
                <w:sz w:val="20"/>
              </w:rPr>
            </w:pPr>
            <w:r w:rsidRPr="002B610E">
              <w:rPr>
                <w:sz w:val="20"/>
              </w:rPr>
              <w:t>10</w:t>
            </w:r>
          </w:p>
        </w:tc>
        <w:tc>
          <w:tcPr>
            <w:tcW w:w="1743" w:type="dxa"/>
            <w:noWrap/>
            <w:vAlign w:val="bottom"/>
          </w:tcPr>
          <w:p w:rsidR="0022634E" w:rsidRPr="002B610E" w:rsidRDefault="0022634E">
            <w:pPr>
              <w:jc w:val="center"/>
              <w:rPr>
                <w:sz w:val="20"/>
              </w:rPr>
            </w:pPr>
            <w:r w:rsidRPr="002B610E">
              <w:rPr>
                <w:sz w:val="20"/>
              </w:rPr>
              <w:t>0.9%</w:t>
            </w:r>
          </w:p>
        </w:tc>
        <w:tc>
          <w:tcPr>
            <w:tcW w:w="1137" w:type="dxa"/>
            <w:vAlign w:val="bottom"/>
          </w:tcPr>
          <w:p w:rsidR="0022634E" w:rsidRPr="002B610E" w:rsidRDefault="0022634E">
            <w:pPr>
              <w:jc w:val="center"/>
              <w:rPr>
                <w:sz w:val="20"/>
              </w:rPr>
            </w:pPr>
            <w:r w:rsidRPr="002B610E">
              <w:rPr>
                <w:sz w:val="20"/>
              </w:rPr>
              <w:t>10</w:t>
            </w:r>
          </w:p>
        </w:tc>
        <w:tc>
          <w:tcPr>
            <w:tcW w:w="1620" w:type="dxa"/>
            <w:vAlign w:val="bottom"/>
          </w:tcPr>
          <w:p w:rsidR="0022634E" w:rsidRPr="002B610E" w:rsidRDefault="0022634E">
            <w:pPr>
              <w:jc w:val="center"/>
              <w:rPr>
                <w:sz w:val="20"/>
              </w:rPr>
            </w:pPr>
            <w:r w:rsidRPr="002B610E">
              <w:rPr>
                <w:sz w:val="20"/>
              </w:rPr>
              <w:t>8</w:t>
            </w:r>
          </w:p>
        </w:tc>
        <w:tc>
          <w:tcPr>
            <w:tcW w:w="1620" w:type="dxa"/>
            <w:vAlign w:val="bottom"/>
          </w:tcPr>
          <w:p w:rsidR="0022634E" w:rsidRPr="002B610E" w:rsidRDefault="0022634E">
            <w:pPr>
              <w:jc w:val="center"/>
              <w:rPr>
                <w:b/>
                <w:bCs/>
                <w:sz w:val="20"/>
              </w:rPr>
            </w:pPr>
            <w:r w:rsidRPr="002B610E">
              <w:rPr>
                <w:b/>
                <w:bCs/>
                <w:sz w:val="20"/>
              </w:rPr>
              <w:t>0.158</w:t>
            </w:r>
          </w:p>
        </w:tc>
      </w:tr>
      <w:tr w:rsidR="0022634E" w:rsidRPr="0082683A" w:rsidTr="00CE433F">
        <w:tc>
          <w:tcPr>
            <w:tcW w:w="1472" w:type="dxa"/>
            <w:vAlign w:val="bottom"/>
          </w:tcPr>
          <w:p w:rsidR="0022634E" w:rsidRPr="002B610E" w:rsidRDefault="0022634E">
            <w:pPr>
              <w:rPr>
                <w:sz w:val="20"/>
              </w:rPr>
            </w:pPr>
            <w:r w:rsidRPr="002B610E">
              <w:rPr>
                <w:sz w:val="20"/>
              </w:rPr>
              <w:t>Grantee 14</w:t>
            </w:r>
          </w:p>
        </w:tc>
        <w:tc>
          <w:tcPr>
            <w:tcW w:w="1915" w:type="dxa"/>
            <w:noWrap/>
            <w:vAlign w:val="bottom"/>
          </w:tcPr>
          <w:p w:rsidR="0022634E" w:rsidRPr="002B610E" w:rsidRDefault="0022634E">
            <w:pPr>
              <w:jc w:val="center"/>
              <w:rPr>
                <w:sz w:val="20"/>
              </w:rPr>
            </w:pPr>
            <w:r w:rsidRPr="002B610E">
              <w:rPr>
                <w:sz w:val="20"/>
              </w:rPr>
              <w:t>1</w:t>
            </w:r>
          </w:p>
        </w:tc>
        <w:tc>
          <w:tcPr>
            <w:tcW w:w="1743" w:type="dxa"/>
            <w:noWrap/>
            <w:vAlign w:val="bottom"/>
          </w:tcPr>
          <w:p w:rsidR="0022634E" w:rsidRPr="002B610E" w:rsidRDefault="0022634E">
            <w:pPr>
              <w:jc w:val="center"/>
              <w:rPr>
                <w:sz w:val="20"/>
              </w:rPr>
            </w:pPr>
            <w:r w:rsidRPr="002B610E">
              <w:rPr>
                <w:sz w:val="20"/>
              </w:rPr>
              <w:t>0.1%</w:t>
            </w:r>
          </w:p>
        </w:tc>
        <w:tc>
          <w:tcPr>
            <w:tcW w:w="1137" w:type="dxa"/>
            <w:vAlign w:val="bottom"/>
          </w:tcPr>
          <w:p w:rsidR="0022634E" w:rsidRPr="002B610E" w:rsidRDefault="0022634E">
            <w:pPr>
              <w:jc w:val="center"/>
              <w:rPr>
                <w:sz w:val="20"/>
              </w:rPr>
            </w:pPr>
            <w:r w:rsidRPr="002B610E">
              <w:rPr>
                <w:sz w:val="20"/>
              </w:rPr>
              <w:t>1</w:t>
            </w:r>
          </w:p>
        </w:tc>
        <w:tc>
          <w:tcPr>
            <w:tcW w:w="1620" w:type="dxa"/>
            <w:vAlign w:val="bottom"/>
          </w:tcPr>
          <w:p w:rsidR="0022634E" w:rsidRPr="002B610E" w:rsidRDefault="0022634E">
            <w:pPr>
              <w:jc w:val="center"/>
              <w:rPr>
                <w:sz w:val="20"/>
              </w:rPr>
            </w:pPr>
            <w:r w:rsidRPr="002B610E">
              <w:rPr>
                <w:sz w:val="20"/>
              </w:rPr>
              <w:t>1</w:t>
            </w:r>
          </w:p>
        </w:tc>
        <w:tc>
          <w:tcPr>
            <w:tcW w:w="1620" w:type="dxa"/>
            <w:vAlign w:val="bottom"/>
          </w:tcPr>
          <w:p w:rsidR="0022634E" w:rsidRPr="002B610E" w:rsidRDefault="0022634E">
            <w:pPr>
              <w:jc w:val="center"/>
              <w:rPr>
                <w:b/>
                <w:bCs/>
                <w:sz w:val="20"/>
              </w:rPr>
            </w:pPr>
            <w:r w:rsidRPr="002B610E">
              <w:rPr>
                <w:b/>
                <w:bCs/>
                <w:sz w:val="20"/>
              </w:rPr>
              <w:t>0.500</w:t>
            </w:r>
          </w:p>
        </w:tc>
      </w:tr>
      <w:tr w:rsidR="0022634E" w:rsidRPr="0082683A" w:rsidTr="00CE433F">
        <w:tc>
          <w:tcPr>
            <w:tcW w:w="1472" w:type="dxa"/>
            <w:vAlign w:val="bottom"/>
          </w:tcPr>
          <w:p w:rsidR="0022634E" w:rsidRPr="002B610E" w:rsidRDefault="0022634E">
            <w:pPr>
              <w:rPr>
                <w:sz w:val="20"/>
              </w:rPr>
            </w:pPr>
            <w:r w:rsidRPr="002B610E">
              <w:rPr>
                <w:sz w:val="20"/>
              </w:rPr>
              <w:t>Grantee 15</w:t>
            </w:r>
          </w:p>
        </w:tc>
        <w:tc>
          <w:tcPr>
            <w:tcW w:w="1915" w:type="dxa"/>
            <w:noWrap/>
            <w:vAlign w:val="bottom"/>
          </w:tcPr>
          <w:p w:rsidR="0022634E" w:rsidRPr="002B610E" w:rsidRDefault="0022634E">
            <w:pPr>
              <w:jc w:val="center"/>
              <w:rPr>
                <w:sz w:val="20"/>
              </w:rPr>
            </w:pPr>
            <w:r w:rsidRPr="002B610E">
              <w:rPr>
                <w:sz w:val="20"/>
              </w:rPr>
              <w:t>42</w:t>
            </w:r>
          </w:p>
        </w:tc>
        <w:tc>
          <w:tcPr>
            <w:tcW w:w="1743" w:type="dxa"/>
            <w:noWrap/>
            <w:vAlign w:val="bottom"/>
          </w:tcPr>
          <w:p w:rsidR="0022634E" w:rsidRPr="002B610E" w:rsidRDefault="0022634E">
            <w:pPr>
              <w:jc w:val="center"/>
              <w:rPr>
                <w:sz w:val="20"/>
              </w:rPr>
            </w:pPr>
            <w:r w:rsidRPr="002B610E">
              <w:rPr>
                <w:sz w:val="20"/>
              </w:rPr>
              <w:t>3.7%</w:t>
            </w:r>
          </w:p>
        </w:tc>
        <w:tc>
          <w:tcPr>
            <w:tcW w:w="1137" w:type="dxa"/>
            <w:vAlign w:val="bottom"/>
          </w:tcPr>
          <w:p w:rsidR="0022634E" w:rsidRPr="002B610E" w:rsidRDefault="0022634E">
            <w:pPr>
              <w:jc w:val="center"/>
              <w:rPr>
                <w:sz w:val="20"/>
              </w:rPr>
            </w:pPr>
            <w:r w:rsidRPr="002B610E">
              <w:rPr>
                <w:sz w:val="20"/>
              </w:rPr>
              <w:t>25</w:t>
            </w:r>
          </w:p>
        </w:tc>
        <w:tc>
          <w:tcPr>
            <w:tcW w:w="1620" w:type="dxa"/>
            <w:vAlign w:val="bottom"/>
          </w:tcPr>
          <w:p w:rsidR="0022634E" w:rsidRPr="002B610E" w:rsidRDefault="0022634E">
            <w:pPr>
              <w:jc w:val="center"/>
              <w:rPr>
                <w:sz w:val="20"/>
              </w:rPr>
            </w:pPr>
            <w:r w:rsidRPr="002B610E">
              <w:rPr>
                <w:sz w:val="20"/>
              </w:rPr>
              <w:t>20</w:t>
            </w:r>
          </w:p>
        </w:tc>
        <w:tc>
          <w:tcPr>
            <w:tcW w:w="1620" w:type="dxa"/>
            <w:vAlign w:val="bottom"/>
          </w:tcPr>
          <w:p w:rsidR="0022634E" w:rsidRPr="002B610E" w:rsidRDefault="0022634E">
            <w:pPr>
              <w:jc w:val="center"/>
              <w:rPr>
                <w:b/>
                <w:bCs/>
                <w:sz w:val="20"/>
              </w:rPr>
            </w:pPr>
            <w:r w:rsidRPr="002B610E">
              <w:rPr>
                <w:b/>
                <w:bCs/>
                <w:sz w:val="20"/>
              </w:rPr>
              <w:t>0.112</w:t>
            </w:r>
          </w:p>
        </w:tc>
      </w:tr>
      <w:tr w:rsidR="0022634E" w:rsidRPr="00852475" w:rsidTr="00CE433F">
        <w:tc>
          <w:tcPr>
            <w:tcW w:w="1472" w:type="dxa"/>
            <w:vAlign w:val="bottom"/>
          </w:tcPr>
          <w:p w:rsidR="0022634E" w:rsidRPr="002B610E" w:rsidRDefault="0022634E">
            <w:pPr>
              <w:rPr>
                <w:sz w:val="20"/>
              </w:rPr>
            </w:pPr>
            <w:r w:rsidRPr="002B610E">
              <w:rPr>
                <w:sz w:val="20"/>
              </w:rPr>
              <w:t>Grantee 16</w:t>
            </w:r>
          </w:p>
        </w:tc>
        <w:tc>
          <w:tcPr>
            <w:tcW w:w="1915" w:type="dxa"/>
            <w:noWrap/>
            <w:vAlign w:val="bottom"/>
          </w:tcPr>
          <w:p w:rsidR="0022634E" w:rsidRPr="002B610E" w:rsidRDefault="0022634E">
            <w:pPr>
              <w:jc w:val="center"/>
              <w:rPr>
                <w:sz w:val="20"/>
              </w:rPr>
            </w:pPr>
            <w:r w:rsidRPr="002B610E">
              <w:rPr>
                <w:sz w:val="20"/>
              </w:rPr>
              <w:t>16</w:t>
            </w:r>
          </w:p>
        </w:tc>
        <w:tc>
          <w:tcPr>
            <w:tcW w:w="1743" w:type="dxa"/>
            <w:noWrap/>
            <w:vAlign w:val="bottom"/>
          </w:tcPr>
          <w:p w:rsidR="0022634E" w:rsidRPr="002B610E" w:rsidRDefault="0022634E">
            <w:pPr>
              <w:jc w:val="center"/>
              <w:rPr>
                <w:sz w:val="20"/>
              </w:rPr>
            </w:pPr>
            <w:r w:rsidRPr="002B610E">
              <w:rPr>
                <w:sz w:val="20"/>
              </w:rPr>
              <w:t>1.4%</w:t>
            </w:r>
          </w:p>
        </w:tc>
        <w:tc>
          <w:tcPr>
            <w:tcW w:w="1137" w:type="dxa"/>
            <w:vAlign w:val="bottom"/>
          </w:tcPr>
          <w:p w:rsidR="0022634E" w:rsidRPr="002B610E" w:rsidRDefault="0022634E">
            <w:pPr>
              <w:jc w:val="center"/>
              <w:rPr>
                <w:sz w:val="20"/>
              </w:rPr>
            </w:pPr>
            <w:r w:rsidRPr="002B610E">
              <w:rPr>
                <w:sz w:val="20"/>
              </w:rPr>
              <w:t>16</w:t>
            </w:r>
          </w:p>
        </w:tc>
        <w:tc>
          <w:tcPr>
            <w:tcW w:w="1620" w:type="dxa"/>
            <w:vAlign w:val="bottom"/>
          </w:tcPr>
          <w:p w:rsidR="0022634E" w:rsidRPr="002B610E" w:rsidRDefault="0022634E">
            <w:pPr>
              <w:jc w:val="center"/>
              <w:rPr>
                <w:sz w:val="20"/>
              </w:rPr>
            </w:pPr>
            <w:r w:rsidRPr="002B610E">
              <w:rPr>
                <w:sz w:val="20"/>
              </w:rPr>
              <w:t>13</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52475" w:rsidTr="00CE433F">
        <w:tc>
          <w:tcPr>
            <w:tcW w:w="1472" w:type="dxa"/>
            <w:vAlign w:val="bottom"/>
          </w:tcPr>
          <w:p w:rsidR="0022634E" w:rsidRPr="002B610E" w:rsidRDefault="0022634E">
            <w:pPr>
              <w:rPr>
                <w:sz w:val="20"/>
              </w:rPr>
            </w:pPr>
            <w:r w:rsidRPr="002B610E">
              <w:rPr>
                <w:sz w:val="20"/>
              </w:rPr>
              <w:t>Grantee 17</w:t>
            </w:r>
          </w:p>
        </w:tc>
        <w:tc>
          <w:tcPr>
            <w:tcW w:w="1915" w:type="dxa"/>
            <w:noWrap/>
            <w:vAlign w:val="bottom"/>
          </w:tcPr>
          <w:p w:rsidR="0022634E" w:rsidRPr="002B610E" w:rsidRDefault="0022634E">
            <w:pPr>
              <w:jc w:val="center"/>
              <w:rPr>
                <w:sz w:val="20"/>
              </w:rPr>
            </w:pPr>
            <w:r w:rsidRPr="002B610E">
              <w:rPr>
                <w:sz w:val="20"/>
              </w:rPr>
              <w:t>5</w:t>
            </w:r>
          </w:p>
        </w:tc>
        <w:tc>
          <w:tcPr>
            <w:tcW w:w="1743" w:type="dxa"/>
            <w:noWrap/>
            <w:vAlign w:val="bottom"/>
          </w:tcPr>
          <w:p w:rsidR="0022634E" w:rsidRPr="002B610E" w:rsidRDefault="0022634E">
            <w:pPr>
              <w:jc w:val="center"/>
              <w:rPr>
                <w:sz w:val="20"/>
              </w:rPr>
            </w:pPr>
            <w:r w:rsidRPr="002B610E">
              <w:rPr>
                <w:sz w:val="20"/>
              </w:rPr>
              <w:t>0.4%</w:t>
            </w:r>
          </w:p>
        </w:tc>
        <w:tc>
          <w:tcPr>
            <w:tcW w:w="1137" w:type="dxa"/>
            <w:vAlign w:val="bottom"/>
          </w:tcPr>
          <w:p w:rsidR="0022634E" w:rsidRPr="002B610E" w:rsidRDefault="0022634E">
            <w:pPr>
              <w:jc w:val="center"/>
              <w:rPr>
                <w:sz w:val="20"/>
              </w:rPr>
            </w:pPr>
            <w:r w:rsidRPr="002B610E">
              <w:rPr>
                <w:sz w:val="20"/>
              </w:rPr>
              <w:t>5</w:t>
            </w:r>
          </w:p>
        </w:tc>
        <w:tc>
          <w:tcPr>
            <w:tcW w:w="1620" w:type="dxa"/>
            <w:vAlign w:val="bottom"/>
          </w:tcPr>
          <w:p w:rsidR="0022634E" w:rsidRPr="002B610E" w:rsidRDefault="0022634E">
            <w:pPr>
              <w:jc w:val="center"/>
              <w:rPr>
                <w:sz w:val="20"/>
              </w:rPr>
            </w:pPr>
            <w:r w:rsidRPr="002B610E">
              <w:rPr>
                <w:sz w:val="20"/>
              </w:rPr>
              <w:t>4</w:t>
            </w:r>
          </w:p>
        </w:tc>
        <w:tc>
          <w:tcPr>
            <w:tcW w:w="1620" w:type="dxa"/>
            <w:vAlign w:val="bottom"/>
          </w:tcPr>
          <w:p w:rsidR="0022634E" w:rsidRPr="002B610E" w:rsidRDefault="0022634E">
            <w:pPr>
              <w:jc w:val="center"/>
              <w:rPr>
                <w:b/>
                <w:bCs/>
                <w:sz w:val="20"/>
              </w:rPr>
            </w:pPr>
            <w:r w:rsidRPr="002B610E">
              <w:rPr>
                <w:b/>
                <w:bCs/>
                <w:sz w:val="20"/>
              </w:rPr>
              <w:t>0.224</w:t>
            </w:r>
          </w:p>
        </w:tc>
      </w:tr>
      <w:tr w:rsidR="0022634E" w:rsidRPr="00852475" w:rsidTr="00CE433F">
        <w:tc>
          <w:tcPr>
            <w:tcW w:w="1472" w:type="dxa"/>
            <w:vAlign w:val="bottom"/>
          </w:tcPr>
          <w:p w:rsidR="0022634E" w:rsidRPr="002B610E" w:rsidRDefault="0022634E">
            <w:pPr>
              <w:rPr>
                <w:sz w:val="20"/>
              </w:rPr>
            </w:pPr>
            <w:r w:rsidRPr="002B610E">
              <w:rPr>
                <w:sz w:val="20"/>
              </w:rPr>
              <w:t>Grantee 18</w:t>
            </w:r>
          </w:p>
        </w:tc>
        <w:tc>
          <w:tcPr>
            <w:tcW w:w="1915" w:type="dxa"/>
            <w:noWrap/>
            <w:vAlign w:val="bottom"/>
          </w:tcPr>
          <w:p w:rsidR="0022634E" w:rsidRPr="002B610E" w:rsidRDefault="0022634E">
            <w:pPr>
              <w:jc w:val="center"/>
              <w:rPr>
                <w:sz w:val="20"/>
              </w:rPr>
            </w:pPr>
            <w:r w:rsidRPr="002B610E">
              <w:rPr>
                <w:sz w:val="20"/>
              </w:rPr>
              <w:t>7</w:t>
            </w:r>
          </w:p>
        </w:tc>
        <w:tc>
          <w:tcPr>
            <w:tcW w:w="1743" w:type="dxa"/>
            <w:noWrap/>
            <w:vAlign w:val="bottom"/>
          </w:tcPr>
          <w:p w:rsidR="0022634E" w:rsidRPr="002B610E" w:rsidRDefault="0022634E">
            <w:pPr>
              <w:jc w:val="center"/>
              <w:rPr>
                <w:sz w:val="20"/>
              </w:rPr>
            </w:pPr>
            <w:r w:rsidRPr="002B610E">
              <w:rPr>
                <w:sz w:val="20"/>
              </w:rPr>
              <w:t>0.6%</w:t>
            </w:r>
          </w:p>
        </w:tc>
        <w:tc>
          <w:tcPr>
            <w:tcW w:w="1137" w:type="dxa"/>
            <w:vAlign w:val="bottom"/>
          </w:tcPr>
          <w:p w:rsidR="0022634E" w:rsidRPr="002B610E" w:rsidRDefault="0022634E">
            <w:pPr>
              <w:jc w:val="center"/>
              <w:rPr>
                <w:sz w:val="20"/>
              </w:rPr>
            </w:pPr>
            <w:r w:rsidRPr="002B610E">
              <w:rPr>
                <w:sz w:val="20"/>
              </w:rPr>
              <w:t>7</w:t>
            </w:r>
          </w:p>
        </w:tc>
        <w:tc>
          <w:tcPr>
            <w:tcW w:w="1620" w:type="dxa"/>
            <w:vAlign w:val="bottom"/>
          </w:tcPr>
          <w:p w:rsidR="0022634E" w:rsidRPr="002B610E" w:rsidRDefault="0022634E">
            <w:pPr>
              <w:jc w:val="center"/>
              <w:rPr>
                <w:sz w:val="20"/>
              </w:rPr>
            </w:pPr>
            <w:r w:rsidRPr="002B610E">
              <w:rPr>
                <w:sz w:val="20"/>
              </w:rPr>
              <w:t>6</w:t>
            </w:r>
          </w:p>
        </w:tc>
        <w:tc>
          <w:tcPr>
            <w:tcW w:w="1620" w:type="dxa"/>
            <w:vAlign w:val="bottom"/>
          </w:tcPr>
          <w:p w:rsidR="0022634E" w:rsidRPr="002B610E" w:rsidRDefault="0022634E">
            <w:pPr>
              <w:jc w:val="center"/>
              <w:rPr>
                <w:b/>
                <w:bCs/>
                <w:sz w:val="20"/>
              </w:rPr>
            </w:pPr>
            <w:r w:rsidRPr="002B610E">
              <w:rPr>
                <w:b/>
                <w:bCs/>
                <w:sz w:val="20"/>
              </w:rPr>
              <w:t>0.189</w:t>
            </w:r>
          </w:p>
        </w:tc>
      </w:tr>
      <w:tr w:rsidR="0022634E" w:rsidRPr="00852475" w:rsidTr="00CE433F">
        <w:tc>
          <w:tcPr>
            <w:tcW w:w="1472" w:type="dxa"/>
            <w:vAlign w:val="bottom"/>
          </w:tcPr>
          <w:p w:rsidR="0022634E" w:rsidRPr="002B610E" w:rsidRDefault="0022634E">
            <w:pPr>
              <w:rPr>
                <w:sz w:val="20"/>
              </w:rPr>
            </w:pPr>
            <w:r w:rsidRPr="002B610E">
              <w:rPr>
                <w:sz w:val="20"/>
              </w:rPr>
              <w:t>Grantee 19</w:t>
            </w:r>
          </w:p>
        </w:tc>
        <w:tc>
          <w:tcPr>
            <w:tcW w:w="1915" w:type="dxa"/>
            <w:noWrap/>
            <w:vAlign w:val="bottom"/>
          </w:tcPr>
          <w:p w:rsidR="0022634E" w:rsidRPr="002B610E" w:rsidRDefault="0022634E">
            <w:pPr>
              <w:jc w:val="center"/>
              <w:rPr>
                <w:sz w:val="20"/>
              </w:rPr>
            </w:pPr>
            <w:r w:rsidRPr="002B610E">
              <w:rPr>
                <w:sz w:val="20"/>
              </w:rPr>
              <w:t>25</w:t>
            </w:r>
          </w:p>
        </w:tc>
        <w:tc>
          <w:tcPr>
            <w:tcW w:w="1743" w:type="dxa"/>
            <w:noWrap/>
            <w:vAlign w:val="bottom"/>
          </w:tcPr>
          <w:p w:rsidR="0022634E" w:rsidRPr="002B610E" w:rsidRDefault="0022634E">
            <w:pPr>
              <w:jc w:val="center"/>
              <w:rPr>
                <w:sz w:val="20"/>
              </w:rPr>
            </w:pPr>
            <w:r w:rsidRPr="002B610E">
              <w:rPr>
                <w:sz w:val="20"/>
              </w:rPr>
              <w:t>2.2%</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52475" w:rsidTr="00CE433F">
        <w:tc>
          <w:tcPr>
            <w:tcW w:w="1472" w:type="dxa"/>
            <w:vAlign w:val="bottom"/>
          </w:tcPr>
          <w:p w:rsidR="0022634E" w:rsidRPr="002B610E" w:rsidRDefault="0022634E">
            <w:pPr>
              <w:rPr>
                <w:sz w:val="20"/>
              </w:rPr>
            </w:pPr>
            <w:r w:rsidRPr="002B610E">
              <w:rPr>
                <w:sz w:val="20"/>
              </w:rPr>
              <w:t>Grantee 20</w:t>
            </w:r>
          </w:p>
        </w:tc>
        <w:tc>
          <w:tcPr>
            <w:tcW w:w="1915" w:type="dxa"/>
            <w:noWrap/>
            <w:vAlign w:val="bottom"/>
          </w:tcPr>
          <w:p w:rsidR="0022634E" w:rsidRPr="002B610E" w:rsidRDefault="0022634E">
            <w:pPr>
              <w:jc w:val="center"/>
              <w:rPr>
                <w:sz w:val="20"/>
              </w:rPr>
            </w:pPr>
            <w:r w:rsidRPr="002B610E">
              <w:rPr>
                <w:sz w:val="20"/>
              </w:rPr>
              <w:t>10</w:t>
            </w:r>
          </w:p>
        </w:tc>
        <w:tc>
          <w:tcPr>
            <w:tcW w:w="1743" w:type="dxa"/>
            <w:noWrap/>
            <w:vAlign w:val="bottom"/>
          </w:tcPr>
          <w:p w:rsidR="0022634E" w:rsidRPr="002B610E" w:rsidRDefault="0022634E">
            <w:pPr>
              <w:jc w:val="center"/>
              <w:rPr>
                <w:sz w:val="20"/>
              </w:rPr>
            </w:pPr>
            <w:r w:rsidRPr="002B610E">
              <w:rPr>
                <w:sz w:val="20"/>
              </w:rPr>
              <w:t>0.9%</w:t>
            </w:r>
          </w:p>
        </w:tc>
        <w:tc>
          <w:tcPr>
            <w:tcW w:w="1137" w:type="dxa"/>
            <w:vAlign w:val="bottom"/>
          </w:tcPr>
          <w:p w:rsidR="0022634E" w:rsidRPr="002B610E" w:rsidRDefault="0022634E">
            <w:pPr>
              <w:jc w:val="center"/>
              <w:rPr>
                <w:sz w:val="20"/>
              </w:rPr>
            </w:pPr>
            <w:r w:rsidRPr="002B610E">
              <w:rPr>
                <w:sz w:val="20"/>
              </w:rPr>
              <w:t>10</w:t>
            </w:r>
          </w:p>
        </w:tc>
        <w:tc>
          <w:tcPr>
            <w:tcW w:w="1620" w:type="dxa"/>
            <w:vAlign w:val="bottom"/>
          </w:tcPr>
          <w:p w:rsidR="0022634E" w:rsidRPr="002B610E" w:rsidRDefault="0022634E">
            <w:pPr>
              <w:jc w:val="center"/>
              <w:rPr>
                <w:sz w:val="20"/>
              </w:rPr>
            </w:pPr>
            <w:r w:rsidRPr="002B610E">
              <w:rPr>
                <w:sz w:val="20"/>
              </w:rPr>
              <w:t>8</w:t>
            </w:r>
          </w:p>
        </w:tc>
        <w:tc>
          <w:tcPr>
            <w:tcW w:w="1620" w:type="dxa"/>
            <w:vAlign w:val="bottom"/>
          </w:tcPr>
          <w:p w:rsidR="0022634E" w:rsidRPr="002B610E" w:rsidRDefault="0022634E">
            <w:pPr>
              <w:jc w:val="center"/>
              <w:rPr>
                <w:b/>
                <w:bCs/>
                <w:sz w:val="20"/>
              </w:rPr>
            </w:pPr>
            <w:r w:rsidRPr="002B610E">
              <w:rPr>
                <w:b/>
                <w:bCs/>
                <w:sz w:val="20"/>
              </w:rPr>
              <w:t>0.158</w:t>
            </w:r>
          </w:p>
        </w:tc>
      </w:tr>
      <w:tr w:rsidR="0022634E" w:rsidRPr="00852475" w:rsidTr="00CE433F">
        <w:tc>
          <w:tcPr>
            <w:tcW w:w="1472" w:type="dxa"/>
            <w:vAlign w:val="bottom"/>
          </w:tcPr>
          <w:p w:rsidR="0022634E" w:rsidRPr="002B610E" w:rsidRDefault="0022634E">
            <w:pPr>
              <w:rPr>
                <w:sz w:val="20"/>
              </w:rPr>
            </w:pPr>
            <w:r w:rsidRPr="002B610E">
              <w:rPr>
                <w:sz w:val="20"/>
              </w:rPr>
              <w:t>Grantee 21</w:t>
            </w:r>
          </w:p>
        </w:tc>
        <w:tc>
          <w:tcPr>
            <w:tcW w:w="1915" w:type="dxa"/>
            <w:noWrap/>
            <w:vAlign w:val="bottom"/>
          </w:tcPr>
          <w:p w:rsidR="0022634E" w:rsidRPr="002B610E" w:rsidRDefault="0022634E">
            <w:pPr>
              <w:jc w:val="center"/>
              <w:rPr>
                <w:sz w:val="20"/>
              </w:rPr>
            </w:pPr>
            <w:r w:rsidRPr="002B610E">
              <w:rPr>
                <w:sz w:val="20"/>
              </w:rPr>
              <w:t>48</w:t>
            </w:r>
          </w:p>
        </w:tc>
        <w:tc>
          <w:tcPr>
            <w:tcW w:w="1743" w:type="dxa"/>
            <w:noWrap/>
            <w:vAlign w:val="bottom"/>
          </w:tcPr>
          <w:p w:rsidR="0022634E" w:rsidRPr="002B610E" w:rsidRDefault="0022634E">
            <w:pPr>
              <w:jc w:val="center"/>
              <w:rPr>
                <w:sz w:val="20"/>
              </w:rPr>
            </w:pPr>
            <w:r w:rsidRPr="002B610E">
              <w:rPr>
                <w:sz w:val="20"/>
              </w:rPr>
              <w:t>4.2%</w:t>
            </w:r>
          </w:p>
        </w:tc>
        <w:tc>
          <w:tcPr>
            <w:tcW w:w="1137" w:type="dxa"/>
            <w:vAlign w:val="bottom"/>
          </w:tcPr>
          <w:p w:rsidR="0022634E" w:rsidRPr="002B610E" w:rsidRDefault="0022634E">
            <w:pPr>
              <w:jc w:val="center"/>
              <w:rPr>
                <w:sz w:val="20"/>
              </w:rPr>
            </w:pPr>
            <w:r w:rsidRPr="002B610E">
              <w:rPr>
                <w:sz w:val="20"/>
              </w:rPr>
              <w:t>28</w:t>
            </w:r>
          </w:p>
        </w:tc>
        <w:tc>
          <w:tcPr>
            <w:tcW w:w="1620" w:type="dxa"/>
            <w:vAlign w:val="bottom"/>
          </w:tcPr>
          <w:p w:rsidR="0022634E" w:rsidRPr="002B610E" w:rsidRDefault="0022634E">
            <w:pPr>
              <w:jc w:val="center"/>
              <w:rPr>
                <w:sz w:val="20"/>
              </w:rPr>
            </w:pPr>
            <w:r w:rsidRPr="002B610E">
              <w:rPr>
                <w:sz w:val="20"/>
              </w:rPr>
              <w:t>22</w:t>
            </w:r>
          </w:p>
        </w:tc>
        <w:tc>
          <w:tcPr>
            <w:tcW w:w="1620" w:type="dxa"/>
            <w:vAlign w:val="bottom"/>
          </w:tcPr>
          <w:p w:rsidR="0022634E" w:rsidRPr="002B610E" w:rsidRDefault="0022634E">
            <w:pPr>
              <w:jc w:val="center"/>
              <w:rPr>
                <w:b/>
                <w:bCs/>
                <w:sz w:val="20"/>
              </w:rPr>
            </w:pPr>
            <w:r w:rsidRPr="002B610E">
              <w:rPr>
                <w:b/>
                <w:bCs/>
                <w:sz w:val="20"/>
              </w:rPr>
              <w:t>0.104</w:t>
            </w:r>
          </w:p>
        </w:tc>
      </w:tr>
      <w:tr w:rsidR="0022634E" w:rsidRPr="00852475" w:rsidTr="00CE433F">
        <w:tc>
          <w:tcPr>
            <w:tcW w:w="1472" w:type="dxa"/>
            <w:vAlign w:val="bottom"/>
          </w:tcPr>
          <w:p w:rsidR="0022634E" w:rsidRPr="002B610E" w:rsidRDefault="0022634E">
            <w:pPr>
              <w:rPr>
                <w:sz w:val="20"/>
              </w:rPr>
            </w:pPr>
            <w:r w:rsidRPr="002B610E">
              <w:rPr>
                <w:sz w:val="20"/>
              </w:rPr>
              <w:t>Grantee 22</w:t>
            </w:r>
          </w:p>
        </w:tc>
        <w:tc>
          <w:tcPr>
            <w:tcW w:w="1915" w:type="dxa"/>
            <w:noWrap/>
            <w:vAlign w:val="bottom"/>
          </w:tcPr>
          <w:p w:rsidR="0022634E" w:rsidRPr="002B610E" w:rsidRDefault="0022634E">
            <w:pPr>
              <w:jc w:val="center"/>
              <w:rPr>
                <w:sz w:val="20"/>
              </w:rPr>
            </w:pPr>
            <w:r w:rsidRPr="002B610E">
              <w:rPr>
                <w:sz w:val="20"/>
              </w:rPr>
              <w:t>8</w:t>
            </w:r>
          </w:p>
        </w:tc>
        <w:tc>
          <w:tcPr>
            <w:tcW w:w="1743" w:type="dxa"/>
            <w:noWrap/>
            <w:vAlign w:val="bottom"/>
          </w:tcPr>
          <w:p w:rsidR="0022634E" w:rsidRPr="002B610E" w:rsidRDefault="0022634E">
            <w:pPr>
              <w:jc w:val="center"/>
              <w:rPr>
                <w:sz w:val="20"/>
              </w:rPr>
            </w:pPr>
            <w:r w:rsidRPr="002B610E">
              <w:rPr>
                <w:sz w:val="20"/>
              </w:rPr>
              <w:t>0.7%</w:t>
            </w:r>
          </w:p>
        </w:tc>
        <w:tc>
          <w:tcPr>
            <w:tcW w:w="1137" w:type="dxa"/>
            <w:vAlign w:val="bottom"/>
          </w:tcPr>
          <w:p w:rsidR="0022634E" w:rsidRPr="002B610E" w:rsidRDefault="0022634E">
            <w:pPr>
              <w:jc w:val="center"/>
              <w:rPr>
                <w:sz w:val="20"/>
              </w:rPr>
            </w:pPr>
            <w:r w:rsidRPr="002B610E">
              <w:rPr>
                <w:sz w:val="20"/>
              </w:rPr>
              <w:t>8</w:t>
            </w:r>
          </w:p>
        </w:tc>
        <w:tc>
          <w:tcPr>
            <w:tcW w:w="1620" w:type="dxa"/>
            <w:vAlign w:val="bottom"/>
          </w:tcPr>
          <w:p w:rsidR="0022634E" w:rsidRPr="002B610E" w:rsidRDefault="0022634E">
            <w:pPr>
              <w:jc w:val="center"/>
              <w:rPr>
                <w:sz w:val="20"/>
              </w:rPr>
            </w:pPr>
            <w:r w:rsidRPr="002B610E">
              <w:rPr>
                <w:sz w:val="20"/>
              </w:rPr>
              <w:t>6</w:t>
            </w:r>
          </w:p>
        </w:tc>
        <w:tc>
          <w:tcPr>
            <w:tcW w:w="1620" w:type="dxa"/>
            <w:vAlign w:val="bottom"/>
          </w:tcPr>
          <w:p w:rsidR="0022634E" w:rsidRPr="002B610E" w:rsidRDefault="0022634E">
            <w:pPr>
              <w:jc w:val="center"/>
              <w:rPr>
                <w:b/>
                <w:bCs/>
                <w:sz w:val="20"/>
              </w:rPr>
            </w:pPr>
            <w:r w:rsidRPr="002B610E">
              <w:rPr>
                <w:b/>
                <w:bCs/>
                <w:sz w:val="20"/>
              </w:rPr>
              <w:t>0.177</w:t>
            </w:r>
          </w:p>
        </w:tc>
      </w:tr>
      <w:tr w:rsidR="0022634E" w:rsidRPr="00852475" w:rsidTr="00CE433F">
        <w:tc>
          <w:tcPr>
            <w:tcW w:w="1472" w:type="dxa"/>
            <w:vAlign w:val="bottom"/>
          </w:tcPr>
          <w:p w:rsidR="0022634E" w:rsidRPr="002B610E" w:rsidRDefault="0022634E">
            <w:pPr>
              <w:rPr>
                <w:sz w:val="20"/>
              </w:rPr>
            </w:pPr>
            <w:r w:rsidRPr="002B610E">
              <w:rPr>
                <w:sz w:val="20"/>
              </w:rPr>
              <w:t>Grantee 23</w:t>
            </w:r>
          </w:p>
        </w:tc>
        <w:tc>
          <w:tcPr>
            <w:tcW w:w="1915" w:type="dxa"/>
            <w:noWrap/>
            <w:vAlign w:val="bottom"/>
          </w:tcPr>
          <w:p w:rsidR="0022634E" w:rsidRPr="002B610E" w:rsidRDefault="0022634E">
            <w:pPr>
              <w:jc w:val="center"/>
              <w:rPr>
                <w:sz w:val="20"/>
              </w:rPr>
            </w:pPr>
            <w:r w:rsidRPr="002B610E">
              <w:rPr>
                <w:sz w:val="20"/>
              </w:rPr>
              <w:t>6</w:t>
            </w:r>
          </w:p>
        </w:tc>
        <w:tc>
          <w:tcPr>
            <w:tcW w:w="1743" w:type="dxa"/>
            <w:noWrap/>
            <w:vAlign w:val="bottom"/>
          </w:tcPr>
          <w:p w:rsidR="0022634E" w:rsidRPr="002B610E" w:rsidRDefault="0022634E">
            <w:pPr>
              <w:jc w:val="center"/>
              <w:rPr>
                <w:sz w:val="20"/>
              </w:rPr>
            </w:pPr>
            <w:r w:rsidRPr="002B610E">
              <w:rPr>
                <w:sz w:val="20"/>
              </w:rPr>
              <w:t>0.5%</w:t>
            </w:r>
          </w:p>
        </w:tc>
        <w:tc>
          <w:tcPr>
            <w:tcW w:w="1137" w:type="dxa"/>
            <w:vAlign w:val="bottom"/>
          </w:tcPr>
          <w:p w:rsidR="0022634E" w:rsidRPr="002B610E" w:rsidRDefault="0022634E">
            <w:pPr>
              <w:jc w:val="center"/>
              <w:rPr>
                <w:sz w:val="20"/>
              </w:rPr>
            </w:pPr>
            <w:r w:rsidRPr="002B610E">
              <w:rPr>
                <w:sz w:val="20"/>
              </w:rPr>
              <w:t>6</w:t>
            </w:r>
          </w:p>
        </w:tc>
        <w:tc>
          <w:tcPr>
            <w:tcW w:w="1620" w:type="dxa"/>
            <w:vAlign w:val="bottom"/>
          </w:tcPr>
          <w:p w:rsidR="0022634E" w:rsidRPr="002B610E" w:rsidRDefault="0022634E">
            <w:pPr>
              <w:jc w:val="center"/>
              <w:rPr>
                <w:sz w:val="20"/>
              </w:rPr>
            </w:pPr>
            <w:r w:rsidRPr="002B610E">
              <w:rPr>
                <w:sz w:val="20"/>
              </w:rPr>
              <w:t>5</w:t>
            </w:r>
          </w:p>
        </w:tc>
        <w:tc>
          <w:tcPr>
            <w:tcW w:w="1620" w:type="dxa"/>
            <w:vAlign w:val="bottom"/>
          </w:tcPr>
          <w:p w:rsidR="0022634E" w:rsidRPr="002B610E" w:rsidRDefault="0022634E">
            <w:pPr>
              <w:jc w:val="center"/>
              <w:rPr>
                <w:b/>
                <w:bCs/>
                <w:sz w:val="20"/>
              </w:rPr>
            </w:pPr>
            <w:r w:rsidRPr="002B610E">
              <w:rPr>
                <w:b/>
                <w:bCs/>
                <w:sz w:val="20"/>
              </w:rPr>
              <w:t>0.204</w:t>
            </w:r>
          </w:p>
        </w:tc>
      </w:tr>
      <w:tr w:rsidR="0022634E" w:rsidRPr="00852475" w:rsidTr="00CE433F">
        <w:tc>
          <w:tcPr>
            <w:tcW w:w="1472" w:type="dxa"/>
            <w:vAlign w:val="bottom"/>
          </w:tcPr>
          <w:p w:rsidR="0022634E" w:rsidRPr="002B610E" w:rsidRDefault="0022634E">
            <w:pPr>
              <w:rPr>
                <w:sz w:val="20"/>
              </w:rPr>
            </w:pPr>
            <w:r w:rsidRPr="002B610E">
              <w:rPr>
                <w:sz w:val="20"/>
              </w:rPr>
              <w:t>Grantee 24</w:t>
            </w:r>
          </w:p>
        </w:tc>
        <w:tc>
          <w:tcPr>
            <w:tcW w:w="1915" w:type="dxa"/>
            <w:noWrap/>
            <w:vAlign w:val="bottom"/>
          </w:tcPr>
          <w:p w:rsidR="0022634E" w:rsidRPr="002B610E" w:rsidRDefault="0022634E">
            <w:pPr>
              <w:jc w:val="center"/>
              <w:rPr>
                <w:sz w:val="20"/>
              </w:rPr>
            </w:pPr>
            <w:r w:rsidRPr="002B610E">
              <w:rPr>
                <w:sz w:val="20"/>
              </w:rPr>
              <w:t>64</w:t>
            </w:r>
          </w:p>
        </w:tc>
        <w:tc>
          <w:tcPr>
            <w:tcW w:w="1743" w:type="dxa"/>
            <w:noWrap/>
            <w:vAlign w:val="bottom"/>
          </w:tcPr>
          <w:p w:rsidR="0022634E" w:rsidRPr="002B610E" w:rsidRDefault="0022634E">
            <w:pPr>
              <w:jc w:val="center"/>
              <w:rPr>
                <w:sz w:val="20"/>
              </w:rPr>
            </w:pPr>
            <w:r w:rsidRPr="002B610E">
              <w:rPr>
                <w:sz w:val="20"/>
              </w:rPr>
              <w:t>5.6%</w:t>
            </w:r>
          </w:p>
        </w:tc>
        <w:tc>
          <w:tcPr>
            <w:tcW w:w="1137" w:type="dxa"/>
            <w:vAlign w:val="bottom"/>
          </w:tcPr>
          <w:p w:rsidR="0022634E" w:rsidRPr="002B610E" w:rsidRDefault="0022634E">
            <w:pPr>
              <w:jc w:val="center"/>
              <w:rPr>
                <w:sz w:val="20"/>
              </w:rPr>
            </w:pPr>
            <w:r w:rsidRPr="002B610E">
              <w:rPr>
                <w:sz w:val="20"/>
              </w:rPr>
              <w:t>37</w:t>
            </w:r>
          </w:p>
        </w:tc>
        <w:tc>
          <w:tcPr>
            <w:tcW w:w="1620" w:type="dxa"/>
            <w:vAlign w:val="bottom"/>
          </w:tcPr>
          <w:p w:rsidR="0022634E" w:rsidRPr="002B610E" w:rsidRDefault="0022634E">
            <w:pPr>
              <w:jc w:val="center"/>
              <w:rPr>
                <w:sz w:val="20"/>
              </w:rPr>
            </w:pPr>
            <w:r w:rsidRPr="002B610E">
              <w:rPr>
                <w:sz w:val="20"/>
              </w:rPr>
              <w:t>30</w:t>
            </w:r>
          </w:p>
        </w:tc>
        <w:tc>
          <w:tcPr>
            <w:tcW w:w="1620" w:type="dxa"/>
            <w:vAlign w:val="bottom"/>
          </w:tcPr>
          <w:p w:rsidR="0022634E" w:rsidRPr="002B610E" w:rsidRDefault="0022634E">
            <w:pPr>
              <w:jc w:val="center"/>
              <w:rPr>
                <w:b/>
                <w:bCs/>
                <w:sz w:val="20"/>
              </w:rPr>
            </w:pPr>
            <w:r w:rsidRPr="002B610E">
              <w:rPr>
                <w:b/>
                <w:bCs/>
                <w:sz w:val="20"/>
              </w:rPr>
              <w:t>0.090</w:t>
            </w:r>
          </w:p>
        </w:tc>
      </w:tr>
      <w:tr w:rsidR="0022634E" w:rsidRPr="00852475" w:rsidTr="00CE433F">
        <w:tc>
          <w:tcPr>
            <w:tcW w:w="1472" w:type="dxa"/>
            <w:vAlign w:val="bottom"/>
          </w:tcPr>
          <w:p w:rsidR="0022634E" w:rsidRPr="002B610E" w:rsidRDefault="0022634E">
            <w:pPr>
              <w:rPr>
                <w:sz w:val="20"/>
              </w:rPr>
            </w:pPr>
            <w:r w:rsidRPr="002B610E">
              <w:rPr>
                <w:sz w:val="20"/>
              </w:rPr>
              <w:t>Grantee 25</w:t>
            </w:r>
          </w:p>
        </w:tc>
        <w:tc>
          <w:tcPr>
            <w:tcW w:w="1915" w:type="dxa"/>
            <w:noWrap/>
            <w:vAlign w:val="bottom"/>
          </w:tcPr>
          <w:p w:rsidR="0022634E" w:rsidRPr="002B610E" w:rsidRDefault="0022634E">
            <w:pPr>
              <w:jc w:val="center"/>
              <w:rPr>
                <w:sz w:val="20"/>
              </w:rPr>
            </w:pPr>
            <w:r w:rsidRPr="002B610E">
              <w:rPr>
                <w:sz w:val="20"/>
              </w:rPr>
              <w:t>23</w:t>
            </w:r>
          </w:p>
        </w:tc>
        <w:tc>
          <w:tcPr>
            <w:tcW w:w="1743" w:type="dxa"/>
            <w:noWrap/>
            <w:vAlign w:val="bottom"/>
          </w:tcPr>
          <w:p w:rsidR="0022634E" w:rsidRPr="002B610E" w:rsidRDefault="0022634E">
            <w:pPr>
              <w:jc w:val="center"/>
              <w:rPr>
                <w:sz w:val="20"/>
              </w:rPr>
            </w:pPr>
            <w:r w:rsidRPr="002B610E">
              <w:rPr>
                <w:sz w:val="20"/>
              </w:rPr>
              <w:t>2.0%</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52475" w:rsidTr="00CE433F">
        <w:tc>
          <w:tcPr>
            <w:tcW w:w="1472" w:type="dxa"/>
            <w:vAlign w:val="bottom"/>
          </w:tcPr>
          <w:p w:rsidR="0022634E" w:rsidRPr="002B610E" w:rsidRDefault="0022634E">
            <w:pPr>
              <w:rPr>
                <w:sz w:val="20"/>
              </w:rPr>
            </w:pPr>
            <w:r w:rsidRPr="002B610E">
              <w:rPr>
                <w:sz w:val="20"/>
              </w:rPr>
              <w:t>Grantee 26</w:t>
            </w:r>
          </w:p>
        </w:tc>
        <w:tc>
          <w:tcPr>
            <w:tcW w:w="1915" w:type="dxa"/>
            <w:noWrap/>
            <w:vAlign w:val="bottom"/>
          </w:tcPr>
          <w:p w:rsidR="0022634E" w:rsidRPr="002B610E" w:rsidRDefault="0022634E">
            <w:pPr>
              <w:jc w:val="center"/>
              <w:rPr>
                <w:sz w:val="20"/>
              </w:rPr>
            </w:pPr>
            <w:r w:rsidRPr="002B610E">
              <w:rPr>
                <w:sz w:val="20"/>
              </w:rPr>
              <w:t>6</w:t>
            </w:r>
          </w:p>
        </w:tc>
        <w:tc>
          <w:tcPr>
            <w:tcW w:w="1743" w:type="dxa"/>
            <w:noWrap/>
            <w:vAlign w:val="bottom"/>
          </w:tcPr>
          <w:p w:rsidR="0022634E" w:rsidRPr="002B610E" w:rsidRDefault="0022634E">
            <w:pPr>
              <w:jc w:val="center"/>
              <w:rPr>
                <w:sz w:val="20"/>
              </w:rPr>
            </w:pPr>
            <w:r w:rsidRPr="002B610E">
              <w:rPr>
                <w:sz w:val="20"/>
              </w:rPr>
              <w:t>0.5%</w:t>
            </w:r>
          </w:p>
        </w:tc>
        <w:tc>
          <w:tcPr>
            <w:tcW w:w="1137" w:type="dxa"/>
            <w:vAlign w:val="bottom"/>
          </w:tcPr>
          <w:p w:rsidR="0022634E" w:rsidRPr="002B610E" w:rsidRDefault="0022634E">
            <w:pPr>
              <w:jc w:val="center"/>
              <w:rPr>
                <w:sz w:val="20"/>
              </w:rPr>
            </w:pPr>
            <w:r w:rsidRPr="002B610E">
              <w:rPr>
                <w:sz w:val="20"/>
              </w:rPr>
              <w:t>6</w:t>
            </w:r>
          </w:p>
        </w:tc>
        <w:tc>
          <w:tcPr>
            <w:tcW w:w="1620" w:type="dxa"/>
            <w:vAlign w:val="bottom"/>
          </w:tcPr>
          <w:p w:rsidR="0022634E" w:rsidRPr="002B610E" w:rsidRDefault="0022634E">
            <w:pPr>
              <w:jc w:val="center"/>
              <w:rPr>
                <w:sz w:val="20"/>
              </w:rPr>
            </w:pPr>
            <w:r w:rsidRPr="002B610E">
              <w:rPr>
                <w:sz w:val="20"/>
              </w:rPr>
              <w:t>5</w:t>
            </w:r>
          </w:p>
        </w:tc>
        <w:tc>
          <w:tcPr>
            <w:tcW w:w="1620" w:type="dxa"/>
            <w:vAlign w:val="bottom"/>
          </w:tcPr>
          <w:p w:rsidR="0022634E" w:rsidRPr="002B610E" w:rsidRDefault="0022634E">
            <w:pPr>
              <w:jc w:val="center"/>
              <w:rPr>
                <w:b/>
                <w:bCs/>
                <w:sz w:val="20"/>
              </w:rPr>
            </w:pPr>
            <w:r w:rsidRPr="002B610E">
              <w:rPr>
                <w:b/>
                <w:bCs/>
                <w:sz w:val="20"/>
              </w:rPr>
              <w:t>0.204</w:t>
            </w:r>
          </w:p>
        </w:tc>
      </w:tr>
      <w:tr w:rsidR="0022634E" w:rsidRPr="00852475" w:rsidTr="00CE433F">
        <w:tc>
          <w:tcPr>
            <w:tcW w:w="1472" w:type="dxa"/>
            <w:vAlign w:val="bottom"/>
          </w:tcPr>
          <w:p w:rsidR="0022634E" w:rsidRPr="002B610E" w:rsidRDefault="0022634E">
            <w:pPr>
              <w:rPr>
                <w:sz w:val="20"/>
              </w:rPr>
            </w:pPr>
            <w:r w:rsidRPr="002B610E">
              <w:rPr>
                <w:sz w:val="20"/>
              </w:rPr>
              <w:t>Grantee 27</w:t>
            </w:r>
          </w:p>
        </w:tc>
        <w:tc>
          <w:tcPr>
            <w:tcW w:w="1915" w:type="dxa"/>
            <w:noWrap/>
            <w:vAlign w:val="bottom"/>
          </w:tcPr>
          <w:p w:rsidR="0022634E" w:rsidRPr="002B610E" w:rsidRDefault="0022634E">
            <w:pPr>
              <w:jc w:val="center"/>
              <w:rPr>
                <w:sz w:val="20"/>
              </w:rPr>
            </w:pPr>
            <w:r w:rsidRPr="002B610E">
              <w:rPr>
                <w:sz w:val="20"/>
              </w:rPr>
              <w:t>30</w:t>
            </w:r>
          </w:p>
        </w:tc>
        <w:tc>
          <w:tcPr>
            <w:tcW w:w="1743" w:type="dxa"/>
            <w:noWrap/>
            <w:vAlign w:val="bottom"/>
          </w:tcPr>
          <w:p w:rsidR="0022634E" w:rsidRPr="002B610E" w:rsidRDefault="0022634E">
            <w:pPr>
              <w:jc w:val="center"/>
              <w:rPr>
                <w:sz w:val="20"/>
              </w:rPr>
            </w:pPr>
            <w:r w:rsidRPr="002B610E">
              <w:rPr>
                <w:sz w:val="20"/>
              </w:rPr>
              <w:t>2.6%</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52475" w:rsidTr="00CE433F">
        <w:tc>
          <w:tcPr>
            <w:tcW w:w="1472" w:type="dxa"/>
            <w:vAlign w:val="bottom"/>
          </w:tcPr>
          <w:p w:rsidR="0022634E" w:rsidRPr="002B610E" w:rsidRDefault="0022634E">
            <w:pPr>
              <w:rPr>
                <w:sz w:val="20"/>
              </w:rPr>
            </w:pPr>
            <w:r w:rsidRPr="002B610E">
              <w:rPr>
                <w:sz w:val="20"/>
              </w:rPr>
              <w:t>Grantee 28</w:t>
            </w:r>
          </w:p>
        </w:tc>
        <w:tc>
          <w:tcPr>
            <w:tcW w:w="1915" w:type="dxa"/>
            <w:noWrap/>
            <w:vAlign w:val="bottom"/>
          </w:tcPr>
          <w:p w:rsidR="0022634E" w:rsidRPr="002B610E" w:rsidRDefault="0022634E">
            <w:pPr>
              <w:jc w:val="center"/>
              <w:rPr>
                <w:sz w:val="20"/>
              </w:rPr>
            </w:pPr>
            <w:r w:rsidRPr="002B610E">
              <w:rPr>
                <w:sz w:val="20"/>
              </w:rPr>
              <w:t>17</w:t>
            </w:r>
          </w:p>
        </w:tc>
        <w:tc>
          <w:tcPr>
            <w:tcW w:w="1743" w:type="dxa"/>
            <w:noWrap/>
            <w:vAlign w:val="bottom"/>
          </w:tcPr>
          <w:p w:rsidR="0022634E" w:rsidRPr="002B610E" w:rsidRDefault="0022634E">
            <w:pPr>
              <w:jc w:val="center"/>
              <w:rPr>
                <w:sz w:val="20"/>
              </w:rPr>
            </w:pPr>
            <w:r w:rsidRPr="002B610E">
              <w:rPr>
                <w:sz w:val="20"/>
              </w:rPr>
              <w:t>1.5%</w:t>
            </w:r>
          </w:p>
        </w:tc>
        <w:tc>
          <w:tcPr>
            <w:tcW w:w="1137" w:type="dxa"/>
            <w:vAlign w:val="bottom"/>
          </w:tcPr>
          <w:p w:rsidR="0022634E" w:rsidRPr="002B610E" w:rsidRDefault="0022634E">
            <w:pPr>
              <w:jc w:val="center"/>
              <w:rPr>
                <w:sz w:val="20"/>
              </w:rPr>
            </w:pPr>
            <w:r w:rsidRPr="002B610E">
              <w:rPr>
                <w:sz w:val="20"/>
              </w:rPr>
              <w:t>17</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2683A" w:rsidTr="00CE433F">
        <w:tc>
          <w:tcPr>
            <w:tcW w:w="1472" w:type="dxa"/>
            <w:vAlign w:val="bottom"/>
          </w:tcPr>
          <w:p w:rsidR="0022634E" w:rsidRPr="002B610E" w:rsidRDefault="0022634E">
            <w:pPr>
              <w:rPr>
                <w:sz w:val="20"/>
              </w:rPr>
            </w:pPr>
            <w:r w:rsidRPr="002B610E">
              <w:rPr>
                <w:sz w:val="20"/>
              </w:rPr>
              <w:t>Grantee 29</w:t>
            </w:r>
          </w:p>
        </w:tc>
        <w:tc>
          <w:tcPr>
            <w:tcW w:w="1915" w:type="dxa"/>
            <w:noWrap/>
            <w:vAlign w:val="bottom"/>
          </w:tcPr>
          <w:p w:rsidR="0022634E" w:rsidRPr="002B610E" w:rsidRDefault="0022634E">
            <w:pPr>
              <w:jc w:val="center"/>
              <w:rPr>
                <w:sz w:val="20"/>
              </w:rPr>
            </w:pPr>
            <w:r w:rsidRPr="002B610E">
              <w:rPr>
                <w:sz w:val="20"/>
              </w:rPr>
              <w:t>213</w:t>
            </w:r>
          </w:p>
        </w:tc>
        <w:tc>
          <w:tcPr>
            <w:tcW w:w="1743" w:type="dxa"/>
            <w:noWrap/>
            <w:vAlign w:val="bottom"/>
          </w:tcPr>
          <w:p w:rsidR="0022634E" w:rsidRPr="002B610E" w:rsidRDefault="0022634E">
            <w:pPr>
              <w:jc w:val="center"/>
              <w:rPr>
                <w:sz w:val="20"/>
              </w:rPr>
            </w:pPr>
            <w:r w:rsidRPr="002B610E">
              <w:rPr>
                <w:sz w:val="20"/>
              </w:rPr>
              <w:t>18.7%</w:t>
            </w:r>
          </w:p>
        </w:tc>
        <w:tc>
          <w:tcPr>
            <w:tcW w:w="1137" w:type="dxa"/>
            <w:vAlign w:val="bottom"/>
          </w:tcPr>
          <w:p w:rsidR="0022634E" w:rsidRPr="002B610E" w:rsidRDefault="0022634E">
            <w:pPr>
              <w:jc w:val="center"/>
              <w:rPr>
                <w:sz w:val="20"/>
              </w:rPr>
            </w:pPr>
            <w:r w:rsidRPr="002B610E">
              <w:rPr>
                <w:sz w:val="20"/>
              </w:rPr>
              <w:t>72</w:t>
            </w:r>
          </w:p>
        </w:tc>
        <w:tc>
          <w:tcPr>
            <w:tcW w:w="1620" w:type="dxa"/>
            <w:vAlign w:val="bottom"/>
          </w:tcPr>
          <w:p w:rsidR="0022634E" w:rsidRPr="002B610E" w:rsidRDefault="0022634E">
            <w:pPr>
              <w:jc w:val="center"/>
              <w:rPr>
                <w:sz w:val="20"/>
              </w:rPr>
            </w:pPr>
            <w:r w:rsidRPr="002B610E">
              <w:rPr>
                <w:sz w:val="20"/>
              </w:rPr>
              <w:t>58</w:t>
            </w:r>
          </w:p>
        </w:tc>
        <w:tc>
          <w:tcPr>
            <w:tcW w:w="1620" w:type="dxa"/>
            <w:vAlign w:val="bottom"/>
          </w:tcPr>
          <w:p w:rsidR="0022634E" w:rsidRPr="002B610E" w:rsidRDefault="0022634E">
            <w:pPr>
              <w:jc w:val="center"/>
              <w:rPr>
                <w:b/>
                <w:bCs/>
                <w:sz w:val="20"/>
              </w:rPr>
            </w:pPr>
            <w:r w:rsidRPr="002B610E">
              <w:rPr>
                <w:b/>
                <w:bCs/>
                <w:sz w:val="20"/>
              </w:rPr>
              <w:t>0.065</w:t>
            </w:r>
          </w:p>
        </w:tc>
      </w:tr>
      <w:tr w:rsidR="0022634E" w:rsidRPr="0082683A" w:rsidTr="00CE433F">
        <w:tc>
          <w:tcPr>
            <w:tcW w:w="1472" w:type="dxa"/>
            <w:vAlign w:val="bottom"/>
          </w:tcPr>
          <w:p w:rsidR="0022634E" w:rsidRPr="002B610E" w:rsidRDefault="0022634E">
            <w:pPr>
              <w:rPr>
                <w:sz w:val="20"/>
              </w:rPr>
            </w:pPr>
            <w:r w:rsidRPr="002B610E">
              <w:rPr>
                <w:sz w:val="20"/>
              </w:rPr>
              <w:t>Grantee 30</w:t>
            </w:r>
          </w:p>
        </w:tc>
        <w:tc>
          <w:tcPr>
            <w:tcW w:w="1915" w:type="dxa"/>
            <w:noWrap/>
            <w:vAlign w:val="bottom"/>
          </w:tcPr>
          <w:p w:rsidR="0022634E" w:rsidRPr="002B610E" w:rsidRDefault="0022634E">
            <w:pPr>
              <w:jc w:val="center"/>
              <w:rPr>
                <w:sz w:val="20"/>
              </w:rPr>
            </w:pPr>
            <w:r w:rsidRPr="002B610E">
              <w:rPr>
                <w:sz w:val="20"/>
              </w:rPr>
              <w:t>27</w:t>
            </w:r>
          </w:p>
        </w:tc>
        <w:tc>
          <w:tcPr>
            <w:tcW w:w="1743" w:type="dxa"/>
            <w:noWrap/>
            <w:vAlign w:val="bottom"/>
          </w:tcPr>
          <w:p w:rsidR="0022634E" w:rsidRPr="002B610E" w:rsidRDefault="0022634E">
            <w:pPr>
              <w:jc w:val="center"/>
              <w:rPr>
                <w:sz w:val="20"/>
              </w:rPr>
            </w:pPr>
            <w:r w:rsidRPr="002B610E">
              <w:rPr>
                <w:sz w:val="20"/>
              </w:rPr>
              <w:t>2.4%</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2683A" w:rsidTr="00CE433F">
        <w:tc>
          <w:tcPr>
            <w:tcW w:w="1472" w:type="dxa"/>
            <w:vAlign w:val="bottom"/>
          </w:tcPr>
          <w:p w:rsidR="0022634E" w:rsidRPr="002B610E" w:rsidRDefault="0022634E">
            <w:pPr>
              <w:rPr>
                <w:sz w:val="20"/>
              </w:rPr>
            </w:pPr>
            <w:r w:rsidRPr="002B610E">
              <w:rPr>
                <w:sz w:val="20"/>
              </w:rPr>
              <w:t>Grantee 31</w:t>
            </w:r>
          </w:p>
        </w:tc>
        <w:tc>
          <w:tcPr>
            <w:tcW w:w="1915" w:type="dxa"/>
            <w:noWrap/>
            <w:vAlign w:val="bottom"/>
          </w:tcPr>
          <w:p w:rsidR="0022634E" w:rsidRPr="002B610E" w:rsidRDefault="0022634E">
            <w:pPr>
              <w:jc w:val="center"/>
              <w:rPr>
                <w:sz w:val="20"/>
              </w:rPr>
            </w:pPr>
            <w:r w:rsidRPr="002B610E">
              <w:rPr>
                <w:sz w:val="20"/>
              </w:rPr>
              <w:t>27</w:t>
            </w:r>
          </w:p>
        </w:tc>
        <w:tc>
          <w:tcPr>
            <w:tcW w:w="1743" w:type="dxa"/>
            <w:noWrap/>
            <w:vAlign w:val="bottom"/>
          </w:tcPr>
          <w:p w:rsidR="0022634E" w:rsidRPr="002B610E" w:rsidRDefault="0022634E">
            <w:pPr>
              <w:jc w:val="center"/>
              <w:rPr>
                <w:sz w:val="20"/>
              </w:rPr>
            </w:pPr>
            <w:r w:rsidRPr="002B610E">
              <w:rPr>
                <w:sz w:val="20"/>
              </w:rPr>
              <w:t>2.4%</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2683A" w:rsidTr="00CE433F">
        <w:tc>
          <w:tcPr>
            <w:tcW w:w="1472" w:type="dxa"/>
            <w:vAlign w:val="bottom"/>
          </w:tcPr>
          <w:p w:rsidR="0022634E" w:rsidRPr="002B610E" w:rsidRDefault="0022634E">
            <w:pPr>
              <w:rPr>
                <w:sz w:val="20"/>
              </w:rPr>
            </w:pPr>
            <w:r w:rsidRPr="002B610E">
              <w:rPr>
                <w:sz w:val="20"/>
              </w:rPr>
              <w:t>Grantee 32</w:t>
            </w:r>
          </w:p>
        </w:tc>
        <w:tc>
          <w:tcPr>
            <w:tcW w:w="1915" w:type="dxa"/>
            <w:noWrap/>
            <w:vAlign w:val="bottom"/>
          </w:tcPr>
          <w:p w:rsidR="0022634E" w:rsidRPr="002B610E" w:rsidRDefault="0022634E">
            <w:pPr>
              <w:jc w:val="center"/>
              <w:rPr>
                <w:sz w:val="20"/>
              </w:rPr>
            </w:pPr>
            <w:r w:rsidRPr="002B610E">
              <w:rPr>
                <w:sz w:val="20"/>
              </w:rPr>
              <w:t>6</w:t>
            </w:r>
          </w:p>
        </w:tc>
        <w:tc>
          <w:tcPr>
            <w:tcW w:w="1743" w:type="dxa"/>
            <w:noWrap/>
            <w:vAlign w:val="bottom"/>
          </w:tcPr>
          <w:p w:rsidR="0022634E" w:rsidRPr="002B610E" w:rsidRDefault="0022634E">
            <w:pPr>
              <w:jc w:val="center"/>
              <w:rPr>
                <w:sz w:val="20"/>
              </w:rPr>
            </w:pPr>
            <w:r w:rsidRPr="002B610E">
              <w:rPr>
                <w:sz w:val="20"/>
              </w:rPr>
              <w:t>0.5%</w:t>
            </w:r>
          </w:p>
        </w:tc>
        <w:tc>
          <w:tcPr>
            <w:tcW w:w="1137" w:type="dxa"/>
            <w:vAlign w:val="bottom"/>
          </w:tcPr>
          <w:p w:rsidR="0022634E" w:rsidRPr="002B610E" w:rsidRDefault="0022634E">
            <w:pPr>
              <w:jc w:val="center"/>
              <w:rPr>
                <w:sz w:val="20"/>
              </w:rPr>
            </w:pPr>
            <w:r w:rsidRPr="002B610E">
              <w:rPr>
                <w:sz w:val="20"/>
              </w:rPr>
              <w:t>6</w:t>
            </w:r>
          </w:p>
        </w:tc>
        <w:tc>
          <w:tcPr>
            <w:tcW w:w="1620" w:type="dxa"/>
            <w:vAlign w:val="bottom"/>
          </w:tcPr>
          <w:p w:rsidR="0022634E" w:rsidRPr="002B610E" w:rsidRDefault="0022634E">
            <w:pPr>
              <w:jc w:val="center"/>
              <w:rPr>
                <w:sz w:val="20"/>
              </w:rPr>
            </w:pPr>
            <w:r w:rsidRPr="002B610E">
              <w:rPr>
                <w:sz w:val="20"/>
              </w:rPr>
              <w:t>5</w:t>
            </w:r>
          </w:p>
        </w:tc>
        <w:tc>
          <w:tcPr>
            <w:tcW w:w="1620" w:type="dxa"/>
            <w:vAlign w:val="bottom"/>
          </w:tcPr>
          <w:p w:rsidR="0022634E" w:rsidRPr="002B610E" w:rsidRDefault="0022634E">
            <w:pPr>
              <w:jc w:val="center"/>
              <w:rPr>
                <w:b/>
                <w:bCs/>
                <w:sz w:val="20"/>
              </w:rPr>
            </w:pPr>
            <w:r w:rsidRPr="002B610E">
              <w:rPr>
                <w:b/>
                <w:bCs/>
                <w:sz w:val="20"/>
              </w:rPr>
              <w:t>0.204</w:t>
            </w:r>
          </w:p>
        </w:tc>
      </w:tr>
      <w:tr w:rsidR="0022634E" w:rsidRPr="0082683A" w:rsidTr="00CE433F">
        <w:tc>
          <w:tcPr>
            <w:tcW w:w="1472" w:type="dxa"/>
            <w:vAlign w:val="bottom"/>
          </w:tcPr>
          <w:p w:rsidR="0022634E" w:rsidRPr="002B610E" w:rsidRDefault="0022634E">
            <w:pPr>
              <w:rPr>
                <w:sz w:val="20"/>
              </w:rPr>
            </w:pPr>
            <w:r w:rsidRPr="002B610E">
              <w:rPr>
                <w:sz w:val="20"/>
              </w:rPr>
              <w:t>Grantee 33</w:t>
            </w:r>
          </w:p>
        </w:tc>
        <w:tc>
          <w:tcPr>
            <w:tcW w:w="1915" w:type="dxa"/>
            <w:noWrap/>
            <w:vAlign w:val="bottom"/>
          </w:tcPr>
          <w:p w:rsidR="0022634E" w:rsidRPr="002B610E" w:rsidRDefault="0022634E">
            <w:pPr>
              <w:jc w:val="center"/>
              <w:rPr>
                <w:sz w:val="20"/>
              </w:rPr>
            </w:pPr>
            <w:r w:rsidRPr="002B610E">
              <w:rPr>
                <w:sz w:val="20"/>
              </w:rPr>
              <w:t>99</w:t>
            </w:r>
          </w:p>
        </w:tc>
        <w:tc>
          <w:tcPr>
            <w:tcW w:w="1743" w:type="dxa"/>
            <w:noWrap/>
            <w:vAlign w:val="bottom"/>
          </w:tcPr>
          <w:p w:rsidR="0022634E" w:rsidRPr="002B610E" w:rsidRDefault="0022634E">
            <w:pPr>
              <w:jc w:val="center"/>
              <w:rPr>
                <w:sz w:val="20"/>
              </w:rPr>
            </w:pPr>
            <w:r w:rsidRPr="002B610E">
              <w:rPr>
                <w:sz w:val="20"/>
              </w:rPr>
              <w:t>8.7%</w:t>
            </w:r>
          </w:p>
        </w:tc>
        <w:tc>
          <w:tcPr>
            <w:tcW w:w="1137" w:type="dxa"/>
            <w:vAlign w:val="bottom"/>
          </w:tcPr>
          <w:p w:rsidR="0022634E" w:rsidRPr="002B610E" w:rsidRDefault="0022634E">
            <w:pPr>
              <w:jc w:val="center"/>
              <w:rPr>
                <w:sz w:val="20"/>
              </w:rPr>
            </w:pPr>
            <w:r w:rsidRPr="002B610E">
              <w:rPr>
                <w:sz w:val="20"/>
              </w:rPr>
              <w:t>18</w:t>
            </w:r>
          </w:p>
        </w:tc>
        <w:tc>
          <w:tcPr>
            <w:tcW w:w="1620" w:type="dxa"/>
            <w:vAlign w:val="bottom"/>
          </w:tcPr>
          <w:p w:rsidR="0022634E" w:rsidRPr="002B610E" w:rsidRDefault="0022634E">
            <w:pPr>
              <w:jc w:val="center"/>
              <w:rPr>
                <w:sz w:val="20"/>
              </w:rPr>
            </w:pPr>
            <w:r w:rsidRPr="002B610E">
              <w:rPr>
                <w:sz w:val="20"/>
              </w:rPr>
              <w:t>14</w:t>
            </w:r>
          </w:p>
        </w:tc>
        <w:tc>
          <w:tcPr>
            <w:tcW w:w="1620" w:type="dxa"/>
            <w:vAlign w:val="bottom"/>
          </w:tcPr>
          <w:p w:rsidR="0022634E" w:rsidRPr="002B610E" w:rsidRDefault="0022634E">
            <w:pPr>
              <w:jc w:val="center"/>
              <w:rPr>
                <w:b/>
                <w:bCs/>
                <w:sz w:val="20"/>
              </w:rPr>
            </w:pPr>
            <w:r w:rsidRPr="002B610E">
              <w:rPr>
                <w:b/>
                <w:bCs/>
                <w:sz w:val="20"/>
              </w:rPr>
              <w:t>0.129</w:t>
            </w:r>
          </w:p>
        </w:tc>
      </w:tr>
      <w:tr w:rsidR="0022634E" w:rsidRPr="0082683A" w:rsidTr="00CE433F">
        <w:trPr>
          <w:trHeight w:val="363"/>
        </w:trPr>
        <w:tc>
          <w:tcPr>
            <w:tcW w:w="1472" w:type="dxa"/>
            <w:vAlign w:val="center"/>
          </w:tcPr>
          <w:p w:rsidR="0022634E" w:rsidRPr="002B610E" w:rsidRDefault="0022634E" w:rsidP="00755314">
            <w:pPr>
              <w:spacing w:beforeLines="40" w:afterLines="40"/>
              <w:rPr>
                <w:sz w:val="20"/>
              </w:rPr>
            </w:pPr>
            <w:r w:rsidRPr="002B610E">
              <w:rPr>
                <w:sz w:val="20"/>
              </w:rPr>
              <w:t>National Estimates</w:t>
            </w:r>
          </w:p>
        </w:tc>
        <w:tc>
          <w:tcPr>
            <w:tcW w:w="1915" w:type="dxa"/>
            <w:noWrap/>
            <w:vAlign w:val="center"/>
          </w:tcPr>
          <w:p w:rsidR="0022634E" w:rsidRPr="002B610E" w:rsidRDefault="0022634E" w:rsidP="00755314">
            <w:pPr>
              <w:spacing w:beforeLines="40" w:afterLines="40"/>
              <w:jc w:val="center"/>
              <w:rPr>
                <w:sz w:val="20"/>
              </w:rPr>
            </w:pPr>
            <w:r w:rsidRPr="002B610E">
              <w:rPr>
                <w:sz w:val="20"/>
              </w:rPr>
              <w:t>1,142</w:t>
            </w:r>
          </w:p>
        </w:tc>
        <w:tc>
          <w:tcPr>
            <w:tcW w:w="1743" w:type="dxa"/>
            <w:noWrap/>
            <w:vAlign w:val="center"/>
          </w:tcPr>
          <w:p w:rsidR="0022634E" w:rsidRPr="002B610E" w:rsidRDefault="0022634E" w:rsidP="00FC2F67">
            <w:pPr>
              <w:jc w:val="center"/>
              <w:rPr>
                <w:sz w:val="20"/>
              </w:rPr>
            </w:pPr>
            <w:r w:rsidRPr="002B610E">
              <w:rPr>
                <w:sz w:val="20"/>
              </w:rPr>
              <w:t>100%</w:t>
            </w:r>
          </w:p>
        </w:tc>
        <w:tc>
          <w:tcPr>
            <w:tcW w:w="1137" w:type="dxa"/>
            <w:vAlign w:val="center"/>
          </w:tcPr>
          <w:p w:rsidR="0022634E" w:rsidRPr="002B610E" w:rsidRDefault="0022634E" w:rsidP="00AF1EF7">
            <w:pPr>
              <w:jc w:val="center"/>
              <w:rPr>
                <w:sz w:val="20"/>
              </w:rPr>
            </w:pPr>
            <w:r w:rsidRPr="002B610E">
              <w:rPr>
                <w:sz w:val="20"/>
              </w:rPr>
              <w:t>657</w:t>
            </w:r>
          </w:p>
        </w:tc>
        <w:tc>
          <w:tcPr>
            <w:tcW w:w="1620" w:type="dxa"/>
            <w:vAlign w:val="center"/>
          </w:tcPr>
          <w:p w:rsidR="0022634E" w:rsidRPr="002B610E" w:rsidRDefault="0022634E" w:rsidP="00AF1EF7">
            <w:pPr>
              <w:jc w:val="center"/>
              <w:rPr>
                <w:sz w:val="20"/>
              </w:rPr>
            </w:pPr>
            <w:r w:rsidRPr="002B610E">
              <w:rPr>
                <w:sz w:val="20"/>
              </w:rPr>
              <w:t>526</w:t>
            </w:r>
          </w:p>
        </w:tc>
        <w:tc>
          <w:tcPr>
            <w:tcW w:w="1620" w:type="dxa"/>
            <w:vAlign w:val="center"/>
          </w:tcPr>
          <w:p w:rsidR="0022634E" w:rsidRPr="002B610E" w:rsidRDefault="0022634E" w:rsidP="00FC2F67">
            <w:pPr>
              <w:jc w:val="center"/>
              <w:rPr>
                <w:bCs/>
                <w:sz w:val="20"/>
              </w:rPr>
            </w:pPr>
            <w:r w:rsidRPr="002B610E">
              <w:rPr>
                <w:bCs/>
                <w:sz w:val="20"/>
              </w:rPr>
              <w:t>0.024</w:t>
            </w:r>
          </w:p>
        </w:tc>
      </w:tr>
    </w:tbl>
    <w:p w:rsidR="0022634E" w:rsidRPr="000526D8" w:rsidRDefault="0022634E" w:rsidP="005A2857">
      <w:pPr>
        <w:spacing w:after="120"/>
        <w:rPr>
          <w:sz w:val="16"/>
          <w:szCs w:val="16"/>
        </w:rPr>
      </w:pPr>
      <w:r w:rsidRPr="000526D8">
        <w:rPr>
          <w:sz w:val="16"/>
          <w:szCs w:val="16"/>
        </w:rPr>
        <w:t>Source:</w:t>
      </w:r>
      <w:r>
        <w:rPr>
          <w:sz w:val="16"/>
          <w:szCs w:val="16"/>
        </w:rPr>
        <w:t xml:space="preserve"> “Hill Briefing Table” Compiled by </w:t>
      </w:r>
      <w:r w:rsidRPr="000526D8">
        <w:rPr>
          <w:sz w:val="16"/>
          <w:szCs w:val="16"/>
        </w:rPr>
        <w:t xml:space="preserve">U.S. Department of Education </w:t>
      </w:r>
    </w:p>
    <w:p w:rsidR="0022634E" w:rsidRDefault="0022634E">
      <w:pPr>
        <w:rPr>
          <w:b/>
          <w:szCs w:val="24"/>
        </w:rPr>
      </w:pPr>
      <w:r>
        <w:rPr>
          <w:b/>
        </w:rPr>
        <w:br w:type="page"/>
      </w:r>
    </w:p>
    <w:p w:rsidR="0022634E" w:rsidRPr="00B908EF" w:rsidRDefault="0022634E" w:rsidP="00B908EF">
      <w:pPr>
        <w:pStyle w:val="NormalWeb"/>
        <w:spacing w:before="0" w:beforeAutospacing="0" w:after="200" w:afterAutospacing="0"/>
        <w:ind w:left="360"/>
        <w:rPr>
          <w:b/>
        </w:rPr>
      </w:pPr>
      <w:r w:rsidRPr="00B908EF">
        <w:rPr>
          <w:b/>
        </w:rPr>
        <w:t>Teacher Survey</w:t>
      </w:r>
    </w:p>
    <w:p w:rsidR="0022634E" w:rsidRPr="0002398E" w:rsidRDefault="0022634E" w:rsidP="000C7C7F">
      <w:pPr>
        <w:spacing w:after="180"/>
        <w:ind w:firstLine="360"/>
      </w:pPr>
      <w:r w:rsidRPr="0002398E">
        <w:t>We will aim to obtain an equal probability sample of participating teachers within each grantee controlling the number of teachers that would need to be sampled from any individual school. We first select the desired number of schools—for example, 15 or one out of four—with probability proportionate to the school’s number of TIF-eligible teachers (imposing minimum and maximum numbers) and then choose an equal number of teachers among the sampled schools. This strategy assumes that researchers will be given access to roster information on eligible teachers in all participating schools, either directly from the grantees or through ED.</w:t>
      </w:r>
      <w:r>
        <w:t xml:space="preserve"> </w:t>
      </w:r>
      <w:r w:rsidRPr="0002398E">
        <w:t>Since grantees are required to maintain rosters of TIF-eligible teachers, we assume that they will serve as our primary source of information needed to select teacher survey respondents.</w:t>
      </w:r>
      <w:r>
        <w:t xml:space="preserve"> </w:t>
      </w:r>
      <w:r w:rsidRPr="0002398E">
        <w:t>To save on costs, we plan first to sample schools and obtain lists of teachers for each selected school. Then we will sample</w:t>
      </w:r>
      <w:r w:rsidRPr="0002398E">
        <w:rPr>
          <w:color w:val="FF0000"/>
        </w:rPr>
        <w:t xml:space="preserve"> </w:t>
      </w:r>
      <w:r w:rsidRPr="0002398E">
        <w:t>teachers from the lists for those schools.</w:t>
      </w:r>
    </w:p>
    <w:p w:rsidR="0022634E" w:rsidRPr="0002398E" w:rsidRDefault="0022634E" w:rsidP="000C7C7F">
      <w:pPr>
        <w:spacing w:after="180"/>
        <w:ind w:firstLine="360"/>
      </w:pPr>
      <w:r w:rsidRPr="0002398E">
        <w:t xml:space="preserve">The distribution of the teacher sample involves first distributing the sample across grantees according to the number of teachers in each site, and then adding additional sample where it could increase the precision of the estimates. </w:t>
      </w:r>
    </w:p>
    <w:p w:rsidR="0022634E" w:rsidRPr="0002398E" w:rsidRDefault="0022634E" w:rsidP="000C7C7F">
      <w:pPr>
        <w:spacing w:after="180"/>
        <w:ind w:firstLine="360"/>
      </w:pPr>
      <w:r w:rsidRPr="0002398E">
        <w:t xml:space="preserve">There is substantial range in the number of TIF-eligible teachers across the grantees (ranging from about 30 to over 10,000). To capture the full diversity of grantee efforts, we need to obtain large enough within-grantee samples of teachers. We will therefore sample more teachers in smaller grantees than implied by the national share. In addition, to avoid having too much of the sample in one project, we will sample fewer teachers in the largest grantees (e.g., Dallas) than implied by the national share. This approach will require that we establish a minimum and a maximum within-grantee teacher sample size. Currently, we envision a minimum sample size of 115 (or the entire population from the grantee if there are fewer than 115 teachers) and a maximum sample size of 440 teachers. We expect to receive between 90 and 352 surveys per grantee assuming a roughly 80 percent response rate. To obtain nationally representative estimates, we will assign less weight to teachers from the over-sampled small grantees and more weight to those in the under-sampled large grantees. </w:t>
      </w:r>
    </w:p>
    <w:p w:rsidR="0022634E" w:rsidRPr="0002398E" w:rsidRDefault="0022634E" w:rsidP="000C7C7F">
      <w:pPr>
        <w:spacing w:after="180"/>
        <w:ind w:firstLine="360"/>
      </w:pPr>
      <w:r w:rsidRPr="0002398E">
        <w:t xml:space="preserve">In the second-stage, we selectively increase the number of teachers and schools to be sampled in order to increase the precision of grantee-level estimates. Based on the teacher survey sample identified at the end of the first stage, there are four grantees for which we can measure grantee-level estimates with relative precision (e.g., Denver, CO; Hillsborough, FL; Dallas, TX; and Houston, TX). By increasing the number of teachers and schools to be sampled, we are able to add eight more grantees to that list (i.e., standard errors less than or equal to 0.055). It is not possible to achieve standard errors less than or equal to 0.055 in the remaining grantees even if we sample all TIF-eligible teachers in all schools. These projects are not large enough. </w:t>
      </w:r>
    </w:p>
    <w:p w:rsidR="0022634E" w:rsidRPr="0002398E" w:rsidRDefault="0022634E" w:rsidP="000C7C7F">
      <w:pPr>
        <w:spacing w:after="180"/>
        <w:ind w:firstLine="360"/>
      </w:pPr>
      <w:r w:rsidRPr="00DE0CFA">
        <w:t xml:space="preserve">The teacher survey will include more than 8,000 teachers to be sampled from approximately </w:t>
      </w:r>
      <w:r w:rsidRPr="00AB5217">
        <w:t>640 schools representing all grantees (except for two that use TIF solely for principal performance pay). Assuming</w:t>
      </w:r>
      <w:r w:rsidRPr="0002398E">
        <w:t xml:space="preserve"> an 80 percent response rate, this would yield 6,483 completed teacher surveys. The large teacher sample gives the proposed design several advantages, including a sample representative of the full diversity of grantee efforts as well as the precise measurement of national and grantee-level estimates (where grantee size permits). </w:t>
      </w:r>
    </w:p>
    <w:p w:rsidR="0022634E" w:rsidRPr="0002398E" w:rsidRDefault="0022634E" w:rsidP="000C7C7F">
      <w:pPr>
        <w:spacing w:after="180"/>
        <w:ind w:firstLine="360"/>
      </w:pPr>
      <w:r w:rsidRPr="0002398E">
        <w:t xml:space="preserve">To give a sense of the likely precision of estimates based on an 80 percent completion rate, we calculate the standard errors for an outcome with a mean equal to 0.5 (e.g., half of sampled teachers indicate a statement is true) with a moderate school-level clustering of teacher responses (intraclass correlation of 0.2). This level of clustering provides fairly conservative estimates of the expected standard errors. Should actual clustering be less pronounced than this, the standard errors would shrink, and our estimates would be more precise. (The confidence interval around an estimate would range from two standard errors below to two standard errors above the estimate.) We selected a mean of 0.5 because standard errors are largest in level for a proportion of 0.5 over the range of 0 to 1. Our current calculations estimate a standard error of 0.015 for national estimates and standard errors not exceeding 0.055 in the 12 sites with the largest numbers of TIF-eligible teachers. </w:t>
      </w:r>
    </w:p>
    <w:p w:rsidR="0022634E" w:rsidRPr="0002398E" w:rsidRDefault="0022634E" w:rsidP="000C7C7F">
      <w:pPr>
        <w:spacing w:after="180"/>
        <w:ind w:firstLine="360"/>
      </w:pPr>
      <w:r w:rsidRPr="0002398E">
        <w:t>Exhibit B2 shows how a sample of 8,104 fielded surveys would be distributed across the 3</w:t>
      </w:r>
      <w:r>
        <w:t>1</w:t>
      </w:r>
      <w:r w:rsidRPr="0002398E">
        <w:t xml:space="preserve"> grantees</w:t>
      </w:r>
      <w:r>
        <w:t xml:space="preserve"> (excluding the two that use TIF solely for principal performance pay)</w:t>
      </w:r>
      <w:r w:rsidRPr="0002398E">
        <w:t xml:space="preserve"> following the procedure detailed above. Each row refers to a specific grantee. The first two columns present the number of participating schools and teachers per grantee, respectively. Column 3 presents the grantee’s teachers as a proportion of the national TIF teacher population. Column 4 lists the number of fielded teacher surveys following the imposition of a minimum sample size of 115 and a maximum sample size of 440 and selectively increase the number of sampled teachers in order to decrease grantee-level standard errors. Assuming an 80 percent response rate, column 5 lists the number of completed teacher surveys by grantee. Column 6 lists the number of schools from which the teachers will be sampled. The final column shows the implied standard error for a mean of 0.5 and moderate school-level clustering of teacher responses (rho=0.2). </w:t>
      </w:r>
    </w:p>
    <w:p w:rsidR="0022634E" w:rsidRDefault="0022634E">
      <w:pPr>
        <w:rPr>
          <w:rFonts w:ascii="Arial" w:hAnsi="Arial" w:cs="Arial"/>
          <w:b/>
          <w:sz w:val="22"/>
          <w:szCs w:val="22"/>
        </w:rPr>
      </w:pPr>
      <w:bookmarkStart w:id="9" w:name="_Toc255244676"/>
      <w:bookmarkStart w:id="10" w:name="_Toc255792961"/>
      <w:r>
        <w:br w:type="page"/>
      </w:r>
    </w:p>
    <w:p w:rsidR="0022634E" w:rsidRDefault="0022634E" w:rsidP="00505DD3">
      <w:pPr>
        <w:pStyle w:val="ExhibitTitle-KIPP"/>
        <w:outlineLvl w:val="2"/>
      </w:pPr>
      <w:r>
        <w:t>Exhibit B2. Sample Reflecting 6,500 Completed Teacher Surveys</w:t>
      </w:r>
      <w:bookmarkEnd w:id="9"/>
      <w:bookmarkEnd w:id="10"/>
    </w:p>
    <w:p w:rsidR="0022634E" w:rsidRDefault="0022634E" w:rsidP="00505DD3">
      <w:pPr>
        <w:pStyle w:val="ExhibitTitle-KIPP"/>
        <w:outlineLvl w:val="2"/>
      </w:pPr>
      <w:bookmarkStart w:id="11" w:name="_Toc255244677"/>
      <w:bookmarkStart w:id="12" w:name="_Toc255792962"/>
      <w:r>
        <w:t xml:space="preserve">Implied Standard Errors </w:t>
      </w:r>
      <w:r w:rsidRPr="002E3EA8">
        <w:t>by Site and Nationally</w:t>
      </w:r>
      <w:r>
        <w:t xml:space="preserve"> for a Mean of 0.5, Moderate School-level Clustering of Rho=0.2</w:t>
      </w:r>
      <w:bookmarkEnd w:id="11"/>
      <w:bookmarkEnd w:id="12"/>
    </w:p>
    <w:tbl>
      <w:tblPr>
        <w:tblW w:w="9828" w:type="dxa"/>
        <w:tblLayout w:type="fixed"/>
        <w:tblLook w:val="0000"/>
      </w:tblPr>
      <w:tblGrid>
        <w:gridCol w:w="1274"/>
        <w:gridCol w:w="994"/>
        <w:gridCol w:w="990"/>
        <w:gridCol w:w="1256"/>
        <w:gridCol w:w="1082"/>
        <w:gridCol w:w="1440"/>
        <w:gridCol w:w="1173"/>
        <w:gridCol w:w="1601"/>
        <w:gridCol w:w="18"/>
      </w:tblGrid>
      <w:tr w:rsidR="0022634E" w:rsidRPr="00911BA2" w:rsidTr="00CE433F">
        <w:trPr>
          <w:gridAfter w:val="1"/>
          <w:wAfter w:w="18" w:type="dxa"/>
          <w:trHeight w:val="318"/>
        </w:trPr>
        <w:tc>
          <w:tcPr>
            <w:tcW w:w="1274" w:type="dxa"/>
            <w:vMerge w:val="restart"/>
            <w:tcBorders>
              <w:top w:val="single" w:sz="6" w:space="0" w:color="auto"/>
              <w:left w:val="single" w:sz="6" w:space="0" w:color="auto"/>
              <w:right w:val="single" w:sz="6" w:space="0" w:color="auto"/>
            </w:tcBorders>
            <w:shd w:val="clear" w:color="auto" w:fill="E0E0E0"/>
            <w:vAlign w:val="center"/>
          </w:tcPr>
          <w:p w:rsidR="0022634E" w:rsidRPr="00911BA2" w:rsidRDefault="0022634E" w:rsidP="00D0714F">
            <w:pPr>
              <w:rPr>
                <w:b/>
                <w:sz w:val="20"/>
              </w:rPr>
            </w:pPr>
            <w:r w:rsidRPr="00911BA2">
              <w:rPr>
                <w:b/>
                <w:sz w:val="20"/>
              </w:rPr>
              <w:t>Grantee</w:t>
            </w:r>
          </w:p>
        </w:tc>
        <w:tc>
          <w:tcPr>
            <w:tcW w:w="994" w:type="dxa"/>
            <w:tcBorders>
              <w:top w:val="single" w:sz="6" w:space="0" w:color="auto"/>
              <w:left w:val="single" w:sz="6" w:space="0" w:color="auto"/>
              <w:bottom w:val="single" w:sz="6" w:space="0" w:color="auto"/>
              <w:right w:val="single" w:sz="6" w:space="0" w:color="auto"/>
            </w:tcBorders>
            <w:shd w:val="clear" w:color="auto" w:fill="E0E0E0"/>
            <w:noWrap/>
            <w:vAlign w:val="center"/>
          </w:tcPr>
          <w:p w:rsidR="0022634E" w:rsidRPr="00911BA2" w:rsidRDefault="0022634E" w:rsidP="00D0714F">
            <w:pPr>
              <w:jc w:val="center"/>
              <w:rPr>
                <w:b/>
                <w:sz w:val="20"/>
              </w:rPr>
            </w:pPr>
            <w:r w:rsidRPr="00911BA2">
              <w:rPr>
                <w:b/>
                <w:sz w:val="20"/>
              </w:rPr>
              <w:t>(1)</w:t>
            </w:r>
          </w:p>
        </w:tc>
        <w:tc>
          <w:tcPr>
            <w:tcW w:w="990" w:type="dxa"/>
            <w:tcBorders>
              <w:top w:val="single" w:sz="6" w:space="0" w:color="auto"/>
              <w:left w:val="single" w:sz="6" w:space="0" w:color="auto"/>
              <w:bottom w:val="single" w:sz="6" w:space="0" w:color="auto"/>
              <w:right w:val="single" w:sz="6" w:space="0" w:color="auto"/>
            </w:tcBorders>
            <w:shd w:val="clear" w:color="auto" w:fill="E0E0E0"/>
            <w:noWrap/>
            <w:vAlign w:val="center"/>
          </w:tcPr>
          <w:p w:rsidR="0022634E" w:rsidRPr="00911BA2" w:rsidRDefault="0022634E" w:rsidP="00D0714F">
            <w:pPr>
              <w:jc w:val="center"/>
              <w:rPr>
                <w:b/>
                <w:sz w:val="20"/>
              </w:rPr>
            </w:pPr>
            <w:r w:rsidRPr="00911BA2">
              <w:rPr>
                <w:b/>
                <w:sz w:val="20"/>
              </w:rPr>
              <w:t>(2)</w:t>
            </w:r>
          </w:p>
        </w:tc>
        <w:tc>
          <w:tcPr>
            <w:tcW w:w="1256" w:type="dxa"/>
            <w:tcBorders>
              <w:top w:val="single" w:sz="6" w:space="0" w:color="auto"/>
              <w:left w:val="single" w:sz="6" w:space="0" w:color="auto"/>
              <w:bottom w:val="single" w:sz="6" w:space="0" w:color="auto"/>
              <w:right w:val="single" w:sz="6" w:space="0" w:color="auto"/>
            </w:tcBorders>
            <w:shd w:val="clear" w:color="auto" w:fill="E0E0E0"/>
            <w:noWrap/>
            <w:vAlign w:val="center"/>
          </w:tcPr>
          <w:p w:rsidR="0022634E" w:rsidRPr="00911BA2" w:rsidRDefault="0022634E" w:rsidP="00D0714F">
            <w:pPr>
              <w:jc w:val="center"/>
              <w:rPr>
                <w:b/>
                <w:sz w:val="20"/>
              </w:rPr>
            </w:pPr>
            <w:r w:rsidRPr="00911BA2">
              <w:rPr>
                <w:b/>
                <w:sz w:val="20"/>
              </w:rPr>
              <w:t>(3)</w:t>
            </w:r>
          </w:p>
        </w:tc>
        <w:tc>
          <w:tcPr>
            <w:tcW w:w="1082" w:type="dxa"/>
            <w:tcBorders>
              <w:top w:val="single" w:sz="6" w:space="0" w:color="auto"/>
              <w:left w:val="single" w:sz="6" w:space="0" w:color="auto"/>
              <w:bottom w:val="single" w:sz="6" w:space="0" w:color="auto"/>
              <w:right w:val="single" w:sz="6" w:space="0" w:color="auto"/>
            </w:tcBorders>
            <w:shd w:val="clear" w:color="auto" w:fill="E0E0E0"/>
            <w:vAlign w:val="center"/>
          </w:tcPr>
          <w:p w:rsidR="0022634E" w:rsidRPr="00911BA2" w:rsidRDefault="0022634E" w:rsidP="00D0714F">
            <w:pPr>
              <w:jc w:val="center"/>
              <w:rPr>
                <w:b/>
                <w:sz w:val="20"/>
              </w:rPr>
            </w:pPr>
            <w:r w:rsidRPr="00911BA2">
              <w:rPr>
                <w:b/>
                <w:sz w:val="20"/>
              </w:rPr>
              <w:t>(4)</w:t>
            </w:r>
          </w:p>
        </w:tc>
        <w:tc>
          <w:tcPr>
            <w:tcW w:w="1440" w:type="dxa"/>
            <w:tcBorders>
              <w:top w:val="single" w:sz="6" w:space="0" w:color="auto"/>
              <w:left w:val="single" w:sz="6" w:space="0" w:color="auto"/>
              <w:bottom w:val="single" w:sz="6" w:space="0" w:color="auto"/>
              <w:right w:val="single" w:sz="6" w:space="0" w:color="auto"/>
            </w:tcBorders>
            <w:shd w:val="clear" w:color="auto" w:fill="E0E0E0"/>
            <w:vAlign w:val="center"/>
          </w:tcPr>
          <w:p w:rsidR="0022634E" w:rsidRPr="00911BA2" w:rsidRDefault="0022634E" w:rsidP="00D0714F">
            <w:pPr>
              <w:jc w:val="center"/>
              <w:rPr>
                <w:b/>
                <w:sz w:val="20"/>
              </w:rPr>
            </w:pPr>
            <w:r w:rsidRPr="00911BA2">
              <w:rPr>
                <w:b/>
                <w:sz w:val="20"/>
              </w:rPr>
              <w:t>(5)</w:t>
            </w:r>
          </w:p>
        </w:tc>
        <w:tc>
          <w:tcPr>
            <w:tcW w:w="1173" w:type="dxa"/>
            <w:tcBorders>
              <w:top w:val="single" w:sz="6" w:space="0" w:color="auto"/>
              <w:left w:val="single" w:sz="6" w:space="0" w:color="auto"/>
              <w:bottom w:val="single" w:sz="6" w:space="0" w:color="auto"/>
              <w:right w:val="single" w:sz="6" w:space="0" w:color="auto"/>
            </w:tcBorders>
            <w:shd w:val="clear" w:color="auto" w:fill="E0E0E0"/>
            <w:vAlign w:val="center"/>
          </w:tcPr>
          <w:p w:rsidR="0022634E" w:rsidRPr="00911BA2" w:rsidRDefault="0022634E" w:rsidP="00D0714F">
            <w:pPr>
              <w:jc w:val="center"/>
              <w:rPr>
                <w:b/>
                <w:sz w:val="20"/>
              </w:rPr>
            </w:pPr>
            <w:r w:rsidRPr="00911BA2">
              <w:rPr>
                <w:b/>
                <w:sz w:val="20"/>
              </w:rPr>
              <w:t>(6)</w:t>
            </w:r>
          </w:p>
        </w:tc>
        <w:tc>
          <w:tcPr>
            <w:tcW w:w="1601" w:type="dxa"/>
            <w:tcBorders>
              <w:top w:val="single" w:sz="6" w:space="0" w:color="auto"/>
              <w:left w:val="single" w:sz="6" w:space="0" w:color="auto"/>
              <w:bottom w:val="single" w:sz="6" w:space="0" w:color="auto"/>
              <w:right w:val="single" w:sz="6" w:space="0" w:color="auto"/>
            </w:tcBorders>
            <w:shd w:val="clear" w:color="auto" w:fill="E0E0E0"/>
            <w:vAlign w:val="center"/>
          </w:tcPr>
          <w:p w:rsidR="0022634E" w:rsidRPr="00911BA2" w:rsidRDefault="0022634E" w:rsidP="00D0714F">
            <w:pPr>
              <w:jc w:val="center"/>
              <w:rPr>
                <w:b/>
                <w:bCs/>
                <w:sz w:val="20"/>
              </w:rPr>
            </w:pPr>
            <w:r w:rsidRPr="00911BA2">
              <w:rPr>
                <w:b/>
                <w:bCs/>
                <w:sz w:val="20"/>
              </w:rPr>
              <w:t>(7)</w:t>
            </w:r>
          </w:p>
        </w:tc>
      </w:tr>
      <w:tr w:rsidR="0022634E" w:rsidRPr="00911BA2" w:rsidTr="00CE433F">
        <w:trPr>
          <w:gridAfter w:val="1"/>
          <w:wAfter w:w="18" w:type="dxa"/>
          <w:trHeight w:val="1065"/>
        </w:trPr>
        <w:tc>
          <w:tcPr>
            <w:tcW w:w="1274" w:type="dxa"/>
            <w:vMerge/>
            <w:tcBorders>
              <w:left w:val="single" w:sz="6" w:space="0" w:color="auto"/>
              <w:right w:val="single" w:sz="6" w:space="0" w:color="auto"/>
            </w:tcBorders>
            <w:shd w:val="clear" w:color="auto" w:fill="E0E0E0"/>
            <w:vAlign w:val="center"/>
          </w:tcPr>
          <w:p w:rsidR="0022634E" w:rsidRPr="00911BA2" w:rsidRDefault="0022634E" w:rsidP="00D0714F">
            <w:pPr>
              <w:rPr>
                <w:b/>
                <w:sz w:val="20"/>
              </w:rPr>
            </w:pPr>
          </w:p>
        </w:tc>
        <w:tc>
          <w:tcPr>
            <w:tcW w:w="994" w:type="dxa"/>
            <w:tcBorders>
              <w:top w:val="single" w:sz="6" w:space="0" w:color="auto"/>
              <w:left w:val="single" w:sz="6" w:space="0" w:color="auto"/>
              <w:right w:val="single" w:sz="6" w:space="0" w:color="auto"/>
            </w:tcBorders>
            <w:shd w:val="clear" w:color="auto" w:fill="E0E0E0"/>
            <w:noWrap/>
            <w:vAlign w:val="center"/>
          </w:tcPr>
          <w:p w:rsidR="0022634E" w:rsidRPr="00911BA2" w:rsidRDefault="0022634E" w:rsidP="00D0714F">
            <w:pPr>
              <w:jc w:val="center"/>
              <w:rPr>
                <w:b/>
                <w:sz w:val="20"/>
              </w:rPr>
            </w:pPr>
            <w:r w:rsidRPr="00911BA2">
              <w:rPr>
                <w:b/>
                <w:sz w:val="20"/>
              </w:rPr>
              <w:t>Number of schools</w:t>
            </w:r>
          </w:p>
        </w:tc>
        <w:tc>
          <w:tcPr>
            <w:tcW w:w="990" w:type="dxa"/>
            <w:tcBorders>
              <w:top w:val="single" w:sz="6" w:space="0" w:color="auto"/>
              <w:left w:val="single" w:sz="6" w:space="0" w:color="auto"/>
              <w:right w:val="single" w:sz="6" w:space="0" w:color="auto"/>
            </w:tcBorders>
            <w:shd w:val="clear" w:color="auto" w:fill="E0E0E0"/>
            <w:noWrap/>
            <w:vAlign w:val="center"/>
          </w:tcPr>
          <w:p w:rsidR="0022634E" w:rsidRPr="00911BA2" w:rsidRDefault="0022634E" w:rsidP="00D0714F">
            <w:pPr>
              <w:jc w:val="center"/>
              <w:rPr>
                <w:b/>
                <w:sz w:val="20"/>
              </w:rPr>
            </w:pPr>
            <w:r w:rsidRPr="00911BA2">
              <w:rPr>
                <w:b/>
                <w:sz w:val="20"/>
              </w:rPr>
              <w:t>Number of teachers</w:t>
            </w:r>
          </w:p>
        </w:tc>
        <w:tc>
          <w:tcPr>
            <w:tcW w:w="1256" w:type="dxa"/>
            <w:tcBorders>
              <w:top w:val="single" w:sz="6" w:space="0" w:color="auto"/>
              <w:left w:val="single" w:sz="6" w:space="0" w:color="auto"/>
              <w:right w:val="single" w:sz="6" w:space="0" w:color="auto"/>
            </w:tcBorders>
            <w:shd w:val="clear" w:color="auto" w:fill="E0E0E0"/>
            <w:noWrap/>
            <w:vAlign w:val="center"/>
          </w:tcPr>
          <w:p w:rsidR="0022634E" w:rsidRPr="00911BA2" w:rsidRDefault="0022634E" w:rsidP="00D0714F">
            <w:pPr>
              <w:jc w:val="center"/>
              <w:rPr>
                <w:b/>
                <w:sz w:val="20"/>
              </w:rPr>
            </w:pPr>
            <w:r w:rsidRPr="00911BA2">
              <w:rPr>
                <w:b/>
                <w:sz w:val="20"/>
              </w:rPr>
              <w:t>Percent of all grantee teachers represented</w:t>
            </w:r>
          </w:p>
        </w:tc>
        <w:tc>
          <w:tcPr>
            <w:tcW w:w="1082" w:type="dxa"/>
            <w:tcBorders>
              <w:top w:val="single" w:sz="6" w:space="0" w:color="auto"/>
              <w:left w:val="single" w:sz="6" w:space="0" w:color="auto"/>
              <w:right w:val="single" w:sz="6" w:space="0" w:color="auto"/>
            </w:tcBorders>
            <w:shd w:val="clear" w:color="auto" w:fill="E0E0E0"/>
            <w:vAlign w:val="center"/>
          </w:tcPr>
          <w:p w:rsidR="0022634E" w:rsidRPr="00911BA2" w:rsidRDefault="0022634E" w:rsidP="00D0714F">
            <w:pPr>
              <w:jc w:val="center"/>
              <w:rPr>
                <w:b/>
                <w:sz w:val="20"/>
              </w:rPr>
            </w:pPr>
            <w:r w:rsidRPr="00911BA2">
              <w:rPr>
                <w:b/>
                <w:sz w:val="20"/>
              </w:rPr>
              <w:t>Number of fielded teacher surveys</w:t>
            </w:r>
          </w:p>
        </w:tc>
        <w:tc>
          <w:tcPr>
            <w:tcW w:w="1440" w:type="dxa"/>
            <w:tcBorders>
              <w:top w:val="single" w:sz="6" w:space="0" w:color="auto"/>
              <w:left w:val="single" w:sz="6" w:space="0" w:color="auto"/>
              <w:right w:val="single" w:sz="6" w:space="0" w:color="auto"/>
            </w:tcBorders>
            <w:shd w:val="clear" w:color="auto" w:fill="E0E0E0"/>
            <w:vAlign w:val="center"/>
          </w:tcPr>
          <w:p w:rsidR="0022634E" w:rsidRPr="00911BA2" w:rsidRDefault="0022634E" w:rsidP="00D0714F">
            <w:pPr>
              <w:jc w:val="center"/>
              <w:rPr>
                <w:b/>
                <w:sz w:val="20"/>
              </w:rPr>
            </w:pPr>
            <w:r w:rsidRPr="00911BA2">
              <w:rPr>
                <w:b/>
                <w:sz w:val="20"/>
              </w:rPr>
              <w:t>Number of completed surveys</w:t>
            </w:r>
          </w:p>
          <w:p w:rsidR="0022634E" w:rsidRPr="00911BA2" w:rsidRDefault="0022634E" w:rsidP="00D0714F">
            <w:pPr>
              <w:jc w:val="center"/>
              <w:rPr>
                <w:b/>
                <w:sz w:val="20"/>
              </w:rPr>
            </w:pPr>
            <w:r w:rsidRPr="00911BA2">
              <w:rPr>
                <w:b/>
                <w:sz w:val="20"/>
              </w:rPr>
              <w:t>80%</w:t>
            </w:r>
          </w:p>
          <w:p w:rsidR="0022634E" w:rsidRPr="00911BA2" w:rsidRDefault="0022634E" w:rsidP="00D0714F">
            <w:pPr>
              <w:jc w:val="center"/>
              <w:rPr>
                <w:b/>
                <w:sz w:val="20"/>
              </w:rPr>
            </w:pPr>
            <w:r w:rsidRPr="00911BA2">
              <w:rPr>
                <w:b/>
                <w:sz w:val="20"/>
              </w:rPr>
              <w:t>response rate</w:t>
            </w:r>
          </w:p>
        </w:tc>
        <w:tc>
          <w:tcPr>
            <w:tcW w:w="1173" w:type="dxa"/>
            <w:tcBorders>
              <w:top w:val="single" w:sz="6" w:space="0" w:color="auto"/>
              <w:left w:val="single" w:sz="6" w:space="0" w:color="auto"/>
              <w:right w:val="single" w:sz="6" w:space="0" w:color="auto"/>
            </w:tcBorders>
            <w:shd w:val="clear" w:color="auto" w:fill="E0E0E0"/>
            <w:vAlign w:val="center"/>
          </w:tcPr>
          <w:p w:rsidR="0022634E" w:rsidRPr="00911BA2" w:rsidRDefault="0022634E" w:rsidP="00D0714F">
            <w:pPr>
              <w:jc w:val="center"/>
              <w:rPr>
                <w:b/>
                <w:sz w:val="20"/>
              </w:rPr>
            </w:pPr>
            <w:r w:rsidRPr="00911BA2">
              <w:rPr>
                <w:b/>
                <w:sz w:val="20"/>
              </w:rPr>
              <w:t>Number of schools with surveys</w:t>
            </w:r>
          </w:p>
        </w:tc>
        <w:tc>
          <w:tcPr>
            <w:tcW w:w="1601" w:type="dxa"/>
            <w:tcBorders>
              <w:top w:val="single" w:sz="6" w:space="0" w:color="auto"/>
              <w:left w:val="single" w:sz="6" w:space="0" w:color="auto"/>
              <w:right w:val="single" w:sz="6" w:space="0" w:color="auto"/>
            </w:tcBorders>
            <w:shd w:val="clear" w:color="auto" w:fill="E0E0E0"/>
            <w:vAlign w:val="center"/>
          </w:tcPr>
          <w:p w:rsidR="0022634E" w:rsidRPr="00911BA2" w:rsidRDefault="0022634E" w:rsidP="00D0714F">
            <w:pPr>
              <w:jc w:val="center"/>
              <w:rPr>
                <w:b/>
                <w:bCs/>
                <w:sz w:val="20"/>
              </w:rPr>
            </w:pPr>
            <w:r w:rsidRPr="00911BA2">
              <w:rPr>
                <w:b/>
                <w:bCs/>
                <w:sz w:val="20"/>
              </w:rPr>
              <w:t>Implied standard error for mean of 0.5 (rho=0.2)</w:t>
            </w:r>
          </w:p>
        </w:tc>
      </w:tr>
      <w:tr w:rsidR="0022634E" w:rsidRPr="00911BA2" w:rsidTr="00CE433F">
        <w:trPr>
          <w:gridAfter w:val="1"/>
          <w:wAfter w:w="18" w:type="dxa"/>
          <w:trHeight w:val="228"/>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26</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109</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0.2%</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109</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87</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26</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0.065</w:t>
            </w:r>
          </w:p>
        </w:tc>
      </w:tr>
      <w:tr w:rsidR="0022634E" w:rsidRPr="00911BA2" w:rsidTr="00CE433F">
        <w:trPr>
          <w:gridAfter w:val="1"/>
          <w:wAfter w:w="18" w:type="dxa"/>
          <w:trHeight w:val="138"/>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11</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534</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1.2%</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213</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170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11</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0.076</w:t>
            </w:r>
          </w:p>
        </w:tc>
      </w:tr>
      <w:tr w:rsidR="0022634E" w:rsidRPr="00911BA2" w:rsidTr="00CE433F">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3</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18</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736</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1.7%</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238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190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18</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0.062</w:t>
            </w:r>
          </w:p>
        </w:tc>
      </w:tr>
      <w:tr w:rsidR="0022634E" w:rsidRPr="00911BA2" w:rsidTr="00AB5217">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AB5217" w:rsidRDefault="0022634E">
            <w:pPr>
              <w:rPr>
                <w:sz w:val="20"/>
              </w:rPr>
            </w:pPr>
            <w:r w:rsidRPr="00AB5217">
              <w:rPr>
                <w:sz w:val="20"/>
              </w:rPr>
              <w:t>Grantee 4</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AB5217" w:rsidRDefault="0022634E">
            <w:pPr>
              <w:jc w:val="center"/>
              <w:rPr>
                <w:color w:val="000000"/>
                <w:sz w:val="20"/>
              </w:rPr>
            </w:pPr>
            <w:r w:rsidRPr="00AB5217">
              <w:rPr>
                <w:color w:val="000000"/>
                <w:sz w:val="20"/>
              </w:rPr>
              <w:t>132</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AB5217" w:rsidRDefault="0022634E">
            <w:pPr>
              <w:jc w:val="center"/>
              <w:rPr>
                <w:color w:val="000000"/>
                <w:sz w:val="20"/>
              </w:rPr>
            </w:pPr>
            <w:r w:rsidRPr="00AB5217">
              <w:rPr>
                <w:color w:val="000000"/>
                <w:sz w:val="20"/>
              </w:rPr>
              <w:t>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AB5217" w:rsidRDefault="0022634E" w:rsidP="00C9037B">
            <w:pPr>
              <w:jc w:val="center"/>
              <w:rPr>
                <w:color w:val="000000"/>
                <w:sz w:val="20"/>
              </w:rPr>
            </w:pPr>
            <w:r w:rsidRPr="00AB5217">
              <w:rPr>
                <w:color w:val="000000"/>
                <w:sz w:val="20"/>
              </w:rPr>
              <w:t>0.0%</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AB5217" w:rsidRDefault="0022634E" w:rsidP="00C9037B">
            <w:pPr>
              <w:jc w:val="center"/>
              <w:rPr>
                <w:sz w:val="20"/>
              </w:rPr>
            </w:pPr>
            <w:r w:rsidRPr="00AB5217">
              <w:rPr>
                <w:sz w:val="20"/>
              </w:rPr>
              <w:t>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AB5217" w:rsidRDefault="0022634E" w:rsidP="00C9037B">
            <w:pPr>
              <w:jc w:val="center"/>
              <w:rPr>
                <w:color w:val="000000"/>
                <w:sz w:val="20"/>
              </w:rPr>
            </w:pPr>
            <w:r w:rsidRPr="00AB5217">
              <w:rPr>
                <w:bCs/>
                <w:color w:val="000000"/>
                <w:sz w:val="20"/>
              </w:rPr>
              <w:t>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AB5217" w:rsidRDefault="0022634E">
            <w:pPr>
              <w:jc w:val="center"/>
              <w:rPr>
                <w:color w:val="000000"/>
                <w:sz w:val="20"/>
              </w:rPr>
            </w:pP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AB5217" w:rsidRDefault="0022634E">
            <w:pPr>
              <w:jc w:val="center"/>
              <w:rPr>
                <w:color w:val="000000"/>
                <w:sz w:val="20"/>
              </w:rPr>
            </w:pPr>
          </w:p>
        </w:tc>
      </w:tr>
      <w:tr w:rsidR="0022634E" w:rsidRPr="00911BA2" w:rsidTr="00CE433F">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5</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13</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361</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0.8%</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E668F7">
            <w:pPr>
              <w:jc w:val="center"/>
              <w:rPr>
                <w:sz w:val="20"/>
              </w:rPr>
            </w:pPr>
            <w:r w:rsidRPr="00911BA2">
              <w:rPr>
                <w:sz w:val="20"/>
              </w:rPr>
              <w:t>213</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170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13</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0.071</w:t>
            </w:r>
          </w:p>
        </w:tc>
      </w:tr>
      <w:tr w:rsidR="0022634E" w:rsidRPr="00911BA2" w:rsidTr="00CE433F">
        <w:trPr>
          <w:gridAfter w:val="1"/>
          <w:wAfter w:w="18" w:type="dxa"/>
          <w:trHeight w:val="210"/>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6</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21</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400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0.9%</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400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320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21</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0.055</w:t>
            </w:r>
          </w:p>
        </w:tc>
      </w:tr>
      <w:tr w:rsidR="0022634E" w:rsidRPr="00911BA2" w:rsidTr="00CE433F">
        <w:trPr>
          <w:gridAfter w:val="1"/>
          <w:wAfter w:w="18" w:type="dxa"/>
          <w:trHeight w:val="183"/>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7</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4</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250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0.6%</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163</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130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4</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0.118</w:t>
            </w:r>
          </w:p>
        </w:tc>
      </w:tr>
      <w:tr w:rsidR="0022634E" w:rsidRPr="00911BA2" w:rsidTr="00CE433F">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8</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25</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229</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0.5%</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229</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183</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25</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0.056</w:t>
            </w:r>
          </w:p>
        </w:tc>
      </w:tr>
      <w:tr w:rsidR="0022634E" w:rsidRPr="00911BA2" w:rsidTr="00CE433F">
        <w:trPr>
          <w:gridAfter w:val="1"/>
          <w:wAfter w:w="18" w:type="dxa"/>
          <w:trHeight w:val="183"/>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9</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116</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7,195</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16.2%</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440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352</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29</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0.048</w:t>
            </w:r>
          </w:p>
        </w:tc>
      </w:tr>
      <w:tr w:rsidR="0022634E" w:rsidRPr="00911BA2" w:rsidTr="00CE433F">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10</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36</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54</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0.1%</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54</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43</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36</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0.078</w:t>
            </w:r>
          </w:p>
        </w:tc>
      </w:tr>
      <w:tr w:rsidR="0022634E" w:rsidRPr="00911BA2" w:rsidTr="00CE433F">
        <w:trPr>
          <w:gridAfter w:val="1"/>
          <w:wAfter w:w="18" w:type="dxa"/>
          <w:trHeight w:val="1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11</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10</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1,004</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2.3%</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188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150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10</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0.08</w:t>
            </w:r>
          </w:p>
        </w:tc>
      </w:tr>
      <w:tr w:rsidR="0022634E" w:rsidRPr="00911BA2" w:rsidTr="00CE433F">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12</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40</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1,240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2.8%</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289</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232</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30</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0.05</w:t>
            </w:r>
          </w:p>
        </w:tc>
      </w:tr>
      <w:tr w:rsidR="0022634E" w:rsidRPr="00911BA2" w:rsidTr="00CE433F">
        <w:trPr>
          <w:gridAfter w:val="1"/>
          <w:wAfter w:w="18" w:type="dxa"/>
          <w:trHeight w:val="138"/>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13</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10</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700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1.6%</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188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150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10</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0.08</w:t>
            </w:r>
          </w:p>
        </w:tc>
      </w:tr>
      <w:tr w:rsidR="0022634E" w:rsidRPr="00911BA2" w:rsidTr="00CE433F">
        <w:trPr>
          <w:gridAfter w:val="1"/>
          <w:wAfter w:w="18" w:type="dxa"/>
          <w:trHeight w:val="25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14</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62</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0.1%</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62</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50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0.071</w:t>
            </w:r>
          </w:p>
        </w:tc>
      </w:tr>
      <w:tr w:rsidR="0022634E" w:rsidRPr="00911BA2" w:rsidTr="00CE433F">
        <w:trPr>
          <w:gridAfter w:val="1"/>
          <w:wAfter w:w="18" w:type="dxa"/>
          <w:trHeight w:val="138"/>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15</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42</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100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0.2%</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100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80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42</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0.061</w:t>
            </w:r>
          </w:p>
        </w:tc>
      </w:tr>
      <w:tr w:rsidR="0022634E" w:rsidRPr="00911BA2" w:rsidTr="00CE433F">
        <w:trPr>
          <w:gridAfter w:val="1"/>
          <w:wAfter w:w="18" w:type="dxa"/>
          <w:trHeight w:val="273"/>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16</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16</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1,200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2.7%</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210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168</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16</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0.066</w:t>
            </w:r>
          </w:p>
        </w:tc>
      </w:tr>
      <w:tr w:rsidR="0022634E" w:rsidRPr="00911BA2" w:rsidTr="00CE433F">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17</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5</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280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0.6%</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188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150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5</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0.106</w:t>
            </w:r>
          </w:p>
        </w:tc>
      </w:tr>
      <w:tr w:rsidR="0022634E" w:rsidRPr="00911BA2" w:rsidTr="00CE433F">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18</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7</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292</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0.7%</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188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150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7</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0.092</w:t>
            </w:r>
          </w:p>
        </w:tc>
      </w:tr>
      <w:tr w:rsidR="0022634E" w:rsidRPr="00911BA2" w:rsidTr="00CE433F">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19</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25</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285</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0.6%</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285</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228</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25</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0.054</w:t>
            </w:r>
          </w:p>
        </w:tc>
      </w:tr>
      <w:tr w:rsidR="0022634E" w:rsidRPr="00911BA2" w:rsidTr="00CE433F">
        <w:trPr>
          <w:gridAfter w:val="1"/>
          <w:wAfter w:w="18" w:type="dxa"/>
          <w:trHeight w:val="1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20</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10</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262</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0.6%</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188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150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10</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0.08</w:t>
            </w:r>
          </w:p>
        </w:tc>
      </w:tr>
      <w:tr w:rsidR="0022634E" w:rsidRPr="00911BA2" w:rsidTr="00CE433F">
        <w:trPr>
          <w:gridAfter w:val="1"/>
          <w:wAfter w:w="18" w:type="dxa"/>
          <w:trHeight w:val="228"/>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21</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48</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1,305</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2.9%</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297</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237</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30</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0.05</w:t>
            </w:r>
          </w:p>
        </w:tc>
      </w:tr>
      <w:tr w:rsidR="0022634E" w:rsidRPr="00911BA2" w:rsidTr="00CE433F">
        <w:trPr>
          <w:gridAfter w:val="1"/>
          <w:wAfter w:w="18" w:type="dxa"/>
          <w:trHeight w:val="93"/>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22</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8</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70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0.2%</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70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56</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8</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0.099</w:t>
            </w:r>
          </w:p>
        </w:tc>
      </w:tr>
      <w:tr w:rsidR="0022634E" w:rsidRPr="00911BA2" w:rsidTr="00AB5217">
        <w:trPr>
          <w:gridAfter w:val="1"/>
          <w:wAfter w:w="18" w:type="dxa"/>
          <w:trHeight w:val="183"/>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23</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11</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345</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0.8%</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213</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170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11</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0.076</w:t>
            </w:r>
          </w:p>
        </w:tc>
      </w:tr>
      <w:tr w:rsidR="0022634E" w:rsidRPr="00911BA2" w:rsidTr="00AB5217">
        <w:trPr>
          <w:gridAfter w:val="1"/>
          <w:wAfter w:w="18" w:type="dxa"/>
          <w:trHeight w:val="65"/>
        </w:trPr>
        <w:tc>
          <w:tcPr>
            <w:tcW w:w="1274" w:type="dxa"/>
            <w:tcBorders>
              <w:top w:val="single" w:sz="6" w:space="0" w:color="auto"/>
              <w:left w:val="single" w:sz="6" w:space="0" w:color="auto"/>
              <w:bottom w:val="single" w:sz="6" w:space="0" w:color="auto"/>
              <w:right w:val="single" w:sz="6" w:space="0" w:color="auto"/>
            </w:tcBorders>
            <w:vAlign w:val="bottom"/>
          </w:tcPr>
          <w:p w:rsidR="0022634E" w:rsidRPr="00AB5217" w:rsidRDefault="0022634E">
            <w:pPr>
              <w:rPr>
                <w:sz w:val="20"/>
              </w:rPr>
            </w:pPr>
            <w:r w:rsidRPr="00AB5217">
              <w:rPr>
                <w:sz w:val="20"/>
              </w:rPr>
              <w:t>Grantee 24</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AB5217" w:rsidRDefault="0022634E">
            <w:pPr>
              <w:jc w:val="center"/>
              <w:rPr>
                <w:color w:val="000000"/>
                <w:sz w:val="20"/>
              </w:rPr>
            </w:pPr>
            <w:r w:rsidRPr="00AB5217">
              <w:rPr>
                <w:color w:val="000000"/>
                <w:sz w:val="20"/>
              </w:rPr>
              <w:t>64</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AB5217" w:rsidRDefault="0022634E">
            <w:pPr>
              <w:jc w:val="center"/>
              <w:rPr>
                <w:color w:val="000000"/>
                <w:sz w:val="20"/>
              </w:rPr>
            </w:pPr>
            <w:r w:rsidRPr="00AB5217">
              <w:rPr>
                <w:color w:val="000000"/>
                <w:sz w:val="20"/>
              </w:rPr>
              <w:t>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AB5217" w:rsidRDefault="0022634E">
            <w:pPr>
              <w:jc w:val="center"/>
              <w:rPr>
                <w:color w:val="000000"/>
                <w:sz w:val="20"/>
              </w:rPr>
            </w:pPr>
            <w:r w:rsidRPr="00AB5217">
              <w:rPr>
                <w:color w:val="000000"/>
                <w:sz w:val="20"/>
              </w:rPr>
              <w:t>0.0%</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AB5217" w:rsidRDefault="0022634E" w:rsidP="00D0714F">
            <w:pPr>
              <w:jc w:val="center"/>
              <w:rPr>
                <w:sz w:val="20"/>
              </w:rPr>
            </w:pPr>
            <w:r w:rsidRPr="00AB5217">
              <w:rPr>
                <w:sz w:val="20"/>
              </w:rPr>
              <w:t>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AB5217" w:rsidRDefault="0022634E">
            <w:pPr>
              <w:jc w:val="center"/>
              <w:rPr>
                <w:color w:val="000000"/>
                <w:sz w:val="20"/>
              </w:rPr>
            </w:pPr>
            <w:r w:rsidRPr="00AB5217">
              <w:rPr>
                <w:bCs/>
                <w:color w:val="000000"/>
                <w:sz w:val="20"/>
              </w:rPr>
              <w:t>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AB5217" w:rsidRDefault="0022634E">
            <w:pPr>
              <w:jc w:val="center"/>
              <w:rPr>
                <w:color w:val="000000"/>
                <w:sz w:val="20"/>
              </w:rPr>
            </w:pPr>
            <w:r w:rsidRPr="00AB5217">
              <w:rPr>
                <w:bCs/>
                <w:color w:val="000000"/>
                <w:sz w:val="20"/>
              </w:rPr>
              <w:t> </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AB5217" w:rsidRDefault="0022634E">
            <w:pPr>
              <w:jc w:val="center"/>
              <w:rPr>
                <w:color w:val="000000"/>
                <w:sz w:val="20"/>
              </w:rPr>
            </w:pPr>
            <w:r w:rsidRPr="00AB5217">
              <w:rPr>
                <w:bCs/>
                <w:color w:val="000000"/>
                <w:sz w:val="20"/>
              </w:rPr>
              <w:t> </w:t>
            </w:r>
          </w:p>
        </w:tc>
      </w:tr>
      <w:tr w:rsidR="0022634E" w:rsidRPr="00911BA2" w:rsidTr="00CE433F">
        <w:trPr>
          <w:gridAfter w:val="1"/>
          <w:wAfter w:w="18" w:type="dxa"/>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25</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23</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3,649</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8.2%</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E668F7">
            <w:pPr>
              <w:jc w:val="center"/>
              <w:rPr>
                <w:sz w:val="20"/>
              </w:rPr>
            </w:pPr>
            <w:r w:rsidRPr="00911BA2">
              <w:rPr>
                <w:sz w:val="20"/>
              </w:rPr>
              <w:t>660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528</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23</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0.051</w:t>
            </w:r>
          </w:p>
        </w:tc>
      </w:tr>
      <w:tr w:rsidR="0022634E" w:rsidRPr="00911BA2" w:rsidTr="00CE433F">
        <w:trPr>
          <w:gridAfter w:val="1"/>
          <w:wAfter w:w="18" w:type="dxa"/>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26</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6</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204</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0.5%</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163</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130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6</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0.099</w:t>
            </w:r>
          </w:p>
        </w:tc>
      </w:tr>
      <w:tr w:rsidR="0022634E" w:rsidRPr="00911BA2" w:rsidTr="00CE433F">
        <w:trPr>
          <w:gridAfter w:val="1"/>
          <w:wAfter w:w="18" w:type="dxa"/>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27</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30</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1,050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2.4%</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278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222</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30</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0.051</w:t>
            </w:r>
          </w:p>
        </w:tc>
      </w:tr>
      <w:tr w:rsidR="0022634E" w:rsidRPr="00911BA2" w:rsidTr="00CE433F">
        <w:trPr>
          <w:gridAfter w:val="1"/>
          <w:wAfter w:w="18" w:type="dxa"/>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28</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17</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326</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0.7%</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238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190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17</w:t>
            </w:r>
          </w:p>
        </w:tc>
        <w:tc>
          <w:tcPr>
            <w:tcW w:w="1601"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0.063</w:t>
            </w:r>
          </w:p>
        </w:tc>
      </w:tr>
      <w:tr w:rsidR="0022634E" w:rsidTr="00CE433F">
        <w:trPr>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29</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213</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10,391</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23.4%</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440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352</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53</w:t>
            </w:r>
          </w:p>
        </w:tc>
        <w:tc>
          <w:tcPr>
            <w:tcW w:w="1619" w:type="dxa"/>
            <w:gridSpan w:val="2"/>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0.039</w:t>
            </w:r>
          </w:p>
        </w:tc>
      </w:tr>
      <w:tr w:rsidR="0022634E" w:rsidTr="00CE433F">
        <w:trPr>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30</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27</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4,187</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9.4%</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440</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352</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27</w:t>
            </w:r>
          </w:p>
        </w:tc>
        <w:tc>
          <w:tcPr>
            <w:tcW w:w="1619" w:type="dxa"/>
            <w:gridSpan w:val="2"/>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0.049</w:t>
            </w:r>
          </w:p>
        </w:tc>
      </w:tr>
      <w:tr w:rsidR="0022634E" w:rsidTr="00CE433F">
        <w:trPr>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31</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27</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1200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2.7%</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E668F7">
            <w:pPr>
              <w:jc w:val="center"/>
              <w:rPr>
                <w:sz w:val="20"/>
              </w:rPr>
            </w:pPr>
            <w:r w:rsidRPr="00911BA2">
              <w:rPr>
                <w:sz w:val="20"/>
              </w:rPr>
              <w:t>385</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308</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27</w:t>
            </w:r>
          </w:p>
        </w:tc>
        <w:tc>
          <w:tcPr>
            <w:tcW w:w="1619" w:type="dxa"/>
            <w:gridSpan w:val="2"/>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0.05</w:t>
            </w:r>
          </w:p>
        </w:tc>
      </w:tr>
      <w:tr w:rsidR="0022634E" w:rsidTr="00CE433F">
        <w:trPr>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32</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6</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200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0.4%</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163</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130</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6</w:t>
            </w:r>
          </w:p>
        </w:tc>
        <w:tc>
          <w:tcPr>
            <w:tcW w:w="1619" w:type="dxa"/>
            <w:gridSpan w:val="2"/>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0.099</w:t>
            </w:r>
          </w:p>
        </w:tc>
      </w:tr>
      <w:tr w:rsidR="0022634E" w:rsidTr="00CE433F">
        <w:trPr>
          <w:trHeight w:val="282"/>
        </w:trPr>
        <w:tc>
          <w:tcPr>
            <w:tcW w:w="1274"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rPr>
                <w:sz w:val="20"/>
              </w:rPr>
            </w:pPr>
            <w:r w:rsidRPr="00911BA2">
              <w:rPr>
                <w:sz w:val="20"/>
              </w:rPr>
              <w:t>Grantee 33</w:t>
            </w:r>
          </w:p>
        </w:tc>
        <w:tc>
          <w:tcPr>
            <w:tcW w:w="994"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99</w:t>
            </w:r>
          </w:p>
        </w:tc>
        <w:tc>
          <w:tcPr>
            <w:tcW w:w="990"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1,980</w:t>
            </w:r>
          </w:p>
        </w:tc>
        <w:tc>
          <w:tcPr>
            <w:tcW w:w="1256" w:type="dxa"/>
            <w:tcBorders>
              <w:top w:val="single" w:sz="6" w:space="0" w:color="auto"/>
              <w:left w:val="single" w:sz="6" w:space="0" w:color="auto"/>
              <w:bottom w:val="single" w:sz="6" w:space="0" w:color="auto"/>
              <w:right w:val="single" w:sz="6" w:space="0" w:color="auto"/>
            </w:tcBorders>
            <w:noWrap/>
            <w:vAlign w:val="bottom"/>
          </w:tcPr>
          <w:p w:rsidR="0022634E" w:rsidRPr="00911BA2" w:rsidRDefault="0022634E">
            <w:pPr>
              <w:jc w:val="center"/>
              <w:rPr>
                <w:color w:val="000000"/>
                <w:sz w:val="20"/>
              </w:rPr>
            </w:pPr>
            <w:r w:rsidRPr="00911BA2">
              <w:rPr>
                <w:color w:val="000000"/>
                <w:sz w:val="20"/>
              </w:rPr>
              <w:t>4.5%</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911BA2" w:rsidRDefault="0022634E" w:rsidP="00D0714F">
            <w:pPr>
              <w:jc w:val="center"/>
              <w:rPr>
                <w:sz w:val="20"/>
              </w:rPr>
            </w:pPr>
            <w:r w:rsidRPr="00911BA2">
              <w:rPr>
                <w:sz w:val="20"/>
              </w:rPr>
              <w:t>348</w:t>
            </w:r>
          </w:p>
        </w:tc>
        <w:tc>
          <w:tcPr>
            <w:tcW w:w="1440"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278</w:t>
            </w:r>
          </w:p>
        </w:tc>
        <w:tc>
          <w:tcPr>
            <w:tcW w:w="1173" w:type="dxa"/>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30</w:t>
            </w:r>
          </w:p>
        </w:tc>
        <w:tc>
          <w:tcPr>
            <w:tcW w:w="1619" w:type="dxa"/>
            <w:gridSpan w:val="2"/>
            <w:tcBorders>
              <w:top w:val="single" w:sz="6" w:space="0" w:color="auto"/>
              <w:left w:val="single" w:sz="6" w:space="0" w:color="auto"/>
              <w:bottom w:val="single" w:sz="6" w:space="0" w:color="auto"/>
              <w:right w:val="single" w:sz="6" w:space="0" w:color="auto"/>
            </w:tcBorders>
            <w:vAlign w:val="bottom"/>
          </w:tcPr>
          <w:p w:rsidR="0022634E" w:rsidRPr="00911BA2" w:rsidRDefault="0022634E">
            <w:pPr>
              <w:jc w:val="center"/>
              <w:rPr>
                <w:color w:val="000000"/>
                <w:sz w:val="20"/>
              </w:rPr>
            </w:pPr>
            <w:r w:rsidRPr="00911BA2">
              <w:rPr>
                <w:bCs/>
                <w:color w:val="000000"/>
                <w:sz w:val="20"/>
              </w:rPr>
              <w:t>0.049</w:t>
            </w:r>
          </w:p>
        </w:tc>
      </w:tr>
      <w:tr w:rsidR="0022634E" w:rsidRPr="00514594" w:rsidTr="00CE433F">
        <w:trPr>
          <w:trHeight w:val="282"/>
        </w:trPr>
        <w:tc>
          <w:tcPr>
            <w:tcW w:w="1274" w:type="dxa"/>
            <w:tcBorders>
              <w:top w:val="single" w:sz="6" w:space="0" w:color="auto"/>
              <w:left w:val="single" w:sz="6" w:space="0" w:color="auto"/>
              <w:bottom w:val="single" w:sz="6" w:space="0" w:color="auto"/>
              <w:right w:val="single" w:sz="6" w:space="0" w:color="auto"/>
            </w:tcBorders>
            <w:vAlign w:val="center"/>
          </w:tcPr>
          <w:p w:rsidR="0022634E" w:rsidRPr="0082683A" w:rsidRDefault="0022634E" w:rsidP="00755314">
            <w:pPr>
              <w:spacing w:beforeLines="40" w:afterLines="40"/>
              <w:rPr>
                <w:sz w:val="20"/>
              </w:rPr>
            </w:pPr>
            <w:r>
              <w:rPr>
                <w:sz w:val="20"/>
              </w:rPr>
              <w:t>National Estimates</w:t>
            </w:r>
          </w:p>
        </w:tc>
        <w:tc>
          <w:tcPr>
            <w:tcW w:w="994" w:type="dxa"/>
            <w:tcBorders>
              <w:top w:val="single" w:sz="6" w:space="0" w:color="auto"/>
              <w:left w:val="single" w:sz="6" w:space="0" w:color="auto"/>
              <w:bottom w:val="single" w:sz="6" w:space="0" w:color="auto"/>
              <w:right w:val="single" w:sz="6" w:space="0" w:color="auto"/>
            </w:tcBorders>
            <w:noWrap/>
            <w:vAlign w:val="center"/>
          </w:tcPr>
          <w:p w:rsidR="0022634E" w:rsidRPr="0082683A" w:rsidRDefault="0022634E" w:rsidP="00755314">
            <w:pPr>
              <w:spacing w:beforeLines="40" w:afterLines="40"/>
              <w:jc w:val="center"/>
              <w:rPr>
                <w:sz w:val="20"/>
              </w:rPr>
            </w:pPr>
            <w:r>
              <w:rPr>
                <w:sz w:val="20"/>
              </w:rPr>
              <w:t>1,142</w:t>
            </w:r>
          </w:p>
        </w:tc>
        <w:tc>
          <w:tcPr>
            <w:tcW w:w="990" w:type="dxa"/>
            <w:tcBorders>
              <w:top w:val="single" w:sz="6" w:space="0" w:color="auto"/>
              <w:left w:val="single" w:sz="6" w:space="0" w:color="auto"/>
              <w:bottom w:val="single" w:sz="6" w:space="0" w:color="auto"/>
              <w:right w:val="single" w:sz="6" w:space="0" w:color="auto"/>
            </w:tcBorders>
            <w:noWrap/>
            <w:vAlign w:val="center"/>
          </w:tcPr>
          <w:p w:rsidR="0022634E" w:rsidRPr="0082683A" w:rsidRDefault="0022634E" w:rsidP="00755314">
            <w:pPr>
              <w:spacing w:beforeLines="40" w:afterLines="40"/>
              <w:jc w:val="center"/>
              <w:rPr>
                <w:sz w:val="20"/>
              </w:rPr>
            </w:pPr>
            <w:r>
              <w:rPr>
                <w:sz w:val="20"/>
              </w:rPr>
              <w:t>44,450</w:t>
            </w:r>
          </w:p>
        </w:tc>
        <w:tc>
          <w:tcPr>
            <w:tcW w:w="1256" w:type="dxa"/>
            <w:tcBorders>
              <w:top w:val="single" w:sz="6" w:space="0" w:color="auto"/>
              <w:left w:val="single" w:sz="6" w:space="0" w:color="auto"/>
              <w:bottom w:val="single" w:sz="6" w:space="0" w:color="auto"/>
              <w:right w:val="single" w:sz="6" w:space="0" w:color="auto"/>
            </w:tcBorders>
            <w:noWrap/>
            <w:vAlign w:val="center"/>
          </w:tcPr>
          <w:p w:rsidR="0022634E" w:rsidRPr="0082683A" w:rsidRDefault="0022634E" w:rsidP="00755314">
            <w:pPr>
              <w:spacing w:beforeLines="40" w:afterLines="40"/>
              <w:jc w:val="center"/>
              <w:rPr>
                <w:sz w:val="20"/>
              </w:rPr>
            </w:pPr>
            <w:r w:rsidRPr="0082683A">
              <w:rPr>
                <w:sz w:val="20"/>
              </w:rPr>
              <w:t>100%</w:t>
            </w:r>
          </w:p>
        </w:tc>
        <w:tc>
          <w:tcPr>
            <w:tcW w:w="1082" w:type="dxa"/>
            <w:tcBorders>
              <w:top w:val="single" w:sz="6" w:space="0" w:color="auto"/>
              <w:left w:val="single" w:sz="6" w:space="0" w:color="auto"/>
              <w:bottom w:val="single" w:sz="6" w:space="0" w:color="auto"/>
              <w:right w:val="single" w:sz="6" w:space="0" w:color="auto"/>
            </w:tcBorders>
            <w:vAlign w:val="center"/>
          </w:tcPr>
          <w:p w:rsidR="0022634E" w:rsidRPr="00CF419E" w:rsidRDefault="0022634E" w:rsidP="00755314">
            <w:pPr>
              <w:spacing w:beforeLines="40" w:afterLines="40"/>
              <w:jc w:val="center"/>
              <w:rPr>
                <w:sz w:val="20"/>
              </w:rPr>
            </w:pPr>
            <w:r>
              <w:rPr>
                <w:sz w:val="20"/>
              </w:rPr>
              <w:t>8,104</w:t>
            </w:r>
          </w:p>
        </w:tc>
        <w:tc>
          <w:tcPr>
            <w:tcW w:w="1440" w:type="dxa"/>
            <w:tcBorders>
              <w:top w:val="single" w:sz="6" w:space="0" w:color="auto"/>
              <w:left w:val="single" w:sz="6" w:space="0" w:color="auto"/>
              <w:bottom w:val="single" w:sz="6" w:space="0" w:color="auto"/>
              <w:right w:val="single" w:sz="6" w:space="0" w:color="auto"/>
            </w:tcBorders>
            <w:vAlign w:val="center"/>
          </w:tcPr>
          <w:p w:rsidR="0022634E" w:rsidRPr="00CF419E" w:rsidRDefault="0022634E" w:rsidP="00755314">
            <w:pPr>
              <w:spacing w:beforeLines="40" w:afterLines="40"/>
              <w:jc w:val="center"/>
              <w:rPr>
                <w:sz w:val="20"/>
              </w:rPr>
            </w:pPr>
            <w:r>
              <w:rPr>
                <w:sz w:val="20"/>
              </w:rPr>
              <w:t>6,483</w:t>
            </w:r>
          </w:p>
        </w:tc>
        <w:tc>
          <w:tcPr>
            <w:tcW w:w="1173" w:type="dxa"/>
            <w:tcBorders>
              <w:top w:val="single" w:sz="6" w:space="0" w:color="auto"/>
              <w:left w:val="single" w:sz="6" w:space="0" w:color="auto"/>
              <w:bottom w:val="single" w:sz="6" w:space="0" w:color="auto"/>
              <w:right w:val="single" w:sz="6" w:space="0" w:color="auto"/>
            </w:tcBorders>
            <w:vAlign w:val="center"/>
          </w:tcPr>
          <w:p w:rsidR="0022634E" w:rsidRPr="00CF419E" w:rsidRDefault="0022634E" w:rsidP="00755314">
            <w:pPr>
              <w:spacing w:beforeLines="40" w:afterLines="40"/>
              <w:jc w:val="center"/>
              <w:rPr>
                <w:sz w:val="20"/>
              </w:rPr>
            </w:pPr>
            <w:r>
              <w:rPr>
                <w:sz w:val="20"/>
              </w:rPr>
              <w:t>642</w:t>
            </w:r>
          </w:p>
        </w:tc>
        <w:tc>
          <w:tcPr>
            <w:tcW w:w="1619" w:type="dxa"/>
            <w:gridSpan w:val="2"/>
            <w:tcBorders>
              <w:top w:val="single" w:sz="6" w:space="0" w:color="auto"/>
              <w:left w:val="single" w:sz="6" w:space="0" w:color="auto"/>
              <w:bottom w:val="single" w:sz="6" w:space="0" w:color="auto"/>
              <w:right w:val="single" w:sz="6" w:space="0" w:color="auto"/>
            </w:tcBorders>
            <w:vAlign w:val="center"/>
          </w:tcPr>
          <w:p w:rsidR="0022634E" w:rsidRPr="00CF419E" w:rsidRDefault="0022634E" w:rsidP="00755314">
            <w:pPr>
              <w:spacing w:beforeLines="40" w:afterLines="40"/>
              <w:jc w:val="center"/>
              <w:rPr>
                <w:bCs/>
                <w:sz w:val="20"/>
              </w:rPr>
            </w:pPr>
            <w:r>
              <w:rPr>
                <w:bCs/>
                <w:sz w:val="20"/>
              </w:rPr>
              <w:t>0.015</w:t>
            </w:r>
          </w:p>
        </w:tc>
      </w:tr>
    </w:tbl>
    <w:p w:rsidR="0022634E" w:rsidRPr="000526D8" w:rsidRDefault="0022634E" w:rsidP="005971A7">
      <w:pPr>
        <w:spacing w:after="120"/>
        <w:rPr>
          <w:sz w:val="16"/>
          <w:szCs w:val="16"/>
        </w:rPr>
      </w:pPr>
      <w:r w:rsidRPr="000526D8">
        <w:rPr>
          <w:sz w:val="16"/>
          <w:szCs w:val="16"/>
        </w:rPr>
        <w:t>Source:</w:t>
      </w:r>
      <w:r>
        <w:rPr>
          <w:sz w:val="16"/>
          <w:szCs w:val="16"/>
        </w:rPr>
        <w:t xml:space="preserve"> “Hill Briefing Table” Compiled by </w:t>
      </w:r>
      <w:r w:rsidRPr="000526D8">
        <w:rPr>
          <w:sz w:val="16"/>
          <w:szCs w:val="16"/>
        </w:rPr>
        <w:t xml:space="preserve">U.S. Department of Education </w:t>
      </w:r>
    </w:p>
    <w:p w:rsidR="0022634E" w:rsidRPr="00252B49" w:rsidRDefault="0022634E" w:rsidP="00810A9F">
      <w:r>
        <w:br w:type="page"/>
      </w:r>
    </w:p>
    <w:p w:rsidR="0022634E" w:rsidRPr="00B908EF" w:rsidRDefault="0022634E" w:rsidP="00B908EF">
      <w:pPr>
        <w:pStyle w:val="NormalWeb"/>
        <w:spacing w:before="0" w:beforeAutospacing="0" w:after="200" w:afterAutospacing="0"/>
        <w:rPr>
          <w:b/>
        </w:rPr>
      </w:pPr>
      <w:r w:rsidRPr="00B908EF">
        <w:rPr>
          <w:b/>
        </w:rPr>
        <w:t>Site Visits</w:t>
      </w:r>
    </w:p>
    <w:p w:rsidR="0022634E" w:rsidRPr="00252B49" w:rsidRDefault="0022634E" w:rsidP="000C7C7F">
      <w:pPr>
        <w:spacing w:after="180"/>
        <w:ind w:firstLine="360"/>
      </w:pPr>
      <w:r w:rsidRPr="00252B49">
        <w:t xml:space="preserve">Respondents for </w:t>
      </w:r>
      <w:r>
        <w:t>the telephone interviews and both site visits</w:t>
      </w:r>
      <w:r w:rsidRPr="00252B49">
        <w:t xml:space="preserve"> will represent the range of participants and stakeholders in each grantee (key informants). These key informants will include TIF project staff members (e.g., project directors, evaluators), educators (e.g., teachers, principals), administrative staff (e.g., district superintendent, State administrator) and other stakeholders (e.g. representatives of partner organizations, representatives of parent organizations, teacher association officials). </w:t>
      </w:r>
      <w:r>
        <w:t xml:space="preserve">The study team </w:t>
      </w:r>
      <w:r w:rsidRPr="00252B49">
        <w:t xml:space="preserve">will work with the TIF project director in each grantee to identify key informants. </w:t>
      </w:r>
    </w:p>
    <w:p w:rsidR="0022634E" w:rsidRDefault="0022634E" w:rsidP="000C7C7F">
      <w:pPr>
        <w:spacing w:after="180"/>
        <w:ind w:firstLine="360"/>
      </w:pPr>
      <w:r w:rsidRPr="00252B49">
        <w:t>We will use the site visits to delve more deeply into the components and system supports that we learned of during the telephone interviews</w:t>
      </w:r>
      <w:r>
        <w:t xml:space="preserve"> (completed)</w:t>
      </w:r>
      <w:r w:rsidRPr="00252B49">
        <w:t>. Our proposed approach is designed to document and explain varying levels of implementation consistency with plans and the authorizing legislation; long-term implementation issues and challenges; and the principal, teacher, and student outcomes of performance</w:t>
      </w:r>
      <w:r>
        <w:t xml:space="preserve"> </w:t>
      </w:r>
      <w:r w:rsidRPr="00252B49">
        <w:t>pay programs across all grantees.</w:t>
      </w:r>
      <w:r w:rsidRPr="00377DF3">
        <w:t xml:space="preserve"> </w:t>
      </w:r>
    </w:p>
    <w:p w:rsidR="0022634E" w:rsidRPr="00B908EF" w:rsidRDefault="0022634E" w:rsidP="00B908EF">
      <w:pPr>
        <w:pStyle w:val="NormalWeb"/>
        <w:spacing w:before="0" w:beforeAutospacing="0" w:after="200" w:afterAutospacing="0"/>
        <w:ind w:left="360"/>
        <w:rPr>
          <w:b/>
        </w:rPr>
      </w:pPr>
      <w:r w:rsidRPr="00B908EF">
        <w:rPr>
          <w:b/>
        </w:rPr>
        <w:t>Site Visit 1</w:t>
      </w:r>
    </w:p>
    <w:p w:rsidR="0022634E" w:rsidRPr="004C68EF" w:rsidRDefault="0022634E" w:rsidP="000C7C7F">
      <w:pPr>
        <w:spacing w:after="180"/>
        <w:ind w:firstLine="360"/>
      </w:pPr>
      <w:r>
        <w:t>Based on the information we learned in the telephone interviews and a thorough review of extant grantee documents we will produce detailed grantee profiles from which we will select a</w:t>
      </w:r>
      <w:r w:rsidRPr="00AE1840">
        <w:t xml:space="preserve"> sample of pro</w:t>
      </w:r>
      <w:r>
        <w:t>jects</w:t>
      </w:r>
      <w:r w:rsidRPr="00AE1840">
        <w:t xml:space="preserve"> for </w:t>
      </w:r>
      <w:r>
        <w:t>S</w:t>
      </w:r>
      <w:r w:rsidRPr="00AE1840">
        <w:t xml:space="preserve">ite </w:t>
      </w:r>
      <w:r>
        <w:t>V</w:t>
      </w:r>
      <w:r w:rsidRPr="00AE1840">
        <w:t>isit</w:t>
      </w:r>
      <w:r>
        <w:t xml:space="preserve"> 1 (2010). We are proposing a stratified random sample of active grantees. We will remove any grantee sites in which we find the projects was not implemented (based on conversations with the TIF program office) or in the event that a grantee’s project ceases to operate over the course of this study. </w:t>
      </w:r>
      <w:r>
        <w:rPr>
          <w:color w:val="000000"/>
        </w:rPr>
        <w:t>Although these non-implemented/discontinued projects would not be included in the case studies</w:t>
      </w:r>
      <w:r w:rsidRPr="004C68EF">
        <w:rPr>
          <w:color w:val="000000"/>
        </w:rPr>
        <w:t xml:space="preserve">, we will capture </w:t>
      </w:r>
      <w:r>
        <w:rPr>
          <w:color w:val="000000"/>
        </w:rPr>
        <w:t xml:space="preserve">valuable </w:t>
      </w:r>
      <w:r w:rsidRPr="004C68EF">
        <w:rPr>
          <w:color w:val="000000"/>
        </w:rPr>
        <w:t>implementation data from the telephone interviews</w:t>
      </w:r>
      <w:r>
        <w:rPr>
          <w:color w:val="000000"/>
        </w:rPr>
        <w:t xml:space="preserve"> and will</w:t>
      </w:r>
      <w:r w:rsidRPr="004C68EF">
        <w:rPr>
          <w:color w:val="000000"/>
        </w:rPr>
        <w:t xml:space="preserve"> include </w:t>
      </w:r>
      <w:r>
        <w:rPr>
          <w:color w:val="000000"/>
        </w:rPr>
        <w:t xml:space="preserve">extensive information on the reasons for any issues with implementation or continued operation. </w:t>
      </w:r>
    </w:p>
    <w:p w:rsidR="0022634E" w:rsidRDefault="0022634E" w:rsidP="000C7C7F">
      <w:pPr>
        <w:spacing w:after="180"/>
        <w:ind w:firstLine="360"/>
      </w:pPr>
      <w:r>
        <w:t>F</w:t>
      </w:r>
      <w:r w:rsidRPr="00377DF3">
        <w:t xml:space="preserve">rom the population of </w:t>
      </w:r>
      <w:r>
        <w:t xml:space="preserve">active </w:t>
      </w:r>
      <w:r w:rsidRPr="00377DF3">
        <w:t>grantees that have implemented plans, we will randomly select four pro</w:t>
      </w:r>
      <w:r>
        <w:t>jects</w:t>
      </w:r>
      <w:r w:rsidRPr="00377DF3">
        <w:t xml:space="preserve"> where 50</w:t>
      </w:r>
      <w:r>
        <w:t xml:space="preserve"> percent</w:t>
      </w:r>
      <w:r w:rsidRPr="00377DF3">
        <w:t xml:space="preserve"> or more of the TIF grant is focused on performance pay for improved student learning, four pro</w:t>
      </w:r>
      <w:r>
        <w:t xml:space="preserve">jects </w:t>
      </w:r>
      <w:r w:rsidRPr="00377DF3">
        <w:t>implementing broader forms of differentiated compensation (e.g., to attract teachers to hard-to-staff schools), and four pro</w:t>
      </w:r>
      <w:r>
        <w:t xml:space="preserve">jects </w:t>
      </w:r>
      <w:r w:rsidRPr="00377DF3">
        <w:t xml:space="preserve">that have comprehensive systems that combine </w:t>
      </w:r>
      <w:r>
        <w:t xml:space="preserve">performance pay for improved student learning </w:t>
      </w:r>
      <w:r w:rsidRPr="00377DF3">
        <w:t>and other forms of differentiated compensation</w:t>
      </w:r>
      <w:r>
        <w:t xml:space="preserve"> (Exhibit B3)</w:t>
      </w:r>
      <w:r w:rsidRPr="00377DF3">
        <w:t>. This approach is designed to yield a sample that represents the range of implementation fidelity</w:t>
      </w:r>
      <w:r>
        <w:t xml:space="preserve">, but does not waste evaluation resources on studying sites </w:t>
      </w:r>
      <w:r w:rsidRPr="00377DF3">
        <w:t>where implementation never occurred</w:t>
      </w:r>
      <w:r>
        <w:t xml:space="preserve"> or was not sustained through the grant period</w:t>
      </w:r>
      <w:r w:rsidRPr="00377DF3">
        <w:t xml:space="preserve">. </w:t>
      </w:r>
    </w:p>
    <w:p w:rsidR="0022634E" w:rsidRPr="00F94263" w:rsidRDefault="0022634E" w:rsidP="00661689">
      <w:pPr>
        <w:pStyle w:val="ExhibitNumber"/>
        <w:spacing w:after="120"/>
        <w:outlineLvl w:val="9"/>
      </w:pPr>
      <w:r w:rsidRPr="00F94263">
        <w:t>Exhibit B</w:t>
      </w:r>
      <w:r>
        <w:t>3</w:t>
      </w:r>
      <w:r w:rsidRPr="00F94263">
        <w:t>. Stratified Random Sample for Site Visit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42"/>
        <w:gridCol w:w="2221"/>
        <w:gridCol w:w="1937"/>
      </w:tblGrid>
      <w:tr w:rsidR="0022634E" w:rsidRPr="00377DF3" w:rsidTr="00CE433F">
        <w:trPr>
          <w:jc w:val="center"/>
        </w:trPr>
        <w:tc>
          <w:tcPr>
            <w:tcW w:w="2142" w:type="dxa"/>
          </w:tcPr>
          <w:p w:rsidR="0022634E" w:rsidRPr="002D5C94" w:rsidRDefault="0022634E" w:rsidP="002D5C94">
            <w:pPr>
              <w:jc w:val="center"/>
              <w:rPr>
                <w:rFonts w:ascii="Arial" w:hAnsi="Arial" w:cs="Arial"/>
                <w:b/>
                <w:bCs/>
                <w:sz w:val="20"/>
              </w:rPr>
            </w:pPr>
            <w:r w:rsidRPr="002D5C94">
              <w:rPr>
                <w:rFonts w:ascii="Arial" w:hAnsi="Arial" w:cs="Arial"/>
                <w:b/>
                <w:bCs/>
                <w:sz w:val="20"/>
              </w:rPr>
              <w:t>Performance Pay</w:t>
            </w:r>
          </w:p>
        </w:tc>
        <w:tc>
          <w:tcPr>
            <w:tcW w:w="2221" w:type="dxa"/>
          </w:tcPr>
          <w:p w:rsidR="0022634E" w:rsidRPr="002D5C94" w:rsidRDefault="0022634E" w:rsidP="002D5C94">
            <w:pPr>
              <w:jc w:val="center"/>
              <w:rPr>
                <w:rFonts w:ascii="Arial" w:hAnsi="Arial" w:cs="Arial"/>
                <w:b/>
                <w:bCs/>
                <w:sz w:val="20"/>
              </w:rPr>
            </w:pPr>
            <w:r w:rsidRPr="002D5C94">
              <w:rPr>
                <w:rFonts w:ascii="Arial" w:hAnsi="Arial" w:cs="Arial"/>
                <w:b/>
                <w:bCs/>
                <w:sz w:val="20"/>
              </w:rPr>
              <w:t>Differentiated</w:t>
            </w:r>
          </w:p>
        </w:tc>
        <w:tc>
          <w:tcPr>
            <w:tcW w:w="1937" w:type="dxa"/>
          </w:tcPr>
          <w:p w:rsidR="0022634E" w:rsidRPr="002D5C94" w:rsidRDefault="0022634E" w:rsidP="002D5C94">
            <w:pPr>
              <w:jc w:val="center"/>
              <w:rPr>
                <w:rFonts w:ascii="Arial" w:hAnsi="Arial" w:cs="Arial"/>
                <w:b/>
                <w:bCs/>
                <w:sz w:val="20"/>
              </w:rPr>
            </w:pPr>
            <w:r w:rsidRPr="002D5C94">
              <w:rPr>
                <w:rFonts w:ascii="Arial" w:hAnsi="Arial" w:cs="Arial"/>
                <w:b/>
                <w:bCs/>
                <w:sz w:val="20"/>
              </w:rPr>
              <w:t>Comprehensive</w:t>
            </w:r>
          </w:p>
        </w:tc>
      </w:tr>
      <w:tr w:rsidR="0022634E" w:rsidRPr="00377DF3" w:rsidTr="00CE433F">
        <w:trPr>
          <w:jc w:val="center"/>
        </w:trPr>
        <w:tc>
          <w:tcPr>
            <w:tcW w:w="2142" w:type="dxa"/>
          </w:tcPr>
          <w:p w:rsidR="0022634E" w:rsidRPr="002D5C94" w:rsidRDefault="0022634E" w:rsidP="002D5C94">
            <w:pPr>
              <w:jc w:val="center"/>
              <w:rPr>
                <w:rFonts w:ascii="Arial" w:hAnsi="Arial" w:cs="Arial"/>
                <w:sz w:val="20"/>
              </w:rPr>
            </w:pPr>
            <w:r w:rsidRPr="002D5C94">
              <w:rPr>
                <w:rFonts w:ascii="Arial" w:hAnsi="Arial" w:cs="Arial"/>
                <w:sz w:val="20"/>
              </w:rPr>
              <w:t>4 grantees</w:t>
            </w:r>
          </w:p>
        </w:tc>
        <w:tc>
          <w:tcPr>
            <w:tcW w:w="2221" w:type="dxa"/>
          </w:tcPr>
          <w:p w:rsidR="0022634E" w:rsidRPr="002D5C94" w:rsidRDefault="0022634E" w:rsidP="002D5C94">
            <w:pPr>
              <w:jc w:val="center"/>
              <w:rPr>
                <w:rFonts w:ascii="Arial" w:hAnsi="Arial" w:cs="Arial"/>
                <w:sz w:val="20"/>
              </w:rPr>
            </w:pPr>
            <w:r w:rsidRPr="002D5C94">
              <w:rPr>
                <w:rFonts w:ascii="Arial" w:hAnsi="Arial" w:cs="Arial"/>
                <w:sz w:val="20"/>
              </w:rPr>
              <w:t>4 grantees</w:t>
            </w:r>
          </w:p>
        </w:tc>
        <w:tc>
          <w:tcPr>
            <w:tcW w:w="1937" w:type="dxa"/>
          </w:tcPr>
          <w:p w:rsidR="0022634E" w:rsidRPr="002D5C94" w:rsidRDefault="0022634E" w:rsidP="002D5C94">
            <w:pPr>
              <w:jc w:val="center"/>
              <w:rPr>
                <w:rFonts w:ascii="Arial" w:hAnsi="Arial" w:cs="Arial"/>
                <w:sz w:val="20"/>
              </w:rPr>
            </w:pPr>
            <w:r w:rsidRPr="002D5C94">
              <w:rPr>
                <w:rFonts w:ascii="Arial" w:hAnsi="Arial" w:cs="Arial"/>
                <w:sz w:val="20"/>
              </w:rPr>
              <w:t>4 grantees</w:t>
            </w:r>
          </w:p>
        </w:tc>
      </w:tr>
      <w:tr w:rsidR="0022634E" w:rsidRPr="00377DF3" w:rsidTr="00CE433F">
        <w:trPr>
          <w:jc w:val="center"/>
        </w:trPr>
        <w:tc>
          <w:tcPr>
            <w:tcW w:w="2142" w:type="dxa"/>
            <w:tcBorders>
              <w:left w:val="nil"/>
              <w:bottom w:val="nil"/>
              <w:right w:val="nil"/>
            </w:tcBorders>
          </w:tcPr>
          <w:p w:rsidR="0022634E" w:rsidRPr="002D5C94" w:rsidRDefault="0022634E" w:rsidP="002D5C94">
            <w:pPr>
              <w:jc w:val="center"/>
              <w:rPr>
                <w:rFonts w:ascii="Arial" w:hAnsi="Arial" w:cs="Arial"/>
                <w:sz w:val="20"/>
              </w:rPr>
            </w:pPr>
          </w:p>
        </w:tc>
        <w:tc>
          <w:tcPr>
            <w:tcW w:w="2221" w:type="dxa"/>
            <w:tcBorders>
              <w:left w:val="nil"/>
              <w:bottom w:val="nil"/>
              <w:right w:val="nil"/>
            </w:tcBorders>
          </w:tcPr>
          <w:p w:rsidR="0022634E" w:rsidRPr="002D5C94" w:rsidRDefault="0022634E" w:rsidP="002D5C94">
            <w:pPr>
              <w:jc w:val="center"/>
              <w:rPr>
                <w:rFonts w:ascii="Arial" w:hAnsi="Arial" w:cs="Arial"/>
                <w:sz w:val="20"/>
              </w:rPr>
            </w:pPr>
          </w:p>
        </w:tc>
        <w:tc>
          <w:tcPr>
            <w:tcW w:w="1937" w:type="dxa"/>
            <w:tcBorders>
              <w:left w:val="nil"/>
              <w:bottom w:val="nil"/>
              <w:right w:val="nil"/>
            </w:tcBorders>
          </w:tcPr>
          <w:p w:rsidR="0022634E" w:rsidRPr="002D5C94" w:rsidRDefault="0022634E" w:rsidP="002D5C94">
            <w:pPr>
              <w:jc w:val="center"/>
              <w:rPr>
                <w:rFonts w:ascii="Arial" w:hAnsi="Arial" w:cs="Arial"/>
                <w:sz w:val="20"/>
              </w:rPr>
            </w:pPr>
          </w:p>
        </w:tc>
      </w:tr>
    </w:tbl>
    <w:p w:rsidR="0022634E" w:rsidRDefault="0022634E" w:rsidP="000C7C7F">
      <w:pPr>
        <w:spacing w:after="180"/>
        <w:ind w:firstLine="360"/>
      </w:pPr>
      <w:r>
        <w:t xml:space="preserve">The actual sample will be developed in consultation with the TWG and will depend in part on the distribution of different strategies across the population of eligible projects. If possible, we will also consider urbanicity and strength of local bargaining units as additional sampling criteria. </w:t>
      </w:r>
    </w:p>
    <w:p w:rsidR="0022634E" w:rsidRDefault="0022634E">
      <w:r>
        <w:br w:type="page"/>
      </w:r>
    </w:p>
    <w:p w:rsidR="0022634E" w:rsidRDefault="0022634E" w:rsidP="000C7C7F">
      <w:pPr>
        <w:spacing w:after="180"/>
        <w:ind w:firstLine="360"/>
      </w:pPr>
      <w:r w:rsidRPr="00377DF3">
        <w:t xml:space="preserve">We are aware that sampling plans </w:t>
      </w:r>
      <w:r>
        <w:t xml:space="preserve">that do not include discontinued projects </w:t>
      </w:r>
      <w:r w:rsidRPr="00377DF3">
        <w:t xml:space="preserve">may undermine the strength of inferences about factors associated with </w:t>
      </w:r>
      <w:r>
        <w:t>project</w:t>
      </w:r>
      <w:r w:rsidRPr="00377DF3">
        <w:t xml:space="preserve"> success because the presence or absence of those factors is never investigated</w:t>
      </w:r>
      <w:r>
        <w:t xml:space="preserve"> in this excluded subset</w:t>
      </w:r>
      <w:r w:rsidRPr="00377DF3">
        <w:t xml:space="preserve">. In fact, this shortcoming plagued the early literature on effective schools. </w:t>
      </w:r>
      <w:r>
        <w:t>However, gathering extensive information in telephone interviews will likely mitigate this potential weakness. Furthermore, b</w:t>
      </w:r>
      <w:r w:rsidRPr="00377DF3">
        <w:t xml:space="preserve">y focusing on those grantees that </w:t>
      </w:r>
      <w:r>
        <w:t xml:space="preserve">have </w:t>
      </w:r>
      <w:r w:rsidRPr="00377DF3">
        <w:t>enacted their plans, the first round of case studies will be able to document the long-term implementation challenges—an area not well understood in the</w:t>
      </w:r>
      <w:r>
        <w:t xml:space="preserve"> current</w:t>
      </w:r>
      <w:r w:rsidRPr="00377DF3">
        <w:t xml:space="preserve"> research literature</w:t>
      </w:r>
      <w:r>
        <w:t xml:space="preserve"> on performance pay</w:t>
      </w:r>
      <w:r w:rsidRPr="00377DF3">
        <w:t>.</w:t>
      </w:r>
    </w:p>
    <w:p w:rsidR="0022634E" w:rsidRPr="00B908EF" w:rsidRDefault="0022634E" w:rsidP="00B908EF">
      <w:pPr>
        <w:pStyle w:val="NormalWeb"/>
        <w:spacing w:before="0" w:beforeAutospacing="0" w:after="200" w:afterAutospacing="0"/>
        <w:ind w:left="360"/>
        <w:rPr>
          <w:b/>
        </w:rPr>
      </w:pPr>
      <w:r w:rsidRPr="00B908EF">
        <w:rPr>
          <w:b/>
        </w:rPr>
        <w:t>Site Visit 2</w:t>
      </w:r>
    </w:p>
    <w:p w:rsidR="0022634E" w:rsidRDefault="0022634E" w:rsidP="000C7C7F">
      <w:pPr>
        <w:spacing w:after="180"/>
        <w:ind w:firstLine="360"/>
      </w:pPr>
      <w:r w:rsidRPr="00252B49">
        <w:t xml:space="preserve">The sampling approach we recommend for the second site visit (in 2011) would stratify by project outcome in addition to the strata described for Site Visit 1. This would require conducting the </w:t>
      </w:r>
      <w:r>
        <w:t xml:space="preserve">optional </w:t>
      </w:r>
      <w:r w:rsidRPr="00252B49">
        <w:t>outcome analysis prior to the second round of case studies in order to sample based on grantees’ observed outcomes. (Note: The outcome analysis is described in the introduction to Supporting Statement A). This</w:t>
      </w:r>
      <w:r w:rsidRPr="008E2C8C">
        <w:t xml:space="preserve"> approach would ensure that the evaluation would gather in-depth data on the grantee plans, practices, and contextual factors that lead to a range of student and teacher outcomes. Thus, as part of our commitment to advancing the research base on performance pay, the second round of case studies will focus on explaining outcomes—another neglected area of the research literature. We propose to select a stratified random sample of three high-performing projects and one low-performing project (with performance based on findings from the outcomes study) from each of the three types of grantee programs. </w:t>
      </w:r>
      <w:r>
        <w:t>Exhibit B4</w:t>
      </w:r>
      <w:r w:rsidRPr="008E2C8C">
        <w:t xml:space="preserve"> illustrates one scenario under this approach.</w:t>
      </w:r>
      <w:r>
        <w:t xml:space="preserve"> </w:t>
      </w:r>
    </w:p>
    <w:p w:rsidR="0022634E" w:rsidRPr="00F94263" w:rsidRDefault="0022634E" w:rsidP="000E64B4">
      <w:pPr>
        <w:pStyle w:val="ExhibitNumber"/>
        <w:spacing w:after="120"/>
        <w:outlineLvl w:val="9"/>
      </w:pPr>
      <w:bookmarkStart w:id="13" w:name="_Toc208492631"/>
      <w:r w:rsidRPr="00F94263">
        <w:t xml:space="preserve">Exhibit </w:t>
      </w:r>
      <w:bookmarkEnd w:id="13"/>
      <w:r w:rsidRPr="00F94263">
        <w:t>B</w:t>
      </w:r>
      <w:r>
        <w:t>4</w:t>
      </w:r>
      <w:r w:rsidRPr="00F94263">
        <w:t>. Stratified Random Sample for Site Visit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67"/>
        <w:gridCol w:w="2367"/>
        <w:gridCol w:w="2367"/>
        <w:gridCol w:w="2367"/>
      </w:tblGrid>
      <w:tr w:rsidR="0022634E" w:rsidRPr="00377DF3" w:rsidTr="002D5C94">
        <w:tc>
          <w:tcPr>
            <w:tcW w:w="2367" w:type="dxa"/>
          </w:tcPr>
          <w:p w:rsidR="0022634E" w:rsidRPr="002D5C94" w:rsidRDefault="0022634E" w:rsidP="000E64B4">
            <w:pPr>
              <w:rPr>
                <w:rFonts w:ascii="Arial" w:hAnsi="Arial" w:cs="Arial"/>
                <w:sz w:val="20"/>
              </w:rPr>
            </w:pPr>
          </w:p>
        </w:tc>
        <w:tc>
          <w:tcPr>
            <w:tcW w:w="2367" w:type="dxa"/>
          </w:tcPr>
          <w:p w:rsidR="0022634E" w:rsidRPr="002D5C94" w:rsidRDefault="0022634E" w:rsidP="002D5C94">
            <w:pPr>
              <w:jc w:val="center"/>
              <w:rPr>
                <w:rFonts w:ascii="Arial" w:hAnsi="Arial" w:cs="Arial"/>
                <w:b/>
                <w:bCs/>
                <w:sz w:val="20"/>
              </w:rPr>
            </w:pPr>
            <w:r w:rsidRPr="002D5C94">
              <w:rPr>
                <w:rFonts w:ascii="Arial" w:hAnsi="Arial" w:cs="Arial"/>
                <w:b/>
                <w:bCs/>
                <w:sz w:val="20"/>
              </w:rPr>
              <w:t>Performance Pay</w:t>
            </w:r>
          </w:p>
        </w:tc>
        <w:tc>
          <w:tcPr>
            <w:tcW w:w="2367" w:type="dxa"/>
          </w:tcPr>
          <w:p w:rsidR="0022634E" w:rsidRPr="002D5C94" w:rsidRDefault="0022634E" w:rsidP="002D5C94">
            <w:pPr>
              <w:jc w:val="center"/>
              <w:rPr>
                <w:rFonts w:ascii="Arial" w:hAnsi="Arial" w:cs="Arial"/>
                <w:b/>
                <w:bCs/>
                <w:sz w:val="20"/>
              </w:rPr>
            </w:pPr>
            <w:r w:rsidRPr="002D5C94">
              <w:rPr>
                <w:rFonts w:ascii="Arial" w:hAnsi="Arial" w:cs="Arial"/>
                <w:b/>
                <w:bCs/>
                <w:sz w:val="20"/>
              </w:rPr>
              <w:t>Differentiated</w:t>
            </w:r>
          </w:p>
        </w:tc>
        <w:tc>
          <w:tcPr>
            <w:tcW w:w="2367" w:type="dxa"/>
          </w:tcPr>
          <w:p w:rsidR="0022634E" w:rsidRPr="002D5C94" w:rsidRDefault="0022634E" w:rsidP="002D5C94">
            <w:pPr>
              <w:jc w:val="center"/>
              <w:rPr>
                <w:rFonts w:ascii="Arial" w:hAnsi="Arial" w:cs="Arial"/>
                <w:b/>
                <w:bCs/>
                <w:sz w:val="20"/>
              </w:rPr>
            </w:pPr>
            <w:r w:rsidRPr="002D5C94">
              <w:rPr>
                <w:rFonts w:ascii="Arial" w:hAnsi="Arial" w:cs="Arial"/>
                <w:b/>
                <w:bCs/>
                <w:sz w:val="20"/>
              </w:rPr>
              <w:t>Comprehensive</w:t>
            </w:r>
          </w:p>
        </w:tc>
      </w:tr>
      <w:tr w:rsidR="0022634E" w:rsidRPr="00377DF3" w:rsidTr="002D5C94">
        <w:tc>
          <w:tcPr>
            <w:tcW w:w="2367" w:type="dxa"/>
          </w:tcPr>
          <w:p w:rsidR="0022634E" w:rsidRPr="002D5C94" w:rsidRDefault="0022634E" w:rsidP="000E64B4">
            <w:pPr>
              <w:rPr>
                <w:rFonts w:ascii="Arial" w:hAnsi="Arial" w:cs="Arial"/>
                <w:b/>
                <w:bCs/>
                <w:sz w:val="20"/>
              </w:rPr>
            </w:pPr>
            <w:r w:rsidRPr="002D5C94">
              <w:rPr>
                <w:rFonts w:ascii="Arial" w:hAnsi="Arial" w:cs="Arial"/>
                <w:b/>
                <w:bCs/>
                <w:sz w:val="20"/>
              </w:rPr>
              <w:t>High Performing</w:t>
            </w:r>
          </w:p>
        </w:tc>
        <w:tc>
          <w:tcPr>
            <w:tcW w:w="2367" w:type="dxa"/>
          </w:tcPr>
          <w:p w:rsidR="0022634E" w:rsidRPr="002D5C94" w:rsidRDefault="0022634E" w:rsidP="002D5C94">
            <w:pPr>
              <w:jc w:val="center"/>
              <w:rPr>
                <w:rFonts w:ascii="Arial" w:hAnsi="Arial" w:cs="Arial"/>
                <w:sz w:val="20"/>
              </w:rPr>
            </w:pPr>
            <w:r w:rsidRPr="002D5C94">
              <w:rPr>
                <w:rFonts w:ascii="Arial" w:hAnsi="Arial" w:cs="Arial"/>
                <w:sz w:val="20"/>
              </w:rPr>
              <w:t>3 grantees</w:t>
            </w:r>
          </w:p>
        </w:tc>
        <w:tc>
          <w:tcPr>
            <w:tcW w:w="2367" w:type="dxa"/>
          </w:tcPr>
          <w:p w:rsidR="0022634E" w:rsidRPr="002D5C94" w:rsidRDefault="0022634E" w:rsidP="002D5C94">
            <w:pPr>
              <w:jc w:val="center"/>
              <w:rPr>
                <w:rFonts w:ascii="Arial" w:hAnsi="Arial" w:cs="Arial"/>
                <w:sz w:val="20"/>
              </w:rPr>
            </w:pPr>
            <w:r w:rsidRPr="002D5C94">
              <w:rPr>
                <w:rFonts w:ascii="Arial" w:hAnsi="Arial" w:cs="Arial"/>
                <w:sz w:val="20"/>
              </w:rPr>
              <w:t>3 grantees</w:t>
            </w:r>
          </w:p>
        </w:tc>
        <w:tc>
          <w:tcPr>
            <w:tcW w:w="2367" w:type="dxa"/>
          </w:tcPr>
          <w:p w:rsidR="0022634E" w:rsidRPr="002D5C94" w:rsidRDefault="0022634E" w:rsidP="002D5C94">
            <w:pPr>
              <w:jc w:val="center"/>
              <w:rPr>
                <w:rFonts w:ascii="Arial" w:hAnsi="Arial" w:cs="Arial"/>
                <w:sz w:val="20"/>
              </w:rPr>
            </w:pPr>
            <w:r w:rsidRPr="002D5C94">
              <w:rPr>
                <w:rFonts w:ascii="Arial" w:hAnsi="Arial" w:cs="Arial"/>
                <w:sz w:val="20"/>
              </w:rPr>
              <w:t>3 grantees</w:t>
            </w:r>
          </w:p>
        </w:tc>
      </w:tr>
      <w:tr w:rsidR="0022634E" w:rsidRPr="00377DF3" w:rsidTr="000C7C7F">
        <w:tc>
          <w:tcPr>
            <w:tcW w:w="2367" w:type="dxa"/>
          </w:tcPr>
          <w:p w:rsidR="0022634E" w:rsidRPr="002D5C94" w:rsidRDefault="0022634E" w:rsidP="000E64B4">
            <w:pPr>
              <w:rPr>
                <w:rFonts w:ascii="Arial" w:hAnsi="Arial" w:cs="Arial"/>
                <w:b/>
                <w:bCs/>
                <w:sz w:val="20"/>
              </w:rPr>
            </w:pPr>
            <w:r w:rsidRPr="002D5C94">
              <w:rPr>
                <w:rFonts w:ascii="Arial" w:hAnsi="Arial" w:cs="Arial"/>
                <w:b/>
                <w:bCs/>
                <w:sz w:val="20"/>
              </w:rPr>
              <w:t>Low Performing</w:t>
            </w:r>
          </w:p>
        </w:tc>
        <w:tc>
          <w:tcPr>
            <w:tcW w:w="2367" w:type="dxa"/>
          </w:tcPr>
          <w:p w:rsidR="0022634E" w:rsidRPr="002D5C94" w:rsidRDefault="0022634E" w:rsidP="002D5C94">
            <w:pPr>
              <w:jc w:val="center"/>
              <w:rPr>
                <w:rFonts w:ascii="Arial" w:hAnsi="Arial" w:cs="Arial"/>
                <w:sz w:val="20"/>
              </w:rPr>
            </w:pPr>
            <w:r w:rsidRPr="002D5C94">
              <w:rPr>
                <w:rFonts w:ascii="Arial" w:hAnsi="Arial" w:cs="Arial"/>
                <w:sz w:val="20"/>
              </w:rPr>
              <w:t>1 grantee</w:t>
            </w:r>
          </w:p>
        </w:tc>
        <w:tc>
          <w:tcPr>
            <w:tcW w:w="2367" w:type="dxa"/>
          </w:tcPr>
          <w:p w:rsidR="0022634E" w:rsidRPr="002D5C94" w:rsidRDefault="0022634E" w:rsidP="002D5C94">
            <w:pPr>
              <w:jc w:val="center"/>
              <w:rPr>
                <w:rFonts w:ascii="Arial" w:hAnsi="Arial" w:cs="Arial"/>
                <w:sz w:val="20"/>
              </w:rPr>
            </w:pPr>
            <w:r w:rsidRPr="002D5C94">
              <w:rPr>
                <w:rFonts w:ascii="Arial" w:hAnsi="Arial" w:cs="Arial"/>
                <w:sz w:val="20"/>
              </w:rPr>
              <w:t>1 grantee</w:t>
            </w:r>
          </w:p>
        </w:tc>
        <w:tc>
          <w:tcPr>
            <w:tcW w:w="2367" w:type="dxa"/>
          </w:tcPr>
          <w:p w:rsidR="0022634E" w:rsidRPr="002D5C94" w:rsidRDefault="0022634E" w:rsidP="002D5C94">
            <w:pPr>
              <w:jc w:val="center"/>
              <w:rPr>
                <w:rFonts w:ascii="Arial" w:hAnsi="Arial" w:cs="Arial"/>
                <w:sz w:val="20"/>
              </w:rPr>
            </w:pPr>
            <w:r w:rsidRPr="002D5C94">
              <w:rPr>
                <w:rFonts w:ascii="Arial" w:hAnsi="Arial" w:cs="Arial"/>
                <w:sz w:val="20"/>
              </w:rPr>
              <w:t>1 grantee</w:t>
            </w:r>
          </w:p>
        </w:tc>
      </w:tr>
      <w:tr w:rsidR="0022634E" w:rsidRPr="00377DF3" w:rsidTr="000C7C7F">
        <w:tc>
          <w:tcPr>
            <w:tcW w:w="2367" w:type="dxa"/>
            <w:tcBorders>
              <w:left w:val="nil"/>
              <w:bottom w:val="nil"/>
              <w:right w:val="nil"/>
            </w:tcBorders>
          </w:tcPr>
          <w:p w:rsidR="0022634E" w:rsidRPr="002D5C94" w:rsidRDefault="0022634E" w:rsidP="000E64B4">
            <w:pPr>
              <w:rPr>
                <w:rFonts w:ascii="Arial" w:hAnsi="Arial" w:cs="Arial"/>
                <w:b/>
                <w:bCs/>
                <w:sz w:val="20"/>
              </w:rPr>
            </w:pPr>
          </w:p>
        </w:tc>
        <w:tc>
          <w:tcPr>
            <w:tcW w:w="2367" w:type="dxa"/>
            <w:tcBorders>
              <w:left w:val="nil"/>
              <w:bottom w:val="nil"/>
              <w:right w:val="nil"/>
            </w:tcBorders>
          </w:tcPr>
          <w:p w:rsidR="0022634E" w:rsidRPr="002D5C94" w:rsidRDefault="0022634E" w:rsidP="002D5C94">
            <w:pPr>
              <w:jc w:val="center"/>
              <w:rPr>
                <w:rFonts w:ascii="Arial" w:hAnsi="Arial" w:cs="Arial"/>
                <w:sz w:val="20"/>
              </w:rPr>
            </w:pPr>
          </w:p>
        </w:tc>
        <w:tc>
          <w:tcPr>
            <w:tcW w:w="2367" w:type="dxa"/>
            <w:tcBorders>
              <w:left w:val="nil"/>
              <w:bottom w:val="nil"/>
              <w:right w:val="nil"/>
            </w:tcBorders>
          </w:tcPr>
          <w:p w:rsidR="0022634E" w:rsidRPr="002D5C94" w:rsidRDefault="0022634E" w:rsidP="002D5C94">
            <w:pPr>
              <w:jc w:val="center"/>
              <w:rPr>
                <w:rFonts w:ascii="Arial" w:hAnsi="Arial" w:cs="Arial"/>
                <w:sz w:val="20"/>
              </w:rPr>
            </w:pPr>
          </w:p>
        </w:tc>
        <w:tc>
          <w:tcPr>
            <w:tcW w:w="2367" w:type="dxa"/>
            <w:tcBorders>
              <w:left w:val="nil"/>
              <w:bottom w:val="nil"/>
              <w:right w:val="nil"/>
            </w:tcBorders>
          </w:tcPr>
          <w:p w:rsidR="0022634E" w:rsidRPr="002D5C94" w:rsidRDefault="0022634E" w:rsidP="002D5C94">
            <w:pPr>
              <w:jc w:val="center"/>
              <w:rPr>
                <w:rFonts w:ascii="Arial" w:hAnsi="Arial" w:cs="Arial"/>
                <w:sz w:val="20"/>
              </w:rPr>
            </w:pPr>
          </w:p>
        </w:tc>
      </w:tr>
    </w:tbl>
    <w:p w:rsidR="0022634E" w:rsidRPr="00252B49" w:rsidRDefault="0022634E" w:rsidP="000C7C7F">
      <w:pPr>
        <w:spacing w:after="180"/>
        <w:ind w:firstLine="360"/>
      </w:pPr>
      <w:r>
        <w:t>T</w:t>
      </w:r>
      <w:r w:rsidRPr="00377DF3">
        <w:t>his strategy</w:t>
      </w:r>
      <w:r>
        <w:t xml:space="preserve"> will</w:t>
      </w:r>
      <w:r w:rsidRPr="00377DF3">
        <w:t xml:space="preserve"> provide comprehensive data on implementation </w:t>
      </w:r>
      <w:r>
        <w:t xml:space="preserve">consistency with authorizing legislation and project plans; </w:t>
      </w:r>
      <w:r w:rsidRPr="00377DF3">
        <w:t>long-term implementation challenges</w:t>
      </w:r>
      <w:r>
        <w:t>;</w:t>
      </w:r>
      <w:r w:rsidRPr="00377DF3">
        <w:t xml:space="preserve"> and the </w:t>
      </w:r>
      <w:r w:rsidRPr="00252B49">
        <w:t xml:space="preserve">principal, student, and teacher outcomes associated with performance pay. </w:t>
      </w:r>
    </w:p>
    <w:p w:rsidR="0022634E" w:rsidRDefault="0022634E" w:rsidP="000C7C7F">
      <w:pPr>
        <w:spacing w:after="180"/>
        <w:ind w:firstLine="360"/>
      </w:pPr>
      <w:r w:rsidRPr="00252B49">
        <w:t>At this point the total number of grantees to be included in the site visits is not yet known. It is possible that the same 12 sites are included in both Site Visit 1 and Site Visit 2 or it may be that there is no overlap yielding 24 different grantees over the two sets of site visits.</w:t>
      </w:r>
    </w:p>
    <w:p w:rsidR="0022634E" w:rsidRDefault="0022634E" w:rsidP="00596A24">
      <w:pPr>
        <w:pStyle w:val="Heading3"/>
        <w:spacing w:before="120" w:after="120"/>
        <w:ind w:left="623" w:hanging="623"/>
        <w:jc w:val="left"/>
        <w:rPr>
          <w:bCs/>
          <w:sz w:val="24"/>
          <w:szCs w:val="24"/>
        </w:rPr>
      </w:pPr>
      <w:bookmarkStart w:id="14" w:name="_Toc255792968"/>
      <w:r>
        <w:rPr>
          <w:bCs/>
          <w:sz w:val="24"/>
          <w:szCs w:val="24"/>
        </w:rPr>
        <w:t>2. Data Collection</w:t>
      </w:r>
      <w:bookmarkEnd w:id="14"/>
    </w:p>
    <w:p w:rsidR="0022634E" w:rsidRPr="00B908EF" w:rsidRDefault="0022634E" w:rsidP="00B908EF">
      <w:pPr>
        <w:pStyle w:val="NormalWeb"/>
        <w:spacing w:before="0" w:beforeAutospacing="0" w:after="200" w:afterAutospacing="0"/>
        <w:rPr>
          <w:b/>
        </w:rPr>
      </w:pPr>
      <w:r w:rsidRPr="00B908EF">
        <w:rPr>
          <w:b/>
        </w:rPr>
        <w:t>Surveys of Principals and Teachers</w:t>
      </w:r>
    </w:p>
    <w:p w:rsidR="0022634E" w:rsidRPr="00D11594" w:rsidRDefault="0022634E" w:rsidP="000C7C7F">
      <w:pPr>
        <w:spacing w:after="180"/>
        <w:ind w:firstLine="360"/>
        <w:rPr>
          <w:szCs w:val="24"/>
        </w:rPr>
      </w:pPr>
      <w:r w:rsidRPr="00D11594">
        <w:rPr>
          <w:szCs w:val="24"/>
        </w:rPr>
        <w:t xml:space="preserve">Surveys of principals and teachers will be conducted in winter 2011. The surveys will be </w:t>
      </w:r>
      <w:r w:rsidRPr="000C7C7F">
        <w:t>available</w:t>
      </w:r>
      <w:r w:rsidRPr="00D11594">
        <w:rPr>
          <w:szCs w:val="24"/>
        </w:rPr>
        <w:t xml:space="preserve"> both in a paper version and online. The paper version will be distributed to respondents at their schools by a site-liaison (described below).</w:t>
      </w:r>
      <w:r>
        <w:rPr>
          <w:szCs w:val="24"/>
        </w:rPr>
        <w:t xml:space="preserve"> </w:t>
      </w:r>
      <w:r w:rsidRPr="00D11594">
        <w:rPr>
          <w:szCs w:val="24"/>
        </w:rPr>
        <w:t>The introductory language of the paper survey respondents will be directed to a link if they prefer to take the survey online and provided a unique ID to enter.</w:t>
      </w:r>
      <w:r>
        <w:rPr>
          <w:szCs w:val="24"/>
        </w:rPr>
        <w:t xml:space="preserve"> </w:t>
      </w:r>
    </w:p>
    <w:p w:rsidR="0022634E" w:rsidRPr="00D11594" w:rsidRDefault="0022634E" w:rsidP="000C7C7F">
      <w:pPr>
        <w:spacing w:after="180"/>
        <w:ind w:firstLine="360"/>
        <w:rPr>
          <w:szCs w:val="24"/>
        </w:rPr>
      </w:pPr>
      <w:r w:rsidRPr="00D11594">
        <w:rPr>
          <w:szCs w:val="24"/>
        </w:rPr>
        <w:t xml:space="preserve">To gather contact information for principals and teachers, both for survey administration and for drawing the teacher sample, our initial strategy shall be to rely on grantee sites to provide staff </w:t>
      </w:r>
      <w:r w:rsidRPr="000C7C7F">
        <w:t>rosters</w:t>
      </w:r>
      <w:r w:rsidRPr="00D11594">
        <w:rPr>
          <w:szCs w:val="24"/>
        </w:rPr>
        <w:t xml:space="preserve"> for participating schools. For survey administration, we will need school addresses, school phone numbers, and individual e-mail addresses if available (to allow for e-mailing a link to complete the survey online). Working with the grantee sites to collect staff rosters is more cost-effective than going to each participating school separately.</w:t>
      </w:r>
    </w:p>
    <w:p w:rsidR="0022634E" w:rsidRPr="00D11594" w:rsidRDefault="0022634E" w:rsidP="000C7C7F">
      <w:pPr>
        <w:spacing w:after="180"/>
        <w:ind w:firstLine="360"/>
        <w:rPr>
          <w:szCs w:val="24"/>
        </w:rPr>
      </w:pPr>
      <w:r w:rsidRPr="00D11594">
        <w:rPr>
          <w:szCs w:val="24"/>
        </w:rPr>
        <w:t xml:space="preserve">To </w:t>
      </w:r>
      <w:r w:rsidRPr="000C7C7F">
        <w:t>facilitate</w:t>
      </w:r>
      <w:r w:rsidRPr="00D11594">
        <w:rPr>
          <w:szCs w:val="24"/>
        </w:rPr>
        <w:t xml:space="preserve"> completion of the teacher surveys, researchers will contact principals (or assistant principals) at each school in the sample to ask them to designate a liaison to assist with teacher survey administration. The liaison will be someone with a good working relationship with the teachers and who will be able to easily and ethically communicate with survey respondents on behalf of the evaluation team.</w:t>
      </w:r>
      <w:r>
        <w:rPr>
          <w:szCs w:val="24"/>
        </w:rPr>
        <w:t xml:space="preserve"> </w:t>
      </w:r>
      <w:r w:rsidRPr="00D11594">
        <w:rPr>
          <w:szCs w:val="24"/>
        </w:rPr>
        <w:t xml:space="preserve">Liaisons will be oriented to the project by researchers from the study team and instructed in the distribution and collection of surveys. </w:t>
      </w:r>
    </w:p>
    <w:p w:rsidR="0022634E" w:rsidRPr="00D11594" w:rsidRDefault="0022634E" w:rsidP="000C7C7F">
      <w:pPr>
        <w:spacing w:after="180"/>
        <w:ind w:firstLine="360"/>
        <w:rPr>
          <w:szCs w:val="24"/>
        </w:rPr>
      </w:pPr>
      <w:r w:rsidRPr="00D11594">
        <w:rPr>
          <w:szCs w:val="24"/>
        </w:rPr>
        <w:t xml:space="preserve">The surveys for each school will be packaged and sent directly to the liaison with a master list and tools to track the survey returns for their school. Each of the surveys will be stuffed in an envelope printed with tracking information. Liaisons will distribute the surveys to the appropriate teachers and instruct them to complete the survey, place it back in the envelope, and seal it </w:t>
      </w:r>
      <w:r w:rsidRPr="000C7C7F">
        <w:t>with</w:t>
      </w:r>
      <w:r w:rsidRPr="00D11594">
        <w:rPr>
          <w:szCs w:val="24"/>
        </w:rPr>
        <w:t xml:space="preserve"> a sticker that is included with each survey. Liaisons will collect the completed surveys and conduct follow-up with their teachers. The surveys will be returned by the liaison in a package rather than by individual teachers.</w:t>
      </w:r>
      <w:r>
        <w:rPr>
          <w:szCs w:val="24"/>
        </w:rPr>
        <w:t xml:space="preserve"> </w:t>
      </w:r>
    </w:p>
    <w:p w:rsidR="0022634E" w:rsidRPr="00D11594" w:rsidRDefault="0022634E" w:rsidP="000C7C7F">
      <w:pPr>
        <w:spacing w:after="180"/>
        <w:ind w:firstLine="360"/>
        <w:rPr>
          <w:szCs w:val="24"/>
        </w:rPr>
      </w:pPr>
      <w:r w:rsidRPr="00D11594">
        <w:rPr>
          <w:szCs w:val="24"/>
        </w:rPr>
        <w:t>In addition to distributing and collecting surveys, a primary role of the liaison is follow-up assistance with nonrespondents. This could include in- person contact, mailbox notes, and phone calls.</w:t>
      </w:r>
      <w:r>
        <w:rPr>
          <w:szCs w:val="24"/>
        </w:rPr>
        <w:t xml:space="preserve"> </w:t>
      </w:r>
      <w:r w:rsidRPr="00D11594">
        <w:rPr>
          <w:szCs w:val="24"/>
        </w:rPr>
        <w:t>Each liaison will receive a pre-paid stipend, in the form of a gift card, at a rate of $5 per teacher survey for which they are responsible. Given a smaller principal sample, we will not rely on the liaisons for this follow-up. Researchers will conduct follow-up calls directly with principals to generating a high response rate for this population.</w:t>
      </w:r>
      <w:r>
        <w:rPr>
          <w:szCs w:val="24"/>
        </w:rPr>
        <w:t xml:space="preserve"> As mentioned in Supporting Statement A, because the school liaisons are hired by the contractor to act as assistants with distribution and pick-up of the surveys, and follow-up assistance, they are not considered respondents. Therefore, the time spent in these administrative activities is not considered as burden in this collection. </w:t>
      </w:r>
    </w:p>
    <w:p w:rsidR="0022634E" w:rsidRPr="004848B2" w:rsidRDefault="0022634E" w:rsidP="000C7C7F">
      <w:pPr>
        <w:spacing w:after="180"/>
        <w:ind w:firstLine="360"/>
        <w:rPr>
          <w:szCs w:val="24"/>
        </w:rPr>
      </w:pPr>
      <w:r w:rsidRPr="000C7C7F">
        <w:t>Researchers</w:t>
      </w:r>
      <w:r w:rsidRPr="00D11594">
        <w:rPr>
          <w:szCs w:val="24"/>
        </w:rPr>
        <w:t xml:space="preserve"> will develop a database for tracking completed surveys and use it to guide follow-up efforts with nonrespondents. The database will include information regarding the data surveys were received as well as whether it was taken online or submitted on paper.</w:t>
      </w:r>
      <w:r>
        <w:rPr>
          <w:szCs w:val="24"/>
        </w:rPr>
        <w:t xml:space="preserve"> </w:t>
      </w:r>
    </w:p>
    <w:p w:rsidR="0022634E" w:rsidRPr="00B908EF" w:rsidRDefault="0022634E" w:rsidP="00B908EF">
      <w:pPr>
        <w:pStyle w:val="NormalWeb"/>
        <w:spacing w:before="0" w:beforeAutospacing="0" w:after="200" w:afterAutospacing="0"/>
        <w:rPr>
          <w:b/>
        </w:rPr>
      </w:pPr>
      <w:r w:rsidRPr="00B908EF">
        <w:rPr>
          <w:b/>
        </w:rPr>
        <w:t>Site Visits</w:t>
      </w:r>
    </w:p>
    <w:p w:rsidR="0022634E" w:rsidRDefault="0022634E" w:rsidP="000C7C7F">
      <w:pPr>
        <w:spacing w:after="180"/>
        <w:ind w:firstLine="360"/>
      </w:pPr>
      <w:r>
        <w:t xml:space="preserve">The sampling issues related to the site visit data collection activities are covered in the previous </w:t>
      </w:r>
      <w:r w:rsidRPr="000C7C7F">
        <w:rPr>
          <w:szCs w:val="24"/>
        </w:rPr>
        <w:t>section</w:t>
      </w:r>
      <w:r>
        <w:t xml:space="preserve"> and described in the data collection tasks and deliverables described in Exhibit </w:t>
      </w:r>
      <w:r w:rsidRPr="00BE08F3">
        <w:t xml:space="preserve">A4. </w:t>
      </w:r>
    </w:p>
    <w:p w:rsidR="0022634E" w:rsidRDefault="0022634E" w:rsidP="00706F29">
      <w:pPr>
        <w:pStyle w:val="Heading3"/>
        <w:spacing w:before="120" w:after="120"/>
        <w:ind w:left="623" w:hanging="623"/>
        <w:jc w:val="left"/>
        <w:rPr>
          <w:bCs/>
          <w:sz w:val="24"/>
          <w:szCs w:val="24"/>
        </w:rPr>
      </w:pPr>
      <w:bookmarkStart w:id="15" w:name="_Toc255792969"/>
      <w:r>
        <w:rPr>
          <w:bCs/>
          <w:sz w:val="24"/>
          <w:szCs w:val="24"/>
        </w:rPr>
        <w:t>3. Methods to Maximize Response Rates</w:t>
      </w:r>
      <w:bookmarkEnd w:id="15"/>
    </w:p>
    <w:p w:rsidR="0022634E" w:rsidRPr="00252B49" w:rsidRDefault="0022634E" w:rsidP="000C7C7F">
      <w:pPr>
        <w:spacing w:after="180"/>
        <w:ind w:firstLine="360"/>
      </w:pPr>
      <w:r w:rsidRPr="00252B49">
        <w:t xml:space="preserve">Given the support and endorsement of this evaluation by </w:t>
      </w:r>
      <w:r>
        <w:t>the TIF program office</w:t>
      </w:r>
      <w:r w:rsidRPr="00252B49">
        <w:t xml:space="preserve"> and the grantee’s knowledge of and expected participation in this evaluation, we anticipate cooperation and participation by </w:t>
      </w:r>
      <w:r>
        <w:t>all</w:t>
      </w:r>
      <w:r w:rsidRPr="00252B49">
        <w:t xml:space="preserve"> grantees. Grantees were made aware of this evaluation in the original </w:t>
      </w:r>
      <w:r w:rsidRPr="000C7C7F">
        <w:rPr>
          <w:szCs w:val="24"/>
        </w:rPr>
        <w:t>application</w:t>
      </w:r>
      <w:r w:rsidRPr="00252B49">
        <w:t>, points were awarded for agreeing to participate</w:t>
      </w:r>
      <w:r>
        <w:t>, and in fact all proposed participating in the evaluation</w:t>
      </w:r>
      <w:r w:rsidRPr="00252B49">
        <w:t xml:space="preserve">. In addition, members of local TIF grantee project teams were introduced to the study (and its leaders) at the annual grantee meeting hosted by CECR in the summer of 2009. The TIF program office will also provide support for the study and convey its importance to grantees through their regular communication with grantees. Initial communication for </w:t>
      </w:r>
      <w:r>
        <w:t>all data collection</w:t>
      </w:r>
      <w:r w:rsidRPr="00252B49">
        <w:t xml:space="preserve"> will be made with the </w:t>
      </w:r>
      <w:r>
        <w:t>TIF project directors at each grantee.</w:t>
      </w:r>
    </w:p>
    <w:p w:rsidR="0022634E" w:rsidRPr="006D5CB0" w:rsidRDefault="0022634E" w:rsidP="00B5390B">
      <w:pPr>
        <w:rPr>
          <w:b/>
        </w:rPr>
      </w:pPr>
      <w:r w:rsidRPr="006D5CB0">
        <w:rPr>
          <w:b/>
        </w:rPr>
        <w:t>Surveys of Principals and Teachers</w:t>
      </w:r>
    </w:p>
    <w:p w:rsidR="0022634E" w:rsidRPr="006D5CB0" w:rsidRDefault="0022634E" w:rsidP="000C7C7F">
      <w:pPr>
        <w:spacing w:after="180"/>
        <w:ind w:firstLine="360"/>
      </w:pPr>
      <w:r w:rsidRPr="006D5CB0">
        <w:t xml:space="preserve">A number of steps have been built into the survey data collection process to maximize response rates for the surveys of principals and teachers. The methods specifically designed to support our telephone interviews and site visits were discussed in the previously approved submission. </w:t>
      </w:r>
    </w:p>
    <w:p w:rsidR="0022634E" w:rsidRPr="006D5CB0" w:rsidRDefault="0022634E" w:rsidP="000C7C7F">
      <w:pPr>
        <w:pStyle w:val="Text"/>
        <w:numPr>
          <w:ilvl w:val="0"/>
          <w:numId w:val="11"/>
        </w:numPr>
        <w:spacing w:line="240" w:lineRule="auto"/>
        <w:ind w:left="720"/>
        <w:rPr>
          <w:szCs w:val="24"/>
        </w:rPr>
      </w:pPr>
      <w:r w:rsidRPr="006D5CB0">
        <w:rPr>
          <w:szCs w:val="24"/>
        </w:rPr>
        <w:t>The use of a school-site liaison is a pivotal support for maximizing our response rates. For each school selected into the study, researchers will contact school administrators to identify a liaison to support data collection.</w:t>
      </w:r>
      <w:r>
        <w:rPr>
          <w:szCs w:val="24"/>
        </w:rPr>
        <w:t xml:space="preserve"> </w:t>
      </w:r>
      <w:r w:rsidRPr="006D5CB0">
        <w:rPr>
          <w:szCs w:val="24"/>
        </w:rPr>
        <w:t>The school site liaisons will assist with survey administration with a primary responsibility of follow-up with nonrespondents.</w:t>
      </w:r>
      <w:r>
        <w:rPr>
          <w:szCs w:val="24"/>
        </w:rPr>
        <w:t xml:space="preserve"> </w:t>
      </w:r>
      <w:r w:rsidRPr="006D5CB0">
        <w:rPr>
          <w:szCs w:val="24"/>
        </w:rPr>
        <w:t xml:space="preserve">Stipends will be offered to liaisons at a rate of $5 per teacher survey for which they are responsible, in the form of a gift card. These stipends will be provided before the surveys are distributed to teachers. </w:t>
      </w:r>
    </w:p>
    <w:p w:rsidR="0022634E" w:rsidRPr="006D5CB0" w:rsidRDefault="0022634E" w:rsidP="000C7C7F">
      <w:pPr>
        <w:pStyle w:val="Text"/>
        <w:numPr>
          <w:ilvl w:val="0"/>
          <w:numId w:val="11"/>
        </w:numPr>
        <w:spacing w:line="240" w:lineRule="auto"/>
        <w:ind w:left="720"/>
        <w:rPr>
          <w:szCs w:val="24"/>
        </w:rPr>
      </w:pPr>
      <w:r w:rsidRPr="006D5CB0">
        <w:rPr>
          <w:szCs w:val="24"/>
        </w:rPr>
        <w:t>An on-line version of the survey will be made available to respondents who prefer this mode of responding.</w:t>
      </w:r>
    </w:p>
    <w:p w:rsidR="0022634E" w:rsidRPr="006D5CB0" w:rsidRDefault="0022634E" w:rsidP="000C7C7F">
      <w:pPr>
        <w:pStyle w:val="Text"/>
        <w:numPr>
          <w:ilvl w:val="0"/>
          <w:numId w:val="11"/>
        </w:numPr>
        <w:spacing w:line="240" w:lineRule="auto"/>
        <w:ind w:left="720"/>
        <w:rPr>
          <w:szCs w:val="24"/>
        </w:rPr>
      </w:pPr>
      <w:r w:rsidRPr="006D5CB0">
        <w:rPr>
          <w:szCs w:val="24"/>
        </w:rPr>
        <w:t>A 1-800 number and email address will be provided on all of the materials for respondent questions with a researcher response turnaround of no more than one business day.</w:t>
      </w:r>
    </w:p>
    <w:p w:rsidR="0022634E" w:rsidRPr="006D5CB0" w:rsidRDefault="0022634E" w:rsidP="000C7C7F">
      <w:pPr>
        <w:pStyle w:val="Text"/>
        <w:numPr>
          <w:ilvl w:val="0"/>
          <w:numId w:val="11"/>
        </w:numPr>
        <w:spacing w:line="240" w:lineRule="auto"/>
        <w:ind w:left="720"/>
        <w:rPr>
          <w:szCs w:val="24"/>
        </w:rPr>
      </w:pPr>
      <w:r w:rsidRPr="006D5CB0">
        <w:rPr>
          <w:szCs w:val="24"/>
        </w:rPr>
        <w:t>A letter of support from ED will be included in the mailing to communicate the importance of the study to TIF participants and encouraging participation. We will also look to the program office at ED and the Center for Educator Compensation Reform (CECR) to reinforce the importance of survey participation in their ongoing communication with grantees.</w:t>
      </w:r>
    </w:p>
    <w:p w:rsidR="0022634E" w:rsidRPr="006D5CB0" w:rsidRDefault="0022634E" w:rsidP="000C7C7F">
      <w:pPr>
        <w:spacing w:after="180"/>
        <w:ind w:firstLine="360"/>
      </w:pPr>
      <w:r w:rsidRPr="006D5CB0">
        <w:t xml:space="preserve">Timely follow-up is also built-in to yield high response rates including: </w:t>
      </w:r>
    </w:p>
    <w:p w:rsidR="0022634E" w:rsidRPr="006D5CB0" w:rsidRDefault="0022634E" w:rsidP="000C7C7F">
      <w:pPr>
        <w:pStyle w:val="ListParagraph"/>
        <w:numPr>
          <w:ilvl w:val="0"/>
          <w:numId w:val="12"/>
        </w:numPr>
        <w:ind w:left="720"/>
        <w:rPr>
          <w:szCs w:val="24"/>
        </w:rPr>
      </w:pPr>
      <w:r w:rsidRPr="006D5CB0">
        <w:rPr>
          <w:szCs w:val="24"/>
        </w:rPr>
        <w:t xml:space="preserve">A tracking database will be used to guide follow-up efforts with nonrespondents. Liaisons will be contacted 10 days after the initial mailing with additional follow-up calls made at approximately 10 day intervals. </w:t>
      </w:r>
    </w:p>
    <w:p w:rsidR="0022634E" w:rsidRPr="006D5CB0" w:rsidRDefault="0022634E" w:rsidP="000C7C7F">
      <w:pPr>
        <w:pStyle w:val="ListParagraph"/>
        <w:numPr>
          <w:ilvl w:val="0"/>
          <w:numId w:val="12"/>
        </w:numPr>
        <w:ind w:left="720"/>
        <w:rPr>
          <w:szCs w:val="24"/>
        </w:rPr>
      </w:pPr>
      <w:r w:rsidRPr="006D5CB0">
        <w:rPr>
          <w:szCs w:val="24"/>
        </w:rPr>
        <w:t xml:space="preserve">Follow-up will include reminder postcards, phone calls by the evaluation team, phone calls and other reminders from the grantee site liaisons, and, where possible, in-person follow-up by the liaisons. </w:t>
      </w:r>
    </w:p>
    <w:p w:rsidR="0022634E" w:rsidRPr="006D5CB0" w:rsidRDefault="0022634E" w:rsidP="000C7C7F">
      <w:pPr>
        <w:pStyle w:val="ListParagraph"/>
        <w:numPr>
          <w:ilvl w:val="0"/>
          <w:numId w:val="12"/>
        </w:numPr>
        <w:ind w:left="720"/>
        <w:rPr>
          <w:szCs w:val="24"/>
        </w:rPr>
      </w:pPr>
      <w:r w:rsidRPr="006D5CB0">
        <w:rPr>
          <w:szCs w:val="24"/>
        </w:rPr>
        <w:t xml:space="preserve">If necessary researchers will conduct the surveys by phone to increase the response rate. </w:t>
      </w:r>
    </w:p>
    <w:p w:rsidR="0022634E" w:rsidRPr="00252B49" w:rsidRDefault="0022634E" w:rsidP="00F94263">
      <w:pPr>
        <w:ind w:firstLine="540"/>
      </w:pPr>
    </w:p>
    <w:p w:rsidR="0022634E" w:rsidRPr="006D5CB0" w:rsidRDefault="0022634E" w:rsidP="00B908EF">
      <w:pPr>
        <w:pStyle w:val="NormalWeb"/>
        <w:spacing w:before="0" w:beforeAutospacing="0" w:after="200" w:afterAutospacing="0"/>
        <w:rPr>
          <w:b/>
        </w:rPr>
      </w:pPr>
      <w:r>
        <w:rPr>
          <w:b/>
        </w:rPr>
        <w:t>Site Visits</w:t>
      </w:r>
    </w:p>
    <w:p w:rsidR="0022634E" w:rsidRPr="00252B49" w:rsidRDefault="0022634E" w:rsidP="000C7C7F">
      <w:pPr>
        <w:spacing w:after="180"/>
        <w:ind w:firstLine="360"/>
      </w:pPr>
      <w:r>
        <w:t xml:space="preserve">Project directors will help to identify </w:t>
      </w:r>
      <w:r w:rsidRPr="00252B49">
        <w:t>key informants</w:t>
      </w:r>
      <w:r>
        <w:t xml:space="preserve"> for site visits</w:t>
      </w:r>
      <w:r w:rsidRPr="00252B49">
        <w:t xml:space="preserve">. Multiple attempts will be made to reach identified respondents including phone calls, emails, and follow-up by project staff. We will work with the project directors to identify the most appropriate way to gain access to school employees and provide scheduling templates and funding for substitute coverage when necessary. In the rare cases when identified informants cannot be reached or are unavailable during the time period of </w:t>
      </w:r>
      <w:r>
        <w:t xml:space="preserve">the </w:t>
      </w:r>
      <w:r w:rsidRPr="00252B49">
        <w:t>site visits we will work with the project directors to identify alternate informants.</w:t>
      </w:r>
      <w:r>
        <w:t xml:space="preserve"> Informants will be </w:t>
      </w:r>
      <w:r w:rsidRPr="00252B49">
        <w:t>contacted by experienced and well-trained interviewers who will introduce the study by providing relevant background and rationale. In similar studies we have found that interviews such as these provide a venue for respondents to share experience</w:t>
      </w:r>
      <w:r>
        <w:t>s</w:t>
      </w:r>
      <w:r w:rsidRPr="00252B49">
        <w:t xml:space="preserve"> and contribute to the body of knowledge which motivates many respondents. In addition we have taken the following steps to maximize participation and minimize respondent burden:</w:t>
      </w:r>
    </w:p>
    <w:p w:rsidR="0022634E" w:rsidRPr="008E2C8C" w:rsidRDefault="0022634E" w:rsidP="000C7C7F">
      <w:pPr>
        <w:pStyle w:val="TextIndent"/>
        <w:widowControl w:val="0"/>
        <w:numPr>
          <w:ilvl w:val="0"/>
          <w:numId w:val="10"/>
        </w:numPr>
        <w:tabs>
          <w:tab w:val="clear" w:pos="1080"/>
          <w:tab w:val="num" w:pos="720"/>
        </w:tabs>
        <w:spacing w:before="60" w:after="60"/>
        <w:ind w:left="720"/>
      </w:pPr>
      <w:r w:rsidRPr="008E2C8C">
        <w:t xml:space="preserve">We have worded all data collection instruments as concisely as possible. To the extent possible, we will coordinate data collection activities within the evaluation team in order to ensure that these activities impose a manageable burden on respondents, while yielding data that collectively answer the evaluation questions of most interest to policy-makers and the field. </w:t>
      </w:r>
    </w:p>
    <w:p w:rsidR="0022634E" w:rsidRPr="008E2C8C" w:rsidRDefault="0022634E" w:rsidP="000C7C7F">
      <w:pPr>
        <w:pStyle w:val="TextIndent"/>
        <w:widowControl w:val="0"/>
        <w:numPr>
          <w:ilvl w:val="0"/>
          <w:numId w:val="10"/>
        </w:numPr>
        <w:tabs>
          <w:tab w:val="clear" w:pos="1080"/>
          <w:tab w:val="num" w:pos="720"/>
        </w:tabs>
        <w:spacing w:before="60" w:after="60"/>
        <w:ind w:left="720"/>
      </w:pPr>
      <w:r w:rsidRPr="008E2C8C">
        <w:t>Prior to data collection, we will send letters of introduction to project directors informing them of the study and describing all relevant data collection activities. The letters will include: (1) contact information for evaluation team staff who can answer questions about the study, (2) information about OMB clearance, and (3) contact information for the TIF program office.</w:t>
      </w:r>
    </w:p>
    <w:p w:rsidR="0022634E" w:rsidRDefault="0022634E" w:rsidP="00A351A9">
      <w:pPr>
        <w:pStyle w:val="Heading3"/>
        <w:spacing w:before="120" w:after="120"/>
        <w:jc w:val="left"/>
        <w:rPr>
          <w:bCs/>
          <w:sz w:val="24"/>
          <w:szCs w:val="24"/>
        </w:rPr>
      </w:pPr>
      <w:bookmarkStart w:id="16" w:name="_Toc255792970"/>
      <w:r w:rsidRPr="00B7788D">
        <w:rPr>
          <w:bCs/>
          <w:sz w:val="24"/>
          <w:szCs w:val="24"/>
        </w:rPr>
        <w:t>4. Protocol Development and Review</w:t>
      </w:r>
      <w:bookmarkEnd w:id="16"/>
    </w:p>
    <w:p w:rsidR="0022634E" w:rsidRDefault="0022634E" w:rsidP="00B908EF">
      <w:pPr>
        <w:pStyle w:val="NormalWeb"/>
        <w:spacing w:before="0" w:beforeAutospacing="0" w:after="200" w:afterAutospacing="0"/>
        <w:rPr>
          <w:b/>
        </w:rPr>
      </w:pPr>
      <w:r w:rsidRPr="006D5CB0">
        <w:rPr>
          <w:b/>
        </w:rPr>
        <w:t>Surveys of Principals and Teachers</w:t>
      </w:r>
    </w:p>
    <w:p w:rsidR="0022634E" w:rsidRPr="006D5CB0" w:rsidRDefault="0022634E" w:rsidP="000C7C7F">
      <w:pPr>
        <w:spacing w:after="180"/>
        <w:ind w:firstLine="360"/>
      </w:pPr>
      <w:r w:rsidRPr="006D5CB0">
        <w:t xml:space="preserve">Prior to finalizing the attached protocols, we conducted pilot interviews and solicited feedback from our TWG. During the months of November and December, SRI researchers piloted the teacher and principal surveys with </w:t>
      </w:r>
      <w:r>
        <w:t>7</w:t>
      </w:r>
      <w:r w:rsidRPr="006D5CB0">
        <w:t xml:space="preserve"> respondents from a range of sites across the country. Teachers and principals who participated were asked to complete the survey </w:t>
      </w:r>
      <w:r w:rsidRPr="000C7C7F">
        <w:rPr>
          <w:szCs w:val="24"/>
        </w:rPr>
        <w:t>independently</w:t>
      </w:r>
      <w:r w:rsidRPr="006D5CB0">
        <w:t xml:space="preserve"> and to note both the amount of time required to complete the survey and any areas of confusion.</w:t>
      </w:r>
      <w:r>
        <w:t xml:space="preserve"> </w:t>
      </w:r>
      <w:r w:rsidRPr="006D5CB0">
        <w:t>Upon completion of the survey, participants were interviewed by researchers who gathered general impressions about the survey and asked detailed questions about several survey items.</w:t>
      </w:r>
      <w:r>
        <w:t xml:space="preserve"> </w:t>
      </w:r>
      <w:r w:rsidRPr="006D5CB0">
        <w:t>The surveys were piloted with teachers and principals from both traditional public schools and charter schools.</w:t>
      </w:r>
    </w:p>
    <w:p w:rsidR="0022634E" w:rsidRPr="006D5CB0" w:rsidRDefault="0022634E" w:rsidP="000C7C7F">
      <w:pPr>
        <w:spacing w:after="180"/>
        <w:ind w:firstLine="360"/>
      </w:pPr>
      <w:r w:rsidRPr="006D5CB0">
        <w:t>Teachers and principals provided positive feedback regarding their experiences taking the survey. The survey formatting and instructions were easily understood by respondents.</w:t>
      </w:r>
      <w:r>
        <w:t xml:space="preserve"> </w:t>
      </w:r>
      <w:r w:rsidRPr="006D5CB0">
        <w:t>Respondents were able to locate their program on the cover page, understood all questions, and followed instructions for skip patterns.</w:t>
      </w:r>
      <w:r>
        <w:t xml:space="preserve"> </w:t>
      </w:r>
      <w:r w:rsidRPr="006D5CB0">
        <w:t xml:space="preserve">There were no questions that seemed out of place or overly </w:t>
      </w:r>
      <w:r w:rsidRPr="000C7C7F">
        <w:rPr>
          <w:szCs w:val="24"/>
        </w:rPr>
        <w:t>invasive</w:t>
      </w:r>
      <w:r w:rsidRPr="006D5CB0">
        <w:t xml:space="preserve"> (a potential concern for questions about pay) to teachers and principals. Further, nearly all terms and survey phrases were commonly understood by respondents.</w:t>
      </w:r>
      <w:r>
        <w:t xml:space="preserve"> </w:t>
      </w:r>
      <w:r w:rsidRPr="006D5CB0">
        <w:t>Where unclear, we have revised.</w:t>
      </w:r>
      <w:r>
        <w:t xml:space="preserve"> </w:t>
      </w:r>
    </w:p>
    <w:p w:rsidR="0022634E" w:rsidRPr="006D5CB0" w:rsidRDefault="0022634E" w:rsidP="000C7C7F">
      <w:pPr>
        <w:spacing w:after="180"/>
        <w:ind w:firstLine="360"/>
      </w:pPr>
      <w:r w:rsidRPr="006D5CB0">
        <w:t xml:space="preserve">We also asked two TWG members, Matthew G. Springer and Ellen B. Goldring, to review the </w:t>
      </w:r>
      <w:r w:rsidRPr="000C7C7F">
        <w:rPr>
          <w:szCs w:val="24"/>
        </w:rPr>
        <w:t>surveys</w:t>
      </w:r>
      <w:r w:rsidRPr="006D5CB0">
        <w:t>.</w:t>
      </w:r>
      <w:r>
        <w:t xml:space="preserve"> </w:t>
      </w:r>
      <w:r w:rsidRPr="006D5CB0">
        <w:t xml:space="preserve">In addition, SRI, BPA, and the Urban Institute </w:t>
      </w:r>
      <w:r>
        <w:t>completed</w:t>
      </w:r>
      <w:r w:rsidRPr="006D5CB0">
        <w:t xml:space="preserve"> phone interviews with key informants in each grantee (as part of the phone interviews data collection task).</w:t>
      </w:r>
      <w:r>
        <w:t xml:space="preserve"> W</w:t>
      </w:r>
      <w:r w:rsidRPr="006D5CB0">
        <w:t xml:space="preserve">e have reviewed </w:t>
      </w:r>
      <w:r>
        <w:t>the interview data</w:t>
      </w:r>
      <w:r w:rsidRPr="006D5CB0">
        <w:t xml:space="preserve"> to ensure that the surveys reflect our current understanding of the program designs implemented across grantees.</w:t>
      </w:r>
      <w:r>
        <w:t xml:space="preserve"> </w:t>
      </w:r>
    </w:p>
    <w:p w:rsidR="0022634E" w:rsidRPr="006D5CB0" w:rsidRDefault="0022634E" w:rsidP="00B908EF">
      <w:pPr>
        <w:pStyle w:val="NormalWeb"/>
        <w:spacing w:before="0" w:beforeAutospacing="0" w:after="200" w:afterAutospacing="0"/>
        <w:rPr>
          <w:b/>
        </w:rPr>
      </w:pPr>
      <w:r>
        <w:rPr>
          <w:b/>
        </w:rPr>
        <w:t>Site Visits</w:t>
      </w:r>
    </w:p>
    <w:p w:rsidR="0022634E" w:rsidRDefault="0022634E" w:rsidP="000C7C7F">
      <w:pPr>
        <w:spacing w:after="180"/>
        <w:ind w:firstLine="360"/>
      </w:pPr>
      <w:r>
        <w:t xml:space="preserve">The protocols for the site visits (previously approved) were developed and revised based on pilot interviews and feedback from our TWG. </w:t>
      </w:r>
      <w:r w:rsidRPr="00B7788D">
        <w:t xml:space="preserve">In collaboration with the TIF program office we identified three TIF sites from which to solicit feedback on the three draft interview protocols. We </w:t>
      </w:r>
      <w:r w:rsidRPr="000C7C7F">
        <w:rPr>
          <w:szCs w:val="24"/>
        </w:rPr>
        <w:t>shared</w:t>
      </w:r>
      <w:r w:rsidRPr="00B7788D">
        <w:t xml:space="preserve"> the protocols with members of the community in three TIF grantees: (1) Guilford County Schools (NC); (2) Harrison School District Two (CO); and (3) the South Carolina Department of Education (SC). We also sent the protocols to all members of the TWG (Dr</w:t>
      </w:r>
      <w:r>
        <w:t>s</w:t>
      </w:r>
      <w:r w:rsidRPr="00B7788D">
        <w:t xml:space="preserve">. Goldring, King, Loeb, Rice, Schochet, Springer), </w:t>
      </w:r>
      <w:r>
        <w:t xml:space="preserve">and </w:t>
      </w:r>
      <w:r w:rsidRPr="00B7788D">
        <w:t>request</w:t>
      </w:r>
      <w:r>
        <w:t>ed a</w:t>
      </w:r>
      <w:r w:rsidRPr="00B7788D">
        <w:t xml:space="preserve">n extensive review from TWG members Dr. Suzanne Wilson (a qualitative researcher with expertise in teacher development) and Dr. Dan Goldhaber (a researcher with expertise on educator labor markets and performance pay who uses quantitative and qualitative methods in his work). </w:t>
      </w:r>
    </w:p>
    <w:p w:rsidR="0022634E" w:rsidRPr="005C6E7A" w:rsidRDefault="0022634E" w:rsidP="000C7C7F">
      <w:pPr>
        <w:spacing w:after="180"/>
        <w:ind w:firstLine="360"/>
      </w:pPr>
      <w:r w:rsidRPr="00B7788D">
        <w:t xml:space="preserve">The results of these reviews suggest that the questions were clear. Reviewers reported that the strategy of using data available from extant program monitoring to customize the protocols reduced possible redundancy between program monitoring and our data collection strategy. </w:t>
      </w:r>
      <w:r w:rsidRPr="000C7C7F">
        <w:rPr>
          <w:szCs w:val="24"/>
        </w:rPr>
        <w:t>Reviewer’s</w:t>
      </w:r>
      <w:r w:rsidRPr="00B7788D">
        <w:t xml:space="preserve"> greatest concern was that we find a way to facilitate project directors’ gathering of quantitative data on the award structure and payouts. Reviewers were also concerned about the potential for grantees with pre-existing performance-pay programs to intertwine multiple performance-pay programs in response to questions. To address these issues, we revised the protocols to streamline the gathering of data on project design and implementation of payments (by creating the Award Structure and Payout Form and adding the option of sending us an electronic file with necessary data instead of completing that form). We also modified our initial questions to make clear the distinction, especially when interviewing project directors and other leaders, between TIF and other pre- and co-existing performance-pay projects. </w:t>
      </w:r>
      <w:r>
        <w:t>The review process and protocol revision were completed prior to submitting the protocols to OMB.</w:t>
      </w:r>
    </w:p>
    <w:p w:rsidR="0022634E" w:rsidRDefault="0022634E" w:rsidP="000C7C7F">
      <w:pPr>
        <w:spacing w:after="180"/>
        <w:ind w:firstLine="360"/>
      </w:pPr>
      <w:r>
        <w:t xml:space="preserve">We also found that the training we provided to the small number of researchers conducting pilot </w:t>
      </w:r>
      <w:r w:rsidRPr="000C7C7F">
        <w:rPr>
          <w:szCs w:val="24"/>
        </w:rPr>
        <w:t>interviews</w:t>
      </w:r>
      <w:r>
        <w:t xml:space="preserve"> (who represent the range in experience of those who will be conducting the actual interviews) was sufficient to enable them to gather necessary data. </w:t>
      </w:r>
    </w:p>
    <w:p w:rsidR="0022634E" w:rsidRDefault="0022634E" w:rsidP="0018630D">
      <w:pPr>
        <w:pStyle w:val="Heading3"/>
        <w:spacing w:before="120" w:after="120"/>
        <w:ind w:left="623" w:hanging="623"/>
        <w:jc w:val="left"/>
        <w:rPr>
          <w:bCs/>
          <w:sz w:val="24"/>
          <w:szCs w:val="24"/>
        </w:rPr>
      </w:pPr>
      <w:bookmarkStart w:id="17" w:name="_Toc255792971"/>
      <w:r>
        <w:rPr>
          <w:bCs/>
          <w:sz w:val="24"/>
          <w:szCs w:val="24"/>
        </w:rPr>
        <w:t>5. Contact Information</w:t>
      </w:r>
      <w:bookmarkEnd w:id="17"/>
    </w:p>
    <w:p w:rsidR="0022634E" w:rsidRDefault="0022634E" w:rsidP="000C7C7F">
      <w:pPr>
        <w:spacing w:after="180"/>
        <w:ind w:firstLine="360"/>
      </w:pPr>
      <w:r>
        <w:t xml:space="preserve">The contact person at the U.S. Department of </w:t>
      </w:r>
      <w:r w:rsidRPr="001B6690">
        <w:t>Education is Dr. Andrew Abrams.</w:t>
      </w:r>
      <w:r>
        <w:t xml:space="preserve"> </w:t>
      </w:r>
      <w:r w:rsidRPr="001B6690">
        <w:t>The</w:t>
      </w:r>
      <w:r>
        <w:t xml:space="preserve"> primary contractor of this study is SRI International, based in Menlo Park, CA. Berkeley Policy Associates, based in Oakland, California and the Urban Institute, based in Washington DC, are the </w:t>
      </w:r>
      <w:r w:rsidRPr="000C7C7F">
        <w:rPr>
          <w:szCs w:val="24"/>
        </w:rPr>
        <w:t>subcontractors</w:t>
      </w:r>
      <w:r>
        <w:t xml:space="preserve">. The principal investigator of the study is Dr. Daniel Humphrey and the project director is Dr. H. Alix Gallagher. Data collection will be conducted by researchers from SRI International, Berkeley Policy Associates, and the Urban Institute under the direction of </w:t>
      </w:r>
      <w:r>
        <w:br/>
        <w:t>Dr. Humphrey. The contact information for these individuals is as follows:</w:t>
      </w:r>
    </w:p>
    <w:p w:rsidR="0022634E" w:rsidRPr="00E8576E" w:rsidRDefault="0022634E" w:rsidP="00BE5183">
      <w:pPr>
        <w:spacing w:before="180"/>
        <w:rPr>
          <w:b/>
          <w:lang w:val="fr-FR"/>
        </w:rPr>
      </w:pPr>
      <w:r>
        <w:rPr>
          <w:b/>
          <w:lang w:val="fr-FR"/>
        </w:rPr>
        <w:t xml:space="preserve">Andrew </w:t>
      </w:r>
      <w:r w:rsidRPr="00E2441A">
        <w:rPr>
          <w:b/>
          <w:lang w:val="fr-FR"/>
        </w:rPr>
        <w:t>Abrams, Ph.D.</w:t>
      </w:r>
    </w:p>
    <w:p w:rsidR="0022634E" w:rsidRPr="00E8576E" w:rsidRDefault="0022634E" w:rsidP="000E64B4">
      <w:pPr>
        <w:pStyle w:val="Footer"/>
        <w:tabs>
          <w:tab w:val="clear" w:pos="4320"/>
          <w:tab w:val="clear" w:pos="8640"/>
        </w:tabs>
      </w:pPr>
      <w:r w:rsidRPr="00E8576E">
        <w:t>U.S.</w:t>
      </w:r>
      <w:r>
        <w:t xml:space="preserve"> </w:t>
      </w:r>
      <w:r w:rsidRPr="00E8576E">
        <w:t>Department of Education</w:t>
      </w:r>
    </w:p>
    <w:p w:rsidR="0022634E" w:rsidRPr="00E8576E" w:rsidRDefault="0022634E" w:rsidP="000E64B4">
      <w:pPr>
        <w:pStyle w:val="Footer"/>
        <w:tabs>
          <w:tab w:val="clear" w:pos="4320"/>
          <w:tab w:val="clear" w:pos="8640"/>
          <w:tab w:val="left" w:pos="900"/>
        </w:tabs>
      </w:pPr>
      <w:r w:rsidRPr="00E8576E">
        <w:t>Policy and Program Studies Services</w:t>
      </w:r>
    </w:p>
    <w:p w:rsidR="0022634E" w:rsidRPr="00E8576E" w:rsidRDefault="0022634E" w:rsidP="000E64B4">
      <w:r w:rsidRPr="00E8576E">
        <w:t>Phone</w:t>
      </w:r>
      <w:r>
        <w:t>:</w:t>
      </w:r>
      <w:r w:rsidRPr="00E8576E">
        <w:t xml:space="preserve"> </w:t>
      </w:r>
      <w:r>
        <w:t>202-401-1232</w:t>
      </w:r>
    </w:p>
    <w:p w:rsidR="0022634E" w:rsidRPr="00E8576E" w:rsidRDefault="0022634E" w:rsidP="000E64B4">
      <w:pPr>
        <w:rPr>
          <w:lang w:val="fr-FR"/>
        </w:rPr>
      </w:pPr>
      <w:r w:rsidRPr="00E8576E">
        <w:rPr>
          <w:lang w:val="fr-FR"/>
        </w:rPr>
        <w:t xml:space="preserve">Email: </w:t>
      </w:r>
      <w:hyperlink r:id="rId9" w:history="1">
        <w:r w:rsidRPr="00D74BE1">
          <w:rPr>
            <w:rStyle w:val="Hyperlink"/>
          </w:rPr>
          <w:t>mailto:</w:t>
        </w:r>
      </w:hyperlink>
      <w:r>
        <w:t>A</w:t>
      </w:r>
      <w:r w:rsidRPr="002D2900">
        <w:rPr>
          <w:lang w:val="fr-FR"/>
        </w:rPr>
        <w:t>ndrew.</w:t>
      </w:r>
      <w:r>
        <w:rPr>
          <w:lang w:val="fr-FR"/>
        </w:rPr>
        <w:t>A</w:t>
      </w:r>
      <w:r w:rsidRPr="002D2900">
        <w:rPr>
          <w:lang w:val="fr-FR"/>
        </w:rPr>
        <w:t>brams</w:t>
      </w:r>
      <w:r>
        <w:rPr>
          <w:lang w:val="fr-FR"/>
        </w:rPr>
        <w:t>@ed.gov</w:t>
      </w:r>
    </w:p>
    <w:p w:rsidR="0022634E" w:rsidRPr="0004262B" w:rsidRDefault="0022634E" w:rsidP="00BE5183">
      <w:pPr>
        <w:spacing w:before="180"/>
        <w:rPr>
          <w:b/>
        </w:rPr>
      </w:pPr>
      <w:r w:rsidRPr="0004262B">
        <w:rPr>
          <w:b/>
        </w:rPr>
        <w:t>Daniel Humphrey, Ed.D.</w:t>
      </w:r>
    </w:p>
    <w:p w:rsidR="0022634E" w:rsidRDefault="0022634E" w:rsidP="000E64B4">
      <w:r>
        <w:t>SRI International</w:t>
      </w:r>
    </w:p>
    <w:p w:rsidR="0022634E" w:rsidRDefault="0022634E" w:rsidP="000E64B4">
      <w:r>
        <w:t>Phone: (650) 859-4014</w:t>
      </w:r>
    </w:p>
    <w:p w:rsidR="0022634E" w:rsidRDefault="0022634E" w:rsidP="000E64B4">
      <w:pPr>
        <w:widowControl w:val="0"/>
      </w:pPr>
      <w:r>
        <w:t>E-Mail: Daniel.Humphrey@sri.com</w:t>
      </w:r>
    </w:p>
    <w:p w:rsidR="0022634E" w:rsidRDefault="0022634E" w:rsidP="00BE5183">
      <w:pPr>
        <w:spacing w:before="180"/>
        <w:rPr>
          <w:b/>
        </w:rPr>
      </w:pPr>
    </w:p>
    <w:p w:rsidR="0022634E" w:rsidRPr="0004262B" w:rsidRDefault="0022634E" w:rsidP="00BE5183">
      <w:pPr>
        <w:spacing w:before="180"/>
        <w:rPr>
          <w:b/>
        </w:rPr>
      </w:pPr>
      <w:r w:rsidRPr="0004262B">
        <w:rPr>
          <w:b/>
        </w:rPr>
        <w:t>H. Alix Gallagher, Ph.D.</w:t>
      </w:r>
    </w:p>
    <w:p w:rsidR="0022634E" w:rsidRDefault="0022634E" w:rsidP="000E64B4">
      <w:r>
        <w:t>SRI International</w:t>
      </w:r>
    </w:p>
    <w:p w:rsidR="0022634E" w:rsidRDefault="0022634E" w:rsidP="000E64B4">
      <w:r>
        <w:t>Phone: (650) 859-3504</w:t>
      </w:r>
    </w:p>
    <w:p w:rsidR="0022634E" w:rsidRDefault="0022634E" w:rsidP="00BE5183">
      <w:pPr>
        <w:widowControl w:val="0"/>
      </w:pPr>
      <w:r>
        <w:t>E-Mail: Alix.Gallagher@sri.com</w:t>
      </w:r>
    </w:p>
    <w:sectPr w:rsidR="0022634E" w:rsidSect="00CE43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34E" w:rsidRDefault="0022634E">
      <w:r>
        <w:separator/>
      </w:r>
    </w:p>
  </w:endnote>
  <w:endnote w:type="continuationSeparator" w:id="0">
    <w:p w:rsidR="0022634E" w:rsidRDefault="002263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4E" w:rsidRDefault="0022634E">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2</w:t>
    </w:r>
    <w:r>
      <w:rPr>
        <w:rStyle w:val="PageNumber"/>
        <w:sz w:val="22"/>
      </w:rPr>
      <w:fldChar w:fldCharType="end"/>
    </w:r>
  </w:p>
  <w:p w:rsidR="0022634E" w:rsidRDefault="00226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4E" w:rsidRDefault="0022634E">
    <w:pPr>
      <w:pStyle w:val="Footer"/>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4E" w:rsidRDefault="0022634E">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14</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34E" w:rsidRDefault="0022634E">
      <w:r>
        <w:separator/>
      </w:r>
    </w:p>
  </w:footnote>
  <w:footnote w:type="continuationSeparator" w:id="0">
    <w:p w:rsidR="0022634E" w:rsidRDefault="0022634E">
      <w:r>
        <w:continuationSeparator/>
      </w:r>
    </w:p>
  </w:footnote>
  <w:footnote w:id="1">
    <w:p w:rsidR="0022634E" w:rsidRDefault="0022634E" w:rsidP="00802263">
      <w:pPr>
        <w:pStyle w:val="FootnoteText"/>
      </w:pPr>
      <w:r>
        <w:rPr>
          <w:rStyle w:val="FootnoteReference"/>
        </w:rPr>
        <w:footnoteRef/>
      </w:r>
      <w:r>
        <w:t xml:space="preserve"> Some of the grantees are so small that it will be impossible to get precise estimates due to grantee size.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4E" w:rsidRPr="00CA768B" w:rsidRDefault="0022634E">
    <w:pPr>
      <w:pStyle w:val="Header"/>
      <w:rPr>
        <w:sz w:val="20"/>
      </w:rPr>
    </w:pPr>
    <w:r>
      <w:rPr>
        <w:sz w:val="20"/>
      </w:rPr>
      <w:t>TIF Surveys (4249) —Supporting Statement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D18635C"/>
    <w:lvl w:ilvl="0">
      <w:start w:val="1"/>
      <w:numFmt w:val="bullet"/>
      <w:lvlText w:val=""/>
      <w:lvlJc w:val="left"/>
      <w:pPr>
        <w:tabs>
          <w:tab w:val="num" w:pos="720"/>
        </w:tabs>
        <w:ind w:left="720" w:hanging="360"/>
      </w:pPr>
      <w:rPr>
        <w:rFonts w:ascii="Symbol" w:hAnsi="Symbol" w:hint="default"/>
      </w:rPr>
    </w:lvl>
  </w:abstractNum>
  <w:abstractNum w:abstractNumId="1">
    <w:nsid w:val="38E725EE"/>
    <w:multiLevelType w:val="hybridMultilevel"/>
    <w:tmpl w:val="495844B0"/>
    <w:lvl w:ilvl="0" w:tplc="04090001">
      <w:start w:val="1"/>
      <w:numFmt w:val="upperLetter"/>
      <w:pStyle w:val="Heading5"/>
      <w:lvlText w:val="%1."/>
      <w:lvlJc w:val="left"/>
      <w:pPr>
        <w:tabs>
          <w:tab w:val="num" w:pos="1080"/>
        </w:tabs>
        <w:ind w:left="1080" w:hanging="720"/>
      </w:pPr>
      <w:rPr>
        <w:rFonts w:cs="Times New Roman" w:hint="default"/>
      </w:rPr>
    </w:lvl>
    <w:lvl w:ilvl="1" w:tplc="04090003">
      <w:start w:val="1"/>
      <w:numFmt w:val="decimal"/>
      <w:lvlText w:val="%2."/>
      <w:lvlJc w:val="left"/>
      <w:pPr>
        <w:tabs>
          <w:tab w:val="num" w:pos="1440"/>
        </w:tabs>
        <w:ind w:left="1440" w:hanging="360"/>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
    <w:nsid w:val="394A00EB"/>
    <w:multiLevelType w:val="hybridMultilevel"/>
    <w:tmpl w:val="BC42DA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B79641B"/>
    <w:multiLevelType w:val="hybridMultilevel"/>
    <w:tmpl w:val="64D4ACAC"/>
    <w:lvl w:ilvl="0" w:tplc="4CE0BD64">
      <w:start w:val="1"/>
      <w:numFmt w:val="bullet"/>
      <w:pStyle w:val="exhibitbullets"/>
      <w:lvlText w:val=""/>
      <w:lvlJc w:val="left"/>
      <w:pPr>
        <w:tabs>
          <w:tab w:val="num" w:pos="600"/>
        </w:tabs>
        <w:ind w:left="600" w:hanging="360"/>
      </w:pPr>
      <w:rPr>
        <w:rFonts w:ascii="Symbol" w:hAnsi="Symbol" w:hint="default"/>
      </w:rPr>
    </w:lvl>
    <w:lvl w:ilvl="1" w:tplc="4830D75A" w:tentative="1">
      <w:start w:val="1"/>
      <w:numFmt w:val="bullet"/>
      <w:lvlText w:val="o"/>
      <w:lvlJc w:val="left"/>
      <w:pPr>
        <w:tabs>
          <w:tab w:val="num" w:pos="1680"/>
        </w:tabs>
        <w:ind w:left="1680" w:hanging="360"/>
      </w:pPr>
      <w:rPr>
        <w:rFonts w:ascii="Courier New" w:hAnsi="Courier New" w:hint="default"/>
      </w:rPr>
    </w:lvl>
    <w:lvl w:ilvl="2" w:tplc="30E086E0" w:tentative="1">
      <w:start w:val="1"/>
      <w:numFmt w:val="bullet"/>
      <w:lvlText w:val=""/>
      <w:lvlJc w:val="left"/>
      <w:pPr>
        <w:tabs>
          <w:tab w:val="num" w:pos="2400"/>
        </w:tabs>
        <w:ind w:left="2400" w:hanging="360"/>
      </w:pPr>
      <w:rPr>
        <w:rFonts w:ascii="Wingdings" w:hAnsi="Wingdings" w:hint="default"/>
      </w:rPr>
    </w:lvl>
    <w:lvl w:ilvl="3" w:tplc="DF50A4C0" w:tentative="1">
      <w:start w:val="1"/>
      <w:numFmt w:val="bullet"/>
      <w:lvlText w:val=""/>
      <w:lvlJc w:val="left"/>
      <w:pPr>
        <w:tabs>
          <w:tab w:val="num" w:pos="3120"/>
        </w:tabs>
        <w:ind w:left="3120" w:hanging="360"/>
      </w:pPr>
      <w:rPr>
        <w:rFonts w:ascii="Symbol" w:hAnsi="Symbol" w:hint="default"/>
      </w:rPr>
    </w:lvl>
    <w:lvl w:ilvl="4" w:tplc="EB42E01E" w:tentative="1">
      <w:start w:val="1"/>
      <w:numFmt w:val="bullet"/>
      <w:lvlText w:val="o"/>
      <w:lvlJc w:val="left"/>
      <w:pPr>
        <w:tabs>
          <w:tab w:val="num" w:pos="3840"/>
        </w:tabs>
        <w:ind w:left="3840" w:hanging="360"/>
      </w:pPr>
      <w:rPr>
        <w:rFonts w:ascii="Courier New" w:hAnsi="Courier New" w:hint="default"/>
      </w:rPr>
    </w:lvl>
    <w:lvl w:ilvl="5" w:tplc="5A04E3FA" w:tentative="1">
      <w:start w:val="1"/>
      <w:numFmt w:val="bullet"/>
      <w:lvlText w:val=""/>
      <w:lvlJc w:val="left"/>
      <w:pPr>
        <w:tabs>
          <w:tab w:val="num" w:pos="4560"/>
        </w:tabs>
        <w:ind w:left="4560" w:hanging="360"/>
      </w:pPr>
      <w:rPr>
        <w:rFonts w:ascii="Wingdings" w:hAnsi="Wingdings" w:hint="default"/>
      </w:rPr>
    </w:lvl>
    <w:lvl w:ilvl="6" w:tplc="93A6CAEC" w:tentative="1">
      <w:start w:val="1"/>
      <w:numFmt w:val="bullet"/>
      <w:lvlText w:val=""/>
      <w:lvlJc w:val="left"/>
      <w:pPr>
        <w:tabs>
          <w:tab w:val="num" w:pos="5280"/>
        </w:tabs>
        <w:ind w:left="5280" w:hanging="360"/>
      </w:pPr>
      <w:rPr>
        <w:rFonts w:ascii="Symbol" w:hAnsi="Symbol" w:hint="default"/>
      </w:rPr>
    </w:lvl>
    <w:lvl w:ilvl="7" w:tplc="45485DFA" w:tentative="1">
      <w:start w:val="1"/>
      <w:numFmt w:val="bullet"/>
      <w:lvlText w:val="o"/>
      <w:lvlJc w:val="left"/>
      <w:pPr>
        <w:tabs>
          <w:tab w:val="num" w:pos="6000"/>
        </w:tabs>
        <w:ind w:left="6000" w:hanging="360"/>
      </w:pPr>
      <w:rPr>
        <w:rFonts w:ascii="Courier New" w:hAnsi="Courier New" w:hint="default"/>
      </w:rPr>
    </w:lvl>
    <w:lvl w:ilvl="8" w:tplc="DEAE4DD8" w:tentative="1">
      <w:start w:val="1"/>
      <w:numFmt w:val="bullet"/>
      <w:lvlText w:val=""/>
      <w:lvlJc w:val="left"/>
      <w:pPr>
        <w:tabs>
          <w:tab w:val="num" w:pos="6720"/>
        </w:tabs>
        <w:ind w:left="6720" w:hanging="360"/>
      </w:pPr>
      <w:rPr>
        <w:rFonts w:ascii="Wingdings" w:hAnsi="Wingdings" w:hint="default"/>
      </w:rPr>
    </w:lvl>
  </w:abstractNum>
  <w:abstractNum w:abstractNumId="4">
    <w:nsid w:val="59EC75B2"/>
    <w:multiLevelType w:val="hybridMultilevel"/>
    <w:tmpl w:val="DDE2C882"/>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5">
    <w:nsid w:val="6BC536E3"/>
    <w:multiLevelType w:val="singleLevel"/>
    <w:tmpl w:val="26807D3E"/>
    <w:lvl w:ilvl="0">
      <w:start w:val="1"/>
      <w:numFmt w:val="bullet"/>
      <w:pStyle w:val="Bullet1"/>
      <w:lvlText w:val=""/>
      <w:lvlJc w:val="left"/>
      <w:pPr>
        <w:tabs>
          <w:tab w:val="num" w:pos="360"/>
        </w:tabs>
        <w:ind w:left="360" w:hanging="360"/>
      </w:pPr>
      <w:rPr>
        <w:rFonts w:ascii="Symbol" w:hAnsi="Symbol" w:hint="default"/>
      </w:rPr>
    </w:lvl>
  </w:abstractNum>
  <w:abstractNum w:abstractNumId="6">
    <w:nsid w:val="76654102"/>
    <w:multiLevelType w:val="hybridMultilevel"/>
    <w:tmpl w:val="E5A0E66A"/>
    <w:lvl w:ilvl="0" w:tplc="00010409">
      <w:start w:val="1"/>
      <w:numFmt w:val="upperLetter"/>
      <w:pStyle w:val="Heading7"/>
      <w:lvlText w:val="%1."/>
      <w:lvlJc w:val="left"/>
      <w:pPr>
        <w:tabs>
          <w:tab w:val="num" w:pos="1440"/>
        </w:tabs>
        <w:ind w:left="1440" w:hanging="720"/>
      </w:pPr>
      <w:rPr>
        <w:rFonts w:cs="Times New Roman" w:hint="default"/>
      </w:rPr>
    </w:lvl>
    <w:lvl w:ilvl="1" w:tplc="00030409">
      <w:start w:val="2"/>
      <w:numFmt w:val="decimal"/>
      <w:lvlText w:val="%2."/>
      <w:lvlJc w:val="left"/>
      <w:pPr>
        <w:tabs>
          <w:tab w:val="num" w:pos="1800"/>
        </w:tabs>
        <w:ind w:left="1800" w:hanging="360"/>
      </w:pPr>
      <w:rPr>
        <w:rFonts w:cs="Times New Roman" w:hint="default"/>
      </w:rPr>
    </w:lvl>
    <w:lvl w:ilvl="2" w:tplc="00050409" w:tentative="1">
      <w:start w:val="1"/>
      <w:numFmt w:val="lowerRoman"/>
      <w:lvlText w:val="%3."/>
      <w:lvlJc w:val="right"/>
      <w:pPr>
        <w:tabs>
          <w:tab w:val="num" w:pos="2520"/>
        </w:tabs>
        <w:ind w:left="2520" w:hanging="180"/>
      </w:pPr>
      <w:rPr>
        <w:rFonts w:cs="Times New Roman"/>
      </w:rPr>
    </w:lvl>
    <w:lvl w:ilvl="3" w:tplc="00010409" w:tentative="1">
      <w:start w:val="1"/>
      <w:numFmt w:val="decimal"/>
      <w:lvlText w:val="%4."/>
      <w:lvlJc w:val="left"/>
      <w:pPr>
        <w:tabs>
          <w:tab w:val="num" w:pos="3240"/>
        </w:tabs>
        <w:ind w:left="3240" w:hanging="360"/>
      </w:pPr>
      <w:rPr>
        <w:rFonts w:cs="Times New Roman"/>
      </w:rPr>
    </w:lvl>
    <w:lvl w:ilvl="4" w:tplc="00030409" w:tentative="1">
      <w:start w:val="1"/>
      <w:numFmt w:val="lowerLetter"/>
      <w:lvlText w:val="%5."/>
      <w:lvlJc w:val="left"/>
      <w:pPr>
        <w:tabs>
          <w:tab w:val="num" w:pos="3960"/>
        </w:tabs>
        <w:ind w:left="3960" w:hanging="360"/>
      </w:pPr>
      <w:rPr>
        <w:rFonts w:cs="Times New Roman"/>
      </w:rPr>
    </w:lvl>
    <w:lvl w:ilvl="5" w:tplc="00050409" w:tentative="1">
      <w:start w:val="1"/>
      <w:numFmt w:val="lowerRoman"/>
      <w:lvlText w:val="%6."/>
      <w:lvlJc w:val="right"/>
      <w:pPr>
        <w:tabs>
          <w:tab w:val="num" w:pos="4680"/>
        </w:tabs>
        <w:ind w:left="4680" w:hanging="180"/>
      </w:pPr>
      <w:rPr>
        <w:rFonts w:cs="Times New Roman"/>
      </w:rPr>
    </w:lvl>
    <w:lvl w:ilvl="6" w:tplc="00010409" w:tentative="1">
      <w:start w:val="1"/>
      <w:numFmt w:val="decimal"/>
      <w:lvlText w:val="%7."/>
      <w:lvlJc w:val="left"/>
      <w:pPr>
        <w:tabs>
          <w:tab w:val="num" w:pos="5400"/>
        </w:tabs>
        <w:ind w:left="5400" w:hanging="360"/>
      </w:pPr>
      <w:rPr>
        <w:rFonts w:cs="Times New Roman"/>
      </w:rPr>
    </w:lvl>
    <w:lvl w:ilvl="7" w:tplc="00030409" w:tentative="1">
      <w:start w:val="1"/>
      <w:numFmt w:val="lowerLetter"/>
      <w:lvlText w:val="%8."/>
      <w:lvlJc w:val="left"/>
      <w:pPr>
        <w:tabs>
          <w:tab w:val="num" w:pos="6120"/>
        </w:tabs>
        <w:ind w:left="6120" w:hanging="360"/>
      </w:pPr>
      <w:rPr>
        <w:rFonts w:cs="Times New Roman"/>
      </w:rPr>
    </w:lvl>
    <w:lvl w:ilvl="8" w:tplc="00050409" w:tentative="1">
      <w:start w:val="1"/>
      <w:numFmt w:val="lowerRoman"/>
      <w:lvlText w:val="%9."/>
      <w:lvlJc w:val="right"/>
      <w:pPr>
        <w:tabs>
          <w:tab w:val="num" w:pos="6840"/>
        </w:tabs>
        <w:ind w:left="6840" w:hanging="180"/>
      </w:pPr>
      <w:rPr>
        <w:rFonts w:cs="Times New Roman"/>
      </w:rPr>
    </w:lvl>
  </w:abstractNum>
  <w:abstractNum w:abstractNumId="7">
    <w:nsid w:val="7C690F06"/>
    <w:multiLevelType w:val="hybridMultilevel"/>
    <w:tmpl w:val="F208D7BE"/>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hint="default"/>
      </w:rPr>
    </w:lvl>
    <w:lvl w:ilvl="8" w:tplc="04090005" w:tentative="1">
      <w:start w:val="1"/>
      <w:numFmt w:val="bullet"/>
      <w:lvlText w:val=""/>
      <w:lvlJc w:val="left"/>
      <w:pPr>
        <w:ind w:left="710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3"/>
  </w:num>
  <w:num w:numId="7">
    <w:abstractNumId w:val="6"/>
  </w:num>
  <w:num w:numId="8">
    <w:abstractNumId w:val="5"/>
  </w:num>
  <w:num w:numId="9">
    <w:abstractNumId w:val="0"/>
  </w:num>
  <w:num w:numId="10">
    <w:abstractNumId w:val="2"/>
  </w:num>
  <w:num w:numId="11">
    <w:abstractNumId w:val="7"/>
  </w:num>
  <w:num w:numId="12">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772"/>
    <w:rsid w:val="0000399D"/>
    <w:rsid w:val="00003AF0"/>
    <w:rsid w:val="000053CE"/>
    <w:rsid w:val="000169F6"/>
    <w:rsid w:val="000208C7"/>
    <w:rsid w:val="0002398E"/>
    <w:rsid w:val="000245E5"/>
    <w:rsid w:val="00030DF3"/>
    <w:rsid w:val="00035F76"/>
    <w:rsid w:val="0003780A"/>
    <w:rsid w:val="0004262B"/>
    <w:rsid w:val="00042C83"/>
    <w:rsid w:val="00043439"/>
    <w:rsid w:val="00044795"/>
    <w:rsid w:val="00047380"/>
    <w:rsid w:val="00047B78"/>
    <w:rsid w:val="00050F68"/>
    <w:rsid w:val="000526D8"/>
    <w:rsid w:val="0005798B"/>
    <w:rsid w:val="00063805"/>
    <w:rsid w:val="00073EF6"/>
    <w:rsid w:val="00074C26"/>
    <w:rsid w:val="00083789"/>
    <w:rsid w:val="00085231"/>
    <w:rsid w:val="00087046"/>
    <w:rsid w:val="00091CE5"/>
    <w:rsid w:val="00094000"/>
    <w:rsid w:val="00095577"/>
    <w:rsid w:val="00095902"/>
    <w:rsid w:val="000A0420"/>
    <w:rsid w:val="000A2D31"/>
    <w:rsid w:val="000A6A9B"/>
    <w:rsid w:val="000B03F6"/>
    <w:rsid w:val="000B0E71"/>
    <w:rsid w:val="000B79FB"/>
    <w:rsid w:val="000C5772"/>
    <w:rsid w:val="000C7C7F"/>
    <w:rsid w:val="000D1BC9"/>
    <w:rsid w:val="000E00B5"/>
    <w:rsid w:val="000E64B4"/>
    <w:rsid w:val="000F0BAE"/>
    <w:rsid w:val="000F34B7"/>
    <w:rsid w:val="000F3AC4"/>
    <w:rsid w:val="000F7ACD"/>
    <w:rsid w:val="001040EC"/>
    <w:rsid w:val="0010443C"/>
    <w:rsid w:val="00106DDB"/>
    <w:rsid w:val="0011383F"/>
    <w:rsid w:val="0013279B"/>
    <w:rsid w:val="0013704F"/>
    <w:rsid w:val="001407E3"/>
    <w:rsid w:val="0014250E"/>
    <w:rsid w:val="00147B81"/>
    <w:rsid w:val="00152884"/>
    <w:rsid w:val="001533C8"/>
    <w:rsid w:val="00154AB8"/>
    <w:rsid w:val="001567BB"/>
    <w:rsid w:val="00157FA0"/>
    <w:rsid w:val="0017359F"/>
    <w:rsid w:val="00175198"/>
    <w:rsid w:val="0017594E"/>
    <w:rsid w:val="00181463"/>
    <w:rsid w:val="001817B1"/>
    <w:rsid w:val="0018630D"/>
    <w:rsid w:val="00193A64"/>
    <w:rsid w:val="001A4737"/>
    <w:rsid w:val="001A598F"/>
    <w:rsid w:val="001B26A5"/>
    <w:rsid w:val="001B6690"/>
    <w:rsid w:val="001C1CAB"/>
    <w:rsid w:val="001C3138"/>
    <w:rsid w:val="001D0B6B"/>
    <w:rsid w:val="001D279B"/>
    <w:rsid w:val="001D759B"/>
    <w:rsid w:val="001E126D"/>
    <w:rsid w:val="001E20B1"/>
    <w:rsid w:val="001E7332"/>
    <w:rsid w:val="001F06E5"/>
    <w:rsid w:val="001F364C"/>
    <w:rsid w:val="001F3F21"/>
    <w:rsid w:val="0020490E"/>
    <w:rsid w:val="0021006B"/>
    <w:rsid w:val="002147A5"/>
    <w:rsid w:val="002158A6"/>
    <w:rsid w:val="00220B06"/>
    <w:rsid w:val="00221BD9"/>
    <w:rsid w:val="00222C49"/>
    <w:rsid w:val="0022634E"/>
    <w:rsid w:val="00226DE5"/>
    <w:rsid w:val="00227DA3"/>
    <w:rsid w:val="002331C1"/>
    <w:rsid w:val="002428AD"/>
    <w:rsid w:val="00247945"/>
    <w:rsid w:val="00252B49"/>
    <w:rsid w:val="00255F2E"/>
    <w:rsid w:val="00261AD9"/>
    <w:rsid w:val="00261C83"/>
    <w:rsid w:val="002659E5"/>
    <w:rsid w:val="00281D8D"/>
    <w:rsid w:val="00283B48"/>
    <w:rsid w:val="00292EFC"/>
    <w:rsid w:val="00297392"/>
    <w:rsid w:val="002A1F3B"/>
    <w:rsid w:val="002B0BD0"/>
    <w:rsid w:val="002B610E"/>
    <w:rsid w:val="002D2900"/>
    <w:rsid w:val="002D5C94"/>
    <w:rsid w:val="002D5E3D"/>
    <w:rsid w:val="002E3EA8"/>
    <w:rsid w:val="002E6966"/>
    <w:rsid w:val="00311FA6"/>
    <w:rsid w:val="00313A12"/>
    <w:rsid w:val="003165E9"/>
    <w:rsid w:val="00317E07"/>
    <w:rsid w:val="00323A39"/>
    <w:rsid w:val="003333B5"/>
    <w:rsid w:val="003407F2"/>
    <w:rsid w:val="00350260"/>
    <w:rsid w:val="003547AD"/>
    <w:rsid w:val="00355172"/>
    <w:rsid w:val="00364790"/>
    <w:rsid w:val="003662C5"/>
    <w:rsid w:val="00366F8D"/>
    <w:rsid w:val="003714D6"/>
    <w:rsid w:val="00373790"/>
    <w:rsid w:val="00375F40"/>
    <w:rsid w:val="00376E30"/>
    <w:rsid w:val="00377DF3"/>
    <w:rsid w:val="00385276"/>
    <w:rsid w:val="003A1205"/>
    <w:rsid w:val="003A60F6"/>
    <w:rsid w:val="003B0389"/>
    <w:rsid w:val="003B08B0"/>
    <w:rsid w:val="003B5CDE"/>
    <w:rsid w:val="003E242C"/>
    <w:rsid w:val="003E6021"/>
    <w:rsid w:val="003F3933"/>
    <w:rsid w:val="003F5FE2"/>
    <w:rsid w:val="00405F30"/>
    <w:rsid w:val="00427124"/>
    <w:rsid w:val="004310C6"/>
    <w:rsid w:val="004310DE"/>
    <w:rsid w:val="0043170D"/>
    <w:rsid w:val="0043611A"/>
    <w:rsid w:val="00440206"/>
    <w:rsid w:val="004402C0"/>
    <w:rsid w:val="00442D6A"/>
    <w:rsid w:val="00451B7D"/>
    <w:rsid w:val="004600F0"/>
    <w:rsid w:val="00461DAA"/>
    <w:rsid w:val="0047022D"/>
    <w:rsid w:val="00477362"/>
    <w:rsid w:val="004818A0"/>
    <w:rsid w:val="00482AA8"/>
    <w:rsid w:val="004848B2"/>
    <w:rsid w:val="00495CE0"/>
    <w:rsid w:val="004A18EB"/>
    <w:rsid w:val="004A33CE"/>
    <w:rsid w:val="004B1C51"/>
    <w:rsid w:val="004B1F27"/>
    <w:rsid w:val="004B3DFF"/>
    <w:rsid w:val="004C4F9D"/>
    <w:rsid w:val="004C5060"/>
    <w:rsid w:val="004C68EF"/>
    <w:rsid w:val="004D0D02"/>
    <w:rsid w:val="004E0A31"/>
    <w:rsid w:val="004E31E4"/>
    <w:rsid w:val="004E516B"/>
    <w:rsid w:val="004F0888"/>
    <w:rsid w:val="004F479D"/>
    <w:rsid w:val="004F55B7"/>
    <w:rsid w:val="00503FA5"/>
    <w:rsid w:val="005049E9"/>
    <w:rsid w:val="00505DD3"/>
    <w:rsid w:val="00514594"/>
    <w:rsid w:val="005158B2"/>
    <w:rsid w:val="00516B6B"/>
    <w:rsid w:val="00516C5E"/>
    <w:rsid w:val="005228C9"/>
    <w:rsid w:val="00523FAB"/>
    <w:rsid w:val="00536751"/>
    <w:rsid w:val="00536F97"/>
    <w:rsid w:val="0054205D"/>
    <w:rsid w:val="00546B21"/>
    <w:rsid w:val="00553AFE"/>
    <w:rsid w:val="00557F36"/>
    <w:rsid w:val="005658FC"/>
    <w:rsid w:val="0057325F"/>
    <w:rsid w:val="0057583D"/>
    <w:rsid w:val="005761FB"/>
    <w:rsid w:val="005777C7"/>
    <w:rsid w:val="00583BC9"/>
    <w:rsid w:val="005840EF"/>
    <w:rsid w:val="005870E2"/>
    <w:rsid w:val="00587272"/>
    <w:rsid w:val="00592098"/>
    <w:rsid w:val="0059476B"/>
    <w:rsid w:val="00596A24"/>
    <w:rsid w:val="005971A7"/>
    <w:rsid w:val="005A2719"/>
    <w:rsid w:val="005A2857"/>
    <w:rsid w:val="005A58FA"/>
    <w:rsid w:val="005A6D25"/>
    <w:rsid w:val="005A7843"/>
    <w:rsid w:val="005B063F"/>
    <w:rsid w:val="005B32C6"/>
    <w:rsid w:val="005B422B"/>
    <w:rsid w:val="005B44D5"/>
    <w:rsid w:val="005C6E7A"/>
    <w:rsid w:val="005D33E2"/>
    <w:rsid w:val="005D534A"/>
    <w:rsid w:val="005D55E1"/>
    <w:rsid w:val="005E5023"/>
    <w:rsid w:val="00600A46"/>
    <w:rsid w:val="006036CE"/>
    <w:rsid w:val="006140C1"/>
    <w:rsid w:val="0064087D"/>
    <w:rsid w:val="00640961"/>
    <w:rsid w:val="00640CCA"/>
    <w:rsid w:val="00647A4B"/>
    <w:rsid w:val="00651067"/>
    <w:rsid w:val="00661689"/>
    <w:rsid w:val="00663FFD"/>
    <w:rsid w:val="00670B05"/>
    <w:rsid w:val="00672A79"/>
    <w:rsid w:val="006745EB"/>
    <w:rsid w:val="00675847"/>
    <w:rsid w:val="006766E6"/>
    <w:rsid w:val="00677EE4"/>
    <w:rsid w:val="00684F1E"/>
    <w:rsid w:val="006866C7"/>
    <w:rsid w:val="0069584A"/>
    <w:rsid w:val="006A1973"/>
    <w:rsid w:val="006A2125"/>
    <w:rsid w:val="006A28BE"/>
    <w:rsid w:val="006B0044"/>
    <w:rsid w:val="006B3484"/>
    <w:rsid w:val="006B7B24"/>
    <w:rsid w:val="006C1AFF"/>
    <w:rsid w:val="006C2780"/>
    <w:rsid w:val="006D1C0F"/>
    <w:rsid w:val="006D5400"/>
    <w:rsid w:val="006D5CB0"/>
    <w:rsid w:val="006E0F57"/>
    <w:rsid w:val="006E6561"/>
    <w:rsid w:val="006E7C86"/>
    <w:rsid w:val="006F5727"/>
    <w:rsid w:val="006F5B30"/>
    <w:rsid w:val="00701E09"/>
    <w:rsid w:val="00704F58"/>
    <w:rsid w:val="00706F29"/>
    <w:rsid w:val="007120D9"/>
    <w:rsid w:val="00714AE5"/>
    <w:rsid w:val="007263D3"/>
    <w:rsid w:val="007275A5"/>
    <w:rsid w:val="007325EA"/>
    <w:rsid w:val="00734E17"/>
    <w:rsid w:val="00745E1F"/>
    <w:rsid w:val="00751643"/>
    <w:rsid w:val="007527C8"/>
    <w:rsid w:val="00753DBF"/>
    <w:rsid w:val="00755314"/>
    <w:rsid w:val="007571D8"/>
    <w:rsid w:val="0075761A"/>
    <w:rsid w:val="0076495A"/>
    <w:rsid w:val="00776226"/>
    <w:rsid w:val="00777ABC"/>
    <w:rsid w:val="007811A0"/>
    <w:rsid w:val="00783564"/>
    <w:rsid w:val="007872AB"/>
    <w:rsid w:val="00794D21"/>
    <w:rsid w:val="00795FB0"/>
    <w:rsid w:val="00797071"/>
    <w:rsid w:val="007A320C"/>
    <w:rsid w:val="007D4316"/>
    <w:rsid w:val="007D5698"/>
    <w:rsid w:val="007D6585"/>
    <w:rsid w:val="007E5754"/>
    <w:rsid w:val="007F6D20"/>
    <w:rsid w:val="007F7A73"/>
    <w:rsid w:val="00802263"/>
    <w:rsid w:val="00807163"/>
    <w:rsid w:val="00810A9F"/>
    <w:rsid w:val="00811F63"/>
    <w:rsid w:val="00812A96"/>
    <w:rsid w:val="00816053"/>
    <w:rsid w:val="008171D1"/>
    <w:rsid w:val="0082683A"/>
    <w:rsid w:val="00830EB7"/>
    <w:rsid w:val="00842AF5"/>
    <w:rsid w:val="008442EF"/>
    <w:rsid w:val="00844686"/>
    <w:rsid w:val="00851776"/>
    <w:rsid w:val="00851EF7"/>
    <w:rsid w:val="00852475"/>
    <w:rsid w:val="008564A1"/>
    <w:rsid w:val="00882F30"/>
    <w:rsid w:val="00883CC5"/>
    <w:rsid w:val="00883D99"/>
    <w:rsid w:val="0089057B"/>
    <w:rsid w:val="0089134F"/>
    <w:rsid w:val="008A3E5A"/>
    <w:rsid w:val="008B252B"/>
    <w:rsid w:val="008B7F3E"/>
    <w:rsid w:val="008C6B69"/>
    <w:rsid w:val="008D4A1E"/>
    <w:rsid w:val="008E2C8C"/>
    <w:rsid w:val="00905CCA"/>
    <w:rsid w:val="00905E72"/>
    <w:rsid w:val="00911BA2"/>
    <w:rsid w:val="009179E4"/>
    <w:rsid w:val="00920275"/>
    <w:rsid w:val="009305E2"/>
    <w:rsid w:val="0093361D"/>
    <w:rsid w:val="00935427"/>
    <w:rsid w:val="00935BF2"/>
    <w:rsid w:val="00936E24"/>
    <w:rsid w:val="00942B75"/>
    <w:rsid w:val="00943F3E"/>
    <w:rsid w:val="00946034"/>
    <w:rsid w:val="00951C76"/>
    <w:rsid w:val="00963AB4"/>
    <w:rsid w:val="00982C6D"/>
    <w:rsid w:val="00984575"/>
    <w:rsid w:val="00987EA8"/>
    <w:rsid w:val="009906EF"/>
    <w:rsid w:val="00990E17"/>
    <w:rsid w:val="009B336F"/>
    <w:rsid w:val="009B5525"/>
    <w:rsid w:val="009B690D"/>
    <w:rsid w:val="009C5FF3"/>
    <w:rsid w:val="009D3893"/>
    <w:rsid w:val="009D71FE"/>
    <w:rsid w:val="009E3062"/>
    <w:rsid w:val="009F1612"/>
    <w:rsid w:val="009F2F11"/>
    <w:rsid w:val="009F3057"/>
    <w:rsid w:val="00A045A5"/>
    <w:rsid w:val="00A10309"/>
    <w:rsid w:val="00A15265"/>
    <w:rsid w:val="00A17291"/>
    <w:rsid w:val="00A17EB7"/>
    <w:rsid w:val="00A27011"/>
    <w:rsid w:val="00A3170C"/>
    <w:rsid w:val="00A325D0"/>
    <w:rsid w:val="00A351A9"/>
    <w:rsid w:val="00A45C84"/>
    <w:rsid w:val="00A5102E"/>
    <w:rsid w:val="00A53BA6"/>
    <w:rsid w:val="00A558F4"/>
    <w:rsid w:val="00A56F5C"/>
    <w:rsid w:val="00A61268"/>
    <w:rsid w:val="00A652E2"/>
    <w:rsid w:val="00A67F85"/>
    <w:rsid w:val="00A715C5"/>
    <w:rsid w:val="00A736A5"/>
    <w:rsid w:val="00A73FB4"/>
    <w:rsid w:val="00A77257"/>
    <w:rsid w:val="00A83280"/>
    <w:rsid w:val="00A84A63"/>
    <w:rsid w:val="00A90A5B"/>
    <w:rsid w:val="00A933C9"/>
    <w:rsid w:val="00AA061D"/>
    <w:rsid w:val="00AA3FA3"/>
    <w:rsid w:val="00AB35D2"/>
    <w:rsid w:val="00AB3B1C"/>
    <w:rsid w:val="00AB5217"/>
    <w:rsid w:val="00AE1840"/>
    <w:rsid w:val="00AE6968"/>
    <w:rsid w:val="00AF19E6"/>
    <w:rsid w:val="00AF1EF7"/>
    <w:rsid w:val="00AF3EA0"/>
    <w:rsid w:val="00B00CE2"/>
    <w:rsid w:val="00B024D7"/>
    <w:rsid w:val="00B058EC"/>
    <w:rsid w:val="00B13D8A"/>
    <w:rsid w:val="00B1498F"/>
    <w:rsid w:val="00B15369"/>
    <w:rsid w:val="00B17714"/>
    <w:rsid w:val="00B233B4"/>
    <w:rsid w:val="00B268C9"/>
    <w:rsid w:val="00B273F0"/>
    <w:rsid w:val="00B30569"/>
    <w:rsid w:val="00B42086"/>
    <w:rsid w:val="00B5390B"/>
    <w:rsid w:val="00B54927"/>
    <w:rsid w:val="00B564B1"/>
    <w:rsid w:val="00B62570"/>
    <w:rsid w:val="00B62BD7"/>
    <w:rsid w:val="00B67EC3"/>
    <w:rsid w:val="00B75F63"/>
    <w:rsid w:val="00B7788D"/>
    <w:rsid w:val="00B8182B"/>
    <w:rsid w:val="00B904B3"/>
    <w:rsid w:val="00B90840"/>
    <w:rsid w:val="00B908EF"/>
    <w:rsid w:val="00B90BF3"/>
    <w:rsid w:val="00B951D8"/>
    <w:rsid w:val="00B9704F"/>
    <w:rsid w:val="00BA34E4"/>
    <w:rsid w:val="00BB0749"/>
    <w:rsid w:val="00BB40AC"/>
    <w:rsid w:val="00BB4AD2"/>
    <w:rsid w:val="00BB4E85"/>
    <w:rsid w:val="00BC51BC"/>
    <w:rsid w:val="00BC7A35"/>
    <w:rsid w:val="00BE08F3"/>
    <w:rsid w:val="00BE5183"/>
    <w:rsid w:val="00BF58CB"/>
    <w:rsid w:val="00C11A13"/>
    <w:rsid w:val="00C11A82"/>
    <w:rsid w:val="00C15563"/>
    <w:rsid w:val="00C1786A"/>
    <w:rsid w:val="00C42DD0"/>
    <w:rsid w:val="00C43705"/>
    <w:rsid w:val="00C5243D"/>
    <w:rsid w:val="00C549AD"/>
    <w:rsid w:val="00C5784D"/>
    <w:rsid w:val="00C622C5"/>
    <w:rsid w:val="00C646E7"/>
    <w:rsid w:val="00C65404"/>
    <w:rsid w:val="00C66B1F"/>
    <w:rsid w:val="00C7090A"/>
    <w:rsid w:val="00C7216F"/>
    <w:rsid w:val="00C76121"/>
    <w:rsid w:val="00C811F0"/>
    <w:rsid w:val="00C9037B"/>
    <w:rsid w:val="00C925C1"/>
    <w:rsid w:val="00C94947"/>
    <w:rsid w:val="00C9538E"/>
    <w:rsid w:val="00C95642"/>
    <w:rsid w:val="00CA768B"/>
    <w:rsid w:val="00CB55AC"/>
    <w:rsid w:val="00CC036F"/>
    <w:rsid w:val="00CC63D6"/>
    <w:rsid w:val="00CD3052"/>
    <w:rsid w:val="00CD7B98"/>
    <w:rsid w:val="00CE245F"/>
    <w:rsid w:val="00CE433F"/>
    <w:rsid w:val="00CE4849"/>
    <w:rsid w:val="00CF1892"/>
    <w:rsid w:val="00CF3717"/>
    <w:rsid w:val="00CF419E"/>
    <w:rsid w:val="00CF69FC"/>
    <w:rsid w:val="00CF7D3F"/>
    <w:rsid w:val="00D0714F"/>
    <w:rsid w:val="00D10AD8"/>
    <w:rsid w:val="00D11594"/>
    <w:rsid w:val="00D24E54"/>
    <w:rsid w:val="00D4013E"/>
    <w:rsid w:val="00D4589A"/>
    <w:rsid w:val="00D50E4E"/>
    <w:rsid w:val="00D61334"/>
    <w:rsid w:val="00D6288E"/>
    <w:rsid w:val="00D65F18"/>
    <w:rsid w:val="00D7192F"/>
    <w:rsid w:val="00D7271E"/>
    <w:rsid w:val="00D74ADD"/>
    <w:rsid w:val="00D74BE1"/>
    <w:rsid w:val="00D80814"/>
    <w:rsid w:val="00D83C91"/>
    <w:rsid w:val="00D83D00"/>
    <w:rsid w:val="00D93B0F"/>
    <w:rsid w:val="00D962BC"/>
    <w:rsid w:val="00DB0A57"/>
    <w:rsid w:val="00DB3F62"/>
    <w:rsid w:val="00DB4D6A"/>
    <w:rsid w:val="00DB7BE0"/>
    <w:rsid w:val="00DC1958"/>
    <w:rsid w:val="00DD0813"/>
    <w:rsid w:val="00DE02CA"/>
    <w:rsid w:val="00DE0CFA"/>
    <w:rsid w:val="00DE3014"/>
    <w:rsid w:val="00DE35A1"/>
    <w:rsid w:val="00DF5FE5"/>
    <w:rsid w:val="00E05683"/>
    <w:rsid w:val="00E12DF8"/>
    <w:rsid w:val="00E1368C"/>
    <w:rsid w:val="00E20839"/>
    <w:rsid w:val="00E2441A"/>
    <w:rsid w:val="00E2619C"/>
    <w:rsid w:val="00E2638D"/>
    <w:rsid w:val="00E375C5"/>
    <w:rsid w:val="00E40866"/>
    <w:rsid w:val="00E43F4F"/>
    <w:rsid w:val="00E46059"/>
    <w:rsid w:val="00E51228"/>
    <w:rsid w:val="00E51427"/>
    <w:rsid w:val="00E5222C"/>
    <w:rsid w:val="00E64C7C"/>
    <w:rsid w:val="00E663D4"/>
    <w:rsid w:val="00E668F7"/>
    <w:rsid w:val="00E66C4C"/>
    <w:rsid w:val="00E80070"/>
    <w:rsid w:val="00E80DA1"/>
    <w:rsid w:val="00E8576E"/>
    <w:rsid w:val="00E87C99"/>
    <w:rsid w:val="00E90038"/>
    <w:rsid w:val="00E94747"/>
    <w:rsid w:val="00EA21B9"/>
    <w:rsid w:val="00EB7453"/>
    <w:rsid w:val="00EC103F"/>
    <w:rsid w:val="00EC2515"/>
    <w:rsid w:val="00ED3713"/>
    <w:rsid w:val="00ED6C0F"/>
    <w:rsid w:val="00EE012E"/>
    <w:rsid w:val="00EF416B"/>
    <w:rsid w:val="00F034E8"/>
    <w:rsid w:val="00F052ED"/>
    <w:rsid w:val="00F06D16"/>
    <w:rsid w:val="00F1580C"/>
    <w:rsid w:val="00F21308"/>
    <w:rsid w:val="00F227F0"/>
    <w:rsid w:val="00F30EF4"/>
    <w:rsid w:val="00F367D2"/>
    <w:rsid w:val="00F3710B"/>
    <w:rsid w:val="00F5147F"/>
    <w:rsid w:val="00F52930"/>
    <w:rsid w:val="00F60772"/>
    <w:rsid w:val="00F66AFE"/>
    <w:rsid w:val="00F7141A"/>
    <w:rsid w:val="00F76363"/>
    <w:rsid w:val="00F94263"/>
    <w:rsid w:val="00FA0818"/>
    <w:rsid w:val="00FA2BBE"/>
    <w:rsid w:val="00FA30A3"/>
    <w:rsid w:val="00FB103C"/>
    <w:rsid w:val="00FB29FC"/>
    <w:rsid w:val="00FB2FAF"/>
    <w:rsid w:val="00FC2264"/>
    <w:rsid w:val="00FC2A87"/>
    <w:rsid w:val="00FC2F67"/>
    <w:rsid w:val="00FC4FBA"/>
    <w:rsid w:val="00FD1526"/>
    <w:rsid w:val="00FE71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569"/>
    <w:rPr>
      <w:sz w:val="24"/>
      <w:szCs w:val="20"/>
    </w:rPr>
  </w:style>
  <w:style w:type="paragraph" w:styleId="Heading1">
    <w:name w:val="heading 1"/>
    <w:basedOn w:val="Normal"/>
    <w:next w:val="Normal"/>
    <w:link w:val="Heading1Char"/>
    <w:uiPriority w:val="99"/>
    <w:qFormat/>
    <w:rsid w:val="00D7192F"/>
    <w:pPr>
      <w:keepNext/>
      <w:outlineLvl w:val="0"/>
    </w:pPr>
    <w:rPr>
      <w:u w:val="single"/>
    </w:rPr>
  </w:style>
  <w:style w:type="paragraph" w:styleId="Heading2">
    <w:name w:val="heading 2"/>
    <w:basedOn w:val="Normal"/>
    <w:next w:val="Normal"/>
    <w:link w:val="Heading2Char"/>
    <w:uiPriority w:val="99"/>
    <w:qFormat/>
    <w:rsid w:val="00D7192F"/>
    <w:pPr>
      <w:keepNext/>
      <w:spacing w:before="120" w:after="60"/>
      <w:outlineLvl w:val="1"/>
    </w:pPr>
    <w:rPr>
      <w:rFonts w:ascii="Arial" w:hAnsi="Arial"/>
      <w:b/>
      <w:sz w:val="22"/>
    </w:rPr>
  </w:style>
  <w:style w:type="paragraph" w:styleId="Heading3">
    <w:name w:val="heading 3"/>
    <w:basedOn w:val="Normal"/>
    <w:next w:val="Normal"/>
    <w:link w:val="Heading3Char"/>
    <w:uiPriority w:val="99"/>
    <w:qFormat/>
    <w:rsid w:val="00D7192F"/>
    <w:pPr>
      <w:keepNext/>
      <w:jc w:val="center"/>
      <w:outlineLvl w:val="2"/>
    </w:pPr>
    <w:rPr>
      <w:rFonts w:ascii="Arial" w:hAnsi="Arial"/>
      <w:b/>
      <w:sz w:val="20"/>
    </w:rPr>
  </w:style>
  <w:style w:type="paragraph" w:styleId="Heading4">
    <w:name w:val="heading 4"/>
    <w:basedOn w:val="Normal"/>
    <w:next w:val="Normal"/>
    <w:link w:val="Heading4Char"/>
    <w:uiPriority w:val="99"/>
    <w:qFormat/>
    <w:rsid w:val="00D7192F"/>
    <w:pPr>
      <w:keepNext/>
      <w:outlineLvl w:val="3"/>
    </w:pPr>
    <w:rPr>
      <w:b/>
    </w:rPr>
  </w:style>
  <w:style w:type="paragraph" w:styleId="Heading5">
    <w:name w:val="heading 5"/>
    <w:basedOn w:val="Normal"/>
    <w:next w:val="Normal"/>
    <w:link w:val="Heading5Char"/>
    <w:uiPriority w:val="99"/>
    <w:qFormat/>
    <w:rsid w:val="00D7192F"/>
    <w:pPr>
      <w:keepNext/>
      <w:numPr>
        <w:numId w:val="5"/>
      </w:numPr>
      <w:ind w:left="720" w:right="892" w:firstLine="0"/>
      <w:outlineLvl w:val="4"/>
    </w:pPr>
    <w:rPr>
      <w:b/>
    </w:rPr>
  </w:style>
  <w:style w:type="paragraph" w:styleId="Heading6">
    <w:name w:val="heading 6"/>
    <w:basedOn w:val="Normal"/>
    <w:next w:val="Normal"/>
    <w:link w:val="Heading6Char"/>
    <w:uiPriority w:val="99"/>
    <w:qFormat/>
    <w:rsid w:val="00D7192F"/>
    <w:pPr>
      <w:keepNext/>
      <w:ind w:left="720"/>
      <w:outlineLvl w:val="5"/>
    </w:pPr>
    <w:rPr>
      <w:u w:val="single"/>
    </w:rPr>
  </w:style>
  <w:style w:type="paragraph" w:styleId="Heading7">
    <w:name w:val="heading 7"/>
    <w:basedOn w:val="Normal"/>
    <w:next w:val="Normal"/>
    <w:link w:val="Heading7Char"/>
    <w:uiPriority w:val="99"/>
    <w:qFormat/>
    <w:rsid w:val="00D7192F"/>
    <w:pPr>
      <w:keepNext/>
      <w:numPr>
        <w:numId w:val="7"/>
      </w:numPr>
      <w:outlineLvl w:val="6"/>
    </w:pPr>
    <w:rPr>
      <w:b/>
    </w:rPr>
  </w:style>
  <w:style w:type="paragraph" w:styleId="Heading8">
    <w:name w:val="heading 8"/>
    <w:basedOn w:val="Normal"/>
    <w:next w:val="Normal"/>
    <w:link w:val="Heading8Char"/>
    <w:uiPriority w:val="99"/>
    <w:qFormat/>
    <w:rsid w:val="00D7192F"/>
    <w:pPr>
      <w:keepNext/>
      <w:outlineLvl w:val="7"/>
    </w:pPr>
    <w:rPr>
      <w:rFonts w:ascii="Arial" w:hAnsi="Arial"/>
      <w:color w:val="FF0000"/>
      <w:sz w:val="28"/>
    </w:rPr>
  </w:style>
  <w:style w:type="paragraph" w:styleId="Heading9">
    <w:name w:val="heading 9"/>
    <w:basedOn w:val="Normal"/>
    <w:next w:val="Normal"/>
    <w:link w:val="Heading9Char"/>
    <w:uiPriority w:val="99"/>
    <w:qFormat/>
    <w:rsid w:val="00D7192F"/>
    <w:pPr>
      <w:keepNext/>
      <w:jc w:val="center"/>
      <w:outlineLvl w:val="8"/>
    </w:pPr>
    <w:rPr>
      <w:b/>
      <w:color w:val="FF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5B063F"/>
    <w:rPr>
      <w:rFonts w:ascii="Arial" w:hAnsi="Arial" w:cs="Times New Roman"/>
      <w:b/>
      <w:sz w:val="22"/>
      <w:lang w:val="en-US" w:eastAsia="en-US"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locked/>
    <w:rPr>
      <w:b/>
      <w:sz w:val="24"/>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locked/>
    <w:rPr>
      <w:b/>
      <w:sz w:val="24"/>
      <w:szCs w:val="20"/>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odyText">
    <w:name w:val="Body Text"/>
    <w:basedOn w:val="Normal"/>
    <w:link w:val="BodyTextChar"/>
    <w:uiPriority w:val="99"/>
    <w:rsid w:val="00D7192F"/>
    <w:pPr>
      <w:jc w:val="center"/>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D7192F"/>
    <w:pPr>
      <w:ind w:firstLine="72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FootnoteText">
    <w:name w:val="footnote text"/>
    <w:aliases w:val="F1,Footnote Text Char1,Footnote Text Char Char,fn,ft,figure or table,Footnote Text r,Char"/>
    <w:basedOn w:val="Normal"/>
    <w:link w:val="FootnoteTextChar"/>
    <w:uiPriority w:val="99"/>
    <w:semiHidden/>
    <w:rsid w:val="00D7192F"/>
    <w:rPr>
      <w:sz w:val="20"/>
    </w:rPr>
  </w:style>
  <w:style w:type="character" w:customStyle="1" w:styleId="FootnoteTextChar">
    <w:name w:val="Footnote Text Char"/>
    <w:aliases w:val="F1 Char,Footnote Text Char1 Char,Footnote Text Char Char Char,fn Char,ft Char,figure or table Char,Footnote Text r Char,Char Char"/>
    <w:basedOn w:val="DefaultParagraphFont"/>
    <w:link w:val="FootnoteText"/>
    <w:uiPriority w:val="99"/>
    <w:semiHidden/>
    <w:locked/>
    <w:rsid w:val="00B67EC3"/>
    <w:rPr>
      <w:rFonts w:cs="Times New Roman"/>
    </w:rPr>
  </w:style>
  <w:style w:type="character" w:styleId="FootnoteReference">
    <w:name w:val="footnote reference"/>
    <w:basedOn w:val="DefaultParagraphFont"/>
    <w:uiPriority w:val="99"/>
    <w:semiHidden/>
    <w:rsid w:val="00D7192F"/>
    <w:rPr>
      <w:rFonts w:cs="Times New Roman"/>
      <w:vertAlign w:val="superscript"/>
    </w:rPr>
  </w:style>
  <w:style w:type="paragraph" w:customStyle="1" w:styleId="exhibitbullets">
    <w:name w:val="exhibit bullets"/>
    <w:basedOn w:val="Normal"/>
    <w:uiPriority w:val="99"/>
    <w:rsid w:val="00D7192F"/>
    <w:pPr>
      <w:numPr>
        <w:numId w:val="6"/>
      </w:numPr>
    </w:pPr>
  </w:style>
  <w:style w:type="paragraph" w:styleId="BodyText2">
    <w:name w:val="Body Text 2"/>
    <w:basedOn w:val="Normal"/>
    <w:link w:val="BodyText2Char"/>
    <w:uiPriority w:val="99"/>
    <w:rsid w:val="00D7192F"/>
    <w:pPr>
      <w:ind w:right="892"/>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lockText">
    <w:name w:val="Block Text"/>
    <w:basedOn w:val="Normal"/>
    <w:uiPriority w:val="99"/>
    <w:rsid w:val="00D7192F"/>
    <w:pPr>
      <w:ind w:left="720" w:right="892"/>
    </w:pPr>
  </w:style>
  <w:style w:type="paragraph" w:styleId="BodyTextIndent2">
    <w:name w:val="Body Text Indent 2"/>
    <w:basedOn w:val="Normal"/>
    <w:link w:val="BodyTextIndent2Char"/>
    <w:uiPriority w:val="99"/>
    <w:rsid w:val="00D7192F"/>
    <w:pPr>
      <w:ind w:left="1440" w:hanging="720"/>
    </w:pPr>
    <w:rPr>
      <w:u w:val="single"/>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Footer">
    <w:name w:val="footer"/>
    <w:basedOn w:val="Normal"/>
    <w:link w:val="FooterChar"/>
    <w:uiPriority w:val="99"/>
    <w:rsid w:val="00D7192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Header">
    <w:name w:val="header"/>
    <w:basedOn w:val="Normal"/>
    <w:link w:val="HeaderChar"/>
    <w:uiPriority w:val="99"/>
    <w:rsid w:val="00D7192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Indent3">
    <w:name w:val="Body Text Indent 3"/>
    <w:basedOn w:val="Normal"/>
    <w:link w:val="BodyTextIndent3Char"/>
    <w:uiPriority w:val="99"/>
    <w:rsid w:val="00D7192F"/>
    <w:pPr>
      <w:ind w:left="432" w:firstLine="288"/>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Title">
    <w:name w:val="Title"/>
    <w:basedOn w:val="Normal"/>
    <w:link w:val="TitleChar"/>
    <w:uiPriority w:val="99"/>
    <w:qFormat/>
    <w:rsid w:val="00D7192F"/>
    <w:pPr>
      <w:spacing w:line="280" w:lineRule="atLeast"/>
      <w:ind w:right="-180"/>
      <w:jc w:val="center"/>
    </w:pPr>
    <w:rPr>
      <w:rFonts w:ascii="Arial" w:hAnsi="Arial"/>
      <w:b/>
      <w:color w:val="00000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Reference">
    <w:name w:val="Reference"/>
    <w:basedOn w:val="Normal"/>
    <w:uiPriority w:val="99"/>
    <w:rsid w:val="00D7192F"/>
    <w:pPr>
      <w:spacing w:before="120" w:after="120" w:line="280" w:lineRule="exact"/>
      <w:ind w:left="360" w:hanging="360"/>
    </w:pPr>
  </w:style>
  <w:style w:type="paragraph" w:styleId="BodyText3">
    <w:name w:val="Body Text 3"/>
    <w:basedOn w:val="Normal"/>
    <w:link w:val="BodyText3Char"/>
    <w:uiPriority w:val="99"/>
    <w:rsid w:val="00D7192F"/>
    <w:rPr>
      <w:rFonts w:ascii="Arial" w:hAnsi="Arial"/>
      <w:sz w:val="16"/>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PageNumber">
    <w:name w:val="page number"/>
    <w:basedOn w:val="DefaultParagraphFont"/>
    <w:uiPriority w:val="99"/>
    <w:rsid w:val="00D7192F"/>
    <w:rPr>
      <w:rFonts w:cs="Times New Roman"/>
    </w:rPr>
  </w:style>
  <w:style w:type="character" w:styleId="Hyperlink">
    <w:name w:val="Hyperlink"/>
    <w:basedOn w:val="DefaultParagraphFont"/>
    <w:uiPriority w:val="99"/>
    <w:rsid w:val="00D7192F"/>
    <w:rPr>
      <w:rFonts w:cs="Times New Roman"/>
      <w:color w:val="0000FF"/>
      <w:u w:val="single"/>
    </w:rPr>
  </w:style>
  <w:style w:type="paragraph" w:customStyle="1" w:styleId="Bullet">
    <w:name w:val="Bullet"/>
    <w:basedOn w:val="Normal"/>
    <w:uiPriority w:val="99"/>
    <w:rsid w:val="00D7192F"/>
    <w:pPr>
      <w:tabs>
        <w:tab w:val="num" w:pos="0"/>
      </w:tabs>
      <w:spacing w:before="60"/>
      <w:ind w:left="907" w:hanging="360"/>
    </w:pPr>
  </w:style>
  <w:style w:type="paragraph" w:customStyle="1" w:styleId="TextIndent">
    <w:name w:val="Text Indent"/>
    <w:basedOn w:val="Normal"/>
    <w:uiPriority w:val="99"/>
    <w:rsid w:val="00D7192F"/>
    <w:pPr>
      <w:ind w:firstLine="360"/>
    </w:pPr>
  </w:style>
  <w:style w:type="paragraph" w:customStyle="1" w:styleId="ExhibitTitle">
    <w:name w:val="Exhibit Title"/>
    <w:basedOn w:val="Normal"/>
    <w:uiPriority w:val="99"/>
    <w:rsid w:val="00D7192F"/>
    <w:pPr>
      <w:jc w:val="center"/>
    </w:pPr>
    <w:rPr>
      <w:rFonts w:ascii="Arial" w:hAnsi="Arial"/>
    </w:rPr>
  </w:style>
  <w:style w:type="character" w:styleId="FollowedHyperlink">
    <w:name w:val="FollowedHyperlink"/>
    <w:basedOn w:val="DefaultParagraphFont"/>
    <w:uiPriority w:val="99"/>
    <w:rsid w:val="00D7192F"/>
    <w:rPr>
      <w:rFonts w:cs="Times New Roman"/>
      <w:color w:val="800080"/>
      <w:u w:val="single"/>
    </w:rPr>
  </w:style>
  <w:style w:type="character" w:styleId="Strong">
    <w:name w:val="Strong"/>
    <w:basedOn w:val="DefaultParagraphFont"/>
    <w:uiPriority w:val="99"/>
    <w:qFormat/>
    <w:rsid w:val="00D7192F"/>
    <w:rPr>
      <w:rFonts w:cs="Times New Roman"/>
      <w:b/>
    </w:rPr>
  </w:style>
  <w:style w:type="paragraph" w:customStyle="1" w:styleId="Heading3b">
    <w:name w:val="Heading 3b"/>
    <w:basedOn w:val="Normal"/>
    <w:next w:val="Normal"/>
    <w:uiPriority w:val="99"/>
    <w:rsid w:val="00D7192F"/>
    <w:pPr>
      <w:tabs>
        <w:tab w:val="left" w:pos="720"/>
      </w:tabs>
      <w:spacing w:before="60" w:after="60"/>
    </w:pPr>
    <w:rPr>
      <w:rFonts w:ascii="Arial" w:hAnsi="Arial"/>
    </w:rPr>
  </w:style>
  <w:style w:type="paragraph" w:customStyle="1" w:styleId="HTMLBody">
    <w:name w:val="HTML Body"/>
    <w:uiPriority w:val="99"/>
    <w:rsid w:val="00D7192F"/>
    <w:rPr>
      <w:rFonts w:ascii="Arial" w:hAnsi="Arial"/>
      <w:sz w:val="20"/>
      <w:szCs w:val="20"/>
    </w:rPr>
  </w:style>
  <w:style w:type="paragraph" w:styleId="BalloonText">
    <w:name w:val="Balloon Text"/>
    <w:basedOn w:val="Normal"/>
    <w:link w:val="BalloonTextChar"/>
    <w:uiPriority w:val="99"/>
    <w:semiHidden/>
    <w:rsid w:val="00D7192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D7192F"/>
    <w:rPr>
      <w:rFonts w:cs="Times New Roman"/>
      <w:sz w:val="16"/>
      <w:szCs w:val="16"/>
    </w:rPr>
  </w:style>
  <w:style w:type="paragraph" w:styleId="CommentText">
    <w:name w:val="annotation text"/>
    <w:basedOn w:val="Normal"/>
    <w:link w:val="CommentTextChar"/>
    <w:uiPriority w:val="99"/>
    <w:semiHidden/>
    <w:rsid w:val="00D7192F"/>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7192F"/>
    <w:rPr>
      <w:b/>
      <w:bCs/>
    </w:rPr>
  </w:style>
  <w:style w:type="character" w:customStyle="1" w:styleId="CommentSubjectChar">
    <w:name w:val="Comment Subject Char"/>
    <w:basedOn w:val="CommentTextChar"/>
    <w:link w:val="CommentSubject"/>
    <w:uiPriority w:val="99"/>
    <w:semiHidden/>
    <w:locked/>
    <w:rPr>
      <w:b/>
      <w:bCs/>
    </w:rPr>
  </w:style>
  <w:style w:type="paragraph" w:styleId="HTMLPreformatted">
    <w:name w:val="HTML Preformatted"/>
    <w:basedOn w:val="Normal"/>
    <w:link w:val="HTMLPreformattedChar"/>
    <w:uiPriority w:val="99"/>
    <w:rsid w:val="00D71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customStyle="1" w:styleId="Bullet1">
    <w:name w:val="Bullet1"/>
    <w:basedOn w:val="Normal"/>
    <w:uiPriority w:val="99"/>
    <w:rsid w:val="00D7192F"/>
    <w:pPr>
      <w:numPr>
        <w:numId w:val="8"/>
      </w:numPr>
    </w:pPr>
    <w:rPr>
      <w:b/>
    </w:rPr>
  </w:style>
  <w:style w:type="paragraph" w:styleId="List">
    <w:name w:val="List"/>
    <w:basedOn w:val="Normal"/>
    <w:uiPriority w:val="99"/>
    <w:rsid w:val="00D7192F"/>
    <w:pPr>
      <w:ind w:left="360" w:hanging="360"/>
    </w:pPr>
  </w:style>
  <w:style w:type="paragraph" w:styleId="List2">
    <w:name w:val="List 2"/>
    <w:basedOn w:val="Normal"/>
    <w:uiPriority w:val="99"/>
    <w:rsid w:val="00D7192F"/>
    <w:pPr>
      <w:ind w:left="720" w:hanging="360"/>
    </w:pPr>
  </w:style>
  <w:style w:type="paragraph" w:styleId="Closing">
    <w:name w:val="Closing"/>
    <w:basedOn w:val="Normal"/>
    <w:link w:val="ClosingChar"/>
    <w:uiPriority w:val="99"/>
    <w:rsid w:val="00D7192F"/>
    <w:pPr>
      <w:ind w:left="4320"/>
    </w:pPr>
  </w:style>
  <w:style w:type="character" w:customStyle="1" w:styleId="ClosingChar">
    <w:name w:val="Closing Char"/>
    <w:basedOn w:val="DefaultParagraphFont"/>
    <w:link w:val="Closing"/>
    <w:uiPriority w:val="99"/>
    <w:semiHidden/>
    <w:locked/>
    <w:rPr>
      <w:rFonts w:cs="Times New Roman"/>
      <w:sz w:val="20"/>
      <w:szCs w:val="20"/>
    </w:rPr>
  </w:style>
  <w:style w:type="paragraph" w:styleId="Date">
    <w:name w:val="Date"/>
    <w:basedOn w:val="Normal"/>
    <w:next w:val="Normal"/>
    <w:link w:val="DateChar"/>
    <w:uiPriority w:val="99"/>
    <w:rsid w:val="00D7192F"/>
  </w:style>
  <w:style w:type="character" w:customStyle="1" w:styleId="DateChar">
    <w:name w:val="Date Char"/>
    <w:basedOn w:val="DefaultParagraphFont"/>
    <w:link w:val="Date"/>
    <w:uiPriority w:val="99"/>
    <w:semiHidden/>
    <w:locked/>
    <w:rPr>
      <w:rFonts w:cs="Times New Roman"/>
      <w:sz w:val="20"/>
      <w:szCs w:val="20"/>
    </w:rPr>
  </w:style>
  <w:style w:type="paragraph" w:styleId="ListBullet2">
    <w:name w:val="List Bullet 2"/>
    <w:basedOn w:val="Normal"/>
    <w:autoRedefine/>
    <w:uiPriority w:val="99"/>
    <w:rsid w:val="00D7192F"/>
    <w:pPr>
      <w:numPr>
        <w:numId w:val="6"/>
      </w:numPr>
      <w:tabs>
        <w:tab w:val="clear" w:pos="600"/>
        <w:tab w:val="num" w:pos="720"/>
      </w:tabs>
      <w:ind w:left="720"/>
    </w:pPr>
  </w:style>
  <w:style w:type="paragraph" w:customStyle="1" w:styleId="InsideAddress">
    <w:name w:val="Inside Address"/>
    <w:basedOn w:val="Normal"/>
    <w:uiPriority w:val="99"/>
    <w:rsid w:val="00D7192F"/>
  </w:style>
  <w:style w:type="paragraph" w:styleId="Caption">
    <w:name w:val="caption"/>
    <w:basedOn w:val="Normal"/>
    <w:next w:val="Normal"/>
    <w:uiPriority w:val="99"/>
    <w:qFormat/>
    <w:rsid w:val="00D7192F"/>
    <w:pPr>
      <w:spacing w:before="120" w:after="120"/>
    </w:pPr>
    <w:rPr>
      <w:b/>
      <w:bCs/>
      <w:sz w:val="20"/>
    </w:rPr>
  </w:style>
  <w:style w:type="paragraph" w:styleId="Signature">
    <w:name w:val="Signature"/>
    <w:basedOn w:val="Normal"/>
    <w:link w:val="SignatureChar"/>
    <w:uiPriority w:val="99"/>
    <w:rsid w:val="00D7192F"/>
    <w:pPr>
      <w:ind w:left="4320"/>
    </w:pPr>
  </w:style>
  <w:style w:type="character" w:customStyle="1" w:styleId="SignatureChar">
    <w:name w:val="Signature Char"/>
    <w:basedOn w:val="DefaultParagraphFont"/>
    <w:link w:val="Signature"/>
    <w:uiPriority w:val="99"/>
    <w:semiHidden/>
    <w:locked/>
    <w:rPr>
      <w:rFonts w:cs="Times New Roman"/>
      <w:sz w:val="20"/>
      <w:szCs w:val="20"/>
    </w:rPr>
  </w:style>
  <w:style w:type="paragraph" w:customStyle="1" w:styleId="SignatureJobTitle">
    <w:name w:val="Signature Job Title"/>
    <w:basedOn w:val="Signature"/>
    <w:uiPriority w:val="99"/>
    <w:rsid w:val="00D7192F"/>
  </w:style>
  <w:style w:type="paragraph" w:customStyle="1" w:styleId="SignatureCompany">
    <w:name w:val="Signature Company"/>
    <w:basedOn w:val="Signature"/>
    <w:uiPriority w:val="99"/>
    <w:rsid w:val="00D7192F"/>
  </w:style>
  <w:style w:type="paragraph" w:customStyle="1" w:styleId="ReferenceLine">
    <w:name w:val="Reference Line"/>
    <w:basedOn w:val="BodyText"/>
    <w:uiPriority w:val="99"/>
    <w:rsid w:val="00D7192F"/>
  </w:style>
  <w:style w:type="paragraph" w:customStyle="1" w:styleId="Text">
    <w:name w:val="Text"/>
    <w:aliases w:val="t,p,standard paragraph,paragraph,ph,Page Heading,Induction Text"/>
    <w:basedOn w:val="Normal"/>
    <w:link w:val="TextChar"/>
    <w:uiPriority w:val="99"/>
    <w:rsid w:val="00373790"/>
    <w:pPr>
      <w:spacing w:after="160" w:line="360" w:lineRule="exact"/>
      <w:ind w:firstLine="360"/>
    </w:pPr>
  </w:style>
  <w:style w:type="paragraph" w:styleId="NormalWeb">
    <w:name w:val="Normal (Web)"/>
    <w:basedOn w:val="Normal"/>
    <w:uiPriority w:val="99"/>
    <w:rsid w:val="005B063F"/>
    <w:pPr>
      <w:spacing w:before="100" w:beforeAutospacing="1" w:after="100" w:afterAutospacing="1"/>
    </w:pPr>
    <w:rPr>
      <w:szCs w:val="24"/>
    </w:rPr>
  </w:style>
  <w:style w:type="character" w:customStyle="1" w:styleId="headerslevel21">
    <w:name w:val="headerslevel21"/>
    <w:basedOn w:val="DefaultParagraphFont"/>
    <w:uiPriority w:val="99"/>
    <w:rsid w:val="00946034"/>
    <w:rPr>
      <w:rFonts w:ascii="Verdana" w:hAnsi="Verdana" w:cs="Times New Roman"/>
      <w:b/>
      <w:bCs/>
      <w:caps/>
      <w:color w:val="333333"/>
      <w:sz w:val="20"/>
      <w:szCs w:val="20"/>
    </w:rPr>
  </w:style>
  <w:style w:type="character" w:customStyle="1" w:styleId="contenttext1">
    <w:name w:val="contenttext1"/>
    <w:basedOn w:val="DefaultParagraphFont"/>
    <w:uiPriority w:val="99"/>
    <w:rsid w:val="00946034"/>
    <w:rPr>
      <w:rFonts w:ascii="Verdana" w:hAnsi="Verdana" w:cs="Times New Roman"/>
      <w:color w:val="444444"/>
      <w:sz w:val="20"/>
      <w:szCs w:val="20"/>
    </w:rPr>
  </w:style>
  <w:style w:type="character" w:customStyle="1" w:styleId="TextChar">
    <w:name w:val="Text Char"/>
    <w:basedOn w:val="DefaultParagraphFont"/>
    <w:link w:val="Text"/>
    <w:uiPriority w:val="99"/>
    <w:locked/>
    <w:rsid w:val="00557F36"/>
    <w:rPr>
      <w:rFonts w:cs="Times New Roman"/>
      <w:sz w:val="24"/>
      <w:lang w:val="en-US" w:eastAsia="en-US" w:bidi="ar-SA"/>
    </w:rPr>
  </w:style>
  <w:style w:type="character" w:customStyle="1" w:styleId="title0">
    <w:name w:val="title"/>
    <w:basedOn w:val="DefaultParagraphFont"/>
    <w:uiPriority w:val="99"/>
    <w:rsid w:val="00255F2E"/>
    <w:rPr>
      <w:rFonts w:cs="Times New Roman"/>
    </w:rPr>
  </w:style>
  <w:style w:type="character" w:customStyle="1" w:styleId="content">
    <w:name w:val="content"/>
    <w:basedOn w:val="DefaultParagraphFont"/>
    <w:uiPriority w:val="99"/>
    <w:rsid w:val="00255F2E"/>
    <w:rPr>
      <w:rFonts w:cs="Times New Roman"/>
    </w:rPr>
  </w:style>
  <w:style w:type="paragraph" w:customStyle="1" w:styleId="ParagraphSSLAST">
    <w:name w:val="ParagraphSS (LAST)"/>
    <w:basedOn w:val="Normal"/>
    <w:next w:val="Normal"/>
    <w:uiPriority w:val="99"/>
    <w:rsid w:val="00F21308"/>
    <w:pPr>
      <w:tabs>
        <w:tab w:val="left" w:pos="432"/>
      </w:tabs>
      <w:spacing w:after="360"/>
      <w:ind w:firstLine="432"/>
      <w:jc w:val="both"/>
    </w:pPr>
  </w:style>
  <w:style w:type="table" w:styleId="TableGrid">
    <w:name w:val="Table Grid"/>
    <w:basedOn w:val="TableNormal"/>
    <w:uiPriority w:val="99"/>
    <w:rsid w:val="005A78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B7F3E"/>
    <w:pPr>
      <w:tabs>
        <w:tab w:val="left" w:pos="432"/>
      </w:tabs>
      <w:ind w:firstLine="432"/>
      <w:jc w:val="both"/>
    </w:pPr>
  </w:style>
  <w:style w:type="paragraph" w:customStyle="1" w:styleId="MarkforTable">
    <w:name w:val="Mark for Table"/>
    <w:next w:val="Normal"/>
    <w:uiPriority w:val="99"/>
    <w:rsid w:val="008B7F3E"/>
    <w:pPr>
      <w:spacing w:line="480" w:lineRule="auto"/>
      <w:jc w:val="center"/>
    </w:pPr>
    <w:rPr>
      <w:caps/>
      <w:sz w:val="24"/>
      <w:szCs w:val="20"/>
    </w:rPr>
  </w:style>
  <w:style w:type="paragraph" w:customStyle="1" w:styleId="ExhibitNumber">
    <w:name w:val="Exhibit Number"/>
    <w:basedOn w:val="Normal"/>
    <w:next w:val="Normal"/>
    <w:link w:val="ExhibitNumberChar"/>
    <w:uiPriority w:val="99"/>
    <w:rsid w:val="004C4F9D"/>
    <w:pPr>
      <w:keepNext/>
      <w:numPr>
        <w:ilvl w:val="12"/>
      </w:numPr>
      <w:spacing w:before="120" w:line="280" w:lineRule="exact"/>
      <w:jc w:val="center"/>
      <w:outlineLvl w:val="3"/>
    </w:pPr>
    <w:rPr>
      <w:rFonts w:ascii="Arial" w:hAnsi="Arial"/>
      <w:b/>
      <w:sz w:val="22"/>
    </w:rPr>
  </w:style>
  <w:style w:type="character" w:customStyle="1" w:styleId="ExhibitNumberChar">
    <w:name w:val="Exhibit Number Char"/>
    <w:basedOn w:val="DefaultParagraphFont"/>
    <w:link w:val="ExhibitNumber"/>
    <w:uiPriority w:val="99"/>
    <w:locked/>
    <w:rsid w:val="004C4F9D"/>
    <w:rPr>
      <w:rFonts w:ascii="Arial" w:hAnsi="Arial" w:cs="Times New Roman"/>
      <w:b/>
      <w:sz w:val="22"/>
      <w:lang w:val="en-US" w:eastAsia="en-US" w:bidi="ar-SA"/>
    </w:rPr>
  </w:style>
  <w:style w:type="paragraph" w:styleId="DocumentMap">
    <w:name w:val="Document Map"/>
    <w:basedOn w:val="Normal"/>
    <w:link w:val="DocumentMapChar"/>
    <w:uiPriority w:val="99"/>
    <w:semiHidden/>
    <w:rsid w:val="00042C8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TOC2">
    <w:name w:val="toc 2"/>
    <w:basedOn w:val="Normal"/>
    <w:next w:val="Normal"/>
    <w:autoRedefine/>
    <w:uiPriority w:val="99"/>
    <w:rsid w:val="00E12DF8"/>
    <w:pPr>
      <w:tabs>
        <w:tab w:val="left" w:pos="360"/>
        <w:tab w:val="right" w:leader="dot" w:pos="9360"/>
      </w:tabs>
    </w:pPr>
  </w:style>
  <w:style w:type="paragraph" w:styleId="TOC1">
    <w:name w:val="toc 1"/>
    <w:basedOn w:val="Normal"/>
    <w:next w:val="Normal"/>
    <w:autoRedefine/>
    <w:uiPriority w:val="99"/>
    <w:rsid w:val="000E64B4"/>
  </w:style>
  <w:style w:type="paragraph" w:styleId="TOC3">
    <w:name w:val="toc 3"/>
    <w:basedOn w:val="Normal"/>
    <w:next w:val="Normal"/>
    <w:autoRedefine/>
    <w:uiPriority w:val="99"/>
    <w:rsid w:val="00E12DF8"/>
    <w:pPr>
      <w:tabs>
        <w:tab w:val="right" w:leader="dot" w:pos="9360"/>
      </w:tabs>
      <w:ind w:left="360"/>
    </w:pPr>
  </w:style>
  <w:style w:type="character" w:customStyle="1" w:styleId="contenttext">
    <w:name w:val="contenttext"/>
    <w:basedOn w:val="DefaultParagraphFont"/>
    <w:uiPriority w:val="99"/>
    <w:rsid w:val="00AB3B1C"/>
    <w:rPr>
      <w:rFonts w:cs="Times New Roman"/>
    </w:rPr>
  </w:style>
  <w:style w:type="character" w:customStyle="1" w:styleId="moz-txt-tag">
    <w:name w:val="moz-txt-tag"/>
    <w:basedOn w:val="DefaultParagraphFont"/>
    <w:uiPriority w:val="99"/>
    <w:rsid w:val="00B00CE2"/>
    <w:rPr>
      <w:rFonts w:cs="Times New Roman"/>
    </w:rPr>
  </w:style>
  <w:style w:type="paragraph" w:customStyle="1" w:styleId="ExhibitTitle-KIPP">
    <w:name w:val="Exhibit Title-KIPP"/>
    <w:basedOn w:val="Normal"/>
    <w:uiPriority w:val="99"/>
    <w:rsid w:val="00C42DD0"/>
    <w:pPr>
      <w:spacing w:after="120"/>
      <w:jc w:val="center"/>
    </w:pPr>
    <w:rPr>
      <w:rFonts w:ascii="Arial" w:hAnsi="Arial" w:cs="Arial"/>
      <w:b/>
      <w:sz w:val="22"/>
      <w:szCs w:val="22"/>
    </w:rPr>
  </w:style>
  <w:style w:type="paragraph" w:styleId="ListParagraph">
    <w:name w:val="List Paragraph"/>
    <w:basedOn w:val="Normal"/>
    <w:uiPriority w:val="99"/>
    <w:qFormat/>
    <w:rsid w:val="00706F29"/>
    <w:pPr>
      <w:ind w:left="720"/>
      <w:contextualSpacing/>
    </w:pPr>
  </w:style>
  <w:style w:type="paragraph" w:customStyle="1" w:styleId="StyleHeading1forTIFOMB">
    <w:name w:val="Style Heading 1 for TIF OMB"/>
    <w:basedOn w:val="Heading1"/>
    <w:uiPriority w:val="99"/>
    <w:rsid w:val="00E12DF8"/>
    <w:pPr>
      <w:spacing w:after="120"/>
    </w:pPr>
    <w:rPr>
      <w:rFonts w:ascii="Arial" w:hAnsi="Arial"/>
      <w:b/>
      <w:bCs/>
      <w:caps/>
      <w:u w:val="none"/>
    </w:rPr>
  </w:style>
</w:styles>
</file>

<file path=word/webSettings.xml><?xml version="1.0" encoding="utf-8"?>
<w:webSettings xmlns:r="http://schemas.openxmlformats.org/officeDocument/2006/relationships" xmlns:w="http://schemas.openxmlformats.org/wordprocessingml/2006/main">
  <w:divs>
    <w:div w:id="199783869">
      <w:marLeft w:val="0"/>
      <w:marRight w:val="0"/>
      <w:marTop w:val="0"/>
      <w:marBottom w:val="0"/>
      <w:divBdr>
        <w:top w:val="none" w:sz="0" w:space="0" w:color="auto"/>
        <w:left w:val="none" w:sz="0" w:space="0" w:color="auto"/>
        <w:bottom w:val="none" w:sz="0" w:space="0" w:color="auto"/>
        <w:right w:val="none" w:sz="0" w:space="0" w:color="auto"/>
      </w:divBdr>
    </w:div>
    <w:div w:id="199783870">
      <w:marLeft w:val="0"/>
      <w:marRight w:val="0"/>
      <w:marTop w:val="0"/>
      <w:marBottom w:val="0"/>
      <w:divBdr>
        <w:top w:val="none" w:sz="0" w:space="0" w:color="auto"/>
        <w:left w:val="none" w:sz="0" w:space="0" w:color="auto"/>
        <w:bottom w:val="none" w:sz="0" w:space="0" w:color="auto"/>
        <w:right w:val="none" w:sz="0" w:space="0" w:color="auto"/>
      </w:divBdr>
    </w:div>
    <w:div w:id="199783871">
      <w:marLeft w:val="0"/>
      <w:marRight w:val="0"/>
      <w:marTop w:val="0"/>
      <w:marBottom w:val="0"/>
      <w:divBdr>
        <w:top w:val="none" w:sz="0" w:space="0" w:color="auto"/>
        <w:left w:val="none" w:sz="0" w:space="0" w:color="auto"/>
        <w:bottom w:val="none" w:sz="0" w:space="0" w:color="auto"/>
        <w:right w:val="none" w:sz="0" w:space="0" w:color="auto"/>
      </w:divBdr>
    </w:div>
    <w:div w:id="199783875">
      <w:marLeft w:val="0"/>
      <w:marRight w:val="0"/>
      <w:marTop w:val="0"/>
      <w:marBottom w:val="0"/>
      <w:divBdr>
        <w:top w:val="none" w:sz="0" w:space="0" w:color="auto"/>
        <w:left w:val="none" w:sz="0" w:space="0" w:color="auto"/>
        <w:bottom w:val="none" w:sz="0" w:space="0" w:color="auto"/>
        <w:right w:val="none" w:sz="0" w:space="0" w:color="auto"/>
      </w:divBdr>
    </w:div>
    <w:div w:id="199783877">
      <w:marLeft w:val="0"/>
      <w:marRight w:val="0"/>
      <w:marTop w:val="0"/>
      <w:marBottom w:val="0"/>
      <w:divBdr>
        <w:top w:val="none" w:sz="0" w:space="0" w:color="auto"/>
        <w:left w:val="none" w:sz="0" w:space="0" w:color="auto"/>
        <w:bottom w:val="none" w:sz="0" w:space="0" w:color="auto"/>
        <w:right w:val="none" w:sz="0" w:space="0" w:color="auto"/>
      </w:divBdr>
    </w:div>
    <w:div w:id="199783878">
      <w:marLeft w:val="0"/>
      <w:marRight w:val="0"/>
      <w:marTop w:val="0"/>
      <w:marBottom w:val="0"/>
      <w:divBdr>
        <w:top w:val="none" w:sz="0" w:space="0" w:color="auto"/>
        <w:left w:val="none" w:sz="0" w:space="0" w:color="auto"/>
        <w:bottom w:val="none" w:sz="0" w:space="0" w:color="auto"/>
        <w:right w:val="none" w:sz="0" w:space="0" w:color="auto"/>
      </w:divBdr>
      <w:divsChild>
        <w:div w:id="199783873">
          <w:marLeft w:val="0"/>
          <w:marRight w:val="0"/>
          <w:marTop w:val="100"/>
          <w:marBottom w:val="100"/>
          <w:divBdr>
            <w:top w:val="none" w:sz="0" w:space="0" w:color="auto"/>
            <w:left w:val="none" w:sz="0" w:space="0" w:color="auto"/>
            <w:bottom w:val="none" w:sz="0" w:space="0" w:color="auto"/>
            <w:right w:val="none" w:sz="0" w:space="0" w:color="auto"/>
          </w:divBdr>
          <w:divsChild>
            <w:div w:id="199783874">
              <w:marLeft w:val="0"/>
              <w:marRight w:val="0"/>
              <w:marTop w:val="0"/>
              <w:marBottom w:val="0"/>
              <w:divBdr>
                <w:top w:val="none" w:sz="0" w:space="0" w:color="auto"/>
                <w:left w:val="none" w:sz="0" w:space="0" w:color="auto"/>
                <w:bottom w:val="none" w:sz="0" w:space="0" w:color="auto"/>
                <w:right w:val="none" w:sz="0" w:space="0" w:color="auto"/>
              </w:divBdr>
              <w:divsChild>
                <w:div w:id="199783876">
                  <w:marLeft w:val="0"/>
                  <w:marRight w:val="0"/>
                  <w:marTop w:val="0"/>
                  <w:marBottom w:val="0"/>
                  <w:divBdr>
                    <w:top w:val="none" w:sz="0" w:space="0" w:color="auto"/>
                    <w:left w:val="none" w:sz="0" w:space="0" w:color="auto"/>
                    <w:bottom w:val="none" w:sz="0" w:space="0" w:color="auto"/>
                    <w:right w:val="none" w:sz="0" w:space="0" w:color="auto"/>
                  </w:divBdr>
                  <w:divsChild>
                    <w:div w:id="1997838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9783879">
      <w:marLeft w:val="0"/>
      <w:marRight w:val="0"/>
      <w:marTop w:val="0"/>
      <w:marBottom w:val="0"/>
      <w:divBdr>
        <w:top w:val="none" w:sz="0" w:space="0" w:color="auto"/>
        <w:left w:val="none" w:sz="0" w:space="0" w:color="auto"/>
        <w:bottom w:val="none" w:sz="0" w:space="0" w:color="auto"/>
        <w:right w:val="none" w:sz="0" w:space="0" w:color="auto"/>
      </w:divBdr>
    </w:div>
    <w:div w:id="199783880">
      <w:marLeft w:val="0"/>
      <w:marRight w:val="0"/>
      <w:marTop w:val="0"/>
      <w:marBottom w:val="0"/>
      <w:divBdr>
        <w:top w:val="none" w:sz="0" w:space="0" w:color="auto"/>
        <w:left w:val="none" w:sz="0" w:space="0" w:color="auto"/>
        <w:bottom w:val="none" w:sz="0" w:space="0" w:color="auto"/>
        <w:right w:val="none" w:sz="0" w:space="0" w:color="auto"/>
      </w:divBdr>
    </w:div>
    <w:div w:id="199783881">
      <w:marLeft w:val="0"/>
      <w:marRight w:val="0"/>
      <w:marTop w:val="0"/>
      <w:marBottom w:val="0"/>
      <w:divBdr>
        <w:top w:val="none" w:sz="0" w:space="0" w:color="auto"/>
        <w:left w:val="none" w:sz="0" w:space="0" w:color="auto"/>
        <w:bottom w:val="none" w:sz="0" w:space="0" w:color="auto"/>
        <w:right w:val="none" w:sz="0" w:space="0" w:color="auto"/>
      </w:divBdr>
    </w:div>
    <w:div w:id="199783882">
      <w:marLeft w:val="0"/>
      <w:marRight w:val="0"/>
      <w:marTop w:val="0"/>
      <w:marBottom w:val="0"/>
      <w:divBdr>
        <w:top w:val="none" w:sz="0" w:space="0" w:color="auto"/>
        <w:left w:val="none" w:sz="0" w:space="0" w:color="auto"/>
        <w:bottom w:val="none" w:sz="0" w:space="0" w:color="auto"/>
        <w:right w:val="none" w:sz="0" w:space="0" w:color="auto"/>
      </w:divBdr>
    </w:div>
    <w:div w:id="199783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5070</Words>
  <Characters>28904</Characters>
  <Application>Microsoft Office Outlook</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DATA COLLECTION INSTRUMENTS FOR THE EVALUATION OF THE TEACHING AMERICAN HISTORY GRANTS PROGRAM</dc:title>
  <dc:subject/>
  <dc:creator>Policy Division</dc:creator>
  <cp:keywords/>
  <dc:description/>
  <cp:lastModifiedBy>#Administrator</cp:lastModifiedBy>
  <cp:revision>2</cp:revision>
  <cp:lastPrinted>2010-06-15T18:58:00Z</cp:lastPrinted>
  <dcterms:created xsi:type="dcterms:W3CDTF">2010-09-23T17:57:00Z</dcterms:created>
  <dcterms:modified xsi:type="dcterms:W3CDTF">2010-09-23T17:57:00Z</dcterms:modified>
</cp:coreProperties>
</file>